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7D6A3" w14:textId="44686061" w:rsidR="00AA7719" w:rsidRPr="009A2F0A" w:rsidRDefault="00AA7719" w:rsidP="0012479A">
      <w:pPr>
        <w:jc w:val="cente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Driving Your Development</w:t>
      </w:r>
    </w:p>
    <w:p w14:paraId="33D591DF" w14:textId="4E3E6BA3" w:rsidR="004171BD" w:rsidRPr="009A2F0A" w:rsidRDefault="00204581" w:rsidP="00204581">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Presentation Link:</w:t>
      </w:r>
    </w:p>
    <w:p w14:paraId="78F3082D" w14:textId="1E8DABDF" w:rsidR="007234EB" w:rsidRPr="007234EB" w:rsidRDefault="00204581" w:rsidP="00204581">
      <w:hyperlink r:id="rId6" w:history="1">
        <w:r w:rsidRPr="009A2F0A">
          <w:rPr>
            <w:rStyle w:val="Hyperlink"/>
            <w:rFonts w:ascii="Arial" w:hAnsi="Arial" w:cs="Arial"/>
            <w:b/>
            <w:bCs/>
            <w:color w:val="0E2841" w:themeColor="text2"/>
            <w:sz w:val="24"/>
            <w:szCs w:val="24"/>
          </w:rPr>
          <w:t>https://www.canva.com/design/DAGPgeiOncM/NuDJvPzvFOj_C1-anLYuAQ/edit?utm_content=DAGPgeiOncM&amp;utm_campaign=designshare&amp;utm_medium=link2&amp;utm_source=sharebutton</w:t>
        </w:r>
      </w:hyperlink>
    </w:p>
    <w:p w14:paraId="3C97541D" w14:textId="77777777" w:rsidR="009A2F0A" w:rsidRPr="009A2F0A" w:rsidRDefault="009A2F0A" w:rsidP="00204581">
      <w:pPr>
        <w:rPr>
          <w:color w:val="0E2841" w:themeColor="text2"/>
        </w:rPr>
      </w:pPr>
    </w:p>
    <w:p w14:paraId="64B75106" w14:textId="2738691A" w:rsidR="00AA7719" w:rsidRPr="009A2F0A" w:rsidRDefault="00AA7719">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Personal / Professional Introduction</w:t>
      </w:r>
    </w:p>
    <w:p w14:paraId="3D14FC2C" w14:textId="77777777" w:rsidR="00AA7719" w:rsidRPr="009A2F0A" w:rsidRDefault="00AA7719" w:rsidP="00AA7719">
      <w:pPr>
        <w:rPr>
          <w:rFonts w:ascii="Arial" w:hAnsi="Arial" w:cs="Arial"/>
          <w:color w:val="0E2841" w:themeColor="text2"/>
          <w:sz w:val="24"/>
          <w:szCs w:val="24"/>
        </w:rPr>
      </w:pPr>
      <w:r w:rsidRPr="009A2F0A">
        <w:rPr>
          <w:rFonts w:ascii="Arial" w:hAnsi="Arial" w:cs="Arial"/>
          <w:color w:val="0E2841" w:themeColor="text2"/>
          <w:sz w:val="24"/>
          <w:szCs w:val="24"/>
        </w:rPr>
        <w:t>My name is Stuart Davies-Jaynes and I am currently pursuing a MA/PGDip in Strategic People Management at the University of Wales Trinity Saint David. Over the past 15 years, I have built a strong career as a people  professional, working in both  private and public sector organisations. My career began at M&amp;S, followed by HR Business Partnering  roles at KFC UK, and most recently,  serving as the Director of People Services at Bluestone National Park  Resorts Ltd for the past 5 years. These diverse roles have given me invaluable experience in people management, organisational development, and employee engagement, allowing me to craft  strategies that support both people and organisational growth.</w:t>
      </w:r>
    </w:p>
    <w:p w14:paraId="691B0264" w14:textId="77777777" w:rsidR="00AA7719" w:rsidRPr="009A2F0A" w:rsidRDefault="00AA7719" w:rsidP="00AA7719">
      <w:pPr>
        <w:rPr>
          <w:rFonts w:ascii="Arial" w:hAnsi="Arial" w:cs="Arial"/>
          <w:color w:val="0E2841" w:themeColor="text2"/>
          <w:sz w:val="24"/>
          <w:szCs w:val="24"/>
        </w:rPr>
      </w:pPr>
    </w:p>
    <w:p w14:paraId="4C37B16F" w14:textId="77777777" w:rsidR="00AA7719" w:rsidRPr="009A2F0A" w:rsidRDefault="00AA7719" w:rsidP="00AA7719">
      <w:pPr>
        <w:rPr>
          <w:rFonts w:ascii="Arial" w:hAnsi="Arial" w:cs="Arial"/>
          <w:color w:val="0E2841" w:themeColor="text2"/>
          <w:sz w:val="24"/>
          <w:szCs w:val="24"/>
        </w:rPr>
      </w:pPr>
      <w:r w:rsidRPr="009A2F0A">
        <w:rPr>
          <w:rFonts w:ascii="Arial" w:hAnsi="Arial" w:cs="Arial"/>
          <w:color w:val="0E2841" w:themeColor="text2"/>
          <w:sz w:val="24"/>
          <w:szCs w:val="24"/>
        </w:rPr>
        <w:t>My professional journey has ignited a deep passion for leadership, talent management, and fostering inclusive workplace cultures, areas I am excited to explore further through my academic studies. As a proud member of the Institute of Directors Wales (IOD), I was honoured to receive the Director of the Year 2024 award for Skills Development, a recognition that underscores my commitment to these values.</w:t>
      </w:r>
    </w:p>
    <w:p w14:paraId="0F9ED9E0" w14:textId="77777777" w:rsidR="00AA7719" w:rsidRPr="009A2F0A" w:rsidRDefault="00AA7719" w:rsidP="00AA7719">
      <w:pPr>
        <w:rPr>
          <w:rFonts w:ascii="Arial" w:hAnsi="Arial" w:cs="Arial"/>
          <w:color w:val="0E2841" w:themeColor="text2"/>
          <w:sz w:val="24"/>
          <w:szCs w:val="24"/>
        </w:rPr>
      </w:pPr>
    </w:p>
    <w:p w14:paraId="61B06B3E" w14:textId="5D2F99E4" w:rsidR="00AA7719" w:rsidRPr="009A2F0A" w:rsidRDefault="00AA7719" w:rsidP="00AA7719">
      <w:pPr>
        <w:rPr>
          <w:rFonts w:ascii="Arial" w:hAnsi="Arial" w:cs="Arial"/>
          <w:color w:val="0E2841" w:themeColor="text2"/>
          <w:sz w:val="24"/>
          <w:szCs w:val="24"/>
        </w:rPr>
      </w:pPr>
      <w:r w:rsidRPr="009A2F0A">
        <w:rPr>
          <w:rFonts w:ascii="Arial" w:hAnsi="Arial" w:cs="Arial"/>
          <w:color w:val="0E2841" w:themeColor="text2"/>
          <w:sz w:val="24"/>
          <w:szCs w:val="24"/>
        </w:rPr>
        <w:t xml:space="preserve">Outside of my career, I have a deep love for the great outdoors, dining out at  restaurants, and traveling to explore different cultures. Whether it's hiking through scenic landscapes, enjoying a delicious meal, or discovering new places, these activities bring balance and joy to my life. I am fortunate to share these adventures with my Husband, Sean, and our </w:t>
      </w:r>
      <w:r w:rsidR="009255B6" w:rsidRPr="009A2F0A">
        <w:rPr>
          <w:rFonts w:ascii="Arial" w:hAnsi="Arial" w:cs="Arial"/>
          <w:color w:val="0E2841" w:themeColor="text2"/>
          <w:sz w:val="24"/>
          <w:szCs w:val="24"/>
        </w:rPr>
        <w:t>9-year-old</w:t>
      </w:r>
      <w:r w:rsidRPr="009A2F0A">
        <w:rPr>
          <w:rFonts w:ascii="Arial" w:hAnsi="Arial" w:cs="Arial"/>
          <w:color w:val="0E2841" w:themeColor="text2"/>
          <w:sz w:val="24"/>
          <w:szCs w:val="24"/>
        </w:rPr>
        <w:t xml:space="preserve">  Cockapoo, Maggie, as we embark on new journeys together.</w:t>
      </w:r>
    </w:p>
    <w:p w14:paraId="4BD7B368" w14:textId="77777777" w:rsidR="00B80717" w:rsidRPr="009A2F0A" w:rsidRDefault="00B80717" w:rsidP="00AA7719">
      <w:pPr>
        <w:rPr>
          <w:rFonts w:ascii="Arial" w:hAnsi="Arial" w:cs="Arial"/>
          <w:color w:val="0E2841" w:themeColor="text2"/>
          <w:sz w:val="24"/>
          <w:szCs w:val="24"/>
        </w:rPr>
      </w:pPr>
    </w:p>
    <w:p w14:paraId="15236FF1" w14:textId="29C3036E" w:rsidR="00B80717" w:rsidRPr="009A2F0A" w:rsidRDefault="00B80717" w:rsidP="00AA7719">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Professional Development</w:t>
      </w:r>
    </w:p>
    <w:p w14:paraId="45563F08" w14:textId="77777777" w:rsidR="00EC70C4"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According to Hoy (2024), professional development initiatives are essential in creating a culture of continuous learning and collaboration within an organisation. By providing a structured framework for knowledge sharing and skill development, these initiatives foster a sense of belonging and shared purpose among employees. This emphasis on growth is vital for improving employee engagement and retention at BNPR. When employees feel supported and connected, they are more likely to take initiative, share innovative ideas, and contribute meaningfully to the organisation’s success, (Suherman et al., 2023).</w:t>
      </w:r>
    </w:p>
    <w:p w14:paraId="18BCEB67" w14:textId="77777777" w:rsidR="00EC70C4" w:rsidRPr="009A2F0A" w:rsidRDefault="00EC70C4" w:rsidP="00EC70C4">
      <w:pPr>
        <w:rPr>
          <w:rFonts w:ascii="Arial" w:hAnsi="Arial" w:cs="Arial"/>
          <w:color w:val="0E2841" w:themeColor="text2"/>
          <w:sz w:val="24"/>
          <w:szCs w:val="24"/>
        </w:rPr>
      </w:pPr>
    </w:p>
    <w:p w14:paraId="229F8B90" w14:textId="77777777" w:rsidR="00EC70C4"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The Profession Map as developed by the CIPD (2023), serves as the international benchmark for excellence in the field of people management, created through collaboration with over 20,000 professionals, including CIPD members, employers, and academics. Grounded in its core purpose and values, the Profession Map outlines the essential knowledge and behaviours required to grow, excel, and drive meaningful impact in the workplace. Its elements are interconnected, functioning cohesively to support professional development, which will be explored throughout this document.</w:t>
      </w:r>
    </w:p>
    <w:p w14:paraId="5DB9CF2E" w14:textId="77777777" w:rsidR="00EC70C4" w:rsidRPr="009A2F0A" w:rsidRDefault="00EC70C4" w:rsidP="00EC70C4">
      <w:pPr>
        <w:rPr>
          <w:rFonts w:ascii="Arial" w:hAnsi="Arial" w:cs="Arial"/>
          <w:color w:val="0E2841" w:themeColor="text2"/>
          <w:sz w:val="24"/>
          <w:szCs w:val="24"/>
        </w:rPr>
      </w:pPr>
    </w:p>
    <w:p w14:paraId="3C4DF692" w14:textId="77777777" w:rsidR="00EC70C4"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As shown opposite, the Profession Map encompasses key areas essential for all people professionals, including purpose and values, core knowledge, and core behaviours, while also offering optional areas of specialist knowledge tailored to specific roles (CIPD, 2024).</w:t>
      </w:r>
    </w:p>
    <w:p w14:paraId="15F9173C" w14:textId="77777777" w:rsidR="00EC70C4" w:rsidRPr="009A2F0A" w:rsidRDefault="00EC70C4" w:rsidP="00EC70C4">
      <w:pPr>
        <w:rPr>
          <w:rFonts w:ascii="Arial" w:hAnsi="Arial" w:cs="Arial"/>
          <w:color w:val="0E2841" w:themeColor="text2"/>
          <w:sz w:val="24"/>
          <w:szCs w:val="24"/>
        </w:rPr>
      </w:pPr>
    </w:p>
    <w:p w14:paraId="1B25270B" w14:textId="0FFD0442" w:rsidR="00B80717"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This assignment critically reflects on my own professional experiences, aligning them with the core behaviours outlined in the Profession Map. Using a reflective model of my choice, I will describe real-life scenarios where I have demonstrated these behaviours and provide an evaluation of my actions and their impact. I will then apply relevant theories and models to critically analyse my performance, exploring the effectiveness of my actions in these scenarios and identifying areas for improvement. This reflective process will not only highlight my strengths but also offer insight into how I can further develop my professional capabilities, ensuring continued growth and alignment with best practices in people management.</w:t>
      </w:r>
    </w:p>
    <w:p w14:paraId="245E9B89" w14:textId="77777777" w:rsidR="00EC70C4" w:rsidRPr="009A2F0A" w:rsidRDefault="00EC70C4" w:rsidP="00EC70C4">
      <w:pPr>
        <w:rPr>
          <w:rFonts w:ascii="Arial" w:hAnsi="Arial" w:cs="Arial"/>
          <w:color w:val="0E2841" w:themeColor="text2"/>
          <w:sz w:val="24"/>
          <w:szCs w:val="24"/>
        </w:rPr>
      </w:pPr>
    </w:p>
    <w:p w14:paraId="68DAD81C" w14:textId="28A1C186" w:rsidR="00B80717" w:rsidRPr="009A2F0A" w:rsidRDefault="00B80717" w:rsidP="00B80717">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Reflective Learning</w:t>
      </w:r>
    </w:p>
    <w:p w14:paraId="0702E9B6" w14:textId="184DFB1A" w:rsidR="00EC70C4" w:rsidRPr="009A2F0A" w:rsidRDefault="00AD2D07" w:rsidP="00EC70C4">
      <w:pPr>
        <w:rPr>
          <w:rFonts w:ascii="Arial" w:hAnsi="Arial" w:cs="Arial"/>
          <w:color w:val="0E2841" w:themeColor="text2"/>
          <w:sz w:val="24"/>
          <w:szCs w:val="24"/>
        </w:rPr>
      </w:pPr>
      <w:r>
        <w:rPr>
          <w:rFonts w:ascii="Arial" w:hAnsi="Arial" w:cs="Arial"/>
          <w:color w:val="0E2841" w:themeColor="text2"/>
          <w:sz w:val="24"/>
          <w:szCs w:val="24"/>
        </w:rPr>
        <w:t>B</w:t>
      </w:r>
      <w:r w:rsidR="00EC70C4" w:rsidRPr="009A2F0A">
        <w:rPr>
          <w:rFonts w:ascii="Arial" w:hAnsi="Arial" w:cs="Arial"/>
          <w:color w:val="0E2841" w:themeColor="text2"/>
          <w:sz w:val="24"/>
          <w:szCs w:val="24"/>
        </w:rPr>
        <w:t>uilding on the perspectives of Kolb (2014) and Schön (1983),  reflection is widely regarded as a critical component of effective learning and performance. In today’s dynamic and ever-evolving environment, reflective practices are essential for fostering deep learning, enhancing problem-solving abilities, and driving innovation.</w:t>
      </w:r>
    </w:p>
    <w:p w14:paraId="15CCAEB5" w14:textId="77777777" w:rsidR="00EC70C4" w:rsidRPr="009A2F0A" w:rsidRDefault="00EC70C4" w:rsidP="00EC70C4">
      <w:pPr>
        <w:rPr>
          <w:rFonts w:ascii="Arial" w:hAnsi="Arial" w:cs="Arial"/>
          <w:color w:val="0E2841" w:themeColor="text2"/>
          <w:sz w:val="24"/>
          <w:szCs w:val="24"/>
        </w:rPr>
      </w:pPr>
    </w:p>
    <w:p w14:paraId="68570315" w14:textId="77777777" w:rsidR="00EC70C4"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A study by the CIPD (2017),  suggests that Continuous Professional Development (CPD) and reflective learning offer significant benefits to both organisations and individuals. For organisations, CPD ensures employees maintain up-to-date skills and knowledge, aligning with industry standards and regulatory requirements. Reflective learning, as part of CPD, enables individuals to critically assess their experiences, identify areas for improvement, and apply new insights to their work. For individuals, this process enhances skills, promotes career growth, and increases job satisfaction. Together, CPD and reflective learning contribute to a skilled, adaptable workforce, benefiting both professional development and organisational performance (Mulvey, 2013).</w:t>
      </w:r>
    </w:p>
    <w:p w14:paraId="6D1E38B5" w14:textId="77777777" w:rsidR="00EC70C4" w:rsidRPr="009A2F0A" w:rsidRDefault="00EC70C4" w:rsidP="00EC70C4">
      <w:pPr>
        <w:rPr>
          <w:rFonts w:ascii="Arial" w:hAnsi="Arial" w:cs="Arial"/>
          <w:color w:val="0E2841" w:themeColor="text2"/>
          <w:sz w:val="24"/>
          <w:szCs w:val="24"/>
        </w:rPr>
      </w:pPr>
    </w:p>
    <w:p w14:paraId="3B72702A" w14:textId="77777777" w:rsidR="00EC70C4"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One of the most well-known cyclical models of reflection is Gibbs' Reflective Cycle (1988), which guides individuals through six stages to explore an experience: description, feelings, evaluation, analysis, conclusion, and action plan. Gibbs designed this framework to provide structure for learning from experiences. I have chosen this reflective model as its cyclical nature makes it particularly effective for reflecting on repeated experiences. It encourages deep self-awareness by exploring emotions, evaluating outcomes, and identifying improvements. The model enables individuals  to learn and plan based on what went well or what could be improved (Tolar, 2023).</w:t>
      </w:r>
    </w:p>
    <w:p w14:paraId="3045D134" w14:textId="77777777" w:rsidR="00EC70C4" w:rsidRPr="009A2F0A" w:rsidRDefault="00EC70C4" w:rsidP="00EC70C4">
      <w:pPr>
        <w:rPr>
          <w:rFonts w:ascii="Arial" w:hAnsi="Arial" w:cs="Arial"/>
          <w:color w:val="0E2841" w:themeColor="text2"/>
          <w:sz w:val="24"/>
          <w:szCs w:val="24"/>
        </w:rPr>
      </w:pPr>
    </w:p>
    <w:p w14:paraId="0177787C" w14:textId="77777777" w:rsidR="00EC70C4"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According to Adeani, Febriani and Syafryadin (2020) this model is an effective way to reflect on an experience, whether it's a one-off event or a recurring situation. While Gibbs initially recommended its use for repeated experiences, the stages and principles are equally applicable to singular events. When used for a one-off experience, the action plan may be more general, focusing on how to apply the insights gained to future situations. Gibbs' Reflective Model is structured and easy to follow but can be rigid, overly focused on emotions, and time-consuming. Compared to other models, Kolb emphasises learning through experience (Kolb, 1984), Johns incorporates ethical and theoretical depth (Johns, 1994), and Schön focuses on real-time reflection (Schön, 1983), while Driscoll’s "What?" Model offers a simpler, more flexible approach with three key questions (Driscoll, 2007). While Gibbs is useful for beginners, it may limit deeper critical analysis in professional settings (Gibbs, 1988).</w:t>
      </w:r>
    </w:p>
    <w:p w14:paraId="7A20A28B" w14:textId="77777777" w:rsidR="00EC70C4" w:rsidRPr="009A2F0A" w:rsidRDefault="00EC70C4" w:rsidP="00EC70C4">
      <w:pPr>
        <w:rPr>
          <w:rFonts w:ascii="Arial" w:hAnsi="Arial" w:cs="Arial"/>
          <w:color w:val="0E2841" w:themeColor="text2"/>
          <w:sz w:val="24"/>
          <w:szCs w:val="24"/>
        </w:rPr>
      </w:pPr>
    </w:p>
    <w:p w14:paraId="43CF774F" w14:textId="5108A362" w:rsidR="00DD6B60"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By examining four work-based scenarios related to the core behaviours outlined in the CIPD Profession Map, I have conducted a critical analysis of each  case using Gibbs' Reflective Cycle. You can explore each scenario by clicking the links below, which will guide you through the analysis of every scenario.</w:t>
      </w:r>
    </w:p>
    <w:p w14:paraId="29A468EE" w14:textId="77777777" w:rsidR="00EC70C4" w:rsidRPr="009A2F0A" w:rsidRDefault="00EC70C4" w:rsidP="00EC70C4">
      <w:pPr>
        <w:rPr>
          <w:rFonts w:ascii="Arial" w:hAnsi="Arial" w:cs="Arial"/>
          <w:color w:val="0E2841" w:themeColor="text2"/>
          <w:sz w:val="24"/>
          <w:szCs w:val="24"/>
        </w:rPr>
      </w:pPr>
    </w:p>
    <w:p w14:paraId="41029C44" w14:textId="33692095" w:rsidR="00DD6B60" w:rsidRPr="009A2F0A" w:rsidRDefault="00DD6B60" w:rsidP="00B80717">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1 Scenario Redundancy</w:t>
      </w:r>
    </w:p>
    <w:p w14:paraId="32D4682E" w14:textId="2D60CB51" w:rsidR="00D636AB" w:rsidRPr="009A2F0A" w:rsidRDefault="00DD6B60" w:rsidP="00D636AB">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Description</w:t>
      </w:r>
    </w:p>
    <w:p w14:paraId="26D42E07" w14:textId="77777777" w:rsidR="00EC70C4" w:rsidRPr="009A2F0A" w:rsidRDefault="00EC70C4" w:rsidP="00EC70C4">
      <w:pPr>
        <w:rPr>
          <w:rFonts w:ascii="Arial" w:hAnsi="Arial" w:cs="Arial"/>
          <w:color w:val="0E2841" w:themeColor="text2"/>
          <w:sz w:val="24"/>
          <w:szCs w:val="24"/>
        </w:rPr>
      </w:pPr>
    </w:p>
    <w:p w14:paraId="02CA8E24" w14:textId="77777777" w:rsidR="00EC70C4"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 xml:space="preserve">BNPR is a major employer in the leisure and tourism sector, with a workforce of 900 employees, all on permanent contracts. During the pandemic, the business faced significant ethical and commercial challenges, as reflected by (Shimazu et al., 2020). This was particularly prevalent  as the sector navigated its return to normal operations. In response to financial pressures, BNPR made the strategic decision to transition to a fully cashless operation, my role was to provide a commercial analysis to demonstrate payroll saving for the business.  While this move aimed to streamline processes and reduce payroll costs, it also had implications for staffing levels. As a result, the decision was made to make the Cash Office team redundant, directly </w:t>
      </w:r>
      <w:r w:rsidRPr="009A2F0A">
        <w:rPr>
          <w:rFonts w:ascii="Arial" w:hAnsi="Arial" w:cs="Arial"/>
          <w:color w:val="0E2841" w:themeColor="text2"/>
          <w:sz w:val="24"/>
          <w:szCs w:val="24"/>
        </w:rPr>
        <w:lastRenderedPageBreak/>
        <w:t>affecting the roles of six Cash Office Advisors. The two core behaviours applied in this scenario were commercial drive and ethical practice. The shift to a cashless model was driven by the need to ensure the long-term financial sustainability of the business, demonstrating commercial drive. At the same time, ethical practice was considered in managing the redundancies, ensuring employees were treated fairly and with respect during a challenging period, during which time I refreshed my understanding  of the redundancy process against the ACAS code of practice (ACAS, 2020). This decision highlights the difficult balance businesses had to strike between financial sustainability and employee welfare during a period of unprecedented uncertainty.</w:t>
      </w:r>
    </w:p>
    <w:p w14:paraId="4F2143E1" w14:textId="77777777" w:rsidR="00EC70C4" w:rsidRPr="009A2F0A" w:rsidRDefault="00EC70C4" w:rsidP="00EC70C4">
      <w:pPr>
        <w:rPr>
          <w:rFonts w:ascii="Arial" w:hAnsi="Arial" w:cs="Arial"/>
          <w:color w:val="0E2841" w:themeColor="text2"/>
          <w:sz w:val="24"/>
          <w:szCs w:val="24"/>
        </w:rPr>
      </w:pPr>
    </w:p>
    <w:p w14:paraId="0AC1055F" w14:textId="2FBBB526" w:rsidR="00B65812" w:rsidRPr="009A2F0A" w:rsidRDefault="00B65812" w:rsidP="00EC70C4">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Feeling</w:t>
      </w:r>
    </w:p>
    <w:p w14:paraId="75848C49" w14:textId="6977A1A0" w:rsidR="00FF13CD" w:rsidRPr="009A2F0A" w:rsidRDefault="00EC70C4" w:rsidP="00B80717">
      <w:pPr>
        <w:rPr>
          <w:rFonts w:ascii="Arial" w:hAnsi="Arial" w:cs="Arial"/>
          <w:color w:val="0E2841" w:themeColor="text2"/>
          <w:sz w:val="24"/>
          <w:szCs w:val="24"/>
        </w:rPr>
      </w:pPr>
      <w:r w:rsidRPr="009A2F0A">
        <w:rPr>
          <w:rFonts w:ascii="Arial" w:hAnsi="Arial" w:cs="Arial"/>
          <w:color w:val="0E2841" w:themeColor="text2"/>
          <w:sz w:val="24"/>
          <w:szCs w:val="24"/>
        </w:rPr>
        <w:t>Navigating the redundancy process during the Covid pandemic was an experience that deeply challenged my leadership approach. Having personally faced the loss of a close loved one, I found myself in emotional conflict between fulfilling my responsibility to the business and ensuring that ethical considerations were at the forefront of my decision-making. Balancing the need to deliver commercial business benefits with the ethical obligation to consider the well-being of employees was a complex and thought-provoking challenge. Given my democratic leadership style, I prioritised open communication and collaboration, ensuring that employees had a voice in discussions surrounding organisational changes. Lewin et al. (1939) describe democratic leadership as fostering participation and valuing team input, which aligns with my approach of engaging employees to navigate the difficult circumstances collectively. I became acutely aware of the potential personal struggles employees might be facing at home, particularly during such an uncertain and distressing time. This realisation prompted me to reflect on the human impact of my decisions, reinforcing the importance of empathy, ethical leadership, and finding a path that considers the well-being of all stakeholders. Chambers (2025) highlights the need to understand employee internal barriers and the roles they play in addressing these challenges, which reflects my own personal challenge in this scenario.</w:t>
      </w:r>
    </w:p>
    <w:p w14:paraId="3EAE2E88" w14:textId="77777777" w:rsidR="00FF13CD" w:rsidRPr="009A2F0A" w:rsidRDefault="00FF13CD" w:rsidP="00FF13CD">
      <w:pPr>
        <w:rPr>
          <w:rFonts w:ascii="Arial" w:hAnsi="Arial" w:cs="Arial"/>
          <w:color w:val="0E2841" w:themeColor="text2"/>
          <w:sz w:val="24"/>
          <w:szCs w:val="24"/>
        </w:rPr>
      </w:pPr>
    </w:p>
    <w:p w14:paraId="07D63637" w14:textId="3469B0B7" w:rsidR="00FF13CD" w:rsidRPr="009A2F0A" w:rsidRDefault="00FF13CD" w:rsidP="00FF13CD">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Evaluation</w:t>
      </w:r>
    </w:p>
    <w:p w14:paraId="001980FD" w14:textId="78DF6B9E" w:rsidR="00C2311B" w:rsidRPr="009A2F0A" w:rsidRDefault="00EC70C4" w:rsidP="00FF13CD">
      <w:pPr>
        <w:rPr>
          <w:rFonts w:ascii="Arial" w:hAnsi="Arial" w:cs="Arial"/>
          <w:color w:val="0E2841" w:themeColor="text2"/>
          <w:sz w:val="24"/>
          <w:szCs w:val="24"/>
        </w:rPr>
      </w:pPr>
      <w:r w:rsidRPr="009A2F0A">
        <w:rPr>
          <w:rFonts w:ascii="Arial" w:hAnsi="Arial" w:cs="Arial"/>
          <w:color w:val="0E2841" w:themeColor="text2"/>
          <w:sz w:val="24"/>
          <w:szCs w:val="24"/>
        </w:rPr>
        <w:t xml:space="preserve">The decision to transition to a cashless delivered commercial viability through reduced operational and payroll costs. According to Northouse (2021), ethical leadership involves making decisions that benefit the organisation while remaining fair to employees. I ensured transparent communication throughout the redundancy process, maintaining fairness and empathy to mitigate the emotional impact on affected employees. However, this situation also revealed personal and professional conflicts. As Bass (1998) suggests in transformational leadership theory, leaders must balance their personal emotions with their responsibilities to the organisation. The emotional strain of managing redundancies during such a challenging time was significant. While the process was conducted ethically, additional support for affected </w:t>
      </w:r>
      <w:r w:rsidRPr="009A2F0A">
        <w:rPr>
          <w:rFonts w:ascii="Arial" w:hAnsi="Arial" w:cs="Arial"/>
          <w:color w:val="0E2841" w:themeColor="text2"/>
          <w:sz w:val="24"/>
          <w:szCs w:val="24"/>
        </w:rPr>
        <w:lastRenderedPageBreak/>
        <w:t>employees was lacking, due to the lack of resource in the business during a period of furlough. Caldwell and Okpala (2022), emphasises the importance of providing career transition services and emotional support during such times of uncertainty.</w:t>
      </w:r>
    </w:p>
    <w:p w14:paraId="0DC85329" w14:textId="77777777" w:rsidR="005E3516" w:rsidRPr="009A2F0A" w:rsidRDefault="005E3516" w:rsidP="00FF13CD">
      <w:pPr>
        <w:rPr>
          <w:rFonts w:ascii="Arial" w:hAnsi="Arial" w:cs="Arial"/>
          <w:color w:val="0E2841" w:themeColor="text2"/>
          <w:sz w:val="24"/>
          <w:szCs w:val="24"/>
        </w:rPr>
      </w:pPr>
    </w:p>
    <w:p w14:paraId="40C39494" w14:textId="2FCA489A" w:rsidR="00C2311B" w:rsidRPr="009A2F0A" w:rsidRDefault="00C2311B" w:rsidP="00C2311B">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Analysis</w:t>
      </w:r>
    </w:p>
    <w:p w14:paraId="0E543A96" w14:textId="2180219E" w:rsidR="003623B9" w:rsidRPr="009A2F0A" w:rsidRDefault="009255B6" w:rsidP="00C2311B">
      <w:pPr>
        <w:rPr>
          <w:rFonts w:ascii="Arial" w:hAnsi="Arial" w:cs="Arial"/>
          <w:color w:val="0E2841" w:themeColor="text2"/>
          <w:sz w:val="24"/>
          <w:szCs w:val="24"/>
        </w:rPr>
      </w:pPr>
      <w:r>
        <w:rPr>
          <w:rFonts w:ascii="Arial" w:hAnsi="Arial" w:cs="Arial"/>
          <w:color w:val="0E2841" w:themeColor="text2"/>
          <w:sz w:val="24"/>
          <w:szCs w:val="24"/>
        </w:rPr>
        <w:t>T</w:t>
      </w:r>
      <w:r w:rsidR="00EC70C4" w:rsidRPr="009A2F0A">
        <w:rPr>
          <w:rFonts w:ascii="Arial" w:hAnsi="Arial" w:cs="Arial"/>
          <w:color w:val="0E2841" w:themeColor="text2"/>
          <w:sz w:val="24"/>
          <w:szCs w:val="24"/>
        </w:rPr>
        <w:t>he transition to a cashless operation led to redundancies, which whilst difficult, demonstrated my personal motivation and commitment to deliver business outcomes for BNPR. As Sutcliffe (2005) highlights, ethical leadership balances organisational needs with employee welfare. Encouraging transparency in decision-making helped reduce uncertainty and build trust( Kotter 1996) . My contribution focused on transparent decision-making, role-modelling professional principles while suppressing my personal values to maintain integrity and trust. This aligns with Avolio and Gardner (2005) concept of authentic leadership. However, Schein (1986) emphasises that adequate post-redundancy support, such as career counselling, is vital, an area where the process could have been improved. A more comprehensive support system would have better aligned with ethical leadership principles which endeavours to find the best possible way forward for all involved, benefiting both BNPR and those employees affected.</w:t>
      </w:r>
    </w:p>
    <w:p w14:paraId="679C20AF" w14:textId="77777777" w:rsidR="004171BD" w:rsidRPr="009A2F0A" w:rsidRDefault="004171BD" w:rsidP="00C2311B">
      <w:pPr>
        <w:rPr>
          <w:rFonts w:ascii="Arial" w:hAnsi="Arial" w:cs="Arial"/>
          <w:color w:val="0E2841" w:themeColor="text2"/>
          <w:sz w:val="24"/>
          <w:szCs w:val="24"/>
        </w:rPr>
      </w:pPr>
    </w:p>
    <w:p w14:paraId="64B4BD9A" w14:textId="1306389C" w:rsidR="003623B9" w:rsidRPr="009A2F0A" w:rsidRDefault="003623B9" w:rsidP="00C2311B">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Conclusion</w:t>
      </w:r>
    </w:p>
    <w:p w14:paraId="04201400" w14:textId="77777777" w:rsidR="00EC70C4" w:rsidRPr="009A2F0A" w:rsidRDefault="00EC70C4" w:rsidP="003623B9">
      <w:pPr>
        <w:rPr>
          <w:rFonts w:ascii="Arial" w:hAnsi="Arial" w:cs="Arial"/>
          <w:color w:val="0E2841" w:themeColor="text2"/>
          <w:sz w:val="24"/>
          <w:szCs w:val="24"/>
        </w:rPr>
      </w:pPr>
      <w:r w:rsidRPr="009A2F0A">
        <w:rPr>
          <w:rFonts w:ascii="Arial" w:hAnsi="Arial" w:cs="Arial"/>
          <w:color w:val="0E2841" w:themeColor="text2"/>
          <w:sz w:val="24"/>
          <w:szCs w:val="24"/>
        </w:rPr>
        <w:t>While BNPR successfully achieved its goal of commercial savings, I faced personal challenges during this period which could have influenced my  actions. Despite these challenges, I chose to prioritise BNPR’s commercial objectives over my personal values. By focusing on transparency, empathy, and integrating various ethical perspectives, I facilitated open leadership discussions, which allowed healthy leadership discussion which led to an improved decision-making process. This approach aligns with the concept of authentic leadership, which emphasises self-awareness, balanced decision-making, and ethical behaviour (Gardner et al., 2005).</w:t>
      </w:r>
    </w:p>
    <w:p w14:paraId="6B4851FD" w14:textId="56FB5CB3" w:rsidR="008648F0" w:rsidRPr="009A2F0A" w:rsidRDefault="008648F0" w:rsidP="003623B9">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Scenario2</w:t>
      </w:r>
    </w:p>
    <w:p w14:paraId="33A0756E" w14:textId="1AEDBB37" w:rsidR="008648F0" w:rsidRPr="009A2F0A" w:rsidRDefault="008648F0" w:rsidP="003623B9">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Description</w:t>
      </w:r>
    </w:p>
    <w:p w14:paraId="588277E2" w14:textId="3CDFDE2B" w:rsidR="007F08E1" w:rsidRPr="009A2F0A" w:rsidRDefault="00EC70C4" w:rsidP="003623B9">
      <w:pPr>
        <w:rPr>
          <w:rFonts w:ascii="Arial" w:hAnsi="Arial" w:cs="Arial"/>
          <w:color w:val="0E2841" w:themeColor="text2"/>
          <w:sz w:val="24"/>
          <w:szCs w:val="24"/>
        </w:rPr>
      </w:pPr>
      <w:r w:rsidRPr="009A2F0A">
        <w:rPr>
          <w:rFonts w:ascii="Arial" w:hAnsi="Arial" w:cs="Arial"/>
          <w:color w:val="0E2841" w:themeColor="text2"/>
          <w:sz w:val="24"/>
          <w:szCs w:val="24"/>
        </w:rPr>
        <w:t>In 2020, BNPR operated without a formal performance management framework, as the Board believed the organisation’s positive culture negated the need for one. However, research highlights the importance of structured performance management in driving organisational success (Norton, 2010). As a new member of the team, I had to demonstrate professional courage and influence by constructively challenging this perspective, despite strong opposition which I initially found uncomfortable. According to the CIPD (2022), valuing people involves ensuring fair and transparent practices that support employee development. It was my role and accountability to develop others by enabling leaders to support employees in reaching their full potential in the workplace. Implementing a framework would not only align with best practices  but also enhance accountability and continuous improvement (O’Boyle. and Aguinis 2012).</w:t>
      </w:r>
    </w:p>
    <w:p w14:paraId="3740F4AD" w14:textId="0D9D79D2" w:rsidR="007F08E1" w:rsidRPr="009A2F0A" w:rsidRDefault="007F08E1" w:rsidP="003623B9">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lastRenderedPageBreak/>
        <w:t>Feeling</w:t>
      </w:r>
    </w:p>
    <w:p w14:paraId="647B9676" w14:textId="7B6A22E3" w:rsidR="0085122F" w:rsidRPr="009A2F0A" w:rsidRDefault="00EC70C4" w:rsidP="003623B9">
      <w:pPr>
        <w:rPr>
          <w:rFonts w:ascii="Arial" w:hAnsi="Arial" w:cs="Arial"/>
          <w:color w:val="0E2841" w:themeColor="text2"/>
          <w:sz w:val="24"/>
          <w:szCs w:val="24"/>
        </w:rPr>
      </w:pPr>
      <w:r w:rsidRPr="009A2F0A">
        <w:rPr>
          <w:rFonts w:ascii="Arial" w:hAnsi="Arial" w:cs="Arial"/>
          <w:color w:val="0E2841" w:themeColor="text2"/>
          <w:sz w:val="24"/>
          <w:szCs w:val="24"/>
        </w:rPr>
        <w:t>In this situation, I felt a deep sense of vulnerability, knowing that challenging my Board colleagues who held strong opposing views could put my own job security and integrity at risk. However, demonstrating professional courage and influence (Chakraborty and Santosh Kumar Biswal, 2023) required me to communicate with clarity, making a complex opportunity appear both necessary and achievable for the business. Research highlights that effective change agents must balance advocacy with diplomacy to gain stakeholder buy-in (Hale, 1997). Despite these challenges, I felt a strong sense of personal resilience and determination to act in the best interests of the workforce. Psychological safety, as described by Edmondson (2025), is essential for employee voice and engagement, reinforcing my commitment to ensuring the framework gave employees a meaningful role in its development. Employee voice, as conceptualised by Morrison (2011), plays a crucial role in organisational decision-making by enabling employees to express concerns and contribute ideas without fear of retaliation. By applying an inclusive approach by engaging with the business Employee Consultation Group and a cross-section of employees, I facilitated the change management process, fostering ownership and trust (Argyris, 1989). This experience tested my resolve but strengthened my commitment to valuing employee voice and commitment.</w:t>
      </w:r>
    </w:p>
    <w:p w14:paraId="44698341" w14:textId="77777777" w:rsidR="004171BD" w:rsidRPr="009A2F0A" w:rsidRDefault="004171BD" w:rsidP="003623B9">
      <w:pPr>
        <w:rPr>
          <w:rFonts w:ascii="Arial" w:hAnsi="Arial" w:cs="Arial"/>
          <w:color w:val="0E2841" w:themeColor="text2"/>
          <w:sz w:val="24"/>
          <w:szCs w:val="24"/>
        </w:rPr>
      </w:pPr>
    </w:p>
    <w:p w14:paraId="0C8C0488" w14:textId="507B751D" w:rsidR="0085122F" w:rsidRPr="009A2F0A" w:rsidRDefault="0085122F" w:rsidP="003623B9">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Evaluation</w:t>
      </w:r>
    </w:p>
    <w:p w14:paraId="5856B1FC" w14:textId="77777777" w:rsidR="00EC70C4"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Through sustained influence and proactive stakeholder engagement, I was able to build the trust necessary to move the project forward. Hubbart (2022) emphasises the importance of securing stakeholder commitment in driving organisational change, which was critical in overcoming initial resistance. By fostering open dialogue and aligning the framework with the  strategic goals, I gradually shifted perceptions, demonstrating that structured performance management could complement, rather than undermine the existing positive culture.</w:t>
      </w:r>
    </w:p>
    <w:p w14:paraId="10F6E691" w14:textId="77777777" w:rsidR="00EC70C4" w:rsidRPr="009A2F0A" w:rsidRDefault="00EC70C4" w:rsidP="00EC70C4">
      <w:pPr>
        <w:rPr>
          <w:rFonts w:ascii="Arial" w:hAnsi="Arial" w:cs="Arial"/>
          <w:color w:val="0E2841" w:themeColor="text2"/>
          <w:sz w:val="24"/>
          <w:szCs w:val="24"/>
        </w:rPr>
      </w:pPr>
    </w:p>
    <w:p w14:paraId="3D822D58" w14:textId="77777777" w:rsidR="00EC70C4"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Throughout the process, I was held fully accountable for my own mistakes and learnings. Reflective practice, as highlighted by Checkoway and Schon (1985) allowed me to critically assess my approach and make necessary adjustments. A key challenge was adapting my communication style to suit different employee levels within BNPR, from Board members to entry level employees. This aligns with Dearborn’s (2002) research on emotional intelligence, which stresses the need for adaptability in leadership communication. Ultimately, this experience reinforced my ability to balance strategic influence with humility, ensuring that the framework was both effective and widely accepted.</w:t>
      </w:r>
    </w:p>
    <w:p w14:paraId="26F8620E" w14:textId="77777777" w:rsidR="004171BD" w:rsidRPr="009A2F0A" w:rsidRDefault="004171BD" w:rsidP="00EC70C4">
      <w:pPr>
        <w:rPr>
          <w:rFonts w:ascii="Arial" w:hAnsi="Arial" w:cs="Arial"/>
          <w:color w:val="0E2841" w:themeColor="text2"/>
          <w:sz w:val="24"/>
          <w:szCs w:val="24"/>
        </w:rPr>
      </w:pPr>
    </w:p>
    <w:p w14:paraId="3C489008" w14:textId="77777777" w:rsidR="004171BD" w:rsidRPr="009A2F0A" w:rsidRDefault="004171BD" w:rsidP="00EC70C4">
      <w:pPr>
        <w:rPr>
          <w:rFonts w:ascii="Arial" w:hAnsi="Arial" w:cs="Arial"/>
          <w:color w:val="0E2841" w:themeColor="text2"/>
          <w:sz w:val="24"/>
          <w:szCs w:val="24"/>
        </w:rPr>
      </w:pPr>
    </w:p>
    <w:p w14:paraId="5D0CD4C8" w14:textId="77777777" w:rsidR="004171BD" w:rsidRPr="009A2F0A" w:rsidRDefault="004171BD" w:rsidP="00EC70C4">
      <w:pPr>
        <w:rPr>
          <w:rFonts w:ascii="Arial" w:hAnsi="Arial" w:cs="Arial"/>
          <w:color w:val="0E2841" w:themeColor="text2"/>
          <w:sz w:val="24"/>
          <w:szCs w:val="24"/>
        </w:rPr>
      </w:pPr>
    </w:p>
    <w:p w14:paraId="1CD6496B" w14:textId="4993932E" w:rsidR="0085122F" w:rsidRPr="009A2F0A" w:rsidRDefault="00135CEB" w:rsidP="00EC70C4">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lastRenderedPageBreak/>
        <w:t>Analysis</w:t>
      </w:r>
    </w:p>
    <w:p w14:paraId="58A62546" w14:textId="77777777" w:rsidR="00EC70C4"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The outcome of this experience enabled me to coach and advise on people management competencies through the Bluestone Way framework, fostering a culture of compassion, fairness, and humility. Effective coaching is a critical leadership skill that enhances employee development and organisational performance (Dixon, Lee and Ghaye, 2015). By embedding these values into the framework, I aligned with the principles of ethical leadership, which Brown and Treviño (2006) suggest promotes trust and engagement.</w:t>
      </w:r>
    </w:p>
    <w:p w14:paraId="78F0D886" w14:textId="77777777" w:rsidR="00EC70C4" w:rsidRPr="009A2F0A" w:rsidRDefault="00EC70C4" w:rsidP="00EC70C4">
      <w:pPr>
        <w:rPr>
          <w:rFonts w:ascii="Arial" w:hAnsi="Arial" w:cs="Arial"/>
          <w:color w:val="0E2841" w:themeColor="text2"/>
          <w:sz w:val="24"/>
          <w:szCs w:val="24"/>
        </w:rPr>
      </w:pPr>
    </w:p>
    <w:p w14:paraId="0AE6DDE4" w14:textId="504BDAD7" w:rsidR="00135CEB"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This process also strengthened my resilience and made me reflect on my self-belief, particularly as my Board colleagues were complimentary of the process. Resilience, as described by Luthans, Youssef and Avolio, (2006) is essential for navigating challenges and sustaining performance under pressure. The Bluestone Way performance conversation provided an excellent platform for managers to reinforce the organisation’s vision while upholding a shared responsibility for employee well-being. This aligns with Self-Determination Theory (Deci &amp; Ryan, 2000), which emphasises the need for autonomy, competence, and relatedness in motivating employees. By integrating well-being into performance discussions, the framework encouraged a balanced, people-centric approach to management, reinforcing the valuing people behaviour outlined by CIPD (2024a)</w:t>
      </w:r>
      <w:r w:rsidR="004171BD" w:rsidRPr="009A2F0A">
        <w:rPr>
          <w:rFonts w:ascii="Arial" w:hAnsi="Arial" w:cs="Arial"/>
          <w:color w:val="0E2841" w:themeColor="text2"/>
          <w:sz w:val="24"/>
          <w:szCs w:val="24"/>
        </w:rPr>
        <w:t>.</w:t>
      </w:r>
    </w:p>
    <w:p w14:paraId="5E70B73F" w14:textId="77777777" w:rsidR="004171BD" w:rsidRPr="009A2F0A" w:rsidRDefault="004171BD" w:rsidP="00EC70C4">
      <w:pPr>
        <w:rPr>
          <w:rFonts w:ascii="Arial" w:hAnsi="Arial" w:cs="Arial"/>
          <w:b/>
          <w:bCs/>
          <w:color w:val="0E2841" w:themeColor="text2"/>
          <w:sz w:val="24"/>
          <w:szCs w:val="24"/>
          <w:u w:val="single"/>
        </w:rPr>
      </w:pPr>
    </w:p>
    <w:p w14:paraId="520F7A70" w14:textId="012C3180" w:rsidR="00CB2233" w:rsidRPr="009A2F0A" w:rsidRDefault="00CB2233" w:rsidP="003623B9">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 xml:space="preserve">Conclusion </w:t>
      </w:r>
    </w:p>
    <w:p w14:paraId="4B1B095B" w14:textId="2552E94A" w:rsidR="00CB2233" w:rsidRPr="009A2F0A" w:rsidRDefault="00EC70C4" w:rsidP="00EC70C4">
      <w:pPr>
        <w:rPr>
          <w:rFonts w:ascii="Arial" w:hAnsi="Arial" w:cs="Arial"/>
          <w:color w:val="0E2841" w:themeColor="text2"/>
          <w:sz w:val="24"/>
          <w:szCs w:val="24"/>
        </w:rPr>
      </w:pPr>
      <w:r w:rsidRPr="009A2F0A">
        <w:rPr>
          <w:rFonts w:ascii="Arial" w:hAnsi="Arial" w:cs="Arial"/>
          <w:color w:val="0E2841" w:themeColor="text2"/>
          <w:sz w:val="24"/>
          <w:szCs w:val="24"/>
        </w:rPr>
        <w:t>This experience reinforced the importance of professional courage and influence in driving meaningful organisational change. Despite initial resistance, I was able to build trust through strategic stakeholder engagement, enabling the successful implementation of the Bluestone Way framework. The process also strengthened my resilience and self-belief, particularly as my Board colleagues recognised the framework’s value. This scenario allowed me to reflect and personally grow during the initial stages of my role at BNPR. Demonstrating leadership courage, as discussed by Sekerka and Bagozzi (2007), is essential when navigating ethical challenges and advocating for necessary change, even in the face of opposition. By embedding valuing people principles, I ensured employees had a meaningful voice while equipping managers with the tools to promote fairness and wellbeing. The experience underscored the significance of ethical leadership in fostering a positive organisational culture (Woiceshyn, 2021).</w:t>
      </w:r>
    </w:p>
    <w:p w14:paraId="295C50C9" w14:textId="77777777" w:rsidR="004171BD" w:rsidRPr="009A2F0A" w:rsidRDefault="004171BD" w:rsidP="00EC70C4">
      <w:pPr>
        <w:rPr>
          <w:rFonts w:ascii="Arial" w:hAnsi="Arial" w:cs="Arial"/>
          <w:color w:val="0E2841" w:themeColor="text2"/>
          <w:sz w:val="24"/>
          <w:szCs w:val="24"/>
        </w:rPr>
      </w:pPr>
    </w:p>
    <w:p w14:paraId="2830B39C" w14:textId="77777777" w:rsidR="004171BD" w:rsidRPr="009A2F0A" w:rsidRDefault="004171BD" w:rsidP="00EC70C4">
      <w:pPr>
        <w:rPr>
          <w:rFonts w:ascii="Arial" w:hAnsi="Arial" w:cs="Arial"/>
          <w:color w:val="0E2841" w:themeColor="text2"/>
          <w:sz w:val="24"/>
          <w:szCs w:val="24"/>
        </w:rPr>
      </w:pPr>
    </w:p>
    <w:p w14:paraId="62EAE291" w14:textId="77777777" w:rsidR="004171BD" w:rsidRPr="009A2F0A" w:rsidRDefault="004171BD" w:rsidP="00EC70C4">
      <w:pPr>
        <w:rPr>
          <w:rFonts w:ascii="Arial" w:hAnsi="Arial" w:cs="Arial"/>
          <w:color w:val="0E2841" w:themeColor="text2"/>
          <w:sz w:val="24"/>
          <w:szCs w:val="24"/>
        </w:rPr>
      </w:pPr>
    </w:p>
    <w:p w14:paraId="4E65DC27" w14:textId="77777777" w:rsidR="004171BD" w:rsidRPr="009A2F0A" w:rsidRDefault="004171BD" w:rsidP="00EC70C4">
      <w:pPr>
        <w:rPr>
          <w:rFonts w:ascii="Arial" w:hAnsi="Arial" w:cs="Arial"/>
          <w:color w:val="0E2841" w:themeColor="text2"/>
          <w:sz w:val="24"/>
          <w:szCs w:val="24"/>
        </w:rPr>
      </w:pPr>
    </w:p>
    <w:p w14:paraId="59F4FEC2" w14:textId="77777777" w:rsidR="00EC70C4" w:rsidRPr="009A2F0A" w:rsidRDefault="00EC70C4" w:rsidP="00EC70C4">
      <w:pPr>
        <w:rPr>
          <w:rFonts w:ascii="Arial" w:hAnsi="Arial" w:cs="Arial"/>
          <w:color w:val="0E2841" w:themeColor="text2"/>
          <w:sz w:val="24"/>
          <w:szCs w:val="24"/>
        </w:rPr>
      </w:pPr>
    </w:p>
    <w:p w14:paraId="60691D9F" w14:textId="0D7B2959" w:rsidR="00EC70C4" w:rsidRPr="009A2F0A" w:rsidRDefault="00EC70C4" w:rsidP="00EC70C4">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lastRenderedPageBreak/>
        <w:t>Scenario 3</w:t>
      </w:r>
    </w:p>
    <w:p w14:paraId="5C571E1C" w14:textId="6619F93B" w:rsidR="00EC70C4" w:rsidRPr="009A2F0A" w:rsidRDefault="00EC70C4" w:rsidP="00EC70C4">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Description</w:t>
      </w:r>
    </w:p>
    <w:p w14:paraId="61859805" w14:textId="38BD37F6" w:rsidR="00F279D0" w:rsidRPr="009A2F0A" w:rsidRDefault="00F279D0" w:rsidP="00EC70C4">
      <w:pPr>
        <w:rPr>
          <w:rFonts w:ascii="Arial" w:hAnsi="Arial" w:cs="Arial"/>
          <w:color w:val="0E2841" w:themeColor="text2"/>
          <w:sz w:val="24"/>
          <w:szCs w:val="24"/>
        </w:rPr>
      </w:pPr>
      <w:r w:rsidRPr="009A2F0A">
        <w:rPr>
          <w:rFonts w:ascii="Arial" w:hAnsi="Arial" w:cs="Arial"/>
          <w:color w:val="0E2841" w:themeColor="text2"/>
          <w:sz w:val="24"/>
          <w:szCs w:val="24"/>
        </w:rPr>
        <w:t>In my most recent experience as a direct line manager of a senior manager, I identified a significant breakdown in communication and a growing disconnect between my direct report, her team, and senior management. This situation required my direct intervention  to repair damaged relationships and ensure that productivity within the team was not impacted, safeguarding the wider business. Upon further exploration, I discovered her ADHD diagnosis—an entirely new and unknown experience for me. With limited knowledge of neurodivergence, I recognised the need to educate myself and explore diverse perspectives through attending webinars and literature reviews, drawing on research in neurodiversity and workplace inclusion (Silberman, 2015). I adapted my communication style to be more structured yet flexible, ensuring clarity while allowing space for creative problem-solving (Doyle, 2020). This shift fostered a more collaborative relationship, enabling her to develop stronger connections across BNPR. Research highlights the importance of inclusive leadership in empowering neurodivergent employees and enhancing team performance (Hamilton, 2020).</w:t>
      </w:r>
    </w:p>
    <w:p w14:paraId="23629979" w14:textId="77777777" w:rsidR="00F279D0" w:rsidRPr="009A2F0A" w:rsidRDefault="00F279D0" w:rsidP="00EC70C4">
      <w:pPr>
        <w:rPr>
          <w:rFonts w:ascii="Arial" w:hAnsi="Arial" w:cs="Arial"/>
          <w:color w:val="0E2841" w:themeColor="text2"/>
          <w:sz w:val="24"/>
          <w:szCs w:val="24"/>
        </w:rPr>
      </w:pPr>
    </w:p>
    <w:p w14:paraId="60E14031" w14:textId="77777777" w:rsidR="005E3516" w:rsidRPr="009A2F0A" w:rsidRDefault="005E3516" w:rsidP="00EC70C4">
      <w:pPr>
        <w:rPr>
          <w:rFonts w:ascii="Arial" w:hAnsi="Arial" w:cs="Arial"/>
          <w:color w:val="0E2841" w:themeColor="text2"/>
          <w:sz w:val="24"/>
          <w:szCs w:val="24"/>
        </w:rPr>
      </w:pPr>
    </w:p>
    <w:p w14:paraId="45A6BAF8" w14:textId="2DEFF7FB" w:rsidR="00F279D0" w:rsidRPr="009A2F0A" w:rsidRDefault="00F279D0" w:rsidP="00EC70C4">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Feeling</w:t>
      </w:r>
    </w:p>
    <w:p w14:paraId="7BC00525" w14:textId="00206AF8" w:rsidR="00F279D0" w:rsidRPr="009A2F0A" w:rsidRDefault="00F279D0" w:rsidP="00EC70C4">
      <w:pPr>
        <w:rPr>
          <w:rFonts w:ascii="Arial" w:hAnsi="Arial" w:cs="Arial"/>
          <w:color w:val="0E2841" w:themeColor="text2"/>
          <w:sz w:val="24"/>
          <w:szCs w:val="24"/>
        </w:rPr>
      </w:pPr>
      <w:r w:rsidRPr="009A2F0A">
        <w:rPr>
          <w:rFonts w:ascii="Arial" w:hAnsi="Arial" w:cs="Arial"/>
          <w:color w:val="0E2841" w:themeColor="text2"/>
          <w:sz w:val="24"/>
          <w:szCs w:val="24"/>
        </w:rPr>
        <w:t>Initially, I felt disappointed in myself for not recognising my direct report’s challenges sooner. I was frustrated, knowing that earlier awareness of her ADHD diagnosis might have prevented the breakdown in professional relationships. The diagnosis was also new to her and had significantly impacted her confidence in leading others. Research highlights that late-diagnosed neurodivergent individuals often struggle with self-doubt in professional environments due to years of working without tailored support (Sedgwick et al., 2019). She experienced uncertainty in her leadership abilities, reinforcing the importance of fostering psychological safety (Nguyen, 2021). Neurodivergent employees face barriers to career progression, particularly when organisations lack inclusive management strategies (Doyle, 2020). My personal frustrations drove me to seek new learning opportunities. I attended workshops, listened to podcasts, and introduced learning and development  modules to test insights, develop new approaches, and drive workforce innovation. Inclusive leadership models suggest that adapting workplace learning enhances both employee engagement and organisational performance (Clouder et al., 2020). Neurodiversity informed frameworks also advocate for structured, strengths-based approaches to leadership (Shah and Holmes, 2023). This experience reinforced my belief in continuous learning and fostering an inclusive workplace where diverse ways of thinking are valued.</w:t>
      </w:r>
    </w:p>
    <w:p w14:paraId="1E0274E2" w14:textId="77777777" w:rsidR="004171BD" w:rsidRPr="009A2F0A" w:rsidRDefault="004171BD" w:rsidP="00EC70C4">
      <w:pPr>
        <w:rPr>
          <w:rFonts w:ascii="Arial" w:hAnsi="Arial" w:cs="Arial"/>
          <w:color w:val="0E2841" w:themeColor="text2"/>
          <w:sz w:val="24"/>
          <w:szCs w:val="24"/>
        </w:rPr>
      </w:pPr>
    </w:p>
    <w:p w14:paraId="50B479F8" w14:textId="77777777" w:rsidR="004171BD" w:rsidRPr="009A2F0A" w:rsidRDefault="004171BD" w:rsidP="00EC70C4">
      <w:pPr>
        <w:rPr>
          <w:rFonts w:ascii="Arial" w:hAnsi="Arial" w:cs="Arial"/>
          <w:color w:val="0E2841" w:themeColor="text2"/>
          <w:sz w:val="24"/>
          <w:szCs w:val="24"/>
        </w:rPr>
      </w:pPr>
    </w:p>
    <w:p w14:paraId="4E6211A1" w14:textId="77777777" w:rsidR="004171BD" w:rsidRPr="009A2F0A" w:rsidRDefault="004171BD" w:rsidP="00EC70C4">
      <w:pPr>
        <w:rPr>
          <w:rFonts w:ascii="Arial" w:hAnsi="Arial" w:cs="Arial"/>
          <w:color w:val="0E2841" w:themeColor="text2"/>
          <w:sz w:val="24"/>
          <w:szCs w:val="24"/>
        </w:rPr>
      </w:pPr>
    </w:p>
    <w:p w14:paraId="44648219" w14:textId="36B8109C" w:rsidR="00F279D0" w:rsidRPr="009A2F0A" w:rsidRDefault="00F279D0" w:rsidP="00EC70C4">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lastRenderedPageBreak/>
        <w:t>Evaluation</w:t>
      </w:r>
    </w:p>
    <w:p w14:paraId="548BA0D5" w14:textId="68BA7A41" w:rsidR="00F279D0" w:rsidRPr="009A2F0A" w:rsidRDefault="00F279D0" w:rsidP="00EC70C4">
      <w:pPr>
        <w:rPr>
          <w:rFonts w:ascii="Arial" w:hAnsi="Arial" w:cs="Arial"/>
          <w:color w:val="0E2841" w:themeColor="text2"/>
          <w:sz w:val="24"/>
          <w:szCs w:val="24"/>
        </w:rPr>
      </w:pPr>
      <w:r w:rsidRPr="009A2F0A">
        <w:rPr>
          <w:rFonts w:ascii="Arial" w:hAnsi="Arial" w:cs="Arial"/>
          <w:color w:val="0E2841" w:themeColor="text2"/>
          <w:sz w:val="24"/>
          <w:szCs w:val="24"/>
        </w:rPr>
        <w:t>This situation highlighted the importance of inclusive leadership in supporting neurodivergent employees. Research suggests that when organisations fail to recognise neurodiverse needs, employees experience exclusion, reduced confidence, and strained workplace relationships (Sigal, 2007). My experience reinforced the importance of fostering psychological safety (Kahn, 1990), ensuring employees can express challenges without fear of stigma. Without this, my direct report struggled to communicate her difficulties, leading to a breakdown in trust with her team and senior management. This situation prompted self-reflection on my learning style. Using Honey and Mumford’s (2017) model, I recognised my preference for pragmatist and theorist style, seeking structured knowledge and applying it practically. However, I had to adopt reflector tendencies, carefully observing and adapting to her needs. This inspired me to explore neurodiversity further through research and training. Neurodivergent individuals bring unique strengths, such as creativity and problem-solving, when supported appropriately (Weber et al., 2022). By adapting communication, relationships were rebuilt, and my direct report regained confidence. This experience reinforced transformational leadership , which emphasises adaptability, collaboration, and continuous learning (Bass, 1990).</w:t>
      </w:r>
    </w:p>
    <w:p w14:paraId="3BED99A5" w14:textId="77777777" w:rsidR="00F279D0" w:rsidRPr="009A2F0A" w:rsidRDefault="00F279D0" w:rsidP="00EC70C4">
      <w:pPr>
        <w:rPr>
          <w:rFonts w:ascii="Arial" w:hAnsi="Arial" w:cs="Arial"/>
          <w:color w:val="0E2841" w:themeColor="text2"/>
          <w:sz w:val="24"/>
          <w:szCs w:val="24"/>
        </w:rPr>
      </w:pPr>
    </w:p>
    <w:p w14:paraId="2AB7EBBC" w14:textId="58ACFD7C" w:rsidR="00F279D0" w:rsidRPr="009A2F0A" w:rsidRDefault="00F279D0" w:rsidP="00EC70C4">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Analysis</w:t>
      </w:r>
    </w:p>
    <w:p w14:paraId="1B60F4E8" w14:textId="4E742609" w:rsidR="00F279D0" w:rsidRPr="009A2F0A" w:rsidRDefault="00F279D0" w:rsidP="00F279D0">
      <w:pPr>
        <w:rPr>
          <w:rFonts w:ascii="Arial" w:hAnsi="Arial" w:cs="Arial"/>
          <w:color w:val="0E2841" w:themeColor="text2"/>
          <w:sz w:val="24"/>
          <w:szCs w:val="24"/>
        </w:rPr>
      </w:pPr>
      <w:r w:rsidRPr="009A2F0A">
        <w:rPr>
          <w:rFonts w:ascii="Arial" w:hAnsi="Arial" w:cs="Arial"/>
          <w:color w:val="0E2841" w:themeColor="text2"/>
          <w:sz w:val="24"/>
          <w:szCs w:val="24"/>
        </w:rPr>
        <w:t>The scenario reinforced the importance of neurodiversity-aware leadership, demonstrating that inclusive management practices are essential for fostering engagement and productivity (CIPD, 2024b). Initially, I underestimated the impact of neurodivergence on professional relationships, but through reflection, I recognised the social model of disability, which highlights that workplace barriers, rather than the condition itself, often create challenges (CIPD, 2019). By adapting my leadership style, I learned that flexibility and tailored support are crucial for neurodivergent employees to thrive.</w:t>
      </w:r>
    </w:p>
    <w:p w14:paraId="71A02006" w14:textId="77777777" w:rsidR="00F279D0" w:rsidRPr="009A2F0A" w:rsidRDefault="00F279D0" w:rsidP="00F279D0">
      <w:pPr>
        <w:rPr>
          <w:rFonts w:ascii="Arial" w:hAnsi="Arial" w:cs="Arial"/>
          <w:color w:val="0E2841" w:themeColor="text2"/>
          <w:sz w:val="24"/>
          <w:szCs w:val="24"/>
        </w:rPr>
      </w:pPr>
    </w:p>
    <w:p w14:paraId="399AB05D" w14:textId="26F98BC7" w:rsidR="00F279D0" w:rsidRPr="009A2F0A" w:rsidRDefault="00F279D0" w:rsidP="00F279D0">
      <w:pPr>
        <w:rPr>
          <w:rFonts w:ascii="Arial" w:hAnsi="Arial" w:cs="Arial"/>
          <w:color w:val="0E2841" w:themeColor="text2"/>
          <w:sz w:val="24"/>
          <w:szCs w:val="24"/>
        </w:rPr>
      </w:pPr>
      <w:r w:rsidRPr="009A2F0A">
        <w:rPr>
          <w:rFonts w:ascii="Arial" w:hAnsi="Arial" w:cs="Arial"/>
          <w:color w:val="0E2841" w:themeColor="text2"/>
          <w:sz w:val="24"/>
          <w:szCs w:val="24"/>
        </w:rPr>
        <w:t>I also developed a deeper understanding of situational leadership theory), realising that effective leadership requires continuous adaptation to individual needs (Hersey &amp; Blanchard, 1969. Additionally, applying emotional intelligence  helped me foster psychological safety and rebuild trust(Goleman, 1998). This experience strengthened my belief in proactive learning, leading me to explore neurodiversity further. Ultimately, I learned that embracing diverse cognitive strengths not only benefits individuals but also enhances organisational innovation and collaboration (Bass, 1999).</w:t>
      </w:r>
    </w:p>
    <w:p w14:paraId="408C6401" w14:textId="77777777" w:rsidR="00F279D0" w:rsidRPr="009A2F0A" w:rsidRDefault="00F279D0" w:rsidP="00F279D0">
      <w:pPr>
        <w:rPr>
          <w:rFonts w:ascii="Arial" w:hAnsi="Arial" w:cs="Arial"/>
          <w:color w:val="0E2841" w:themeColor="text2"/>
          <w:sz w:val="24"/>
          <w:szCs w:val="24"/>
        </w:rPr>
      </w:pPr>
    </w:p>
    <w:p w14:paraId="156FD058" w14:textId="77777777" w:rsidR="004171BD" w:rsidRPr="009A2F0A" w:rsidRDefault="004171BD" w:rsidP="00F279D0">
      <w:pPr>
        <w:rPr>
          <w:rFonts w:ascii="Arial" w:hAnsi="Arial" w:cs="Arial"/>
          <w:color w:val="0E2841" w:themeColor="text2"/>
          <w:sz w:val="24"/>
          <w:szCs w:val="24"/>
        </w:rPr>
      </w:pPr>
    </w:p>
    <w:p w14:paraId="602984B3" w14:textId="77777777" w:rsidR="004171BD" w:rsidRPr="009A2F0A" w:rsidRDefault="004171BD" w:rsidP="00F279D0">
      <w:pPr>
        <w:rPr>
          <w:rFonts w:ascii="Arial" w:hAnsi="Arial" w:cs="Arial"/>
          <w:color w:val="0E2841" w:themeColor="text2"/>
          <w:sz w:val="24"/>
          <w:szCs w:val="24"/>
        </w:rPr>
      </w:pPr>
    </w:p>
    <w:p w14:paraId="4D0CFE5D" w14:textId="47DE5BD2" w:rsidR="00F279D0" w:rsidRPr="009A2F0A" w:rsidRDefault="00F279D0" w:rsidP="00F279D0">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lastRenderedPageBreak/>
        <w:t>Conclusion</w:t>
      </w:r>
    </w:p>
    <w:p w14:paraId="356E931E" w14:textId="26E1DE17" w:rsidR="00F279D0" w:rsidRPr="009A2F0A" w:rsidRDefault="00F279D0" w:rsidP="00F279D0">
      <w:pPr>
        <w:rPr>
          <w:rFonts w:ascii="Arial" w:hAnsi="Arial" w:cs="Arial"/>
          <w:color w:val="0E2841" w:themeColor="text2"/>
          <w:sz w:val="24"/>
          <w:szCs w:val="24"/>
        </w:rPr>
      </w:pPr>
      <w:r w:rsidRPr="009A2F0A">
        <w:rPr>
          <w:rFonts w:ascii="Arial" w:hAnsi="Arial" w:cs="Arial"/>
          <w:color w:val="0E2841" w:themeColor="text2"/>
          <w:sz w:val="24"/>
          <w:szCs w:val="24"/>
        </w:rPr>
        <w:t>This experience reinforced the importance of inclusive leadership and lifelong learning. Applying leader-member exchange (LMX) theory (Gerstner and Day, 1997)  helped me build a stronger, more supportive relationship with my direct report, while cognitive diversity theory (Miller and Morris, 2016) highlighted the value of different thinking styles in problem-solving and teamwork. Beyond this, I championed workplace inclusion, using social learning theory  to encourage peer-driven learning (Boone, Reilly and Sashkin, 1977). Research confirms that embracing neurodiversity boosts innovation and engagement (Austin &amp; Pisano, 2017). This experience reshaped my leadership, embedding adaptability, inclusion, and continuous learning into my approach to driving organisational success.</w:t>
      </w:r>
    </w:p>
    <w:p w14:paraId="26F150E0" w14:textId="77777777" w:rsidR="00706AC3" w:rsidRPr="009A2F0A" w:rsidRDefault="00706AC3" w:rsidP="00F279D0">
      <w:pPr>
        <w:rPr>
          <w:rFonts w:ascii="Arial" w:hAnsi="Arial" w:cs="Arial"/>
          <w:color w:val="0E2841" w:themeColor="text2"/>
          <w:sz w:val="24"/>
          <w:szCs w:val="24"/>
        </w:rPr>
      </w:pPr>
    </w:p>
    <w:p w14:paraId="462E6EC3" w14:textId="5C53E4FF" w:rsidR="00706AC3" w:rsidRPr="009A2F0A" w:rsidRDefault="00706AC3" w:rsidP="00F279D0">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Scenario 4</w:t>
      </w:r>
    </w:p>
    <w:p w14:paraId="1DE423F7" w14:textId="2C9B5CD1" w:rsidR="00706AC3" w:rsidRPr="009A2F0A" w:rsidRDefault="00706AC3" w:rsidP="00F279D0">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Description</w:t>
      </w:r>
    </w:p>
    <w:p w14:paraId="0F041887" w14:textId="77777777" w:rsidR="00FD23D3" w:rsidRPr="009A2F0A" w:rsidRDefault="00FD23D3" w:rsidP="00F279D0">
      <w:pPr>
        <w:rPr>
          <w:rFonts w:ascii="Arial" w:hAnsi="Arial" w:cs="Arial"/>
          <w:color w:val="0E2841" w:themeColor="text2"/>
          <w:sz w:val="24"/>
          <w:szCs w:val="24"/>
        </w:rPr>
      </w:pPr>
      <w:r w:rsidRPr="009A2F0A">
        <w:rPr>
          <w:rFonts w:ascii="Arial" w:hAnsi="Arial" w:cs="Arial"/>
          <w:color w:val="0E2841" w:themeColor="text2"/>
          <w:sz w:val="24"/>
          <w:szCs w:val="24"/>
        </w:rPr>
        <w:t>In Autumn 2024, I applied insight-driven decision-making to assess the closure of BNPR’s Black Pool Mill Heritage Restaurant, which catered to both BNPR’s guests and the public. Due to its poor commercial performance, we needed to evaluate alternatives while ensuring alignment with BNPR’s values of Genuine Care, Working as One Team, and Taking Ownership, particularly for the 30 employees affected. Using Prospect Theory (Barberis, Mukherjee &amp; Wang, 2016), I recognised potential bias in overweighing losses from closure versus uncertain gains from alternative uses. The Cynefin Framework (Paul &amp; Ebadi, 1989) classified this as a complex decision, requiring collaboration and innovative problem-solving by engaging with key  internal / external stakeholders, the employee consultation group and a market research panel. Options included indefinite closure, seasonal repositioning to align with peak tourism demand, or partnerships to enhance financial viability. Risk Analysis (Kaplan &amp; Mikes, 2016) helped balance financial sustainability with employee impact. Employer brand plays a key role in talent attraction and retention, and mishandling the transition could affect trust, engagement, and reputation. I critically analysed data, developing recommendations to present to the Board. The decision to open seasonally provided a balanced approach to both people and commercial priorities (CIPD, 2024a) .</w:t>
      </w:r>
    </w:p>
    <w:p w14:paraId="02B88D75" w14:textId="77777777" w:rsidR="004171BD" w:rsidRPr="009A2F0A" w:rsidRDefault="004171BD" w:rsidP="00F279D0">
      <w:pPr>
        <w:rPr>
          <w:rFonts w:ascii="Arial" w:hAnsi="Arial" w:cs="Arial"/>
          <w:color w:val="0E2841" w:themeColor="text2"/>
          <w:sz w:val="24"/>
          <w:szCs w:val="24"/>
        </w:rPr>
      </w:pPr>
    </w:p>
    <w:p w14:paraId="0709FA43" w14:textId="6E60B4C7" w:rsidR="00ED11C4" w:rsidRPr="009A2F0A" w:rsidRDefault="00ED11C4" w:rsidP="00F279D0">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Feeling</w:t>
      </w:r>
    </w:p>
    <w:p w14:paraId="062770AC" w14:textId="1A164F23" w:rsidR="0034747A" w:rsidRPr="009A2F0A" w:rsidRDefault="0034747A" w:rsidP="0034747A">
      <w:pPr>
        <w:rPr>
          <w:rFonts w:ascii="Arial" w:hAnsi="Arial" w:cs="Arial"/>
          <w:color w:val="0E2841" w:themeColor="text2"/>
          <w:sz w:val="24"/>
          <w:szCs w:val="24"/>
        </w:rPr>
      </w:pPr>
      <w:r w:rsidRPr="009A2F0A">
        <w:rPr>
          <w:rFonts w:ascii="Arial" w:hAnsi="Arial" w:cs="Arial"/>
          <w:color w:val="0E2841" w:themeColor="text2"/>
          <w:sz w:val="24"/>
          <w:szCs w:val="24"/>
        </w:rPr>
        <w:t xml:space="preserve">During this situation, I felt a deep sense of responsibility and ethical tension, balancing the need for commercial sustainability with the duty to provide long-term job security for the 30 employees affected. The challenge lay in aligning Bluestone’s values of Genuine Care, Working as One Team, and Taking Ownership while making a strategic yet ethical decision (Bluestone Resorts Ltd, 2024). Emotions among staff were high, with uncertainty and concern about their future. To manage this, we applied Lewin’s Change Management Model, guiding employees through the unfreeze, change, and refreeze stages (Prokosch, Ganslandt and Šuc, 2019). We </w:t>
      </w:r>
      <w:r w:rsidRPr="009A2F0A">
        <w:rPr>
          <w:rFonts w:ascii="Arial" w:hAnsi="Arial" w:cs="Arial"/>
          <w:color w:val="0E2841" w:themeColor="text2"/>
          <w:sz w:val="24"/>
          <w:szCs w:val="24"/>
        </w:rPr>
        <w:lastRenderedPageBreak/>
        <w:t xml:space="preserve">first acknowledged concerns (unfreeze), openly discussing the restaurant’s challenges. During the change phase, we explored options such as redeployment and financial support. Finally, we ensured stability in the refreeze stage by reinforcing Bluestone’s commitment to its employees. Whilst I understood that employees would lose their permanent contracts, the decision provided reasonable seasonal employment opportunities, aligning with business sustainability and demand patterns.  According to CIPD (2023a), effective change management requires clear communication, employee involvement, and leadership support to maintain trust and engagement. </w:t>
      </w:r>
      <w:r w:rsidR="004171BD" w:rsidRPr="009A2F0A">
        <w:rPr>
          <w:rFonts w:ascii="Arial" w:hAnsi="Arial" w:cs="Arial"/>
          <w:color w:val="0E2841" w:themeColor="text2"/>
          <w:sz w:val="24"/>
          <w:szCs w:val="24"/>
        </w:rPr>
        <w:t>On reflection this experience enabled me to learn the  importance of ethical leadership, strategic foresight, and balancing commercial priorities with human impact.</w:t>
      </w:r>
    </w:p>
    <w:p w14:paraId="082ED004" w14:textId="77777777" w:rsidR="004171BD" w:rsidRPr="009A2F0A" w:rsidRDefault="004171BD" w:rsidP="0034747A">
      <w:pPr>
        <w:rPr>
          <w:rFonts w:ascii="Arial" w:hAnsi="Arial" w:cs="Arial"/>
          <w:color w:val="0E2841" w:themeColor="text2"/>
          <w:sz w:val="24"/>
          <w:szCs w:val="24"/>
        </w:rPr>
      </w:pPr>
    </w:p>
    <w:p w14:paraId="311ED029" w14:textId="2564A4CB" w:rsidR="0034747A" w:rsidRPr="009A2F0A" w:rsidRDefault="0034747A" w:rsidP="0034747A">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Evaluation</w:t>
      </w:r>
    </w:p>
    <w:p w14:paraId="6A604A9A" w14:textId="774C17FA" w:rsidR="0034747A" w:rsidRPr="009A2F0A" w:rsidRDefault="00894C6F" w:rsidP="0034747A">
      <w:pPr>
        <w:rPr>
          <w:rFonts w:ascii="Arial" w:hAnsi="Arial" w:cs="Arial"/>
          <w:color w:val="0E2841" w:themeColor="text2"/>
          <w:sz w:val="24"/>
          <w:szCs w:val="24"/>
        </w:rPr>
      </w:pPr>
      <w:r w:rsidRPr="009A2F0A">
        <w:rPr>
          <w:rFonts w:ascii="Arial" w:hAnsi="Arial" w:cs="Arial"/>
          <w:color w:val="0E2841" w:themeColor="text2"/>
          <w:sz w:val="24"/>
          <w:szCs w:val="24"/>
        </w:rPr>
        <w:t>The decision to transition Black Pool Mill Heritage Restaurant to seasonal employment required balancing commercial sustainability with ethical responsibility. Applying Herzberg’s Two-Factor Theory (1959), I recognised that while job security (a hygiene factor) was affected, I aimed to maintain motivation through clear communication and alternative employment opportunities. From a Systems Thinking perspective (Harris, 1990), I understood that this decision was not isolated; it impacted employees, BNPR’s brand, and long-term financial viability. By considering the Triple Bottom Line (Elkington, 1997) people, profit, and planet, I ensured the approach was socially responsible, financially sustainable, and aligned with business values. I was required to make well-judged decisions by considering all available evidence and putting it into context, ensuring a balanced approach between business needs and employee impact. Engaging with key stakeholders and the employee consultation group was a positive step, ensuring employees felt heard and involved in shaping outcomes. According to Jimmieson, Peach and White, (2008), involving employees in decision-making fosters trust, minimises resistance, and supports a smoother transition. Overall, applying structured frameworks and ethical leadership helped me balance short-term challenges with long-term business stability.</w:t>
      </w:r>
    </w:p>
    <w:p w14:paraId="49FDD3E7" w14:textId="77777777" w:rsidR="00E303FA" w:rsidRPr="009A2F0A" w:rsidRDefault="00E303FA" w:rsidP="0034747A">
      <w:pPr>
        <w:rPr>
          <w:rFonts w:ascii="Arial" w:hAnsi="Arial" w:cs="Arial"/>
          <w:color w:val="0E2841" w:themeColor="text2"/>
          <w:sz w:val="24"/>
          <w:szCs w:val="24"/>
        </w:rPr>
      </w:pPr>
    </w:p>
    <w:p w14:paraId="49E3B4FA" w14:textId="77777777" w:rsidR="00FB34D3" w:rsidRPr="009A2F0A" w:rsidRDefault="00FB34D3" w:rsidP="0034747A">
      <w:pPr>
        <w:rPr>
          <w:rFonts w:ascii="Arial" w:hAnsi="Arial" w:cs="Arial"/>
          <w:color w:val="0E2841" w:themeColor="text2"/>
          <w:sz w:val="24"/>
          <w:szCs w:val="24"/>
        </w:rPr>
      </w:pPr>
    </w:p>
    <w:p w14:paraId="5DC6226A" w14:textId="77777777" w:rsidR="00FB34D3" w:rsidRPr="009A2F0A" w:rsidRDefault="00FB34D3" w:rsidP="0034747A">
      <w:pPr>
        <w:rPr>
          <w:rFonts w:ascii="Arial" w:hAnsi="Arial" w:cs="Arial"/>
          <w:color w:val="0E2841" w:themeColor="text2"/>
          <w:sz w:val="24"/>
          <w:szCs w:val="24"/>
        </w:rPr>
      </w:pPr>
    </w:p>
    <w:p w14:paraId="7E5C6328" w14:textId="77777777" w:rsidR="00FB34D3" w:rsidRPr="009A2F0A" w:rsidRDefault="00FB34D3" w:rsidP="0034747A">
      <w:pPr>
        <w:rPr>
          <w:rFonts w:ascii="Arial" w:hAnsi="Arial" w:cs="Arial"/>
          <w:color w:val="0E2841" w:themeColor="text2"/>
          <w:sz w:val="24"/>
          <w:szCs w:val="24"/>
        </w:rPr>
      </w:pPr>
    </w:p>
    <w:p w14:paraId="02E44333" w14:textId="17E8A773" w:rsidR="00E303FA" w:rsidRPr="009A2F0A" w:rsidRDefault="00E303FA" w:rsidP="0034747A">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 xml:space="preserve">Analysis </w:t>
      </w:r>
    </w:p>
    <w:p w14:paraId="077606F1" w14:textId="2C8AE1D1" w:rsidR="00E303FA" w:rsidRPr="009A2F0A" w:rsidRDefault="00E303FA" w:rsidP="00E303FA">
      <w:pPr>
        <w:rPr>
          <w:rFonts w:ascii="Arial" w:hAnsi="Arial" w:cs="Arial"/>
          <w:color w:val="0E2841" w:themeColor="text2"/>
          <w:sz w:val="24"/>
          <w:szCs w:val="24"/>
        </w:rPr>
      </w:pPr>
      <w:r w:rsidRPr="009A2F0A">
        <w:rPr>
          <w:rFonts w:ascii="Arial" w:hAnsi="Arial" w:cs="Arial"/>
          <w:color w:val="0E2841" w:themeColor="text2"/>
          <w:sz w:val="24"/>
          <w:szCs w:val="24"/>
        </w:rPr>
        <w:t xml:space="preserve">The situation required a strategic yet insights-focused approach, balancing the  financial sustainability of BNPR with employee long-term job security. Applying Bolman and Deal’s Fur-Frame Model (1991), I assessed the decision from structural, human resource, political, and symbolic perspectives, ensuring alignment with BlNPR’s values while managing operational constraints (Sowell, 2014). Navigating the ethical dilemma between business priorities and employee security was </w:t>
      </w:r>
      <w:r w:rsidRPr="009A2F0A">
        <w:rPr>
          <w:rFonts w:ascii="Arial" w:hAnsi="Arial" w:cs="Arial"/>
          <w:color w:val="0E2841" w:themeColor="text2"/>
          <w:sz w:val="24"/>
          <w:szCs w:val="24"/>
        </w:rPr>
        <w:lastRenderedPageBreak/>
        <w:t>challenging. Kohlberg’s Moral Development Theory (1973) guided me to prioritise fairness, transparency, and corporate responsibility over short-term financial gains.</w:t>
      </w:r>
    </w:p>
    <w:p w14:paraId="55F50BFD" w14:textId="77777777" w:rsidR="00E303FA" w:rsidRPr="009A2F0A" w:rsidRDefault="00E303FA" w:rsidP="00E303FA">
      <w:pPr>
        <w:rPr>
          <w:rFonts w:ascii="Arial" w:hAnsi="Arial" w:cs="Arial"/>
          <w:color w:val="0E2841" w:themeColor="text2"/>
          <w:sz w:val="24"/>
          <w:szCs w:val="24"/>
        </w:rPr>
      </w:pPr>
      <w:r w:rsidRPr="009A2F0A">
        <w:rPr>
          <w:rFonts w:ascii="Arial" w:hAnsi="Arial" w:cs="Arial"/>
          <w:color w:val="0E2841" w:themeColor="text2"/>
          <w:sz w:val="24"/>
          <w:szCs w:val="24"/>
        </w:rPr>
        <w:t>Stakeholder Theory (Freeman, 1984) reinforced the need to engage employees, key stakeholders, and the consultation group to foster trust and minimise resistance. By taking an insights-focused approach, I ensured decisions were data-driven, evidence-based, and contextually relevant.</w:t>
      </w:r>
    </w:p>
    <w:p w14:paraId="34D9CAD8" w14:textId="77777777" w:rsidR="00E303FA" w:rsidRPr="009A2F0A" w:rsidRDefault="00E303FA" w:rsidP="00E303FA">
      <w:pPr>
        <w:rPr>
          <w:rFonts w:ascii="Arial" w:hAnsi="Arial" w:cs="Arial"/>
          <w:color w:val="0E2841" w:themeColor="text2"/>
          <w:sz w:val="24"/>
          <w:szCs w:val="24"/>
        </w:rPr>
      </w:pPr>
    </w:p>
    <w:p w14:paraId="3D2262B1" w14:textId="22478375" w:rsidR="00E303FA" w:rsidRPr="009A2F0A" w:rsidRDefault="00E303FA" w:rsidP="00E303FA">
      <w:pPr>
        <w:rPr>
          <w:rFonts w:ascii="Arial" w:hAnsi="Arial" w:cs="Arial"/>
          <w:color w:val="0E2841" w:themeColor="text2"/>
          <w:sz w:val="24"/>
          <w:szCs w:val="24"/>
        </w:rPr>
      </w:pPr>
      <w:r w:rsidRPr="009A2F0A">
        <w:rPr>
          <w:rFonts w:ascii="Arial" w:hAnsi="Arial" w:cs="Arial"/>
          <w:color w:val="0E2841" w:themeColor="text2"/>
          <w:sz w:val="24"/>
          <w:szCs w:val="24"/>
        </w:rPr>
        <w:t>Ultimately, this experience reinforced the importance of values-driven, situation-based decision-making, ensuring the balance of ethical integrity, employee security, and long-term organisational sustainability (CIPD, 2024d).</w:t>
      </w:r>
    </w:p>
    <w:p w14:paraId="50375D74" w14:textId="77777777" w:rsidR="00E303FA" w:rsidRPr="009A2F0A" w:rsidRDefault="00E303FA" w:rsidP="0034747A">
      <w:pPr>
        <w:rPr>
          <w:rFonts w:ascii="Arial" w:hAnsi="Arial" w:cs="Arial"/>
          <w:color w:val="0E2841" w:themeColor="text2"/>
          <w:sz w:val="24"/>
          <w:szCs w:val="24"/>
        </w:rPr>
      </w:pPr>
    </w:p>
    <w:p w14:paraId="6EEAA3C1" w14:textId="6B30F517" w:rsidR="00E303FA" w:rsidRPr="009A2F0A" w:rsidRDefault="00E303FA" w:rsidP="0034747A">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t>Conclusion</w:t>
      </w:r>
    </w:p>
    <w:p w14:paraId="2276AEC6" w14:textId="7870EEA3" w:rsidR="00E303FA" w:rsidRPr="009A2F0A" w:rsidRDefault="00E303FA" w:rsidP="00E303FA">
      <w:pPr>
        <w:rPr>
          <w:rFonts w:ascii="Arial" w:hAnsi="Arial" w:cs="Arial"/>
          <w:color w:val="0E2841" w:themeColor="text2"/>
          <w:sz w:val="24"/>
          <w:szCs w:val="24"/>
        </w:rPr>
      </w:pPr>
      <w:r w:rsidRPr="009A2F0A">
        <w:rPr>
          <w:rFonts w:ascii="Arial" w:hAnsi="Arial" w:cs="Arial"/>
          <w:color w:val="0E2841" w:themeColor="text2"/>
          <w:sz w:val="24"/>
          <w:szCs w:val="24"/>
        </w:rPr>
        <w:t>In conclusion, the decision to transition Black Pool Mill Heritage Restaurant to a seasonal workforce was a success, balancing commercial sustainability with employee long-term stability. The restaurant is set to reopen for Easter 2025, aligning with peak demand and ensuring operational efficiency.</w:t>
      </w:r>
    </w:p>
    <w:p w14:paraId="274DF751" w14:textId="77777777" w:rsidR="00E303FA" w:rsidRPr="009A2F0A" w:rsidRDefault="00E303FA" w:rsidP="00E303FA">
      <w:pPr>
        <w:rPr>
          <w:rFonts w:ascii="Arial" w:hAnsi="Arial" w:cs="Arial"/>
          <w:color w:val="0E2841" w:themeColor="text2"/>
          <w:sz w:val="24"/>
          <w:szCs w:val="24"/>
        </w:rPr>
      </w:pPr>
    </w:p>
    <w:p w14:paraId="7515A5FB" w14:textId="77777777" w:rsidR="00E303FA" w:rsidRPr="009A2F0A" w:rsidRDefault="00E303FA" w:rsidP="00E303FA">
      <w:pPr>
        <w:rPr>
          <w:rFonts w:ascii="Arial" w:hAnsi="Arial" w:cs="Arial"/>
          <w:color w:val="0E2841" w:themeColor="text2"/>
          <w:sz w:val="24"/>
          <w:szCs w:val="24"/>
        </w:rPr>
      </w:pPr>
      <w:r w:rsidRPr="009A2F0A">
        <w:rPr>
          <w:rFonts w:ascii="Arial" w:hAnsi="Arial" w:cs="Arial"/>
          <w:color w:val="0E2841" w:themeColor="text2"/>
          <w:sz w:val="24"/>
          <w:szCs w:val="24"/>
        </w:rPr>
        <w:t>A key outcome was the successful redeployment of the majority of employees to other sections of the resort, mitigating job losses and maintaining workforce engagement. Bridges’ Transition Model (2009) highlights the importance of helping employees navigate the emotional impact of change, ensuring they feel supported during transitions (Harbottle and Bridges, 1993). Additionally, Johnston’s Theory E and O (2001) emphasises that successful organisational change requires balancing economic performance (Theory E) with employee commitment and cultural values (Theory O).</w:t>
      </w:r>
    </w:p>
    <w:p w14:paraId="2E0EC869" w14:textId="5A8D79EE" w:rsidR="00E303FA" w:rsidRPr="009A2F0A" w:rsidRDefault="00E303FA" w:rsidP="00E303FA">
      <w:pPr>
        <w:rPr>
          <w:rFonts w:ascii="Arial" w:hAnsi="Arial" w:cs="Arial"/>
          <w:color w:val="0E2841" w:themeColor="text2"/>
          <w:sz w:val="24"/>
          <w:szCs w:val="24"/>
        </w:rPr>
      </w:pPr>
      <w:r w:rsidRPr="009A2F0A">
        <w:rPr>
          <w:rFonts w:ascii="Arial" w:hAnsi="Arial" w:cs="Arial"/>
          <w:color w:val="0E2841" w:themeColor="text2"/>
          <w:sz w:val="24"/>
          <w:szCs w:val="24"/>
        </w:rPr>
        <w:t>A key learning from this process was the importance of an insight-led approach—using data, stakeholder engagement, and ethical considerations to make well-judged decisions that balance business needs with employee security. This experience reinforced the value of transparent leadership in managing organisational change effectively (Zainab, Akbar and Siddiqui, 2021).</w:t>
      </w:r>
    </w:p>
    <w:p w14:paraId="0CD78867" w14:textId="77777777" w:rsidR="00AA428D" w:rsidRPr="009A2F0A" w:rsidRDefault="00AA428D" w:rsidP="00E303FA">
      <w:pPr>
        <w:rPr>
          <w:rFonts w:ascii="Arial" w:hAnsi="Arial" w:cs="Arial"/>
          <w:color w:val="0E2841" w:themeColor="text2"/>
          <w:sz w:val="24"/>
          <w:szCs w:val="24"/>
        </w:rPr>
      </w:pPr>
    </w:p>
    <w:p w14:paraId="72179775" w14:textId="77777777" w:rsidR="005E3516" w:rsidRPr="009A2F0A" w:rsidRDefault="005E3516" w:rsidP="00E303FA">
      <w:pPr>
        <w:rPr>
          <w:rFonts w:ascii="Arial" w:hAnsi="Arial" w:cs="Arial"/>
          <w:color w:val="0E2841" w:themeColor="text2"/>
          <w:sz w:val="24"/>
          <w:szCs w:val="24"/>
        </w:rPr>
      </w:pPr>
    </w:p>
    <w:p w14:paraId="258CA736" w14:textId="77777777" w:rsidR="005E3516" w:rsidRPr="009A2F0A" w:rsidRDefault="005E3516" w:rsidP="00E303FA">
      <w:pPr>
        <w:rPr>
          <w:rFonts w:ascii="Arial" w:hAnsi="Arial" w:cs="Arial"/>
          <w:color w:val="0E2841" w:themeColor="text2"/>
          <w:sz w:val="24"/>
          <w:szCs w:val="24"/>
        </w:rPr>
      </w:pPr>
    </w:p>
    <w:p w14:paraId="61A8A427" w14:textId="77777777" w:rsidR="005E3516" w:rsidRPr="009A2F0A" w:rsidRDefault="005E3516" w:rsidP="00E303FA">
      <w:pPr>
        <w:rPr>
          <w:rFonts w:ascii="Arial" w:hAnsi="Arial" w:cs="Arial"/>
          <w:color w:val="0E2841" w:themeColor="text2"/>
          <w:sz w:val="24"/>
          <w:szCs w:val="24"/>
        </w:rPr>
      </w:pPr>
    </w:p>
    <w:p w14:paraId="0C9A8F9C" w14:textId="77777777" w:rsidR="00204581" w:rsidRPr="009A2F0A" w:rsidRDefault="00204581" w:rsidP="00E303FA">
      <w:pPr>
        <w:rPr>
          <w:rFonts w:ascii="Arial" w:hAnsi="Arial" w:cs="Arial"/>
          <w:color w:val="0E2841" w:themeColor="text2"/>
          <w:sz w:val="24"/>
          <w:szCs w:val="24"/>
        </w:rPr>
      </w:pPr>
    </w:p>
    <w:p w14:paraId="15EBD922" w14:textId="77777777" w:rsidR="004171BD" w:rsidRPr="009A2F0A" w:rsidRDefault="004171BD" w:rsidP="00E303FA">
      <w:pPr>
        <w:rPr>
          <w:rFonts w:ascii="Arial" w:hAnsi="Arial" w:cs="Arial"/>
          <w:color w:val="0E2841" w:themeColor="text2"/>
          <w:sz w:val="24"/>
          <w:szCs w:val="24"/>
        </w:rPr>
      </w:pPr>
    </w:p>
    <w:p w14:paraId="71FADC51" w14:textId="77777777" w:rsidR="009A2F0A" w:rsidRDefault="009A2F0A" w:rsidP="00E303FA">
      <w:pPr>
        <w:rPr>
          <w:rFonts w:ascii="Arial" w:hAnsi="Arial" w:cs="Arial"/>
          <w:color w:val="0E2841" w:themeColor="text2"/>
          <w:sz w:val="24"/>
          <w:szCs w:val="24"/>
        </w:rPr>
      </w:pPr>
    </w:p>
    <w:p w14:paraId="5153FF7D" w14:textId="14829E2D" w:rsidR="00AA428D" w:rsidRPr="009A2F0A" w:rsidRDefault="00AA428D" w:rsidP="00E303FA">
      <w:pPr>
        <w:rPr>
          <w:rFonts w:ascii="Arial" w:hAnsi="Arial" w:cs="Arial"/>
          <w:b/>
          <w:bCs/>
          <w:color w:val="0E2841" w:themeColor="text2"/>
          <w:sz w:val="24"/>
          <w:szCs w:val="24"/>
          <w:u w:val="single"/>
        </w:rPr>
      </w:pPr>
      <w:r w:rsidRPr="009A2F0A">
        <w:rPr>
          <w:rFonts w:ascii="Arial" w:hAnsi="Arial" w:cs="Arial"/>
          <w:b/>
          <w:bCs/>
          <w:color w:val="0E2841" w:themeColor="text2"/>
          <w:sz w:val="24"/>
          <w:szCs w:val="24"/>
          <w:u w:val="single"/>
        </w:rPr>
        <w:lastRenderedPageBreak/>
        <w:t>Reference Lis</w:t>
      </w:r>
      <w:r w:rsidR="00204581" w:rsidRPr="009A2F0A">
        <w:rPr>
          <w:rFonts w:ascii="Arial" w:hAnsi="Arial" w:cs="Arial"/>
          <w:b/>
          <w:bCs/>
          <w:color w:val="0E2841" w:themeColor="text2"/>
          <w:sz w:val="24"/>
          <w:szCs w:val="24"/>
          <w:u w:val="single"/>
        </w:rPr>
        <w:t>t</w:t>
      </w:r>
    </w:p>
    <w:p w14:paraId="79CD7791" w14:textId="77777777" w:rsidR="005E3516" w:rsidRPr="009A2F0A" w:rsidRDefault="005E3516" w:rsidP="00E303FA">
      <w:pPr>
        <w:rPr>
          <w:rFonts w:ascii="Arial" w:hAnsi="Arial" w:cs="Arial"/>
          <w:b/>
          <w:bCs/>
          <w:color w:val="0E2841" w:themeColor="text2"/>
          <w:sz w:val="24"/>
          <w:szCs w:val="24"/>
          <w:u w:val="single"/>
        </w:rPr>
      </w:pPr>
    </w:p>
    <w:p w14:paraId="06BFF0CF"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ACAS (2020) </w:t>
      </w:r>
      <w:r w:rsidRPr="009A2F0A">
        <w:rPr>
          <w:rFonts w:ascii="Arial" w:eastAsia="Times New Roman" w:hAnsi="Arial" w:cs="Arial"/>
          <w:i/>
          <w:iCs/>
          <w:color w:val="0E2841" w:themeColor="text2"/>
          <w:kern w:val="0"/>
          <w:sz w:val="24"/>
          <w:szCs w:val="24"/>
          <w:lang w:val="en-US" w:eastAsia="en-GB"/>
        </w:rPr>
        <w:t>Redundancy</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Acas.org.uk</w:t>
      </w:r>
      <w:r w:rsidRPr="009A2F0A">
        <w:rPr>
          <w:rFonts w:ascii="Arial" w:eastAsia="Times New Roman" w:hAnsi="Arial" w:cs="Arial"/>
          <w:color w:val="0E2841" w:themeColor="text2"/>
          <w:kern w:val="0"/>
          <w:sz w:val="24"/>
          <w:szCs w:val="24"/>
          <w:lang w:val="en-US" w:eastAsia="en-GB"/>
        </w:rPr>
        <w:t xml:space="preserve">. Available at: </w:t>
      </w:r>
      <w:hyperlink r:id="rId7" w:history="1">
        <w:r w:rsidRPr="009A2F0A">
          <w:rPr>
            <w:rFonts w:ascii="Arial" w:eastAsia="Times New Roman" w:hAnsi="Arial" w:cs="Arial"/>
            <w:color w:val="0E2841" w:themeColor="text2"/>
            <w:kern w:val="0"/>
            <w:sz w:val="24"/>
            <w:szCs w:val="24"/>
            <w:lang w:val="en-US" w:eastAsia="en-GB"/>
          </w:rPr>
          <w:t>https://www.acas.org.uk/redundancy</w:t>
        </w:r>
      </w:hyperlink>
      <w:r w:rsidRPr="009A2F0A">
        <w:rPr>
          <w:rFonts w:ascii="Arial" w:eastAsia="Times New Roman" w:hAnsi="Arial" w:cs="Arial"/>
          <w:color w:val="0E2841" w:themeColor="text2"/>
          <w:kern w:val="0"/>
          <w:sz w:val="24"/>
          <w:szCs w:val="24"/>
          <w:lang w:val="en-US" w:eastAsia="en-GB"/>
        </w:rPr>
        <w:t xml:space="preserve"> (Accessed: 21 February 2025).</w:t>
      </w:r>
    </w:p>
    <w:p w14:paraId="0C85E23C"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Adeani, I.S., Febriani, R.B. and Syafryadin, S. (2020) ‘Using Gibbs’ Reflective Cycle in Making Reflections of Literary Analysis’, </w:t>
      </w:r>
      <w:r w:rsidRPr="009A2F0A">
        <w:rPr>
          <w:rFonts w:ascii="Arial" w:eastAsia="Times New Roman" w:hAnsi="Arial" w:cs="Arial"/>
          <w:i/>
          <w:iCs/>
          <w:color w:val="0E2841" w:themeColor="text2"/>
          <w:kern w:val="0"/>
          <w:sz w:val="24"/>
          <w:szCs w:val="24"/>
          <w:lang w:val="en-US" w:eastAsia="en-GB"/>
        </w:rPr>
        <w:t>Indonesian EFL Journal</w:t>
      </w:r>
      <w:r w:rsidRPr="009A2F0A">
        <w:rPr>
          <w:rFonts w:ascii="Arial" w:eastAsia="Times New Roman" w:hAnsi="Arial" w:cs="Arial"/>
          <w:color w:val="0E2841" w:themeColor="text2"/>
          <w:kern w:val="0"/>
          <w:sz w:val="24"/>
          <w:szCs w:val="24"/>
          <w:lang w:val="en-US" w:eastAsia="en-GB"/>
        </w:rPr>
        <w:t xml:space="preserve">, 6(2), pp. 139–148. Available at: </w:t>
      </w:r>
      <w:hyperlink r:id="rId8" w:history="1">
        <w:r w:rsidRPr="009A2F0A">
          <w:rPr>
            <w:rFonts w:ascii="Arial" w:eastAsia="Times New Roman" w:hAnsi="Arial" w:cs="Arial"/>
            <w:color w:val="0E2841" w:themeColor="text2"/>
            <w:kern w:val="0"/>
            <w:sz w:val="24"/>
            <w:szCs w:val="24"/>
            <w:lang w:val="en-US" w:eastAsia="en-GB"/>
          </w:rPr>
          <w:t>https://doi.org/10.25134/ieflj.v6i2.3382</w:t>
        </w:r>
      </w:hyperlink>
      <w:r w:rsidRPr="009A2F0A">
        <w:rPr>
          <w:rFonts w:ascii="Arial" w:eastAsia="Times New Roman" w:hAnsi="Arial" w:cs="Arial"/>
          <w:color w:val="0E2841" w:themeColor="text2"/>
          <w:kern w:val="0"/>
          <w:sz w:val="24"/>
          <w:szCs w:val="24"/>
          <w:lang w:val="en-US" w:eastAsia="en-GB"/>
        </w:rPr>
        <w:t>.</w:t>
      </w:r>
    </w:p>
    <w:p w14:paraId="0744D1A5"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Argyris, C. (1989) ‘Integrating Theory and PracticeA Review of Kurt Lewin’s Field Theory in Social Science, CartwrightDorwin (Ed.), New York: Harper &amp; Bros., 1951.Resolving Social Conflicts, LewinGertrud Weiss (Ed.), New York: Harper &amp; Bros., 1948.’, </w:t>
      </w:r>
      <w:r w:rsidRPr="009A2F0A">
        <w:rPr>
          <w:rFonts w:ascii="Arial" w:eastAsia="Times New Roman" w:hAnsi="Arial" w:cs="Arial"/>
          <w:i/>
          <w:iCs/>
          <w:color w:val="0E2841" w:themeColor="text2"/>
          <w:kern w:val="0"/>
          <w:sz w:val="24"/>
          <w:szCs w:val="24"/>
          <w:lang w:val="en-US" w:eastAsia="en-GB"/>
        </w:rPr>
        <w:t>Academy of Management Review</w:t>
      </w:r>
      <w:r w:rsidRPr="009A2F0A">
        <w:rPr>
          <w:rFonts w:ascii="Arial" w:eastAsia="Times New Roman" w:hAnsi="Arial" w:cs="Arial"/>
          <w:color w:val="0E2841" w:themeColor="text2"/>
          <w:kern w:val="0"/>
          <w:sz w:val="24"/>
          <w:szCs w:val="24"/>
          <w:lang w:val="en-US" w:eastAsia="en-GB"/>
        </w:rPr>
        <w:t xml:space="preserve">, 14(1), pp. 96–98. Available at: </w:t>
      </w:r>
      <w:hyperlink r:id="rId9" w:history="1">
        <w:r w:rsidRPr="009A2F0A">
          <w:rPr>
            <w:rFonts w:ascii="Arial" w:eastAsia="Times New Roman" w:hAnsi="Arial" w:cs="Arial"/>
            <w:color w:val="0E2841" w:themeColor="text2"/>
            <w:kern w:val="0"/>
            <w:sz w:val="24"/>
            <w:szCs w:val="24"/>
            <w:lang w:val="en-US" w:eastAsia="en-GB"/>
          </w:rPr>
          <w:t>https://doi.org/10.5465/amr.1989.4279008</w:t>
        </w:r>
      </w:hyperlink>
      <w:r w:rsidRPr="009A2F0A">
        <w:rPr>
          <w:rFonts w:ascii="Arial" w:eastAsia="Times New Roman" w:hAnsi="Arial" w:cs="Arial"/>
          <w:color w:val="0E2841" w:themeColor="text2"/>
          <w:kern w:val="0"/>
          <w:sz w:val="24"/>
          <w:szCs w:val="24"/>
          <w:lang w:val="en-US" w:eastAsia="en-GB"/>
        </w:rPr>
        <w:t>.</w:t>
      </w:r>
    </w:p>
    <w:p w14:paraId="762B631B"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Avolio, B.J. and Gardner, W.L. (2005) ‘Authentic Leadership development: Getting to the Root of Positive Forms of Leadership’, </w:t>
      </w:r>
      <w:r w:rsidRPr="009A2F0A">
        <w:rPr>
          <w:rFonts w:ascii="Arial" w:eastAsia="Times New Roman" w:hAnsi="Arial" w:cs="Arial"/>
          <w:i/>
          <w:iCs/>
          <w:color w:val="0E2841" w:themeColor="text2"/>
          <w:kern w:val="0"/>
          <w:sz w:val="24"/>
          <w:szCs w:val="24"/>
          <w:lang w:val="en-US" w:eastAsia="en-GB"/>
        </w:rPr>
        <w:t>The Leadership Quarterly</w:t>
      </w:r>
      <w:r w:rsidRPr="009A2F0A">
        <w:rPr>
          <w:rFonts w:ascii="Arial" w:eastAsia="Times New Roman" w:hAnsi="Arial" w:cs="Arial"/>
          <w:color w:val="0E2841" w:themeColor="text2"/>
          <w:kern w:val="0"/>
          <w:sz w:val="24"/>
          <w:szCs w:val="24"/>
          <w:lang w:val="en-US" w:eastAsia="en-GB"/>
        </w:rPr>
        <w:t xml:space="preserve">, 16(3), pp. 315–338. Available at: </w:t>
      </w:r>
      <w:hyperlink r:id="rId10" w:history="1">
        <w:r w:rsidRPr="009A2F0A">
          <w:rPr>
            <w:rFonts w:ascii="Arial" w:eastAsia="Times New Roman" w:hAnsi="Arial" w:cs="Arial"/>
            <w:color w:val="0E2841" w:themeColor="text2"/>
            <w:kern w:val="0"/>
            <w:sz w:val="24"/>
            <w:szCs w:val="24"/>
            <w:lang w:val="en-US" w:eastAsia="en-GB"/>
          </w:rPr>
          <w:t>https://doi.org/10.1016/j.leaqua.2005.03.001</w:t>
        </w:r>
      </w:hyperlink>
      <w:r w:rsidRPr="009A2F0A">
        <w:rPr>
          <w:rFonts w:ascii="Arial" w:eastAsia="Times New Roman" w:hAnsi="Arial" w:cs="Arial"/>
          <w:color w:val="0E2841" w:themeColor="text2"/>
          <w:kern w:val="0"/>
          <w:sz w:val="24"/>
          <w:szCs w:val="24"/>
          <w:lang w:val="en-US" w:eastAsia="en-GB"/>
        </w:rPr>
        <w:t>.</w:t>
      </w:r>
    </w:p>
    <w:p w14:paraId="7985FD8A"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Barberis, N., Mukherjee, A. and Wang, B. (2016) ‘Prospect Theory and Stock Returns: an Empirical Test’, </w:t>
      </w:r>
      <w:r w:rsidRPr="009A2F0A">
        <w:rPr>
          <w:rFonts w:ascii="Arial" w:eastAsia="Times New Roman" w:hAnsi="Arial" w:cs="Arial"/>
          <w:i/>
          <w:iCs/>
          <w:color w:val="0E2841" w:themeColor="text2"/>
          <w:kern w:val="0"/>
          <w:sz w:val="24"/>
          <w:szCs w:val="24"/>
          <w:lang w:val="en-US" w:eastAsia="en-GB"/>
        </w:rPr>
        <w:t>Review of Financial Studies</w:t>
      </w:r>
      <w:r w:rsidRPr="009A2F0A">
        <w:rPr>
          <w:rFonts w:ascii="Arial" w:eastAsia="Times New Roman" w:hAnsi="Arial" w:cs="Arial"/>
          <w:color w:val="0E2841" w:themeColor="text2"/>
          <w:kern w:val="0"/>
          <w:sz w:val="24"/>
          <w:szCs w:val="24"/>
          <w:lang w:val="en-US" w:eastAsia="en-GB"/>
        </w:rPr>
        <w:t xml:space="preserve">, 29(11), pp. 3068–3107. Available at: </w:t>
      </w:r>
      <w:hyperlink r:id="rId11" w:history="1">
        <w:r w:rsidRPr="009A2F0A">
          <w:rPr>
            <w:rFonts w:ascii="Arial" w:eastAsia="Times New Roman" w:hAnsi="Arial" w:cs="Arial"/>
            <w:color w:val="0E2841" w:themeColor="text2"/>
            <w:kern w:val="0"/>
            <w:sz w:val="24"/>
            <w:szCs w:val="24"/>
            <w:lang w:val="en-US" w:eastAsia="en-GB"/>
          </w:rPr>
          <w:t>https://doi.org/10.1093/rfs/hhw049</w:t>
        </w:r>
      </w:hyperlink>
      <w:r w:rsidRPr="009A2F0A">
        <w:rPr>
          <w:rFonts w:ascii="Arial" w:eastAsia="Times New Roman" w:hAnsi="Arial" w:cs="Arial"/>
          <w:color w:val="0E2841" w:themeColor="text2"/>
          <w:kern w:val="0"/>
          <w:sz w:val="24"/>
          <w:szCs w:val="24"/>
          <w:lang w:val="en-US" w:eastAsia="en-GB"/>
        </w:rPr>
        <w:t>.</w:t>
      </w:r>
    </w:p>
    <w:p w14:paraId="245C855B"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Bass, B.M. (1990) ‘From Transactional to Transformational leadership: Learning to Share the Vision’, </w:t>
      </w:r>
      <w:r w:rsidRPr="009A2F0A">
        <w:rPr>
          <w:rFonts w:ascii="Arial" w:eastAsia="Times New Roman" w:hAnsi="Arial" w:cs="Arial"/>
          <w:i/>
          <w:iCs/>
          <w:color w:val="0E2841" w:themeColor="text2"/>
          <w:kern w:val="0"/>
          <w:sz w:val="24"/>
          <w:szCs w:val="24"/>
          <w:lang w:val="en-US" w:eastAsia="en-GB"/>
        </w:rPr>
        <w:t>Organizational Dynamics</w:t>
      </w:r>
      <w:r w:rsidRPr="009A2F0A">
        <w:rPr>
          <w:rFonts w:ascii="Arial" w:eastAsia="Times New Roman" w:hAnsi="Arial" w:cs="Arial"/>
          <w:color w:val="0E2841" w:themeColor="text2"/>
          <w:kern w:val="0"/>
          <w:sz w:val="24"/>
          <w:szCs w:val="24"/>
          <w:lang w:val="en-US" w:eastAsia="en-GB"/>
        </w:rPr>
        <w:t xml:space="preserve">, 18(3), pp. 19–31. Available at: </w:t>
      </w:r>
      <w:hyperlink r:id="rId12" w:history="1">
        <w:r w:rsidRPr="009A2F0A">
          <w:rPr>
            <w:rFonts w:ascii="Arial" w:eastAsia="Times New Roman" w:hAnsi="Arial" w:cs="Arial"/>
            <w:color w:val="0E2841" w:themeColor="text2"/>
            <w:kern w:val="0"/>
            <w:sz w:val="24"/>
            <w:szCs w:val="24"/>
            <w:lang w:val="en-US" w:eastAsia="en-GB"/>
          </w:rPr>
          <w:t>https://doi.org/10.1016/0090-2616(90)90061-S</w:t>
        </w:r>
      </w:hyperlink>
      <w:r w:rsidRPr="009A2F0A">
        <w:rPr>
          <w:rFonts w:ascii="Arial" w:eastAsia="Times New Roman" w:hAnsi="Arial" w:cs="Arial"/>
          <w:color w:val="0E2841" w:themeColor="text2"/>
          <w:kern w:val="0"/>
          <w:sz w:val="24"/>
          <w:szCs w:val="24"/>
          <w:lang w:val="en-US" w:eastAsia="en-GB"/>
        </w:rPr>
        <w:t>.</w:t>
      </w:r>
    </w:p>
    <w:p w14:paraId="0C74AF08"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Bass, B.M. (1998) ‘Transformational leadership: industrial, military, and Educational Impact’, </w:t>
      </w:r>
      <w:r w:rsidRPr="009A2F0A">
        <w:rPr>
          <w:rFonts w:ascii="Arial" w:eastAsia="Times New Roman" w:hAnsi="Arial" w:cs="Arial"/>
          <w:i/>
          <w:iCs/>
          <w:color w:val="0E2841" w:themeColor="text2"/>
          <w:kern w:val="0"/>
          <w:sz w:val="24"/>
          <w:szCs w:val="24"/>
          <w:lang w:val="en-US" w:eastAsia="en-GB"/>
        </w:rPr>
        <w:t>Choice Reviews Online</w:t>
      </w:r>
      <w:r w:rsidRPr="009A2F0A">
        <w:rPr>
          <w:rFonts w:ascii="Arial" w:eastAsia="Times New Roman" w:hAnsi="Arial" w:cs="Arial"/>
          <w:color w:val="0E2841" w:themeColor="text2"/>
          <w:kern w:val="0"/>
          <w:sz w:val="24"/>
          <w:szCs w:val="24"/>
          <w:lang w:val="en-US" w:eastAsia="en-GB"/>
        </w:rPr>
        <w:t xml:space="preserve">, 35(08), pp. 35–457935–4579. Available at: </w:t>
      </w:r>
      <w:hyperlink r:id="rId13" w:history="1">
        <w:r w:rsidRPr="009A2F0A">
          <w:rPr>
            <w:rFonts w:ascii="Arial" w:eastAsia="Times New Roman" w:hAnsi="Arial" w:cs="Arial"/>
            <w:color w:val="0E2841" w:themeColor="text2"/>
            <w:kern w:val="0"/>
            <w:sz w:val="24"/>
            <w:szCs w:val="24"/>
            <w:lang w:val="en-US" w:eastAsia="en-GB"/>
          </w:rPr>
          <w:t>https://doi.org/10.5860/choice.35-4579</w:t>
        </w:r>
      </w:hyperlink>
      <w:r w:rsidRPr="009A2F0A">
        <w:rPr>
          <w:rFonts w:ascii="Arial" w:eastAsia="Times New Roman" w:hAnsi="Arial" w:cs="Arial"/>
          <w:color w:val="0E2841" w:themeColor="text2"/>
          <w:kern w:val="0"/>
          <w:sz w:val="24"/>
          <w:szCs w:val="24"/>
          <w:lang w:val="en-US" w:eastAsia="en-GB"/>
        </w:rPr>
        <w:t>.</w:t>
      </w:r>
    </w:p>
    <w:p w14:paraId="736B7782"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Bass, B.M. (1999) ‘Two Decades of Research and Development in Transformational Leadership’, </w:t>
      </w:r>
      <w:r w:rsidRPr="009A2F0A">
        <w:rPr>
          <w:rFonts w:ascii="Arial" w:eastAsia="Times New Roman" w:hAnsi="Arial" w:cs="Arial"/>
          <w:i/>
          <w:iCs/>
          <w:color w:val="0E2841" w:themeColor="text2"/>
          <w:kern w:val="0"/>
          <w:sz w:val="24"/>
          <w:szCs w:val="24"/>
          <w:lang w:val="en-US" w:eastAsia="en-GB"/>
        </w:rPr>
        <w:t>European Journal of Work and Organizational Psychology</w:t>
      </w:r>
      <w:r w:rsidRPr="009A2F0A">
        <w:rPr>
          <w:rFonts w:ascii="Arial" w:eastAsia="Times New Roman" w:hAnsi="Arial" w:cs="Arial"/>
          <w:color w:val="0E2841" w:themeColor="text2"/>
          <w:kern w:val="0"/>
          <w:sz w:val="24"/>
          <w:szCs w:val="24"/>
          <w:lang w:val="en-US" w:eastAsia="en-GB"/>
        </w:rPr>
        <w:t xml:space="preserve">, 8(1), pp. 9–32. Available at: </w:t>
      </w:r>
      <w:hyperlink r:id="rId14" w:history="1">
        <w:r w:rsidRPr="009A2F0A">
          <w:rPr>
            <w:rFonts w:ascii="Arial" w:eastAsia="Times New Roman" w:hAnsi="Arial" w:cs="Arial"/>
            <w:color w:val="0E2841" w:themeColor="text2"/>
            <w:kern w:val="0"/>
            <w:sz w:val="24"/>
            <w:szCs w:val="24"/>
            <w:lang w:val="en-US" w:eastAsia="en-GB"/>
          </w:rPr>
          <w:t>https://www.tandfonline.com/doi/epdf/10.1080/135943299398410?needAccess=true</w:t>
        </w:r>
      </w:hyperlink>
      <w:r w:rsidRPr="009A2F0A">
        <w:rPr>
          <w:rFonts w:ascii="Arial" w:eastAsia="Times New Roman" w:hAnsi="Arial" w:cs="Arial"/>
          <w:color w:val="0E2841" w:themeColor="text2"/>
          <w:kern w:val="0"/>
          <w:sz w:val="24"/>
          <w:szCs w:val="24"/>
          <w:lang w:val="en-US" w:eastAsia="en-GB"/>
        </w:rPr>
        <w:t xml:space="preserve"> (Accessed: 21 February 2025).</w:t>
      </w:r>
    </w:p>
    <w:p w14:paraId="7CD49981"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lastRenderedPageBreak/>
        <w:t xml:space="preserve">Bluestone Resorts Ltd (2024) </w:t>
      </w:r>
      <w:r w:rsidRPr="009A2F0A">
        <w:rPr>
          <w:rFonts w:ascii="Arial" w:eastAsia="Times New Roman" w:hAnsi="Arial" w:cs="Arial"/>
          <w:i/>
          <w:iCs/>
          <w:color w:val="0E2841" w:themeColor="text2"/>
          <w:kern w:val="0"/>
          <w:sz w:val="24"/>
          <w:szCs w:val="24"/>
          <w:lang w:val="en-US" w:eastAsia="en-GB"/>
        </w:rPr>
        <w:t>Our Values | Careers | Bluestone</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Bluestonewales.com</w:t>
      </w:r>
      <w:r w:rsidRPr="009A2F0A">
        <w:rPr>
          <w:rFonts w:ascii="Arial" w:eastAsia="Times New Roman" w:hAnsi="Arial" w:cs="Arial"/>
          <w:color w:val="0E2841" w:themeColor="text2"/>
          <w:kern w:val="0"/>
          <w:sz w:val="24"/>
          <w:szCs w:val="24"/>
          <w:lang w:val="en-US" w:eastAsia="en-GB"/>
        </w:rPr>
        <w:t xml:space="preserve">. Available at: </w:t>
      </w:r>
      <w:hyperlink r:id="rId15" w:history="1">
        <w:r w:rsidRPr="009A2F0A">
          <w:rPr>
            <w:rFonts w:ascii="Arial" w:eastAsia="Times New Roman" w:hAnsi="Arial" w:cs="Arial"/>
            <w:color w:val="0E2841" w:themeColor="text2"/>
            <w:kern w:val="0"/>
            <w:sz w:val="24"/>
            <w:szCs w:val="24"/>
            <w:lang w:val="en-US" w:eastAsia="en-GB"/>
          </w:rPr>
          <w:t>https://careers.bluestonewales.com/our-values</w:t>
        </w:r>
      </w:hyperlink>
      <w:r w:rsidRPr="009A2F0A">
        <w:rPr>
          <w:rFonts w:ascii="Arial" w:eastAsia="Times New Roman" w:hAnsi="Arial" w:cs="Arial"/>
          <w:color w:val="0E2841" w:themeColor="text2"/>
          <w:kern w:val="0"/>
          <w:sz w:val="24"/>
          <w:szCs w:val="24"/>
          <w:lang w:val="en-US" w:eastAsia="en-GB"/>
        </w:rPr>
        <w:t xml:space="preserve"> (Accessed: 26 February 2025).</w:t>
      </w:r>
    </w:p>
    <w:p w14:paraId="0311DDA2"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Boone, T., Reilly, A. j. and Sashkin, M. (1977) ‘SOCIAL LEARNING THEORY Albert Bandura Englewood Cliffs, N.J.: Prentice-Hall, 1977. 247 pp., paperbound’, </w:t>
      </w:r>
      <w:r w:rsidRPr="009A2F0A">
        <w:rPr>
          <w:rFonts w:ascii="Arial" w:eastAsia="Times New Roman" w:hAnsi="Arial" w:cs="Arial"/>
          <w:i/>
          <w:iCs/>
          <w:color w:val="0E2841" w:themeColor="text2"/>
          <w:kern w:val="0"/>
          <w:sz w:val="24"/>
          <w:szCs w:val="24"/>
          <w:lang w:val="en-US" w:eastAsia="en-GB"/>
        </w:rPr>
        <w:t>Group &amp; Organization Studies</w:t>
      </w:r>
      <w:r w:rsidRPr="009A2F0A">
        <w:rPr>
          <w:rFonts w:ascii="Arial" w:eastAsia="Times New Roman" w:hAnsi="Arial" w:cs="Arial"/>
          <w:color w:val="0E2841" w:themeColor="text2"/>
          <w:kern w:val="0"/>
          <w:sz w:val="24"/>
          <w:szCs w:val="24"/>
          <w:lang w:val="en-US" w:eastAsia="en-GB"/>
        </w:rPr>
        <w:t xml:space="preserve">, 2(3). Available at: </w:t>
      </w:r>
      <w:hyperlink r:id="rId16" w:history="1">
        <w:r w:rsidRPr="009A2F0A">
          <w:rPr>
            <w:rFonts w:ascii="Arial" w:eastAsia="Times New Roman" w:hAnsi="Arial" w:cs="Arial"/>
            <w:color w:val="0E2841" w:themeColor="text2"/>
            <w:kern w:val="0"/>
            <w:sz w:val="24"/>
            <w:szCs w:val="24"/>
            <w:lang w:val="en-US" w:eastAsia="en-GB"/>
          </w:rPr>
          <w:t>https://doi.org/10.1177/105960117700200317</w:t>
        </w:r>
      </w:hyperlink>
      <w:r w:rsidRPr="009A2F0A">
        <w:rPr>
          <w:rFonts w:ascii="Arial" w:eastAsia="Times New Roman" w:hAnsi="Arial" w:cs="Arial"/>
          <w:color w:val="0E2841" w:themeColor="text2"/>
          <w:kern w:val="0"/>
          <w:sz w:val="24"/>
          <w:szCs w:val="24"/>
          <w:lang w:val="en-US" w:eastAsia="en-GB"/>
        </w:rPr>
        <w:t>.</w:t>
      </w:r>
    </w:p>
    <w:p w14:paraId="5F703564"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Brown, M.E. and Treviño, L.K. (2006) ‘Ethical leadership: a Review and Future Directions’, </w:t>
      </w:r>
      <w:r w:rsidRPr="009A2F0A">
        <w:rPr>
          <w:rFonts w:ascii="Arial" w:eastAsia="Times New Roman" w:hAnsi="Arial" w:cs="Arial"/>
          <w:i/>
          <w:iCs/>
          <w:color w:val="0E2841" w:themeColor="text2"/>
          <w:kern w:val="0"/>
          <w:sz w:val="24"/>
          <w:szCs w:val="24"/>
          <w:lang w:val="en-US" w:eastAsia="en-GB"/>
        </w:rPr>
        <w:t>The Leadership Quarterly</w:t>
      </w:r>
      <w:r w:rsidRPr="009A2F0A">
        <w:rPr>
          <w:rFonts w:ascii="Arial" w:eastAsia="Times New Roman" w:hAnsi="Arial" w:cs="Arial"/>
          <w:color w:val="0E2841" w:themeColor="text2"/>
          <w:kern w:val="0"/>
          <w:sz w:val="24"/>
          <w:szCs w:val="24"/>
          <w:lang w:val="en-US" w:eastAsia="en-GB"/>
        </w:rPr>
        <w:t xml:space="preserve">, 17(6), pp. 595–616. Available at: </w:t>
      </w:r>
      <w:hyperlink r:id="rId17" w:history="1">
        <w:r w:rsidRPr="009A2F0A">
          <w:rPr>
            <w:rFonts w:ascii="Arial" w:eastAsia="Times New Roman" w:hAnsi="Arial" w:cs="Arial"/>
            <w:color w:val="0E2841" w:themeColor="text2"/>
            <w:kern w:val="0"/>
            <w:sz w:val="24"/>
            <w:szCs w:val="24"/>
            <w:lang w:val="en-US" w:eastAsia="en-GB"/>
          </w:rPr>
          <w:t>https://doi.org/10.1016/j.leaqua.2006.10.004</w:t>
        </w:r>
      </w:hyperlink>
      <w:r w:rsidRPr="009A2F0A">
        <w:rPr>
          <w:rFonts w:ascii="Arial" w:eastAsia="Times New Roman" w:hAnsi="Arial" w:cs="Arial"/>
          <w:color w:val="0E2841" w:themeColor="text2"/>
          <w:kern w:val="0"/>
          <w:sz w:val="24"/>
          <w:szCs w:val="24"/>
          <w:lang w:val="en-US" w:eastAsia="en-GB"/>
        </w:rPr>
        <w:t>.</w:t>
      </w:r>
    </w:p>
    <w:p w14:paraId="6EBD173E"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Caldwell, C. and Okpala, C.O. (2022) ‘Leading with Passion – What It Means, Why It Matters’, </w:t>
      </w:r>
      <w:r w:rsidRPr="009A2F0A">
        <w:rPr>
          <w:rFonts w:ascii="Arial" w:eastAsia="Times New Roman" w:hAnsi="Arial" w:cs="Arial"/>
          <w:i/>
          <w:iCs/>
          <w:color w:val="0E2841" w:themeColor="text2"/>
          <w:kern w:val="0"/>
          <w:sz w:val="24"/>
          <w:szCs w:val="24"/>
          <w:lang w:val="en-US" w:eastAsia="en-GB"/>
        </w:rPr>
        <w:t>The Journal of Values-Based Leadership</w:t>
      </w:r>
      <w:r w:rsidRPr="009A2F0A">
        <w:rPr>
          <w:rFonts w:ascii="Arial" w:eastAsia="Times New Roman" w:hAnsi="Arial" w:cs="Arial"/>
          <w:color w:val="0E2841" w:themeColor="text2"/>
          <w:kern w:val="0"/>
          <w:sz w:val="24"/>
          <w:szCs w:val="24"/>
          <w:lang w:val="en-US" w:eastAsia="en-GB"/>
        </w:rPr>
        <w:t xml:space="preserve">, 15(2). Available at: </w:t>
      </w:r>
      <w:hyperlink r:id="rId18" w:history="1">
        <w:r w:rsidRPr="009A2F0A">
          <w:rPr>
            <w:rFonts w:ascii="Arial" w:eastAsia="Times New Roman" w:hAnsi="Arial" w:cs="Arial"/>
            <w:color w:val="0E2841" w:themeColor="text2"/>
            <w:kern w:val="0"/>
            <w:sz w:val="24"/>
            <w:szCs w:val="24"/>
            <w:lang w:val="en-US" w:eastAsia="en-GB"/>
          </w:rPr>
          <w:t>https://doi.org/10.22543/1948-0733.1408</w:t>
        </w:r>
      </w:hyperlink>
      <w:r w:rsidRPr="009A2F0A">
        <w:rPr>
          <w:rFonts w:ascii="Arial" w:eastAsia="Times New Roman" w:hAnsi="Arial" w:cs="Arial"/>
          <w:color w:val="0E2841" w:themeColor="text2"/>
          <w:kern w:val="0"/>
          <w:sz w:val="24"/>
          <w:szCs w:val="24"/>
          <w:lang w:val="en-US" w:eastAsia="en-GB"/>
        </w:rPr>
        <w:t>.</w:t>
      </w:r>
    </w:p>
    <w:p w14:paraId="6731952A"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Chakraborty, U. and Santosh Kumar Biswal (2023) ‘Is Digital Social Communication Effective for Social Relationship? a Study of Online Brand Communities’, pp. 1–25. Available at: </w:t>
      </w:r>
      <w:hyperlink r:id="rId19" w:history="1">
        <w:r w:rsidRPr="009A2F0A">
          <w:rPr>
            <w:rFonts w:ascii="Arial" w:eastAsia="Times New Roman" w:hAnsi="Arial" w:cs="Arial"/>
            <w:color w:val="0E2841" w:themeColor="text2"/>
            <w:kern w:val="0"/>
            <w:sz w:val="24"/>
            <w:szCs w:val="24"/>
            <w:lang w:val="en-US" w:eastAsia="en-GB"/>
          </w:rPr>
          <w:t>https://doi.org/10.1080/15332667.2023.2219589</w:t>
        </w:r>
      </w:hyperlink>
      <w:r w:rsidRPr="009A2F0A">
        <w:rPr>
          <w:rFonts w:ascii="Arial" w:eastAsia="Times New Roman" w:hAnsi="Arial" w:cs="Arial"/>
          <w:color w:val="0E2841" w:themeColor="text2"/>
          <w:kern w:val="0"/>
          <w:sz w:val="24"/>
          <w:szCs w:val="24"/>
          <w:lang w:val="en-US" w:eastAsia="en-GB"/>
        </w:rPr>
        <w:t>.</w:t>
      </w:r>
    </w:p>
    <w:p w14:paraId="74345EF8"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Chambers, L. (2025) </w:t>
      </w:r>
      <w:r w:rsidRPr="009A2F0A">
        <w:rPr>
          <w:rFonts w:ascii="Arial" w:eastAsia="Times New Roman" w:hAnsi="Arial" w:cs="Arial"/>
          <w:i/>
          <w:iCs/>
          <w:color w:val="0E2841" w:themeColor="text2"/>
          <w:kern w:val="0"/>
          <w:sz w:val="24"/>
          <w:szCs w:val="24"/>
          <w:lang w:val="en-US" w:eastAsia="en-GB"/>
        </w:rPr>
        <w:t>Encouraging Allyship in Your Organisation</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Peoplemanagement.co.uk</w:t>
      </w:r>
      <w:r w:rsidRPr="009A2F0A">
        <w:rPr>
          <w:rFonts w:ascii="Arial" w:eastAsia="Times New Roman" w:hAnsi="Arial" w:cs="Arial"/>
          <w:color w:val="0E2841" w:themeColor="text2"/>
          <w:kern w:val="0"/>
          <w:sz w:val="24"/>
          <w:szCs w:val="24"/>
          <w:lang w:val="en-US" w:eastAsia="en-GB"/>
        </w:rPr>
        <w:t xml:space="preserve">. PeopleManagement. Available at: </w:t>
      </w:r>
      <w:hyperlink r:id="rId20" w:history="1">
        <w:r w:rsidRPr="009A2F0A">
          <w:rPr>
            <w:rFonts w:ascii="Arial" w:eastAsia="Times New Roman" w:hAnsi="Arial" w:cs="Arial"/>
            <w:color w:val="0E2841" w:themeColor="text2"/>
            <w:kern w:val="0"/>
            <w:sz w:val="24"/>
            <w:szCs w:val="24"/>
            <w:lang w:val="en-US" w:eastAsia="en-GB"/>
          </w:rPr>
          <w:t>https://www.peoplemanagement.co.uk/article/1906431/encouraging-allyship-organisation</w:t>
        </w:r>
      </w:hyperlink>
      <w:r w:rsidRPr="009A2F0A">
        <w:rPr>
          <w:rFonts w:ascii="Arial" w:eastAsia="Times New Roman" w:hAnsi="Arial" w:cs="Arial"/>
          <w:color w:val="0E2841" w:themeColor="text2"/>
          <w:kern w:val="0"/>
          <w:sz w:val="24"/>
          <w:szCs w:val="24"/>
          <w:lang w:val="en-US" w:eastAsia="en-GB"/>
        </w:rPr>
        <w:t xml:space="preserve"> (Accessed: 16 February 2025).</w:t>
      </w:r>
    </w:p>
    <w:p w14:paraId="182C53D2"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Checkoway, B. and Schon, D.A. (1985) ‘The Reflective Practitioner: How Professionals Think in Action’, </w:t>
      </w:r>
      <w:r w:rsidRPr="009A2F0A">
        <w:rPr>
          <w:rFonts w:ascii="Arial" w:eastAsia="Times New Roman" w:hAnsi="Arial" w:cs="Arial"/>
          <w:i/>
          <w:iCs/>
          <w:color w:val="0E2841" w:themeColor="text2"/>
          <w:kern w:val="0"/>
          <w:sz w:val="24"/>
          <w:szCs w:val="24"/>
          <w:lang w:val="en-US" w:eastAsia="en-GB"/>
        </w:rPr>
        <w:t>Journal of Policy Analysis and Management</w:t>
      </w:r>
      <w:r w:rsidRPr="009A2F0A">
        <w:rPr>
          <w:rFonts w:ascii="Arial" w:eastAsia="Times New Roman" w:hAnsi="Arial" w:cs="Arial"/>
          <w:color w:val="0E2841" w:themeColor="text2"/>
          <w:kern w:val="0"/>
          <w:sz w:val="24"/>
          <w:szCs w:val="24"/>
          <w:lang w:val="en-US" w:eastAsia="en-GB"/>
        </w:rPr>
        <w:t xml:space="preserve">, 4(3), p. 476. Available at: </w:t>
      </w:r>
      <w:hyperlink r:id="rId21" w:history="1">
        <w:r w:rsidRPr="009A2F0A">
          <w:rPr>
            <w:rFonts w:ascii="Arial" w:eastAsia="Times New Roman" w:hAnsi="Arial" w:cs="Arial"/>
            <w:color w:val="0E2841" w:themeColor="text2"/>
            <w:kern w:val="0"/>
            <w:sz w:val="24"/>
            <w:szCs w:val="24"/>
            <w:lang w:val="en-US" w:eastAsia="en-GB"/>
          </w:rPr>
          <w:t>https://doi.org/10.2307/3324262</w:t>
        </w:r>
      </w:hyperlink>
      <w:r w:rsidRPr="009A2F0A">
        <w:rPr>
          <w:rFonts w:ascii="Arial" w:eastAsia="Times New Roman" w:hAnsi="Arial" w:cs="Arial"/>
          <w:color w:val="0E2841" w:themeColor="text2"/>
          <w:kern w:val="0"/>
          <w:sz w:val="24"/>
          <w:szCs w:val="24"/>
          <w:lang w:val="en-US" w:eastAsia="en-GB"/>
        </w:rPr>
        <w:t>.</w:t>
      </w:r>
    </w:p>
    <w:p w14:paraId="77985F5A"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CIPD (2017) </w:t>
      </w:r>
      <w:r w:rsidRPr="009A2F0A">
        <w:rPr>
          <w:rFonts w:ascii="Arial" w:eastAsia="Times New Roman" w:hAnsi="Arial" w:cs="Arial"/>
          <w:i/>
          <w:iCs/>
          <w:color w:val="0E2841" w:themeColor="text2"/>
          <w:kern w:val="0"/>
          <w:sz w:val="24"/>
          <w:szCs w:val="24"/>
          <w:lang w:val="en-US" w:eastAsia="en-GB"/>
        </w:rPr>
        <w:t>CIPD | beyond Training hours: Reflections on CPD</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CIPD</w:t>
      </w:r>
      <w:r w:rsidRPr="009A2F0A">
        <w:rPr>
          <w:rFonts w:ascii="Arial" w:eastAsia="Times New Roman" w:hAnsi="Arial" w:cs="Arial"/>
          <w:color w:val="0E2841" w:themeColor="text2"/>
          <w:kern w:val="0"/>
          <w:sz w:val="24"/>
          <w:szCs w:val="24"/>
          <w:lang w:val="en-US" w:eastAsia="en-GB"/>
        </w:rPr>
        <w:t xml:space="preserve">. Available at: </w:t>
      </w:r>
      <w:hyperlink r:id="rId22" w:history="1">
        <w:r w:rsidRPr="009A2F0A">
          <w:rPr>
            <w:rFonts w:ascii="Arial" w:eastAsia="Times New Roman" w:hAnsi="Arial" w:cs="Arial"/>
            <w:color w:val="0E2841" w:themeColor="text2"/>
            <w:kern w:val="0"/>
            <w:sz w:val="24"/>
            <w:szCs w:val="24"/>
            <w:lang w:val="en-US" w:eastAsia="en-GB"/>
          </w:rPr>
          <w:t>https://www.cipd.org/uk/knowledge/bitesize-research/reflections-cpd/</w:t>
        </w:r>
      </w:hyperlink>
      <w:r w:rsidRPr="009A2F0A">
        <w:rPr>
          <w:rFonts w:ascii="Arial" w:eastAsia="Times New Roman" w:hAnsi="Arial" w:cs="Arial"/>
          <w:color w:val="0E2841" w:themeColor="text2"/>
          <w:kern w:val="0"/>
          <w:sz w:val="24"/>
          <w:szCs w:val="24"/>
          <w:lang w:val="en-US" w:eastAsia="en-GB"/>
        </w:rPr>
        <w:t xml:space="preserve"> (Accessed: 4 December 2024).</w:t>
      </w:r>
    </w:p>
    <w:p w14:paraId="2B8EE526"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CIPD (2019) </w:t>
      </w:r>
      <w:r w:rsidRPr="009A2F0A">
        <w:rPr>
          <w:rFonts w:ascii="Arial" w:eastAsia="Times New Roman" w:hAnsi="Arial" w:cs="Arial"/>
          <w:i/>
          <w:iCs/>
          <w:color w:val="0E2841" w:themeColor="text2"/>
          <w:kern w:val="0"/>
          <w:sz w:val="24"/>
          <w:szCs w:val="24"/>
          <w:lang w:val="en-US" w:eastAsia="en-GB"/>
        </w:rPr>
        <w:t>CIPD | People Manager guide: Recruiting, Managing and Developing People with a Disability or Health Condition</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CIPD</w:t>
      </w:r>
      <w:r w:rsidRPr="009A2F0A">
        <w:rPr>
          <w:rFonts w:ascii="Arial" w:eastAsia="Times New Roman" w:hAnsi="Arial" w:cs="Arial"/>
          <w:color w:val="0E2841" w:themeColor="text2"/>
          <w:kern w:val="0"/>
          <w:sz w:val="24"/>
          <w:szCs w:val="24"/>
          <w:lang w:val="en-US" w:eastAsia="en-GB"/>
        </w:rPr>
        <w:t xml:space="preserve">. Available at: </w:t>
      </w:r>
      <w:hyperlink r:id="rId23" w:history="1">
        <w:r w:rsidRPr="009A2F0A">
          <w:rPr>
            <w:rFonts w:ascii="Arial" w:eastAsia="Times New Roman" w:hAnsi="Arial" w:cs="Arial"/>
            <w:color w:val="0E2841" w:themeColor="text2"/>
            <w:kern w:val="0"/>
            <w:sz w:val="24"/>
            <w:szCs w:val="24"/>
            <w:lang w:val="en-US" w:eastAsia="en-GB"/>
          </w:rPr>
          <w:t>https://www.cipd.org/uk/knowledge/guides/manager-guidance-recruiting-managing-</w:t>
        </w:r>
        <w:r w:rsidRPr="009A2F0A">
          <w:rPr>
            <w:rFonts w:ascii="Arial" w:eastAsia="Times New Roman" w:hAnsi="Arial" w:cs="Arial"/>
            <w:color w:val="0E2841" w:themeColor="text2"/>
            <w:kern w:val="0"/>
            <w:sz w:val="24"/>
            <w:szCs w:val="24"/>
            <w:lang w:val="en-US" w:eastAsia="en-GB"/>
          </w:rPr>
          <w:lastRenderedPageBreak/>
          <w:t>people-with-disability-or-health-condition/</w:t>
        </w:r>
      </w:hyperlink>
      <w:r w:rsidRPr="009A2F0A">
        <w:rPr>
          <w:rFonts w:ascii="Arial" w:eastAsia="Times New Roman" w:hAnsi="Arial" w:cs="Arial"/>
          <w:color w:val="0E2841" w:themeColor="text2"/>
          <w:kern w:val="0"/>
          <w:sz w:val="24"/>
          <w:szCs w:val="24"/>
          <w:lang w:val="en-US" w:eastAsia="en-GB"/>
        </w:rPr>
        <w:t xml:space="preserve"> (Accessed: 21 February 2025).</w:t>
      </w:r>
    </w:p>
    <w:p w14:paraId="23F9BA8C"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CIPD (2022) </w:t>
      </w:r>
      <w:r w:rsidRPr="009A2F0A">
        <w:rPr>
          <w:rFonts w:ascii="Arial" w:eastAsia="Times New Roman" w:hAnsi="Arial" w:cs="Arial"/>
          <w:i/>
          <w:iCs/>
          <w:color w:val="0E2841" w:themeColor="text2"/>
          <w:kern w:val="0"/>
          <w:sz w:val="24"/>
          <w:szCs w:val="24"/>
          <w:lang w:val="en-US" w:eastAsia="en-GB"/>
        </w:rPr>
        <w:t>CIPD | CIPD and CCL Enter New Partnership to Equip Line Managers with Critical Skills</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CIPD</w:t>
      </w:r>
      <w:r w:rsidRPr="009A2F0A">
        <w:rPr>
          <w:rFonts w:ascii="Arial" w:eastAsia="Times New Roman" w:hAnsi="Arial" w:cs="Arial"/>
          <w:color w:val="0E2841" w:themeColor="text2"/>
          <w:kern w:val="0"/>
          <w:sz w:val="24"/>
          <w:szCs w:val="24"/>
          <w:lang w:val="en-US" w:eastAsia="en-GB"/>
        </w:rPr>
        <w:t xml:space="preserve">. Available at: </w:t>
      </w:r>
      <w:hyperlink r:id="rId24" w:history="1">
        <w:r w:rsidRPr="009A2F0A">
          <w:rPr>
            <w:rFonts w:ascii="Arial" w:eastAsia="Times New Roman" w:hAnsi="Arial" w:cs="Arial"/>
            <w:color w:val="0E2841" w:themeColor="text2"/>
            <w:kern w:val="0"/>
            <w:sz w:val="24"/>
            <w:szCs w:val="24"/>
            <w:lang w:val="en-US" w:eastAsia="en-GB"/>
          </w:rPr>
          <w:t>https://www.cipd.org/uk/about/news/new-programme-designed-ccl/</w:t>
        </w:r>
      </w:hyperlink>
      <w:r w:rsidRPr="009A2F0A">
        <w:rPr>
          <w:rFonts w:ascii="Arial" w:eastAsia="Times New Roman" w:hAnsi="Arial" w:cs="Arial"/>
          <w:color w:val="0E2841" w:themeColor="text2"/>
          <w:kern w:val="0"/>
          <w:sz w:val="24"/>
          <w:szCs w:val="24"/>
          <w:lang w:val="en-US" w:eastAsia="en-GB"/>
        </w:rPr>
        <w:t xml:space="preserve"> (Accessed: 19 February 2025).</w:t>
      </w:r>
    </w:p>
    <w:p w14:paraId="3E765B3C"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CIPD (2023a) </w:t>
      </w:r>
      <w:r w:rsidRPr="009A2F0A">
        <w:rPr>
          <w:rFonts w:ascii="Arial" w:eastAsia="Times New Roman" w:hAnsi="Arial" w:cs="Arial"/>
          <w:i/>
          <w:iCs/>
          <w:color w:val="0E2841" w:themeColor="text2"/>
          <w:kern w:val="0"/>
          <w:sz w:val="24"/>
          <w:szCs w:val="24"/>
          <w:lang w:val="en-US" w:eastAsia="en-GB"/>
        </w:rPr>
        <w:t>CIPD | Change Management</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CIPD</w:t>
      </w:r>
      <w:r w:rsidRPr="009A2F0A">
        <w:rPr>
          <w:rFonts w:ascii="Arial" w:eastAsia="Times New Roman" w:hAnsi="Arial" w:cs="Arial"/>
          <w:color w:val="0E2841" w:themeColor="text2"/>
          <w:kern w:val="0"/>
          <w:sz w:val="24"/>
          <w:szCs w:val="24"/>
          <w:lang w:val="en-US" w:eastAsia="en-GB"/>
        </w:rPr>
        <w:t xml:space="preserve">. Available at: </w:t>
      </w:r>
      <w:hyperlink r:id="rId25" w:anchor="changeimportant" w:history="1">
        <w:r w:rsidRPr="009A2F0A">
          <w:rPr>
            <w:rFonts w:ascii="Arial" w:eastAsia="Times New Roman" w:hAnsi="Arial" w:cs="Arial"/>
            <w:color w:val="0E2841" w:themeColor="text2"/>
            <w:kern w:val="0"/>
            <w:sz w:val="24"/>
            <w:szCs w:val="24"/>
            <w:lang w:val="en-US" w:eastAsia="en-GB"/>
          </w:rPr>
          <w:t>https://www.cipd.org/uk/knowledge/factsheets/change-management-factsheet/#changeimportant</w:t>
        </w:r>
      </w:hyperlink>
      <w:r w:rsidRPr="009A2F0A">
        <w:rPr>
          <w:rFonts w:ascii="Arial" w:eastAsia="Times New Roman" w:hAnsi="Arial" w:cs="Arial"/>
          <w:color w:val="0E2841" w:themeColor="text2"/>
          <w:kern w:val="0"/>
          <w:sz w:val="24"/>
          <w:szCs w:val="24"/>
          <w:lang w:val="en-US" w:eastAsia="en-GB"/>
        </w:rPr>
        <w:t xml:space="preserve"> (Accessed: 26 February 2025).</w:t>
      </w:r>
    </w:p>
    <w:p w14:paraId="5D96E67C"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CIPD (2023b) </w:t>
      </w:r>
      <w:r w:rsidRPr="009A2F0A">
        <w:rPr>
          <w:rFonts w:ascii="Arial" w:eastAsia="Times New Roman" w:hAnsi="Arial" w:cs="Arial"/>
          <w:i/>
          <w:iCs/>
          <w:color w:val="0E2841" w:themeColor="text2"/>
          <w:kern w:val="0"/>
          <w:sz w:val="24"/>
          <w:szCs w:val="24"/>
          <w:lang w:val="en-US" w:eastAsia="en-GB"/>
        </w:rPr>
        <w:t>Explore the Profession Map</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CIPD</w:t>
      </w:r>
      <w:r w:rsidRPr="009A2F0A">
        <w:rPr>
          <w:rFonts w:ascii="Arial" w:eastAsia="Times New Roman" w:hAnsi="Arial" w:cs="Arial"/>
          <w:color w:val="0E2841" w:themeColor="text2"/>
          <w:kern w:val="0"/>
          <w:sz w:val="24"/>
          <w:szCs w:val="24"/>
          <w:lang w:val="en-US" w:eastAsia="en-GB"/>
        </w:rPr>
        <w:t xml:space="preserve">. CIPD. Available at: </w:t>
      </w:r>
      <w:hyperlink r:id="rId26" w:history="1">
        <w:r w:rsidRPr="009A2F0A">
          <w:rPr>
            <w:rFonts w:ascii="Arial" w:eastAsia="Times New Roman" w:hAnsi="Arial" w:cs="Arial"/>
            <w:color w:val="0E2841" w:themeColor="text2"/>
            <w:kern w:val="0"/>
            <w:sz w:val="24"/>
            <w:szCs w:val="24"/>
            <w:lang w:val="en-US" w:eastAsia="en-GB"/>
          </w:rPr>
          <w:t>https://www.cipd.org/uk/the-people-profession/the-profession-map/explore-the-profession-map/</w:t>
        </w:r>
      </w:hyperlink>
      <w:r w:rsidRPr="009A2F0A">
        <w:rPr>
          <w:rFonts w:ascii="Arial" w:eastAsia="Times New Roman" w:hAnsi="Arial" w:cs="Arial"/>
          <w:color w:val="0E2841" w:themeColor="text2"/>
          <w:kern w:val="0"/>
          <w:sz w:val="24"/>
          <w:szCs w:val="24"/>
          <w:lang w:val="en-US" w:eastAsia="en-GB"/>
        </w:rPr>
        <w:t xml:space="preserve"> (Accessed: 27 November 2024).</w:t>
      </w:r>
    </w:p>
    <w:p w14:paraId="01150D26"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CIPD (2024a) </w:t>
      </w:r>
      <w:r w:rsidRPr="009A2F0A">
        <w:rPr>
          <w:rFonts w:ascii="Arial" w:eastAsia="Times New Roman" w:hAnsi="Arial" w:cs="Arial"/>
          <w:i/>
          <w:iCs/>
          <w:color w:val="0E2841" w:themeColor="text2"/>
          <w:kern w:val="0"/>
          <w:sz w:val="24"/>
          <w:szCs w:val="24"/>
          <w:lang w:val="en-US" w:eastAsia="en-GB"/>
        </w:rPr>
        <w:t>CIPD | Employer Branding | Factsheets</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CIPD</w:t>
      </w:r>
      <w:r w:rsidRPr="009A2F0A">
        <w:rPr>
          <w:rFonts w:ascii="Arial" w:eastAsia="Times New Roman" w:hAnsi="Arial" w:cs="Arial"/>
          <w:color w:val="0E2841" w:themeColor="text2"/>
          <w:kern w:val="0"/>
          <w:sz w:val="24"/>
          <w:szCs w:val="24"/>
          <w:lang w:val="en-US" w:eastAsia="en-GB"/>
        </w:rPr>
        <w:t xml:space="preserve">. Available at: </w:t>
      </w:r>
      <w:hyperlink r:id="rId27" w:history="1">
        <w:r w:rsidRPr="009A2F0A">
          <w:rPr>
            <w:rFonts w:ascii="Arial" w:eastAsia="Times New Roman" w:hAnsi="Arial" w:cs="Arial"/>
            <w:color w:val="0E2841" w:themeColor="text2"/>
            <w:kern w:val="0"/>
            <w:sz w:val="24"/>
            <w:szCs w:val="24"/>
            <w:lang w:val="en-US" w:eastAsia="en-GB"/>
          </w:rPr>
          <w:t>https://www.cipd.org/uk/knowledge/factsheets/recruitment-brand-factsheet/</w:t>
        </w:r>
      </w:hyperlink>
      <w:r w:rsidRPr="009A2F0A">
        <w:rPr>
          <w:rFonts w:ascii="Arial" w:eastAsia="Times New Roman" w:hAnsi="Arial" w:cs="Arial"/>
          <w:color w:val="0E2841" w:themeColor="text2"/>
          <w:kern w:val="0"/>
          <w:sz w:val="24"/>
          <w:szCs w:val="24"/>
          <w:lang w:val="en-US" w:eastAsia="en-GB"/>
        </w:rPr>
        <w:t>.</w:t>
      </w:r>
    </w:p>
    <w:p w14:paraId="1FA62613"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CIPD (2024b) </w:t>
      </w:r>
      <w:r w:rsidRPr="009A2F0A">
        <w:rPr>
          <w:rFonts w:ascii="Arial" w:eastAsia="Times New Roman" w:hAnsi="Arial" w:cs="Arial"/>
          <w:i/>
          <w:iCs/>
          <w:color w:val="0E2841" w:themeColor="text2"/>
          <w:kern w:val="0"/>
          <w:sz w:val="24"/>
          <w:szCs w:val="24"/>
          <w:lang w:val="en-US" w:eastAsia="en-GB"/>
        </w:rPr>
        <w:t>CIPD | Leadership in the Workplace | Factsheets</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CIPD</w:t>
      </w:r>
      <w:r w:rsidRPr="009A2F0A">
        <w:rPr>
          <w:rFonts w:ascii="Arial" w:eastAsia="Times New Roman" w:hAnsi="Arial" w:cs="Arial"/>
          <w:color w:val="0E2841" w:themeColor="text2"/>
          <w:kern w:val="0"/>
          <w:sz w:val="24"/>
          <w:szCs w:val="24"/>
          <w:lang w:val="en-US" w:eastAsia="en-GB"/>
        </w:rPr>
        <w:t xml:space="preserve">. Available at: </w:t>
      </w:r>
      <w:hyperlink r:id="rId28" w:history="1">
        <w:r w:rsidRPr="009A2F0A">
          <w:rPr>
            <w:rFonts w:ascii="Arial" w:eastAsia="Times New Roman" w:hAnsi="Arial" w:cs="Arial"/>
            <w:color w:val="0E2841" w:themeColor="text2"/>
            <w:kern w:val="0"/>
            <w:sz w:val="24"/>
            <w:szCs w:val="24"/>
            <w:lang w:val="en-US" w:eastAsia="en-GB"/>
          </w:rPr>
          <w:t>https://www.cipd.org/uk/knowledge/factsheets/leadership-factsheet/</w:t>
        </w:r>
      </w:hyperlink>
      <w:r w:rsidRPr="009A2F0A">
        <w:rPr>
          <w:rFonts w:ascii="Arial" w:eastAsia="Times New Roman" w:hAnsi="Arial" w:cs="Arial"/>
          <w:color w:val="0E2841" w:themeColor="text2"/>
          <w:kern w:val="0"/>
          <w:sz w:val="24"/>
          <w:szCs w:val="24"/>
          <w:lang w:val="en-US" w:eastAsia="en-GB"/>
        </w:rPr>
        <w:t xml:space="preserve"> (Accessed: 19 February 2025).</w:t>
      </w:r>
    </w:p>
    <w:p w14:paraId="440F7461"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CIPD (2024c) </w:t>
      </w:r>
      <w:r w:rsidRPr="009A2F0A">
        <w:rPr>
          <w:rFonts w:ascii="Arial" w:eastAsia="Times New Roman" w:hAnsi="Arial" w:cs="Arial"/>
          <w:i/>
          <w:iCs/>
          <w:color w:val="0E2841" w:themeColor="text2"/>
          <w:kern w:val="0"/>
          <w:sz w:val="24"/>
          <w:szCs w:val="24"/>
          <w:lang w:val="en-US" w:eastAsia="en-GB"/>
        </w:rPr>
        <w:t>CIPD | Neuroinclusion at Work</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CIPD</w:t>
      </w:r>
      <w:r w:rsidRPr="009A2F0A">
        <w:rPr>
          <w:rFonts w:ascii="Arial" w:eastAsia="Times New Roman" w:hAnsi="Arial" w:cs="Arial"/>
          <w:color w:val="0E2841" w:themeColor="text2"/>
          <w:kern w:val="0"/>
          <w:sz w:val="24"/>
          <w:szCs w:val="24"/>
          <w:lang w:val="en-US" w:eastAsia="en-GB"/>
        </w:rPr>
        <w:t xml:space="preserve">. Available at: </w:t>
      </w:r>
      <w:hyperlink r:id="rId29" w:history="1">
        <w:r w:rsidRPr="009A2F0A">
          <w:rPr>
            <w:rFonts w:ascii="Arial" w:eastAsia="Times New Roman" w:hAnsi="Arial" w:cs="Arial"/>
            <w:color w:val="0E2841" w:themeColor="text2"/>
            <w:kern w:val="0"/>
            <w:sz w:val="24"/>
            <w:szCs w:val="24"/>
            <w:lang w:val="en-US" w:eastAsia="en-GB"/>
          </w:rPr>
          <w:t>https://www.cipd.org/uk/knowledge/guides/neuroinclusion-work/</w:t>
        </w:r>
      </w:hyperlink>
      <w:r w:rsidRPr="009A2F0A">
        <w:rPr>
          <w:rFonts w:ascii="Arial" w:eastAsia="Times New Roman" w:hAnsi="Arial" w:cs="Arial"/>
          <w:color w:val="0E2841" w:themeColor="text2"/>
          <w:kern w:val="0"/>
          <w:sz w:val="24"/>
          <w:szCs w:val="24"/>
          <w:lang w:val="en-US" w:eastAsia="en-GB"/>
        </w:rPr>
        <w:t xml:space="preserve"> (Accessed: 21 February 2025).</w:t>
      </w:r>
    </w:p>
    <w:p w14:paraId="1FF08B8A"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CIPD (2024d) </w:t>
      </w:r>
      <w:r w:rsidRPr="009A2F0A">
        <w:rPr>
          <w:rFonts w:ascii="Arial" w:eastAsia="Times New Roman" w:hAnsi="Arial" w:cs="Arial"/>
          <w:i/>
          <w:iCs/>
          <w:color w:val="0E2841" w:themeColor="text2"/>
          <w:kern w:val="0"/>
          <w:sz w:val="24"/>
          <w:szCs w:val="24"/>
          <w:lang w:val="en-US" w:eastAsia="en-GB"/>
        </w:rPr>
        <w:t>Ethics at work: an Employer’s Guide</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CIPD</w:t>
      </w:r>
      <w:r w:rsidRPr="009A2F0A">
        <w:rPr>
          <w:rFonts w:ascii="Arial" w:eastAsia="Times New Roman" w:hAnsi="Arial" w:cs="Arial"/>
          <w:color w:val="0E2841" w:themeColor="text2"/>
          <w:kern w:val="0"/>
          <w:sz w:val="24"/>
          <w:szCs w:val="24"/>
          <w:lang w:val="en-US" w:eastAsia="en-GB"/>
        </w:rPr>
        <w:t xml:space="preserve">. Available at: </w:t>
      </w:r>
      <w:hyperlink r:id="rId30" w:history="1">
        <w:r w:rsidRPr="009A2F0A">
          <w:rPr>
            <w:rFonts w:ascii="Arial" w:eastAsia="Times New Roman" w:hAnsi="Arial" w:cs="Arial"/>
            <w:color w:val="0E2841" w:themeColor="text2"/>
            <w:kern w:val="0"/>
            <w:sz w:val="24"/>
            <w:szCs w:val="24"/>
            <w:lang w:val="en-US" w:eastAsia="en-GB"/>
          </w:rPr>
          <w:t>https://www.cipd.org/uk/knowledge/guides/ethics-work-guide/</w:t>
        </w:r>
      </w:hyperlink>
      <w:r w:rsidRPr="009A2F0A">
        <w:rPr>
          <w:rFonts w:ascii="Arial" w:eastAsia="Times New Roman" w:hAnsi="Arial" w:cs="Arial"/>
          <w:color w:val="0E2841" w:themeColor="text2"/>
          <w:kern w:val="0"/>
          <w:sz w:val="24"/>
          <w:szCs w:val="24"/>
          <w:lang w:val="en-US" w:eastAsia="en-GB"/>
        </w:rPr>
        <w:t xml:space="preserve"> (Accessed: 26 February 2025).</w:t>
      </w:r>
    </w:p>
    <w:p w14:paraId="6A25E447"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CIPD (2024e) </w:t>
      </w:r>
      <w:r w:rsidRPr="009A2F0A">
        <w:rPr>
          <w:rFonts w:ascii="Arial" w:eastAsia="Times New Roman" w:hAnsi="Arial" w:cs="Arial"/>
          <w:i/>
          <w:iCs/>
          <w:color w:val="0E2841" w:themeColor="text2"/>
          <w:kern w:val="0"/>
          <w:sz w:val="24"/>
          <w:szCs w:val="24"/>
          <w:lang w:val="en-US" w:eastAsia="en-GB"/>
        </w:rPr>
        <w:t>The Profession Map</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CIPD</w:t>
      </w:r>
      <w:r w:rsidRPr="009A2F0A">
        <w:rPr>
          <w:rFonts w:ascii="Arial" w:eastAsia="Times New Roman" w:hAnsi="Arial" w:cs="Arial"/>
          <w:color w:val="0E2841" w:themeColor="text2"/>
          <w:kern w:val="0"/>
          <w:sz w:val="24"/>
          <w:szCs w:val="24"/>
          <w:lang w:val="en-US" w:eastAsia="en-GB"/>
        </w:rPr>
        <w:t xml:space="preserve">. CIPD. Available at: </w:t>
      </w:r>
      <w:hyperlink r:id="rId31" w:history="1">
        <w:r w:rsidRPr="009A2F0A">
          <w:rPr>
            <w:rFonts w:ascii="Arial" w:eastAsia="Times New Roman" w:hAnsi="Arial" w:cs="Arial"/>
            <w:color w:val="0E2841" w:themeColor="text2"/>
            <w:kern w:val="0"/>
            <w:sz w:val="24"/>
            <w:szCs w:val="24"/>
            <w:lang w:val="en-US" w:eastAsia="en-GB"/>
          </w:rPr>
          <w:t>https://www.cipd.org/globalassets/media/comms/the-people-profession/profession-map-pdfs/full-standards-download-a4-2024/</w:t>
        </w:r>
      </w:hyperlink>
      <w:r w:rsidRPr="009A2F0A">
        <w:rPr>
          <w:rFonts w:ascii="Arial" w:eastAsia="Times New Roman" w:hAnsi="Arial" w:cs="Arial"/>
          <w:color w:val="0E2841" w:themeColor="text2"/>
          <w:kern w:val="0"/>
          <w:sz w:val="24"/>
          <w:szCs w:val="24"/>
          <w:lang w:val="en-US" w:eastAsia="en-GB"/>
        </w:rPr>
        <w:t xml:space="preserve"> (Accessed: 27 November 2024).</w:t>
      </w:r>
    </w:p>
    <w:p w14:paraId="4AB36C02"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Clouder, L. </w:t>
      </w:r>
      <w:r w:rsidRPr="009A2F0A">
        <w:rPr>
          <w:rFonts w:ascii="Arial" w:eastAsia="Times New Roman" w:hAnsi="Arial" w:cs="Arial"/>
          <w:i/>
          <w:iCs/>
          <w:color w:val="0E2841" w:themeColor="text2"/>
          <w:kern w:val="0"/>
          <w:sz w:val="24"/>
          <w:szCs w:val="24"/>
          <w:lang w:val="en-US" w:eastAsia="en-GB"/>
        </w:rPr>
        <w:t>et al.</w:t>
      </w:r>
      <w:r w:rsidRPr="009A2F0A">
        <w:rPr>
          <w:rFonts w:ascii="Arial" w:eastAsia="Times New Roman" w:hAnsi="Arial" w:cs="Arial"/>
          <w:color w:val="0E2841" w:themeColor="text2"/>
          <w:kern w:val="0"/>
          <w:sz w:val="24"/>
          <w:szCs w:val="24"/>
          <w:lang w:val="en-US" w:eastAsia="en-GB"/>
        </w:rPr>
        <w:t xml:space="preserve"> (2020) ‘Neurodiversity in Higher education: a Narrative Synthesis’, </w:t>
      </w:r>
      <w:r w:rsidRPr="009A2F0A">
        <w:rPr>
          <w:rFonts w:ascii="Arial" w:eastAsia="Times New Roman" w:hAnsi="Arial" w:cs="Arial"/>
          <w:i/>
          <w:iCs/>
          <w:color w:val="0E2841" w:themeColor="text2"/>
          <w:kern w:val="0"/>
          <w:sz w:val="24"/>
          <w:szCs w:val="24"/>
          <w:lang w:val="en-US" w:eastAsia="en-GB"/>
        </w:rPr>
        <w:t>Higher Education</w:t>
      </w:r>
      <w:r w:rsidRPr="009A2F0A">
        <w:rPr>
          <w:rFonts w:ascii="Arial" w:eastAsia="Times New Roman" w:hAnsi="Arial" w:cs="Arial"/>
          <w:color w:val="0E2841" w:themeColor="text2"/>
          <w:kern w:val="0"/>
          <w:sz w:val="24"/>
          <w:szCs w:val="24"/>
          <w:lang w:val="en-US" w:eastAsia="en-GB"/>
        </w:rPr>
        <w:t xml:space="preserve">, 80(4), pp. 757–778. Available at: </w:t>
      </w:r>
      <w:hyperlink r:id="rId32" w:history="1">
        <w:r w:rsidRPr="009A2F0A">
          <w:rPr>
            <w:rFonts w:ascii="Arial" w:eastAsia="Times New Roman" w:hAnsi="Arial" w:cs="Arial"/>
            <w:color w:val="0E2841" w:themeColor="text2"/>
            <w:kern w:val="0"/>
            <w:sz w:val="24"/>
            <w:szCs w:val="24"/>
            <w:lang w:val="en-US" w:eastAsia="en-GB"/>
          </w:rPr>
          <w:t>https://doi.org/10.1007/s10734-020-00513-6</w:t>
        </w:r>
      </w:hyperlink>
      <w:r w:rsidRPr="009A2F0A">
        <w:rPr>
          <w:rFonts w:ascii="Arial" w:eastAsia="Times New Roman" w:hAnsi="Arial" w:cs="Arial"/>
          <w:color w:val="0E2841" w:themeColor="text2"/>
          <w:kern w:val="0"/>
          <w:sz w:val="24"/>
          <w:szCs w:val="24"/>
          <w:lang w:val="en-US" w:eastAsia="en-GB"/>
        </w:rPr>
        <w:t>.</w:t>
      </w:r>
    </w:p>
    <w:p w14:paraId="60435800"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Dearborn, K. (2002) ‘Studies in Emotional Intelligence Redefine Our Approach to </w:t>
      </w:r>
      <w:r w:rsidRPr="009A2F0A">
        <w:rPr>
          <w:rFonts w:ascii="Arial" w:eastAsia="Times New Roman" w:hAnsi="Arial" w:cs="Arial"/>
          <w:color w:val="0E2841" w:themeColor="text2"/>
          <w:kern w:val="0"/>
          <w:sz w:val="24"/>
          <w:szCs w:val="24"/>
          <w:lang w:val="en-US" w:eastAsia="en-GB"/>
        </w:rPr>
        <w:lastRenderedPageBreak/>
        <w:t xml:space="preserve">Leadership Development’, </w:t>
      </w:r>
      <w:r w:rsidRPr="009A2F0A">
        <w:rPr>
          <w:rFonts w:ascii="Arial" w:eastAsia="Times New Roman" w:hAnsi="Arial" w:cs="Arial"/>
          <w:i/>
          <w:iCs/>
          <w:color w:val="0E2841" w:themeColor="text2"/>
          <w:kern w:val="0"/>
          <w:sz w:val="24"/>
          <w:szCs w:val="24"/>
          <w:lang w:val="en-US" w:eastAsia="en-GB"/>
        </w:rPr>
        <w:t>Public Personnel Management</w:t>
      </w:r>
      <w:r w:rsidRPr="009A2F0A">
        <w:rPr>
          <w:rFonts w:ascii="Arial" w:eastAsia="Times New Roman" w:hAnsi="Arial" w:cs="Arial"/>
          <w:color w:val="0E2841" w:themeColor="text2"/>
          <w:kern w:val="0"/>
          <w:sz w:val="24"/>
          <w:szCs w:val="24"/>
          <w:lang w:val="en-US" w:eastAsia="en-GB"/>
        </w:rPr>
        <w:t xml:space="preserve">, 31(4), pp. 523–530. Available at: </w:t>
      </w:r>
      <w:hyperlink r:id="rId33" w:history="1">
        <w:r w:rsidRPr="009A2F0A">
          <w:rPr>
            <w:rFonts w:ascii="Arial" w:eastAsia="Times New Roman" w:hAnsi="Arial" w:cs="Arial"/>
            <w:color w:val="0E2841" w:themeColor="text2"/>
            <w:kern w:val="0"/>
            <w:sz w:val="24"/>
            <w:szCs w:val="24"/>
            <w:lang w:val="en-US" w:eastAsia="en-GB"/>
          </w:rPr>
          <w:t>https://doi.org/10.1177/009102600203100408</w:t>
        </w:r>
      </w:hyperlink>
      <w:r w:rsidRPr="009A2F0A">
        <w:rPr>
          <w:rFonts w:ascii="Arial" w:eastAsia="Times New Roman" w:hAnsi="Arial" w:cs="Arial"/>
          <w:color w:val="0E2841" w:themeColor="text2"/>
          <w:kern w:val="0"/>
          <w:sz w:val="24"/>
          <w:szCs w:val="24"/>
          <w:lang w:val="en-US" w:eastAsia="en-GB"/>
        </w:rPr>
        <w:t>.</w:t>
      </w:r>
    </w:p>
    <w:p w14:paraId="1293D896"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Deci, E.L. and Ryan, R.M. (2000) ‘The “what” and “why” of Goal pursuits: Human Needs and the self-determination of Behavior’, </w:t>
      </w:r>
      <w:r w:rsidRPr="009A2F0A">
        <w:rPr>
          <w:rFonts w:ascii="Arial" w:eastAsia="Times New Roman" w:hAnsi="Arial" w:cs="Arial"/>
          <w:i/>
          <w:iCs/>
          <w:color w:val="0E2841" w:themeColor="text2"/>
          <w:kern w:val="0"/>
          <w:sz w:val="24"/>
          <w:szCs w:val="24"/>
          <w:lang w:val="en-US" w:eastAsia="en-GB"/>
        </w:rPr>
        <w:t>Psychological Inquiry</w:t>
      </w:r>
      <w:r w:rsidRPr="009A2F0A">
        <w:rPr>
          <w:rFonts w:ascii="Arial" w:eastAsia="Times New Roman" w:hAnsi="Arial" w:cs="Arial"/>
          <w:color w:val="0E2841" w:themeColor="text2"/>
          <w:kern w:val="0"/>
          <w:sz w:val="24"/>
          <w:szCs w:val="24"/>
          <w:lang w:val="en-US" w:eastAsia="en-GB"/>
        </w:rPr>
        <w:t xml:space="preserve">, 11(4), pp. 227–268. Available at: </w:t>
      </w:r>
      <w:hyperlink r:id="rId34" w:history="1">
        <w:r w:rsidRPr="009A2F0A">
          <w:rPr>
            <w:rFonts w:ascii="Arial" w:eastAsia="Times New Roman" w:hAnsi="Arial" w:cs="Arial"/>
            <w:color w:val="0E2841" w:themeColor="text2"/>
            <w:kern w:val="0"/>
            <w:sz w:val="24"/>
            <w:szCs w:val="24"/>
            <w:lang w:val="en-US" w:eastAsia="en-GB"/>
          </w:rPr>
          <w:t>https://doi.org/10.1207/S15327965PLI1104_01</w:t>
        </w:r>
      </w:hyperlink>
      <w:r w:rsidRPr="009A2F0A">
        <w:rPr>
          <w:rFonts w:ascii="Arial" w:eastAsia="Times New Roman" w:hAnsi="Arial" w:cs="Arial"/>
          <w:color w:val="0E2841" w:themeColor="text2"/>
          <w:kern w:val="0"/>
          <w:sz w:val="24"/>
          <w:szCs w:val="24"/>
          <w:lang w:val="en-US" w:eastAsia="en-GB"/>
        </w:rPr>
        <w:t>.</w:t>
      </w:r>
    </w:p>
    <w:p w14:paraId="4CE8AB23"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Dixon, M., Lee, S. and Ghaye, T. (2015) ‘Strengths-Based Reflective Practices for the Management of Change: Applications from Sport and Positive Psychology’, </w:t>
      </w:r>
      <w:r w:rsidRPr="009A2F0A">
        <w:rPr>
          <w:rFonts w:ascii="Arial" w:eastAsia="Times New Roman" w:hAnsi="Arial" w:cs="Arial"/>
          <w:i/>
          <w:iCs/>
          <w:color w:val="0E2841" w:themeColor="text2"/>
          <w:kern w:val="0"/>
          <w:sz w:val="24"/>
          <w:szCs w:val="24"/>
          <w:lang w:val="en-US" w:eastAsia="en-GB"/>
        </w:rPr>
        <w:t>Journal of Change Management</w:t>
      </w:r>
      <w:r w:rsidRPr="009A2F0A">
        <w:rPr>
          <w:rFonts w:ascii="Arial" w:eastAsia="Times New Roman" w:hAnsi="Arial" w:cs="Arial"/>
          <w:color w:val="0E2841" w:themeColor="text2"/>
          <w:kern w:val="0"/>
          <w:sz w:val="24"/>
          <w:szCs w:val="24"/>
          <w:lang w:val="en-US" w:eastAsia="en-GB"/>
        </w:rPr>
        <w:t xml:space="preserve">, 16(2), pp. 142–157. Available at: </w:t>
      </w:r>
      <w:hyperlink r:id="rId35" w:history="1">
        <w:r w:rsidRPr="009A2F0A">
          <w:rPr>
            <w:rFonts w:ascii="Arial" w:eastAsia="Times New Roman" w:hAnsi="Arial" w:cs="Arial"/>
            <w:color w:val="0E2841" w:themeColor="text2"/>
            <w:kern w:val="0"/>
            <w:sz w:val="24"/>
            <w:szCs w:val="24"/>
            <w:lang w:val="en-US" w:eastAsia="en-GB"/>
          </w:rPr>
          <w:t>https://doi.org/10.1080/14697017.2015.1125384</w:t>
        </w:r>
      </w:hyperlink>
      <w:r w:rsidRPr="009A2F0A">
        <w:rPr>
          <w:rFonts w:ascii="Arial" w:eastAsia="Times New Roman" w:hAnsi="Arial" w:cs="Arial"/>
          <w:color w:val="0E2841" w:themeColor="text2"/>
          <w:kern w:val="0"/>
          <w:sz w:val="24"/>
          <w:szCs w:val="24"/>
          <w:lang w:val="en-US" w:eastAsia="en-GB"/>
        </w:rPr>
        <w:t>.</w:t>
      </w:r>
    </w:p>
    <w:p w14:paraId="14FA43D8"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Doyle, N. (2020) ‘Neurodiversity at work: a Biopsychosocial Model and the Impact on Working Adults’, </w:t>
      </w:r>
      <w:r w:rsidRPr="009A2F0A">
        <w:rPr>
          <w:rFonts w:ascii="Arial" w:eastAsia="Times New Roman" w:hAnsi="Arial" w:cs="Arial"/>
          <w:i/>
          <w:iCs/>
          <w:color w:val="0E2841" w:themeColor="text2"/>
          <w:kern w:val="0"/>
          <w:sz w:val="24"/>
          <w:szCs w:val="24"/>
          <w:lang w:val="en-US" w:eastAsia="en-GB"/>
        </w:rPr>
        <w:t>British Medical Bulletin</w:t>
      </w:r>
      <w:r w:rsidRPr="009A2F0A">
        <w:rPr>
          <w:rFonts w:ascii="Arial" w:eastAsia="Times New Roman" w:hAnsi="Arial" w:cs="Arial"/>
          <w:color w:val="0E2841" w:themeColor="text2"/>
          <w:kern w:val="0"/>
          <w:sz w:val="24"/>
          <w:szCs w:val="24"/>
          <w:lang w:val="en-US" w:eastAsia="en-GB"/>
        </w:rPr>
        <w:t xml:space="preserve">, 135(1), pp. 108–125. Available at: </w:t>
      </w:r>
      <w:hyperlink r:id="rId36" w:history="1">
        <w:r w:rsidRPr="009A2F0A">
          <w:rPr>
            <w:rFonts w:ascii="Arial" w:eastAsia="Times New Roman" w:hAnsi="Arial" w:cs="Arial"/>
            <w:color w:val="0E2841" w:themeColor="text2"/>
            <w:kern w:val="0"/>
            <w:sz w:val="24"/>
            <w:szCs w:val="24"/>
            <w:lang w:val="en-US" w:eastAsia="en-GB"/>
          </w:rPr>
          <w:t>https://doi.org/10.1093/bmb/ldaa021</w:t>
        </w:r>
      </w:hyperlink>
      <w:r w:rsidRPr="009A2F0A">
        <w:rPr>
          <w:rFonts w:ascii="Arial" w:eastAsia="Times New Roman" w:hAnsi="Arial" w:cs="Arial"/>
          <w:color w:val="0E2841" w:themeColor="text2"/>
          <w:kern w:val="0"/>
          <w:sz w:val="24"/>
          <w:szCs w:val="24"/>
          <w:lang w:val="en-US" w:eastAsia="en-GB"/>
        </w:rPr>
        <w:t>.</w:t>
      </w:r>
    </w:p>
    <w:p w14:paraId="60097F0C"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Driscoll, J. (2007) </w:t>
      </w:r>
      <w:r w:rsidRPr="009A2F0A">
        <w:rPr>
          <w:rFonts w:ascii="Arial" w:eastAsia="Times New Roman" w:hAnsi="Arial" w:cs="Arial"/>
          <w:i/>
          <w:iCs/>
          <w:color w:val="0E2841" w:themeColor="text2"/>
          <w:kern w:val="0"/>
          <w:sz w:val="24"/>
          <w:szCs w:val="24"/>
          <w:lang w:val="en-US" w:eastAsia="en-GB"/>
        </w:rPr>
        <w:t>Practising Clinical Supervision: A Reflective Approach for Healthcare Professionals.</w:t>
      </w:r>
      <w:r w:rsidRPr="009A2F0A">
        <w:rPr>
          <w:rFonts w:ascii="Arial" w:eastAsia="Times New Roman" w:hAnsi="Arial" w:cs="Arial"/>
          <w:color w:val="0E2841" w:themeColor="text2"/>
          <w:kern w:val="0"/>
          <w:sz w:val="24"/>
          <w:szCs w:val="24"/>
          <w:lang w:val="en-US" w:eastAsia="en-GB"/>
        </w:rPr>
        <w:t xml:space="preserve"> Elsevier.</w:t>
      </w:r>
    </w:p>
    <w:p w14:paraId="675BD76F"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Edmondson, A. (2025) ‘Psychological Safety and Learning Behavior in Work Teams’, </w:t>
      </w:r>
      <w:r w:rsidRPr="009A2F0A">
        <w:rPr>
          <w:rFonts w:ascii="Arial" w:eastAsia="Times New Roman" w:hAnsi="Arial" w:cs="Arial"/>
          <w:i/>
          <w:iCs/>
          <w:color w:val="0E2841" w:themeColor="text2"/>
          <w:kern w:val="0"/>
          <w:sz w:val="24"/>
          <w:szCs w:val="24"/>
          <w:lang w:val="en-US" w:eastAsia="en-GB"/>
        </w:rPr>
        <w:t>Administrative Science Quarterly</w:t>
      </w:r>
      <w:r w:rsidRPr="009A2F0A">
        <w:rPr>
          <w:rFonts w:ascii="Arial" w:eastAsia="Times New Roman" w:hAnsi="Arial" w:cs="Arial"/>
          <w:color w:val="0E2841" w:themeColor="text2"/>
          <w:kern w:val="0"/>
          <w:sz w:val="24"/>
          <w:szCs w:val="24"/>
          <w:lang w:val="en-US" w:eastAsia="en-GB"/>
        </w:rPr>
        <w:t xml:space="preserve">, 44(2), pp. 350–383. Available at: </w:t>
      </w:r>
      <w:hyperlink r:id="rId37" w:history="1">
        <w:r w:rsidRPr="009A2F0A">
          <w:rPr>
            <w:rFonts w:ascii="Arial" w:eastAsia="Times New Roman" w:hAnsi="Arial" w:cs="Arial"/>
            <w:color w:val="0E2841" w:themeColor="text2"/>
            <w:kern w:val="0"/>
            <w:sz w:val="24"/>
            <w:szCs w:val="24"/>
            <w:lang w:val="en-US" w:eastAsia="en-GB"/>
          </w:rPr>
          <w:t>https://doi.org/10.2307/2666999.</w:t>
        </w:r>
      </w:hyperlink>
      <w:r w:rsidRPr="009A2F0A">
        <w:rPr>
          <w:rFonts w:ascii="Arial" w:eastAsia="Times New Roman" w:hAnsi="Arial" w:cs="Arial"/>
          <w:color w:val="0E2841" w:themeColor="text2"/>
          <w:kern w:val="0"/>
          <w:sz w:val="24"/>
          <w:szCs w:val="24"/>
          <w:lang w:val="en-US" w:eastAsia="en-GB"/>
        </w:rPr>
        <w:t xml:space="preserve"> (Accessed: 19 February 2025).</w:t>
      </w:r>
    </w:p>
    <w:p w14:paraId="4964A2A1"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Freeman, R.E. (1984) ‘A Stakeholder Approach to Strategic Management’, </w:t>
      </w:r>
      <w:r w:rsidRPr="009A2F0A">
        <w:rPr>
          <w:rFonts w:ascii="Arial" w:eastAsia="Times New Roman" w:hAnsi="Arial" w:cs="Arial"/>
          <w:i/>
          <w:iCs/>
          <w:color w:val="0E2841" w:themeColor="text2"/>
          <w:kern w:val="0"/>
          <w:sz w:val="24"/>
          <w:szCs w:val="24"/>
          <w:lang w:val="en-US" w:eastAsia="en-GB"/>
        </w:rPr>
        <w:t>SSRN Electronic Journal</w:t>
      </w:r>
      <w:r w:rsidRPr="009A2F0A">
        <w:rPr>
          <w:rFonts w:ascii="Arial" w:eastAsia="Times New Roman" w:hAnsi="Arial" w:cs="Arial"/>
          <w:color w:val="0E2841" w:themeColor="text2"/>
          <w:kern w:val="0"/>
          <w:sz w:val="24"/>
          <w:szCs w:val="24"/>
          <w:lang w:val="en-US" w:eastAsia="en-GB"/>
        </w:rPr>
        <w:t xml:space="preserve">, 1(1). Available at: </w:t>
      </w:r>
      <w:hyperlink r:id="rId38" w:history="1">
        <w:r w:rsidRPr="009A2F0A">
          <w:rPr>
            <w:rFonts w:ascii="Arial" w:eastAsia="Times New Roman" w:hAnsi="Arial" w:cs="Arial"/>
            <w:color w:val="0E2841" w:themeColor="text2"/>
            <w:kern w:val="0"/>
            <w:sz w:val="24"/>
            <w:szCs w:val="24"/>
            <w:lang w:val="en-US" w:eastAsia="en-GB"/>
          </w:rPr>
          <w:t>https://www.researchgate.net/publication/228320877_A_Stakeholder_Approach_to_Strategic_Management</w:t>
        </w:r>
      </w:hyperlink>
      <w:r w:rsidRPr="009A2F0A">
        <w:rPr>
          <w:rFonts w:ascii="Arial" w:eastAsia="Times New Roman" w:hAnsi="Arial" w:cs="Arial"/>
          <w:color w:val="0E2841" w:themeColor="text2"/>
          <w:kern w:val="0"/>
          <w:sz w:val="24"/>
          <w:szCs w:val="24"/>
          <w:lang w:val="en-US" w:eastAsia="en-GB"/>
        </w:rPr>
        <w:t xml:space="preserve"> (Accessed: 26 February 2025).</w:t>
      </w:r>
    </w:p>
    <w:p w14:paraId="34BFC425"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Gardner, W.L. </w:t>
      </w:r>
      <w:r w:rsidRPr="009A2F0A">
        <w:rPr>
          <w:rFonts w:ascii="Arial" w:eastAsia="Times New Roman" w:hAnsi="Arial" w:cs="Arial"/>
          <w:i/>
          <w:iCs/>
          <w:color w:val="0E2841" w:themeColor="text2"/>
          <w:kern w:val="0"/>
          <w:sz w:val="24"/>
          <w:szCs w:val="24"/>
          <w:lang w:val="en-US" w:eastAsia="en-GB"/>
        </w:rPr>
        <w:t>et al.</w:t>
      </w:r>
      <w:r w:rsidRPr="009A2F0A">
        <w:rPr>
          <w:rFonts w:ascii="Arial" w:eastAsia="Times New Roman" w:hAnsi="Arial" w:cs="Arial"/>
          <w:color w:val="0E2841" w:themeColor="text2"/>
          <w:kern w:val="0"/>
          <w:sz w:val="24"/>
          <w:szCs w:val="24"/>
          <w:lang w:val="en-US" w:eastAsia="en-GB"/>
        </w:rPr>
        <w:t xml:space="preserve"> (2005) ‘“Can You See the Real me?” a self-based Model of Authentic Leader and Follower Development’, </w:t>
      </w:r>
      <w:r w:rsidRPr="009A2F0A">
        <w:rPr>
          <w:rFonts w:ascii="Arial" w:eastAsia="Times New Roman" w:hAnsi="Arial" w:cs="Arial"/>
          <w:i/>
          <w:iCs/>
          <w:color w:val="0E2841" w:themeColor="text2"/>
          <w:kern w:val="0"/>
          <w:sz w:val="24"/>
          <w:szCs w:val="24"/>
          <w:lang w:val="en-US" w:eastAsia="en-GB"/>
        </w:rPr>
        <w:t>The Leadership Quarterly</w:t>
      </w:r>
      <w:r w:rsidRPr="009A2F0A">
        <w:rPr>
          <w:rFonts w:ascii="Arial" w:eastAsia="Times New Roman" w:hAnsi="Arial" w:cs="Arial"/>
          <w:color w:val="0E2841" w:themeColor="text2"/>
          <w:kern w:val="0"/>
          <w:sz w:val="24"/>
          <w:szCs w:val="24"/>
          <w:lang w:val="en-US" w:eastAsia="en-GB"/>
        </w:rPr>
        <w:t xml:space="preserve">, 16(3), pp. 343–372. Available at: </w:t>
      </w:r>
      <w:hyperlink r:id="rId39" w:history="1">
        <w:r w:rsidRPr="009A2F0A">
          <w:rPr>
            <w:rFonts w:ascii="Arial" w:eastAsia="Times New Roman" w:hAnsi="Arial" w:cs="Arial"/>
            <w:color w:val="0E2841" w:themeColor="text2"/>
            <w:kern w:val="0"/>
            <w:sz w:val="24"/>
            <w:szCs w:val="24"/>
            <w:lang w:val="en-US" w:eastAsia="en-GB"/>
          </w:rPr>
          <w:t>https://doi.org/10.1016/j.leaqua.2005.03.003</w:t>
        </w:r>
      </w:hyperlink>
      <w:r w:rsidRPr="009A2F0A">
        <w:rPr>
          <w:rFonts w:ascii="Arial" w:eastAsia="Times New Roman" w:hAnsi="Arial" w:cs="Arial"/>
          <w:color w:val="0E2841" w:themeColor="text2"/>
          <w:kern w:val="0"/>
          <w:sz w:val="24"/>
          <w:szCs w:val="24"/>
          <w:lang w:val="en-US" w:eastAsia="en-GB"/>
        </w:rPr>
        <w:t>.</w:t>
      </w:r>
    </w:p>
    <w:p w14:paraId="3BD4881F"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Gerstner, C.R. and Day, D.V. (1997) ‘Meta-Analytic Review of Leader–member Exchange theory: Correlates and Construct issues.’, </w:t>
      </w:r>
      <w:r w:rsidRPr="009A2F0A">
        <w:rPr>
          <w:rFonts w:ascii="Arial" w:eastAsia="Times New Roman" w:hAnsi="Arial" w:cs="Arial"/>
          <w:i/>
          <w:iCs/>
          <w:color w:val="0E2841" w:themeColor="text2"/>
          <w:kern w:val="0"/>
          <w:sz w:val="24"/>
          <w:szCs w:val="24"/>
          <w:lang w:val="en-US" w:eastAsia="en-GB"/>
        </w:rPr>
        <w:t>Journal of Applied Psychology</w:t>
      </w:r>
      <w:r w:rsidRPr="009A2F0A">
        <w:rPr>
          <w:rFonts w:ascii="Arial" w:eastAsia="Times New Roman" w:hAnsi="Arial" w:cs="Arial"/>
          <w:color w:val="0E2841" w:themeColor="text2"/>
          <w:kern w:val="0"/>
          <w:sz w:val="24"/>
          <w:szCs w:val="24"/>
          <w:lang w:val="en-US" w:eastAsia="en-GB"/>
        </w:rPr>
        <w:t xml:space="preserve">, 82(6), pp. 827–844. Available at: </w:t>
      </w:r>
      <w:hyperlink r:id="rId40" w:history="1">
        <w:r w:rsidRPr="009A2F0A">
          <w:rPr>
            <w:rFonts w:ascii="Arial" w:eastAsia="Times New Roman" w:hAnsi="Arial" w:cs="Arial"/>
            <w:color w:val="0E2841" w:themeColor="text2"/>
            <w:kern w:val="0"/>
            <w:sz w:val="24"/>
            <w:szCs w:val="24"/>
            <w:lang w:val="en-US" w:eastAsia="en-GB"/>
          </w:rPr>
          <w:t>https://doi.org/10.1037/0021-9010.82.6.827</w:t>
        </w:r>
      </w:hyperlink>
      <w:r w:rsidRPr="009A2F0A">
        <w:rPr>
          <w:rFonts w:ascii="Arial" w:eastAsia="Times New Roman" w:hAnsi="Arial" w:cs="Arial"/>
          <w:color w:val="0E2841" w:themeColor="text2"/>
          <w:kern w:val="0"/>
          <w:sz w:val="24"/>
          <w:szCs w:val="24"/>
          <w:lang w:val="en-US" w:eastAsia="en-GB"/>
        </w:rPr>
        <w:t>.</w:t>
      </w:r>
    </w:p>
    <w:p w14:paraId="6376EE71"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Goleman, D. (1998) ‘The Emotional Intelligence of Leaders’, </w:t>
      </w:r>
      <w:r w:rsidRPr="009A2F0A">
        <w:rPr>
          <w:rFonts w:ascii="Arial" w:eastAsia="Times New Roman" w:hAnsi="Arial" w:cs="Arial"/>
          <w:i/>
          <w:iCs/>
          <w:color w:val="0E2841" w:themeColor="text2"/>
          <w:kern w:val="0"/>
          <w:sz w:val="24"/>
          <w:szCs w:val="24"/>
          <w:lang w:val="en-US" w:eastAsia="en-GB"/>
        </w:rPr>
        <w:t>Leader to Leader</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color w:val="0E2841" w:themeColor="text2"/>
          <w:kern w:val="0"/>
          <w:sz w:val="24"/>
          <w:szCs w:val="24"/>
          <w:lang w:val="en-US" w:eastAsia="en-GB"/>
        </w:rPr>
        <w:lastRenderedPageBreak/>
        <w:t xml:space="preserve">1998(10), pp. 20–26. Available at: </w:t>
      </w:r>
      <w:hyperlink r:id="rId41" w:history="1">
        <w:r w:rsidRPr="009A2F0A">
          <w:rPr>
            <w:rFonts w:ascii="Arial" w:eastAsia="Times New Roman" w:hAnsi="Arial" w:cs="Arial"/>
            <w:color w:val="0E2841" w:themeColor="text2"/>
            <w:kern w:val="0"/>
            <w:sz w:val="24"/>
            <w:szCs w:val="24"/>
            <w:lang w:val="en-US" w:eastAsia="en-GB"/>
          </w:rPr>
          <w:t>https://doi.org/10.1002/ltl.40619981008</w:t>
        </w:r>
      </w:hyperlink>
      <w:r w:rsidRPr="009A2F0A">
        <w:rPr>
          <w:rFonts w:ascii="Arial" w:eastAsia="Times New Roman" w:hAnsi="Arial" w:cs="Arial"/>
          <w:color w:val="0E2841" w:themeColor="text2"/>
          <w:kern w:val="0"/>
          <w:sz w:val="24"/>
          <w:szCs w:val="24"/>
          <w:lang w:val="en-US" w:eastAsia="en-GB"/>
        </w:rPr>
        <w:t>.</w:t>
      </w:r>
    </w:p>
    <w:p w14:paraId="64A65571"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Hale, M.L. (1997) ‘Leading Change’, </w:t>
      </w:r>
      <w:r w:rsidRPr="009A2F0A">
        <w:rPr>
          <w:rFonts w:ascii="Arial" w:eastAsia="Times New Roman" w:hAnsi="Arial" w:cs="Arial"/>
          <w:i/>
          <w:iCs/>
          <w:color w:val="0E2841" w:themeColor="text2"/>
          <w:kern w:val="0"/>
          <w:sz w:val="24"/>
          <w:szCs w:val="24"/>
          <w:lang w:val="en-US" w:eastAsia="en-GB"/>
        </w:rPr>
        <w:t>The Journal of Academic Librarianship</w:t>
      </w:r>
      <w:r w:rsidRPr="009A2F0A">
        <w:rPr>
          <w:rFonts w:ascii="Arial" w:eastAsia="Times New Roman" w:hAnsi="Arial" w:cs="Arial"/>
          <w:color w:val="0E2841" w:themeColor="text2"/>
          <w:kern w:val="0"/>
          <w:sz w:val="24"/>
          <w:szCs w:val="24"/>
          <w:lang w:val="en-US" w:eastAsia="en-GB"/>
        </w:rPr>
        <w:t xml:space="preserve">, 23(1), p. 56. Available at: </w:t>
      </w:r>
      <w:hyperlink r:id="rId42" w:history="1">
        <w:r w:rsidRPr="009A2F0A">
          <w:rPr>
            <w:rFonts w:ascii="Arial" w:eastAsia="Times New Roman" w:hAnsi="Arial" w:cs="Arial"/>
            <w:color w:val="0E2841" w:themeColor="text2"/>
            <w:kern w:val="0"/>
            <w:sz w:val="24"/>
            <w:szCs w:val="24"/>
            <w:lang w:val="en-US" w:eastAsia="en-GB"/>
          </w:rPr>
          <w:t>https://doi.org/10.1016/s0099-1333(97)90081-1</w:t>
        </w:r>
      </w:hyperlink>
      <w:r w:rsidRPr="009A2F0A">
        <w:rPr>
          <w:rFonts w:ascii="Arial" w:eastAsia="Times New Roman" w:hAnsi="Arial" w:cs="Arial"/>
          <w:color w:val="0E2841" w:themeColor="text2"/>
          <w:kern w:val="0"/>
          <w:sz w:val="24"/>
          <w:szCs w:val="24"/>
          <w:lang w:val="en-US" w:eastAsia="en-GB"/>
        </w:rPr>
        <w:t>.</w:t>
      </w:r>
    </w:p>
    <w:p w14:paraId="5C28BB92"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Hamilton, J. (2020) ‘How Neurodiversity is Changing Work’, </w:t>
      </w:r>
      <w:r w:rsidRPr="009A2F0A">
        <w:rPr>
          <w:rFonts w:ascii="Arial" w:eastAsia="Times New Roman" w:hAnsi="Arial" w:cs="Arial"/>
          <w:i/>
          <w:iCs/>
          <w:color w:val="0E2841" w:themeColor="text2"/>
          <w:kern w:val="0"/>
          <w:sz w:val="24"/>
          <w:szCs w:val="24"/>
          <w:lang w:val="en-US" w:eastAsia="en-GB"/>
        </w:rPr>
        <w:t>ITNOW</w:t>
      </w:r>
      <w:r w:rsidRPr="009A2F0A">
        <w:rPr>
          <w:rFonts w:ascii="Arial" w:eastAsia="Times New Roman" w:hAnsi="Arial" w:cs="Arial"/>
          <w:color w:val="0E2841" w:themeColor="text2"/>
          <w:kern w:val="0"/>
          <w:sz w:val="24"/>
          <w:szCs w:val="24"/>
          <w:lang w:val="en-US" w:eastAsia="en-GB"/>
        </w:rPr>
        <w:t xml:space="preserve">, 62(1), pp. 56–57. Available at: </w:t>
      </w:r>
      <w:hyperlink r:id="rId43" w:history="1">
        <w:r w:rsidRPr="009A2F0A">
          <w:rPr>
            <w:rFonts w:ascii="Arial" w:eastAsia="Times New Roman" w:hAnsi="Arial" w:cs="Arial"/>
            <w:color w:val="0E2841" w:themeColor="text2"/>
            <w:kern w:val="0"/>
            <w:sz w:val="24"/>
            <w:szCs w:val="24"/>
            <w:lang w:val="en-US" w:eastAsia="en-GB"/>
          </w:rPr>
          <w:t>https://doi.org/10.1093/itnow/bwaa026</w:t>
        </w:r>
      </w:hyperlink>
      <w:r w:rsidRPr="009A2F0A">
        <w:rPr>
          <w:rFonts w:ascii="Arial" w:eastAsia="Times New Roman" w:hAnsi="Arial" w:cs="Arial"/>
          <w:color w:val="0E2841" w:themeColor="text2"/>
          <w:kern w:val="0"/>
          <w:sz w:val="24"/>
          <w:szCs w:val="24"/>
          <w:lang w:val="en-US" w:eastAsia="en-GB"/>
        </w:rPr>
        <w:t>.</w:t>
      </w:r>
    </w:p>
    <w:p w14:paraId="21B0C2FB"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Harbottle, C. and Bridges, W. (1993) ‘Managing Transitions: Making the Most of Change.’, </w:t>
      </w:r>
      <w:r w:rsidRPr="009A2F0A">
        <w:rPr>
          <w:rFonts w:ascii="Arial" w:eastAsia="Times New Roman" w:hAnsi="Arial" w:cs="Arial"/>
          <w:i/>
          <w:iCs/>
          <w:color w:val="0E2841" w:themeColor="text2"/>
          <w:kern w:val="0"/>
          <w:sz w:val="24"/>
          <w:szCs w:val="24"/>
          <w:lang w:val="en-US" w:eastAsia="en-GB"/>
        </w:rPr>
        <w:t>The Journal of the Operational Research Society</w:t>
      </w:r>
      <w:r w:rsidRPr="009A2F0A">
        <w:rPr>
          <w:rFonts w:ascii="Arial" w:eastAsia="Times New Roman" w:hAnsi="Arial" w:cs="Arial"/>
          <w:color w:val="0E2841" w:themeColor="text2"/>
          <w:kern w:val="0"/>
          <w:sz w:val="24"/>
          <w:szCs w:val="24"/>
          <w:lang w:val="en-US" w:eastAsia="en-GB"/>
        </w:rPr>
        <w:t xml:space="preserve">, 44(4), p. 416. Available at: </w:t>
      </w:r>
      <w:hyperlink r:id="rId44" w:history="1">
        <w:r w:rsidRPr="009A2F0A">
          <w:rPr>
            <w:rFonts w:ascii="Arial" w:eastAsia="Times New Roman" w:hAnsi="Arial" w:cs="Arial"/>
            <w:color w:val="0E2841" w:themeColor="text2"/>
            <w:kern w:val="0"/>
            <w:sz w:val="24"/>
            <w:szCs w:val="24"/>
            <w:lang w:val="en-US" w:eastAsia="en-GB"/>
          </w:rPr>
          <w:t>https://doi.org/10.2307/2584420</w:t>
        </w:r>
      </w:hyperlink>
      <w:r w:rsidRPr="009A2F0A">
        <w:rPr>
          <w:rFonts w:ascii="Arial" w:eastAsia="Times New Roman" w:hAnsi="Arial" w:cs="Arial"/>
          <w:color w:val="0E2841" w:themeColor="text2"/>
          <w:kern w:val="0"/>
          <w:sz w:val="24"/>
          <w:szCs w:val="24"/>
          <w:lang w:val="en-US" w:eastAsia="en-GB"/>
        </w:rPr>
        <w:t>.</w:t>
      </w:r>
    </w:p>
    <w:p w14:paraId="1534E317"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Harris, S.G. (1990) ‘The Fifth discipline: the Art and Practice of the Learning organization, by Peter Senge, New York: Doubleday/Currency, 1990’, </w:t>
      </w:r>
      <w:r w:rsidRPr="009A2F0A">
        <w:rPr>
          <w:rFonts w:ascii="Arial" w:eastAsia="Times New Roman" w:hAnsi="Arial" w:cs="Arial"/>
          <w:i/>
          <w:iCs/>
          <w:color w:val="0E2841" w:themeColor="text2"/>
          <w:kern w:val="0"/>
          <w:sz w:val="24"/>
          <w:szCs w:val="24"/>
          <w:lang w:val="en-US" w:eastAsia="en-GB"/>
        </w:rPr>
        <w:t>Human Resource Management</w:t>
      </w:r>
      <w:r w:rsidRPr="009A2F0A">
        <w:rPr>
          <w:rFonts w:ascii="Arial" w:eastAsia="Times New Roman" w:hAnsi="Arial" w:cs="Arial"/>
          <w:color w:val="0E2841" w:themeColor="text2"/>
          <w:kern w:val="0"/>
          <w:sz w:val="24"/>
          <w:szCs w:val="24"/>
          <w:lang w:val="en-US" w:eastAsia="en-GB"/>
        </w:rPr>
        <w:t xml:space="preserve">, 29(3), pp. 343–348. Available at: </w:t>
      </w:r>
      <w:hyperlink r:id="rId45" w:history="1">
        <w:r w:rsidRPr="009A2F0A">
          <w:rPr>
            <w:rFonts w:ascii="Arial" w:eastAsia="Times New Roman" w:hAnsi="Arial" w:cs="Arial"/>
            <w:color w:val="0E2841" w:themeColor="text2"/>
            <w:kern w:val="0"/>
            <w:sz w:val="24"/>
            <w:szCs w:val="24"/>
            <w:lang w:val="en-US" w:eastAsia="en-GB"/>
          </w:rPr>
          <w:t>https://doi.org/10.1002/hrm.3930290308</w:t>
        </w:r>
      </w:hyperlink>
      <w:r w:rsidRPr="009A2F0A">
        <w:rPr>
          <w:rFonts w:ascii="Arial" w:eastAsia="Times New Roman" w:hAnsi="Arial" w:cs="Arial"/>
          <w:color w:val="0E2841" w:themeColor="text2"/>
          <w:kern w:val="0"/>
          <w:sz w:val="24"/>
          <w:szCs w:val="24"/>
          <w:lang w:val="en-US" w:eastAsia="en-GB"/>
        </w:rPr>
        <w:t>.</w:t>
      </w:r>
    </w:p>
    <w:p w14:paraId="28F89CE8"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Hersey, P. and Blanchard, K.H. (1969) ‘Managing Research and Development Personnel: an Application of Leadership Theory’, </w:t>
      </w:r>
      <w:r w:rsidRPr="009A2F0A">
        <w:rPr>
          <w:rFonts w:ascii="Arial" w:eastAsia="Times New Roman" w:hAnsi="Arial" w:cs="Arial"/>
          <w:i/>
          <w:iCs/>
          <w:color w:val="0E2841" w:themeColor="text2"/>
          <w:kern w:val="0"/>
          <w:sz w:val="24"/>
          <w:szCs w:val="24"/>
          <w:lang w:val="en-US" w:eastAsia="en-GB"/>
        </w:rPr>
        <w:t>Research Management</w:t>
      </w:r>
      <w:r w:rsidRPr="009A2F0A">
        <w:rPr>
          <w:rFonts w:ascii="Arial" w:eastAsia="Times New Roman" w:hAnsi="Arial" w:cs="Arial"/>
          <w:color w:val="0E2841" w:themeColor="text2"/>
          <w:kern w:val="0"/>
          <w:sz w:val="24"/>
          <w:szCs w:val="24"/>
          <w:lang w:val="en-US" w:eastAsia="en-GB"/>
        </w:rPr>
        <w:t xml:space="preserve">, 12(5), pp. 331–338. Available at: </w:t>
      </w:r>
      <w:hyperlink r:id="rId46" w:history="1">
        <w:r w:rsidRPr="009A2F0A">
          <w:rPr>
            <w:rFonts w:ascii="Arial" w:eastAsia="Times New Roman" w:hAnsi="Arial" w:cs="Arial"/>
            <w:color w:val="0E2841" w:themeColor="text2"/>
            <w:kern w:val="0"/>
            <w:sz w:val="24"/>
            <w:szCs w:val="24"/>
            <w:lang w:val="en-US" w:eastAsia="en-GB"/>
          </w:rPr>
          <w:t>https://doi.org/10.1080/00345334.1969.11755973</w:t>
        </w:r>
      </w:hyperlink>
      <w:r w:rsidRPr="009A2F0A">
        <w:rPr>
          <w:rFonts w:ascii="Arial" w:eastAsia="Times New Roman" w:hAnsi="Arial" w:cs="Arial"/>
          <w:color w:val="0E2841" w:themeColor="text2"/>
          <w:kern w:val="0"/>
          <w:sz w:val="24"/>
          <w:szCs w:val="24"/>
          <w:lang w:val="en-US" w:eastAsia="en-GB"/>
        </w:rPr>
        <w:t>.</w:t>
      </w:r>
    </w:p>
    <w:p w14:paraId="64A848EB"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Herzberg, F. (1959) ‘The Motivation to Work’, </w:t>
      </w:r>
      <w:r w:rsidRPr="009A2F0A">
        <w:rPr>
          <w:rFonts w:ascii="Arial" w:eastAsia="Times New Roman" w:hAnsi="Arial" w:cs="Arial"/>
          <w:i/>
          <w:iCs/>
          <w:color w:val="0E2841" w:themeColor="text2"/>
          <w:kern w:val="0"/>
          <w:sz w:val="24"/>
          <w:szCs w:val="24"/>
          <w:lang w:val="en-US" w:eastAsia="en-GB"/>
        </w:rPr>
        <w:t>Relations Industrielles</w:t>
      </w:r>
      <w:r w:rsidRPr="009A2F0A">
        <w:rPr>
          <w:rFonts w:ascii="Arial" w:eastAsia="Times New Roman" w:hAnsi="Arial" w:cs="Arial"/>
          <w:color w:val="0E2841" w:themeColor="text2"/>
          <w:kern w:val="0"/>
          <w:sz w:val="24"/>
          <w:szCs w:val="24"/>
          <w:lang w:val="en-US" w:eastAsia="en-GB"/>
        </w:rPr>
        <w:t>, 15(2), p. 275.</w:t>
      </w:r>
    </w:p>
    <w:p w14:paraId="27025B01"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Hoy, C. (2024) </w:t>
      </w:r>
      <w:r w:rsidRPr="009A2F0A">
        <w:rPr>
          <w:rFonts w:ascii="Arial" w:eastAsia="Times New Roman" w:hAnsi="Arial" w:cs="Arial"/>
          <w:i/>
          <w:iCs/>
          <w:color w:val="0E2841" w:themeColor="text2"/>
          <w:kern w:val="0"/>
          <w:sz w:val="24"/>
          <w:szCs w:val="24"/>
          <w:lang w:val="en-US" w:eastAsia="en-GB"/>
        </w:rPr>
        <w:t>From Learning to leadership: the Power of Community in Professional Development</w:t>
      </w:r>
      <w:r w:rsidRPr="009A2F0A">
        <w:rPr>
          <w:rFonts w:ascii="Arial" w:eastAsia="Times New Roman" w:hAnsi="Arial" w:cs="Arial"/>
          <w:color w:val="0E2841" w:themeColor="text2"/>
          <w:kern w:val="0"/>
          <w:sz w:val="24"/>
          <w:szCs w:val="24"/>
          <w:lang w:val="en-US" w:eastAsia="en-GB"/>
        </w:rPr>
        <w:t xml:space="preserve">, </w:t>
      </w:r>
      <w:r w:rsidRPr="009A2F0A">
        <w:rPr>
          <w:rFonts w:ascii="Arial" w:eastAsia="Times New Roman" w:hAnsi="Arial" w:cs="Arial"/>
          <w:i/>
          <w:iCs/>
          <w:color w:val="0E2841" w:themeColor="text2"/>
          <w:kern w:val="0"/>
          <w:sz w:val="24"/>
          <w:szCs w:val="24"/>
          <w:lang w:val="en-US" w:eastAsia="en-GB"/>
        </w:rPr>
        <w:t>www.peoplemanagement.co.uk</w:t>
      </w:r>
      <w:r w:rsidRPr="009A2F0A">
        <w:rPr>
          <w:rFonts w:ascii="Arial" w:eastAsia="Times New Roman" w:hAnsi="Arial" w:cs="Arial"/>
          <w:color w:val="0E2841" w:themeColor="text2"/>
          <w:kern w:val="0"/>
          <w:sz w:val="24"/>
          <w:szCs w:val="24"/>
          <w:lang w:val="en-US" w:eastAsia="en-GB"/>
        </w:rPr>
        <w:t xml:space="preserve">. Available at: </w:t>
      </w:r>
      <w:hyperlink r:id="rId47" w:history="1">
        <w:r w:rsidRPr="009A2F0A">
          <w:rPr>
            <w:rFonts w:ascii="Arial" w:eastAsia="Times New Roman" w:hAnsi="Arial" w:cs="Arial"/>
            <w:color w:val="0E2841" w:themeColor="text2"/>
            <w:kern w:val="0"/>
            <w:sz w:val="24"/>
            <w:szCs w:val="24"/>
            <w:lang w:val="en-US" w:eastAsia="en-GB"/>
          </w:rPr>
          <w:t>https://www.peoplemanagement.co.uk/article/1874954/learning-leadership-power-community-professional-development</w:t>
        </w:r>
      </w:hyperlink>
      <w:r w:rsidRPr="009A2F0A">
        <w:rPr>
          <w:rFonts w:ascii="Arial" w:eastAsia="Times New Roman" w:hAnsi="Arial" w:cs="Arial"/>
          <w:color w:val="0E2841" w:themeColor="text2"/>
          <w:kern w:val="0"/>
          <w:sz w:val="24"/>
          <w:szCs w:val="24"/>
          <w:lang w:val="en-US" w:eastAsia="en-GB"/>
        </w:rPr>
        <w:t xml:space="preserve"> (Accessed: 27 November 2024).</w:t>
      </w:r>
    </w:p>
    <w:p w14:paraId="206A03F7"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Hubbart, J.A. (2022) ‘Organizational Change: considering Truth and Buy-In’, </w:t>
      </w:r>
      <w:r w:rsidRPr="009A2F0A">
        <w:rPr>
          <w:rFonts w:ascii="Arial" w:eastAsia="Times New Roman" w:hAnsi="Arial" w:cs="Arial"/>
          <w:i/>
          <w:iCs/>
          <w:color w:val="0E2841" w:themeColor="text2"/>
          <w:kern w:val="0"/>
          <w:sz w:val="24"/>
          <w:szCs w:val="24"/>
          <w:lang w:val="en-US" w:eastAsia="en-GB"/>
        </w:rPr>
        <w:t>Administrative Sciences</w:t>
      </w:r>
      <w:r w:rsidRPr="009A2F0A">
        <w:rPr>
          <w:rFonts w:ascii="Arial" w:eastAsia="Times New Roman" w:hAnsi="Arial" w:cs="Arial"/>
          <w:color w:val="0E2841" w:themeColor="text2"/>
          <w:kern w:val="0"/>
          <w:sz w:val="24"/>
          <w:szCs w:val="24"/>
          <w:lang w:val="en-US" w:eastAsia="en-GB"/>
        </w:rPr>
        <w:t xml:space="preserve">, 13(1), p. 3. Available at: </w:t>
      </w:r>
      <w:hyperlink r:id="rId48" w:history="1">
        <w:r w:rsidRPr="009A2F0A">
          <w:rPr>
            <w:rFonts w:ascii="Arial" w:eastAsia="Times New Roman" w:hAnsi="Arial" w:cs="Arial"/>
            <w:color w:val="0E2841" w:themeColor="text2"/>
            <w:kern w:val="0"/>
            <w:sz w:val="24"/>
            <w:szCs w:val="24"/>
            <w:lang w:val="en-US" w:eastAsia="en-GB"/>
          </w:rPr>
          <w:t>https://doi.org/10.3390/admsci13010003</w:t>
        </w:r>
      </w:hyperlink>
      <w:r w:rsidRPr="009A2F0A">
        <w:rPr>
          <w:rFonts w:ascii="Arial" w:eastAsia="Times New Roman" w:hAnsi="Arial" w:cs="Arial"/>
          <w:color w:val="0E2841" w:themeColor="text2"/>
          <w:kern w:val="0"/>
          <w:sz w:val="24"/>
          <w:szCs w:val="24"/>
          <w:lang w:val="en-US" w:eastAsia="en-GB"/>
        </w:rPr>
        <w:t>.</w:t>
      </w:r>
    </w:p>
    <w:p w14:paraId="1E26E2F7"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Jimmieson, N.L., Peach, M. and White, K.M. (2008) ‘Utilizing the Theory of Planned Behavior to Inform Change Management’, </w:t>
      </w:r>
      <w:r w:rsidRPr="009A2F0A">
        <w:rPr>
          <w:rFonts w:ascii="Arial" w:eastAsia="Times New Roman" w:hAnsi="Arial" w:cs="Arial"/>
          <w:i/>
          <w:iCs/>
          <w:color w:val="0E2841" w:themeColor="text2"/>
          <w:kern w:val="0"/>
          <w:sz w:val="24"/>
          <w:szCs w:val="24"/>
          <w:lang w:val="en-US" w:eastAsia="en-GB"/>
        </w:rPr>
        <w:t>The Journal of Applied Behavioral Science</w:t>
      </w:r>
      <w:r w:rsidRPr="009A2F0A">
        <w:rPr>
          <w:rFonts w:ascii="Arial" w:eastAsia="Times New Roman" w:hAnsi="Arial" w:cs="Arial"/>
          <w:color w:val="0E2841" w:themeColor="text2"/>
          <w:kern w:val="0"/>
          <w:sz w:val="24"/>
          <w:szCs w:val="24"/>
          <w:lang w:val="en-US" w:eastAsia="en-GB"/>
        </w:rPr>
        <w:t xml:space="preserve">, 44(2), pp. 237–262. Available at: </w:t>
      </w:r>
      <w:hyperlink r:id="rId49" w:history="1">
        <w:r w:rsidRPr="009A2F0A">
          <w:rPr>
            <w:rFonts w:ascii="Arial" w:eastAsia="Times New Roman" w:hAnsi="Arial" w:cs="Arial"/>
            <w:color w:val="0E2841" w:themeColor="text2"/>
            <w:kern w:val="0"/>
            <w:sz w:val="24"/>
            <w:szCs w:val="24"/>
            <w:lang w:val="en-US" w:eastAsia="en-GB"/>
          </w:rPr>
          <w:t>https://doi.org/10.1177/0021886307312773</w:t>
        </w:r>
      </w:hyperlink>
      <w:r w:rsidRPr="009A2F0A">
        <w:rPr>
          <w:rFonts w:ascii="Arial" w:eastAsia="Times New Roman" w:hAnsi="Arial" w:cs="Arial"/>
          <w:color w:val="0E2841" w:themeColor="text2"/>
          <w:kern w:val="0"/>
          <w:sz w:val="24"/>
          <w:szCs w:val="24"/>
          <w:lang w:val="en-US" w:eastAsia="en-GB"/>
        </w:rPr>
        <w:t>.</w:t>
      </w:r>
    </w:p>
    <w:p w14:paraId="54DDD51A"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JOHNS, C. (1994) ‘Nuances of reflection’, </w:t>
      </w:r>
      <w:r w:rsidRPr="009A2F0A">
        <w:rPr>
          <w:rFonts w:ascii="Arial" w:eastAsia="Times New Roman" w:hAnsi="Arial" w:cs="Arial"/>
          <w:i/>
          <w:iCs/>
          <w:color w:val="0E2841" w:themeColor="text2"/>
          <w:kern w:val="0"/>
          <w:sz w:val="24"/>
          <w:szCs w:val="24"/>
          <w:lang w:val="en-US" w:eastAsia="en-GB"/>
        </w:rPr>
        <w:t>Journal of Clinical Nursing</w:t>
      </w:r>
      <w:r w:rsidRPr="009A2F0A">
        <w:rPr>
          <w:rFonts w:ascii="Arial" w:eastAsia="Times New Roman" w:hAnsi="Arial" w:cs="Arial"/>
          <w:color w:val="0E2841" w:themeColor="text2"/>
          <w:kern w:val="0"/>
          <w:sz w:val="24"/>
          <w:szCs w:val="24"/>
          <w:lang w:val="en-US" w:eastAsia="en-GB"/>
        </w:rPr>
        <w:t>, 3(2), pp. 71–</w:t>
      </w:r>
      <w:r w:rsidRPr="009A2F0A">
        <w:rPr>
          <w:rFonts w:ascii="Arial" w:eastAsia="Times New Roman" w:hAnsi="Arial" w:cs="Arial"/>
          <w:color w:val="0E2841" w:themeColor="text2"/>
          <w:kern w:val="0"/>
          <w:sz w:val="24"/>
          <w:szCs w:val="24"/>
          <w:lang w:val="en-US" w:eastAsia="en-GB"/>
        </w:rPr>
        <w:lastRenderedPageBreak/>
        <w:t xml:space="preserve">74. Available at: </w:t>
      </w:r>
      <w:hyperlink r:id="rId50" w:history="1">
        <w:r w:rsidRPr="009A2F0A">
          <w:rPr>
            <w:rFonts w:ascii="Arial" w:eastAsia="Times New Roman" w:hAnsi="Arial" w:cs="Arial"/>
            <w:color w:val="0E2841" w:themeColor="text2"/>
            <w:kern w:val="0"/>
            <w:sz w:val="24"/>
            <w:szCs w:val="24"/>
            <w:lang w:val="en-US" w:eastAsia="en-GB"/>
          </w:rPr>
          <w:t>https://doi.org/10.1111/j.1365-2702.1994.tb00364.x</w:t>
        </w:r>
      </w:hyperlink>
      <w:r w:rsidRPr="009A2F0A">
        <w:rPr>
          <w:rFonts w:ascii="Arial" w:eastAsia="Times New Roman" w:hAnsi="Arial" w:cs="Arial"/>
          <w:color w:val="0E2841" w:themeColor="text2"/>
          <w:kern w:val="0"/>
          <w:sz w:val="24"/>
          <w:szCs w:val="24"/>
          <w:lang w:val="en-US" w:eastAsia="en-GB"/>
        </w:rPr>
        <w:t>.</w:t>
      </w:r>
    </w:p>
    <w:p w14:paraId="5D452933"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Johnston, M. (2001) ‘Breaking the Code of Change’, </w:t>
      </w:r>
      <w:r w:rsidRPr="009A2F0A">
        <w:rPr>
          <w:rFonts w:ascii="Arial" w:eastAsia="Times New Roman" w:hAnsi="Arial" w:cs="Arial"/>
          <w:i/>
          <w:iCs/>
          <w:color w:val="0E2841" w:themeColor="text2"/>
          <w:kern w:val="0"/>
          <w:sz w:val="24"/>
          <w:szCs w:val="24"/>
          <w:lang w:val="en-US" w:eastAsia="en-GB"/>
        </w:rPr>
        <w:t>Long Range Planning</w:t>
      </w:r>
      <w:r w:rsidRPr="009A2F0A">
        <w:rPr>
          <w:rFonts w:ascii="Arial" w:eastAsia="Times New Roman" w:hAnsi="Arial" w:cs="Arial"/>
          <w:color w:val="0E2841" w:themeColor="text2"/>
          <w:kern w:val="0"/>
          <w:sz w:val="24"/>
          <w:szCs w:val="24"/>
          <w:lang w:val="en-US" w:eastAsia="en-GB"/>
        </w:rPr>
        <w:t xml:space="preserve">, 34(4), pp. 516–522. Available at: </w:t>
      </w:r>
      <w:hyperlink r:id="rId51" w:history="1">
        <w:r w:rsidRPr="009A2F0A">
          <w:rPr>
            <w:rFonts w:ascii="Arial" w:eastAsia="Times New Roman" w:hAnsi="Arial" w:cs="Arial"/>
            <w:color w:val="0E2841" w:themeColor="text2"/>
            <w:kern w:val="0"/>
            <w:sz w:val="24"/>
            <w:szCs w:val="24"/>
            <w:lang w:val="en-US" w:eastAsia="en-GB"/>
          </w:rPr>
          <w:t>https://doi.org/10.1016/s0024-6301(01)00065-6</w:t>
        </w:r>
      </w:hyperlink>
      <w:r w:rsidRPr="009A2F0A">
        <w:rPr>
          <w:rFonts w:ascii="Arial" w:eastAsia="Times New Roman" w:hAnsi="Arial" w:cs="Arial"/>
          <w:color w:val="0E2841" w:themeColor="text2"/>
          <w:kern w:val="0"/>
          <w:sz w:val="24"/>
          <w:szCs w:val="24"/>
          <w:lang w:val="en-US" w:eastAsia="en-GB"/>
        </w:rPr>
        <w:t>.</w:t>
      </w:r>
    </w:p>
    <w:p w14:paraId="414A72CD"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Kahn, W.A. (1990) ‘Psychological Conditions of Personal Engagement and Disengagement at Work’, </w:t>
      </w:r>
      <w:r w:rsidRPr="009A2F0A">
        <w:rPr>
          <w:rFonts w:ascii="Arial" w:eastAsia="Times New Roman" w:hAnsi="Arial" w:cs="Arial"/>
          <w:i/>
          <w:iCs/>
          <w:color w:val="0E2841" w:themeColor="text2"/>
          <w:kern w:val="0"/>
          <w:sz w:val="24"/>
          <w:szCs w:val="24"/>
          <w:lang w:val="en-US" w:eastAsia="en-GB"/>
        </w:rPr>
        <w:t>Academy of Management Journal</w:t>
      </w:r>
      <w:r w:rsidRPr="009A2F0A">
        <w:rPr>
          <w:rFonts w:ascii="Arial" w:eastAsia="Times New Roman" w:hAnsi="Arial" w:cs="Arial"/>
          <w:color w:val="0E2841" w:themeColor="text2"/>
          <w:kern w:val="0"/>
          <w:sz w:val="24"/>
          <w:szCs w:val="24"/>
          <w:lang w:val="en-US" w:eastAsia="en-GB"/>
        </w:rPr>
        <w:t xml:space="preserve">, 33(4), pp. 692–724. Available at: </w:t>
      </w:r>
      <w:hyperlink r:id="rId52" w:history="1">
        <w:r w:rsidRPr="009A2F0A">
          <w:rPr>
            <w:rFonts w:ascii="Arial" w:eastAsia="Times New Roman" w:hAnsi="Arial" w:cs="Arial"/>
            <w:color w:val="0E2841" w:themeColor="text2"/>
            <w:kern w:val="0"/>
            <w:sz w:val="24"/>
            <w:szCs w:val="24"/>
            <w:lang w:val="en-US" w:eastAsia="en-GB"/>
          </w:rPr>
          <w:t>https://doi.org/10.5465/256287</w:t>
        </w:r>
      </w:hyperlink>
      <w:r w:rsidRPr="009A2F0A">
        <w:rPr>
          <w:rFonts w:ascii="Arial" w:eastAsia="Times New Roman" w:hAnsi="Arial" w:cs="Arial"/>
          <w:color w:val="0E2841" w:themeColor="text2"/>
          <w:kern w:val="0"/>
          <w:sz w:val="24"/>
          <w:szCs w:val="24"/>
          <w:lang w:val="en-US" w:eastAsia="en-GB"/>
        </w:rPr>
        <w:t>.</w:t>
      </w:r>
    </w:p>
    <w:p w14:paraId="6023042D"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Kahneman, D. and Tversky, A. (1979) ‘Prospect theory: an Analysis of Decision under Risk’, </w:t>
      </w:r>
      <w:r w:rsidRPr="009A2F0A">
        <w:rPr>
          <w:rFonts w:ascii="Arial" w:eastAsia="Times New Roman" w:hAnsi="Arial" w:cs="Arial"/>
          <w:i/>
          <w:iCs/>
          <w:color w:val="0E2841" w:themeColor="text2"/>
          <w:kern w:val="0"/>
          <w:sz w:val="24"/>
          <w:szCs w:val="24"/>
          <w:lang w:val="en-US" w:eastAsia="en-GB"/>
        </w:rPr>
        <w:t>Econometrica</w:t>
      </w:r>
      <w:r w:rsidRPr="009A2F0A">
        <w:rPr>
          <w:rFonts w:ascii="Arial" w:eastAsia="Times New Roman" w:hAnsi="Arial" w:cs="Arial"/>
          <w:color w:val="0E2841" w:themeColor="text2"/>
          <w:kern w:val="0"/>
          <w:sz w:val="24"/>
          <w:szCs w:val="24"/>
          <w:lang w:val="en-US" w:eastAsia="en-GB"/>
        </w:rPr>
        <w:t xml:space="preserve">, 47(2), pp. 263–292. Available at: </w:t>
      </w:r>
      <w:hyperlink r:id="rId53" w:history="1">
        <w:r w:rsidRPr="009A2F0A">
          <w:rPr>
            <w:rFonts w:ascii="Arial" w:eastAsia="Times New Roman" w:hAnsi="Arial" w:cs="Arial"/>
            <w:color w:val="0E2841" w:themeColor="text2"/>
            <w:kern w:val="0"/>
            <w:sz w:val="24"/>
            <w:szCs w:val="24"/>
            <w:lang w:val="en-US" w:eastAsia="en-GB"/>
          </w:rPr>
          <w:t>https://www.jstor.org/stable/1914185</w:t>
        </w:r>
      </w:hyperlink>
      <w:r w:rsidRPr="009A2F0A">
        <w:rPr>
          <w:rFonts w:ascii="Arial" w:eastAsia="Times New Roman" w:hAnsi="Arial" w:cs="Arial"/>
          <w:color w:val="0E2841" w:themeColor="text2"/>
          <w:kern w:val="0"/>
          <w:sz w:val="24"/>
          <w:szCs w:val="24"/>
          <w:lang w:val="en-US" w:eastAsia="en-GB"/>
        </w:rPr>
        <w:t>.</w:t>
      </w:r>
    </w:p>
    <w:p w14:paraId="3A642D28"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Kaplan, R.S. and Mikes, A. (2016) ‘Risk Management   the Revealing Hand’, </w:t>
      </w:r>
      <w:r w:rsidRPr="009A2F0A">
        <w:rPr>
          <w:rFonts w:ascii="Arial" w:eastAsia="Times New Roman" w:hAnsi="Arial" w:cs="Arial"/>
          <w:i/>
          <w:iCs/>
          <w:color w:val="0E2841" w:themeColor="text2"/>
          <w:kern w:val="0"/>
          <w:sz w:val="24"/>
          <w:szCs w:val="24"/>
          <w:lang w:val="en-US" w:eastAsia="en-GB"/>
        </w:rPr>
        <w:t>SSRN Electronic Journal</w:t>
      </w:r>
      <w:r w:rsidRPr="009A2F0A">
        <w:rPr>
          <w:rFonts w:ascii="Arial" w:eastAsia="Times New Roman" w:hAnsi="Arial" w:cs="Arial"/>
          <w:color w:val="0E2841" w:themeColor="text2"/>
          <w:kern w:val="0"/>
          <w:sz w:val="24"/>
          <w:szCs w:val="24"/>
          <w:lang w:val="en-US" w:eastAsia="en-GB"/>
        </w:rPr>
        <w:t xml:space="preserve"> [Preprint]. Available at: </w:t>
      </w:r>
      <w:hyperlink r:id="rId54" w:history="1">
        <w:r w:rsidRPr="009A2F0A">
          <w:rPr>
            <w:rFonts w:ascii="Arial" w:eastAsia="Times New Roman" w:hAnsi="Arial" w:cs="Arial"/>
            <w:color w:val="0E2841" w:themeColor="text2"/>
            <w:kern w:val="0"/>
            <w:sz w:val="24"/>
            <w:szCs w:val="24"/>
            <w:lang w:val="en-US" w:eastAsia="en-GB"/>
          </w:rPr>
          <w:t>https://doi.org/10.2139/ssrn.2744133</w:t>
        </w:r>
      </w:hyperlink>
      <w:r w:rsidRPr="009A2F0A">
        <w:rPr>
          <w:rFonts w:ascii="Arial" w:eastAsia="Times New Roman" w:hAnsi="Arial" w:cs="Arial"/>
          <w:color w:val="0E2841" w:themeColor="text2"/>
          <w:kern w:val="0"/>
          <w:sz w:val="24"/>
          <w:szCs w:val="24"/>
          <w:lang w:val="en-US" w:eastAsia="en-GB"/>
        </w:rPr>
        <w:t>.</w:t>
      </w:r>
    </w:p>
    <w:p w14:paraId="30252635"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Kohlberg, L. (1973) ‘The Claim to Moral Adequacy of a Highest Stage of Moral Judgment’, </w:t>
      </w:r>
      <w:r w:rsidRPr="009A2F0A">
        <w:rPr>
          <w:rFonts w:ascii="Arial" w:eastAsia="Times New Roman" w:hAnsi="Arial" w:cs="Arial"/>
          <w:i/>
          <w:iCs/>
          <w:color w:val="0E2841" w:themeColor="text2"/>
          <w:kern w:val="0"/>
          <w:sz w:val="24"/>
          <w:szCs w:val="24"/>
          <w:lang w:val="en-US" w:eastAsia="en-GB"/>
        </w:rPr>
        <w:t>The Journal of Philosophy</w:t>
      </w:r>
      <w:r w:rsidRPr="009A2F0A">
        <w:rPr>
          <w:rFonts w:ascii="Arial" w:eastAsia="Times New Roman" w:hAnsi="Arial" w:cs="Arial"/>
          <w:color w:val="0E2841" w:themeColor="text2"/>
          <w:kern w:val="0"/>
          <w:sz w:val="24"/>
          <w:szCs w:val="24"/>
          <w:lang w:val="en-US" w:eastAsia="en-GB"/>
        </w:rPr>
        <w:t xml:space="preserve">, 70(18), p. 630. Available at: </w:t>
      </w:r>
      <w:hyperlink r:id="rId55" w:history="1">
        <w:r w:rsidRPr="009A2F0A">
          <w:rPr>
            <w:rFonts w:ascii="Arial" w:eastAsia="Times New Roman" w:hAnsi="Arial" w:cs="Arial"/>
            <w:color w:val="0E2841" w:themeColor="text2"/>
            <w:kern w:val="0"/>
            <w:sz w:val="24"/>
            <w:szCs w:val="24"/>
            <w:lang w:val="en-US" w:eastAsia="en-GB"/>
          </w:rPr>
          <w:t>https://doi.org/10.2307/2025030</w:t>
        </w:r>
      </w:hyperlink>
      <w:r w:rsidRPr="009A2F0A">
        <w:rPr>
          <w:rFonts w:ascii="Arial" w:eastAsia="Times New Roman" w:hAnsi="Arial" w:cs="Arial"/>
          <w:color w:val="0E2841" w:themeColor="text2"/>
          <w:kern w:val="0"/>
          <w:sz w:val="24"/>
          <w:szCs w:val="24"/>
          <w:lang w:val="en-US" w:eastAsia="en-GB"/>
        </w:rPr>
        <w:t>.</w:t>
      </w:r>
    </w:p>
    <w:p w14:paraId="1C378E75"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Kolb, D. (1984) ‘Experiential learning: Experience as the Source of Learning and Development’, </w:t>
      </w:r>
      <w:r w:rsidRPr="009A2F0A">
        <w:rPr>
          <w:rFonts w:ascii="Arial" w:eastAsia="Times New Roman" w:hAnsi="Arial" w:cs="Arial"/>
          <w:i/>
          <w:iCs/>
          <w:color w:val="0E2841" w:themeColor="text2"/>
          <w:kern w:val="0"/>
          <w:sz w:val="24"/>
          <w:szCs w:val="24"/>
          <w:lang w:val="en-US" w:eastAsia="en-GB"/>
        </w:rPr>
        <w:t>Journal of Organizational Behavior</w:t>
      </w:r>
      <w:r w:rsidRPr="009A2F0A">
        <w:rPr>
          <w:rFonts w:ascii="Arial" w:eastAsia="Times New Roman" w:hAnsi="Arial" w:cs="Arial"/>
          <w:color w:val="0E2841" w:themeColor="text2"/>
          <w:kern w:val="0"/>
          <w:sz w:val="24"/>
          <w:szCs w:val="24"/>
          <w:lang w:val="en-US" w:eastAsia="en-GB"/>
        </w:rPr>
        <w:t>, 8(4).</w:t>
      </w:r>
    </w:p>
    <w:p w14:paraId="1A60D1C2"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Kolb, D. (2014) </w:t>
      </w:r>
      <w:r w:rsidRPr="009A2F0A">
        <w:rPr>
          <w:rFonts w:ascii="Arial" w:eastAsia="Times New Roman" w:hAnsi="Arial" w:cs="Arial"/>
          <w:i/>
          <w:iCs/>
          <w:color w:val="0E2841" w:themeColor="text2"/>
          <w:kern w:val="0"/>
          <w:sz w:val="24"/>
          <w:szCs w:val="24"/>
          <w:lang w:val="en-US" w:eastAsia="en-GB"/>
        </w:rPr>
        <w:t>Experiential learning: Experience as the source of learning and development</w:t>
      </w:r>
      <w:r w:rsidRPr="009A2F0A">
        <w:rPr>
          <w:rFonts w:ascii="Arial" w:eastAsia="Times New Roman" w:hAnsi="Arial" w:cs="Arial"/>
          <w:color w:val="0E2841" w:themeColor="text2"/>
          <w:kern w:val="0"/>
          <w:sz w:val="24"/>
          <w:szCs w:val="24"/>
          <w:lang w:val="en-US" w:eastAsia="en-GB"/>
        </w:rPr>
        <w:t>. 2nd edn. Upper Saddle River, New Jersey: Pearson Education, Inc.</w:t>
      </w:r>
    </w:p>
    <w:p w14:paraId="0F5BBC3F"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Kotter, J. (1996) ‘Leading Change’, </w:t>
      </w:r>
      <w:r w:rsidRPr="009A2F0A">
        <w:rPr>
          <w:rFonts w:ascii="Arial" w:eastAsia="Times New Roman" w:hAnsi="Arial" w:cs="Arial"/>
          <w:i/>
          <w:iCs/>
          <w:color w:val="0E2841" w:themeColor="text2"/>
          <w:kern w:val="0"/>
          <w:sz w:val="24"/>
          <w:szCs w:val="24"/>
          <w:lang w:val="en-US" w:eastAsia="en-GB"/>
        </w:rPr>
        <w:t>Competitive Intelligence Review</w:t>
      </w:r>
      <w:r w:rsidRPr="009A2F0A">
        <w:rPr>
          <w:rFonts w:ascii="Arial" w:eastAsia="Times New Roman" w:hAnsi="Arial" w:cs="Arial"/>
          <w:color w:val="0E2841" w:themeColor="text2"/>
          <w:kern w:val="0"/>
          <w:sz w:val="24"/>
          <w:szCs w:val="24"/>
          <w:lang w:val="en-US" w:eastAsia="en-GB"/>
        </w:rPr>
        <w:t>, 8(2), pp. 259–260.</w:t>
      </w:r>
    </w:p>
    <w:p w14:paraId="4D517C47"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Kouzes, J.M. and Posner, B.Z. (2013) ‘The Leadership challenge: How to Make Extraordinary Things Happen in Organizations’, </w:t>
      </w:r>
      <w:r w:rsidRPr="009A2F0A">
        <w:rPr>
          <w:rFonts w:ascii="Arial" w:eastAsia="Times New Roman" w:hAnsi="Arial" w:cs="Arial"/>
          <w:i/>
          <w:iCs/>
          <w:color w:val="0E2841" w:themeColor="text2"/>
          <w:kern w:val="0"/>
          <w:sz w:val="24"/>
          <w:szCs w:val="24"/>
          <w:lang w:val="en-US" w:eastAsia="en-GB"/>
        </w:rPr>
        <w:t>Choice Reviews Online</w:t>
      </w:r>
      <w:r w:rsidRPr="009A2F0A">
        <w:rPr>
          <w:rFonts w:ascii="Arial" w:eastAsia="Times New Roman" w:hAnsi="Arial" w:cs="Arial"/>
          <w:color w:val="0E2841" w:themeColor="text2"/>
          <w:kern w:val="0"/>
          <w:sz w:val="24"/>
          <w:szCs w:val="24"/>
          <w:lang w:val="en-US" w:eastAsia="en-GB"/>
        </w:rPr>
        <w:t xml:space="preserve">, 50(05), pp. 50–275950–2759. Available at: </w:t>
      </w:r>
      <w:hyperlink r:id="rId56" w:history="1">
        <w:r w:rsidRPr="009A2F0A">
          <w:rPr>
            <w:rFonts w:ascii="Arial" w:eastAsia="Times New Roman" w:hAnsi="Arial" w:cs="Arial"/>
            <w:color w:val="0E2841" w:themeColor="text2"/>
            <w:kern w:val="0"/>
            <w:sz w:val="24"/>
            <w:szCs w:val="24"/>
            <w:lang w:val="en-US" w:eastAsia="en-GB"/>
          </w:rPr>
          <w:t>https://doi.org/10.5860/choice.50-2759</w:t>
        </w:r>
      </w:hyperlink>
      <w:r w:rsidRPr="009A2F0A">
        <w:rPr>
          <w:rFonts w:ascii="Arial" w:eastAsia="Times New Roman" w:hAnsi="Arial" w:cs="Arial"/>
          <w:color w:val="0E2841" w:themeColor="text2"/>
          <w:kern w:val="0"/>
          <w:sz w:val="24"/>
          <w:szCs w:val="24"/>
          <w:lang w:val="en-US" w:eastAsia="en-GB"/>
        </w:rPr>
        <w:t>.</w:t>
      </w:r>
    </w:p>
    <w:p w14:paraId="4A197CE5"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Lewin, K., Lippitt, R. and White, R.K. (1939) ‘Patterns of Aggressive Behavior in Experimentally Created “Social Climates”’, </w:t>
      </w:r>
      <w:r w:rsidRPr="009A2F0A">
        <w:rPr>
          <w:rFonts w:ascii="Arial" w:eastAsia="Times New Roman" w:hAnsi="Arial" w:cs="Arial"/>
          <w:i/>
          <w:iCs/>
          <w:color w:val="0E2841" w:themeColor="text2"/>
          <w:kern w:val="0"/>
          <w:sz w:val="24"/>
          <w:szCs w:val="24"/>
          <w:lang w:val="en-US" w:eastAsia="en-GB"/>
        </w:rPr>
        <w:t>The Journal of Social Psychology</w:t>
      </w:r>
      <w:r w:rsidRPr="009A2F0A">
        <w:rPr>
          <w:rFonts w:ascii="Arial" w:eastAsia="Times New Roman" w:hAnsi="Arial" w:cs="Arial"/>
          <w:color w:val="0E2841" w:themeColor="text2"/>
          <w:kern w:val="0"/>
          <w:sz w:val="24"/>
          <w:szCs w:val="24"/>
          <w:lang w:val="en-US" w:eastAsia="en-GB"/>
        </w:rPr>
        <w:t>, 10(2), pp. 271–299.</w:t>
      </w:r>
    </w:p>
    <w:p w14:paraId="4ED93382"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Luthans, F., Youssef, C.M. and Avolio, B.J. (2006) </w:t>
      </w:r>
      <w:r w:rsidRPr="009A2F0A">
        <w:rPr>
          <w:rFonts w:ascii="Arial" w:eastAsia="Times New Roman" w:hAnsi="Arial" w:cs="Arial"/>
          <w:i/>
          <w:iCs/>
          <w:color w:val="0E2841" w:themeColor="text2"/>
          <w:kern w:val="0"/>
          <w:sz w:val="24"/>
          <w:szCs w:val="24"/>
          <w:lang w:val="en-US" w:eastAsia="en-GB"/>
        </w:rPr>
        <w:t xml:space="preserve">Psychological capital: Developing </w:t>
      </w:r>
      <w:r w:rsidRPr="009A2F0A">
        <w:rPr>
          <w:rFonts w:ascii="Arial" w:eastAsia="Times New Roman" w:hAnsi="Arial" w:cs="Arial"/>
          <w:i/>
          <w:iCs/>
          <w:color w:val="0E2841" w:themeColor="text2"/>
          <w:kern w:val="0"/>
          <w:sz w:val="24"/>
          <w:szCs w:val="24"/>
          <w:lang w:val="en-US" w:eastAsia="en-GB"/>
        </w:rPr>
        <w:lastRenderedPageBreak/>
        <w:t>the Human Competitive Edge</w:t>
      </w:r>
      <w:r w:rsidRPr="009A2F0A">
        <w:rPr>
          <w:rFonts w:ascii="Arial" w:eastAsia="Times New Roman" w:hAnsi="Arial" w:cs="Arial"/>
          <w:color w:val="0E2841" w:themeColor="text2"/>
          <w:kern w:val="0"/>
          <w:sz w:val="24"/>
          <w:szCs w:val="24"/>
          <w:lang w:val="en-US" w:eastAsia="en-GB"/>
        </w:rPr>
        <w:t>. Oxford: Oxford University Press, pp. 360–489.</w:t>
      </w:r>
    </w:p>
    <w:p w14:paraId="7D99E5A7"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Miller, B. and Morris, R.G. (2016) ‘Virtual Peer Effects in Social Learning Theory’, </w:t>
      </w:r>
      <w:r w:rsidRPr="009A2F0A">
        <w:rPr>
          <w:rFonts w:ascii="Arial" w:eastAsia="Times New Roman" w:hAnsi="Arial" w:cs="Arial"/>
          <w:i/>
          <w:iCs/>
          <w:color w:val="0E2841" w:themeColor="text2"/>
          <w:kern w:val="0"/>
          <w:sz w:val="24"/>
          <w:szCs w:val="24"/>
          <w:lang w:val="en-US" w:eastAsia="en-GB"/>
        </w:rPr>
        <w:t>Crime &amp; Delinquency</w:t>
      </w:r>
      <w:r w:rsidRPr="009A2F0A">
        <w:rPr>
          <w:rFonts w:ascii="Arial" w:eastAsia="Times New Roman" w:hAnsi="Arial" w:cs="Arial"/>
          <w:color w:val="0E2841" w:themeColor="text2"/>
          <w:kern w:val="0"/>
          <w:sz w:val="24"/>
          <w:szCs w:val="24"/>
          <w:lang w:val="en-US" w:eastAsia="en-GB"/>
        </w:rPr>
        <w:t xml:space="preserve">, 62(12), pp. 1543–1569. Available at: </w:t>
      </w:r>
      <w:hyperlink r:id="rId57" w:history="1">
        <w:r w:rsidRPr="009A2F0A">
          <w:rPr>
            <w:rFonts w:ascii="Arial" w:eastAsia="Times New Roman" w:hAnsi="Arial" w:cs="Arial"/>
            <w:color w:val="0E2841" w:themeColor="text2"/>
            <w:kern w:val="0"/>
            <w:sz w:val="24"/>
            <w:szCs w:val="24"/>
            <w:lang w:val="en-US" w:eastAsia="en-GB"/>
          </w:rPr>
          <w:t>https://doi.org/10.1177/0011128714526499</w:t>
        </w:r>
      </w:hyperlink>
      <w:r w:rsidRPr="009A2F0A">
        <w:rPr>
          <w:rFonts w:ascii="Arial" w:eastAsia="Times New Roman" w:hAnsi="Arial" w:cs="Arial"/>
          <w:color w:val="0E2841" w:themeColor="text2"/>
          <w:kern w:val="0"/>
          <w:sz w:val="24"/>
          <w:szCs w:val="24"/>
          <w:lang w:val="en-US" w:eastAsia="en-GB"/>
        </w:rPr>
        <w:t>.</w:t>
      </w:r>
    </w:p>
    <w:p w14:paraId="140C394C"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Morrison, E.W. (2011) ‘Employee Voice Behavior: Integration and Directions for Future Research’, </w:t>
      </w:r>
      <w:r w:rsidRPr="009A2F0A">
        <w:rPr>
          <w:rFonts w:ascii="Arial" w:eastAsia="Times New Roman" w:hAnsi="Arial" w:cs="Arial"/>
          <w:i/>
          <w:iCs/>
          <w:color w:val="0E2841" w:themeColor="text2"/>
          <w:kern w:val="0"/>
          <w:sz w:val="24"/>
          <w:szCs w:val="24"/>
          <w:lang w:val="en-US" w:eastAsia="en-GB"/>
        </w:rPr>
        <w:t>Academy of Management Annals</w:t>
      </w:r>
      <w:r w:rsidRPr="009A2F0A">
        <w:rPr>
          <w:rFonts w:ascii="Arial" w:eastAsia="Times New Roman" w:hAnsi="Arial" w:cs="Arial"/>
          <w:color w:val="0E2841" w:themeColor="text2"/>
          <w:kern w:val="0"/>
          <w:sz w:val="24"/>
          <w:szCs w:val="24"/>
          <w:lang w:val="en-US" w:eastAsia="en-GB"/>
        </w:rPr>
        <w:t xml:space="preserve">, 5(1), pp. 373–412. Available at: </w:t>
      </w:r>
      <w:hyperlink r:id="rId58" w:history="1">
        <w:r w:rsidRPr="009A2F0A">
          <w:rPr>
            <w:rFonts w:ascii="Arial" w:eastAsia="Times New Roman" w:hAnsi="Arial" w:cs="Arial"/>
            <w:color w:val="0E2841" w:themeColor="text2"/>
            <w:kern w:val="0"/>
            <w:sz w:val="24"/>
            <w:szCs w:val="24"/>
            <w:lang w:val="en-US" w:eastAsia="en-GB"/>
          </w:rPr>
          <w:t>https://doi.org/10.5465/19416520.2011.574506</w:t>
        </w:r>
      </w:hyperlink>
      <w:r w:rsidRPr="009A2F0A">
        <w:rPr>
          <w:rFonts w:ascii="Arial" w:eastAsia="Times New Roman" w:hAnsi="Arial" w:cs="Arial"/>
          <w:color w:val="0E2841" w:themeColor="text2"/>
          <w:kern w:val="0"/>
          <w:sz w:val="24"/>
          <w:szCs w:val="24"/>
          <w:lang w:val="en-US" w:eastAsia="en-GB"/>
        </w:rPr>
        <w:t>.</w:t>
      </w:r>
    </w:p>
    <w:p w14:paraId="33FED561"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Mulvey, R. (2013) ‘How to Be a Good professional: Existentialist Continuing Professional Development (CPD)’, </w:t>
      </w:r>
      <w:r w:rsidRPr="009A2F0A">
        <w:rPr>
          <w:rFonts w:ascii="Arial" w:eastAsia="Times New Roman" w:hAnsi="Arial" w:cs="Arial"/>
          <w:i/>
          <w:iCs/>
          <w:color w:val="0E2841" w:themeColor="text2"/>
          <w:kern w:val="0"/>
          <w:sz w:val="24"/>
          <w:szCs w:val="24"/>
          <w:lang w:val="en-US" w:eastAsia="en-GB"/>
        </w:rPr>
        <w:t>British Journal of Guidance &amp; Counselling</w:t>
      </w:r>
      <w:r w:rsidRPr="009A2F0A">
        <w:rPr>
          <w:rFonts w:ascii="Arial" w:eastAsia="Times New Roman" w:hAnsi="Arial" w:cs="Arial"/>
          <w:color w:val="0E2841" w:themeColor="text2"/>
          <w:kern w:val="0"/>
          <w:sz w:val="24"/>
          <w:szCs w:val="24"/>
          <w:lang w:val="en-US" w:eastAsia="en-GB"/>
        </w:rPr>
        <w:t xml:space="preserve">, 41(3), pp. 267–276. Available at: </w:t>
      </w:r>
      <w:hyperlink r:id="rId59" w:history="1">
        <w:r w:rsidRPr="009A2F0A">
          <w:rPr>
            <w:rFonts w:ascii="Arial" w:eastAsia="Times New Roman" w:hAnsi="Arial" w:cs="Arial"/>
            <w:color w:val="0E2841" w:themeColor="text2"/>
            <w:kern w:val="0"/>
            <w:sz w:val="24"/>
            <w:szCs w:val="24"/>
            <w:lang w:val="en-US" w:eastAsia="en-GB"/>
          </w:rPr>
          <w:t>https://doi.org/10.1080/03069885.2013.773961</w:t>
        </w:r>
      </w:hyperlink>
      <w:r w:rsidRPr="009A2F0A">
        <w:rPr>
          <w:rFonts w:ascii="Arial" w:eastAsia="Times New Roman" w:hAnsi="Arial" w:cs="Arial"/>
          <w:color w:val="0E2841" w:themeColor="text2"/>
          <w:kern w:val="0"/>
          <w:sz w:val="24"/>
          <w:szCs w:val="24"/>
          <w:lang w:val="en-US" w:eastAsia="en-GB"/>
        </w:rPr>
        <w:t>.</w:t>
      </w:r>
    </w:p>
    <w:p w14:paraId="524CA9A0"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Mumford, A. and Honey, P. (2017) ‘Developing Skills for Matrix Management’, </w:t>
      </w:r>
      <w:r w:rsidRPr="009A2F0A">
        <w:rPr>
          <w:rFonts w:ascii="Arial" w:eastAsia="Times New Roman" w:hAnsi="Arial" w:cs="Arial"/>
          <w:i/>
          <w:iCs/>
          <w:color w:val="0E2841" w:themeColor="text2"/>
          <w:kern w:val="0"/>
          <w:sz w:val="24"/>
          <w:szCs w:val="24"/>
          <w:lang w:val="en-US" w:eastAsia="en-GB"/>
        </w:rPr>
        <w:t>Industrial and Commercial Training</w:t>
      </w:r>
      <w:r w:rsidRPr="009A2F0A">
        <w:rPr>
          <w:rFonts w:ascii="Arial" w:eastAsia="Times New Roman" w:hAnsi="Arial" w:cs="Arial"/>
          <w:color w:val="0E2841" w:themeColor="text2"/>
          <w:kern w:val="0"/>
          <w:sz w:val="24"/>
          <w:szCs w:val="24"/>
          <w:lang w:val="en-US" w:eastAsia="en-GB"/>
        </w:rPr>
        <w:t xml:space="preserve">, 18(5), pp. 2–7. Available at: </w:t>
      </w:r>
      <w:hyperlink r:id="rId60" w:history="1">
        <w:r w:rsidRPr="009A2F0A">
          <w:rPr>
            <w:rFonts w:ascii="Arial" w:eastAsia="Times New Roman" w:hAnsi="Arial" w:cs="Arial"/>
            <w:color w:val="0E2841" w:themeColor="text2"/>
            <w:kern w:val="0"/>
            <w:sz w:val="24"/>
            <w:szCs w:val="24"/>
            <w:lang w:val="en-US" w:eastAsia="en-GB"/>
          </w:rPr>
          <w:t>https://doi.org/10.1108/eb004043</w:t>
        </w:r>
      </w:hyperlink>
      <w:r w:rsidRPr="009A2F0A">
        <w:rPr>
          <w:rFonts w:ascii="Arial" w:eastAsia="Times New Roman" w:hAnsi="Arial" w:cs="Arial"/>
          <w:color w:val="0E2841" w:themeColor="text2"/>
          <w:kern w:val="0"/>
          <w:sz w:val="24"/>
          <w:szCs w:val="24"/>
          <w:lang w:val="en-US" w:eastAsia="en-GB"/>
        </w:rPr>
        <w:t>.</w:t>
      </w:r>
    </w:p>
    <w:p w14:paraId="62145296"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Nguyen, N. (2021) ‘The Fearless Organization: Creating Psychological Safety in the Workplace for Learning, Innovation, and Growth’, </w:t>
      </w:r>
      <w:r w:rsidRPr="009A2F0A">
        <w:rPr>
          <w:rFonts w:ascii="Arial" w:eastAsia="Times New Roman" w:hAnsi="Arial" w:cs="Arial"/>
          <w:i/>
          <w:iCs/>
          <w:color w:val="0E2841" w:themeColor="text2"/>
          <w:kern w:val="0"/>
          <w:sz w:val="24"/>
          <w:szCs w:val="24"/>
          <w:lang w:val="en-US" w:eastAsia="en-GB"/>
        </w:rPr>
        <w:t>The Learning Organization</w:t>
      </w:r>
      <w:r w:rsidRPr="009A2F0A">
        <w:rPr>
          <w:rFonts w:ascii="Arial" w:eastAsia="Times New Roman" w:hAnsi="Arial" w:cs="Arial"/>
          <w:color w:val="0E2841" w:themeColor="text2"/>
          <w:kern w:val="0"/>
          <w:sz w:val="24"/>
          <w:szCs w:val="24"/>
          <w:lang w:val="en-US" w:eastAsia="en-GB"/>
        </w:rPr>
        <w:t xml:space="preserve">, 28(3), pp. 321–323. Available at: </w:t>
      </w:r>
      <w:hyperlink r:id="rId61" w:history="1">
        <w:r w:rsidRPr="009A2F0A">
          <w:rPr>
            <w:rFonts w:ascii="Arial" w:eastAsia="Times New Roman" w:hAnsi="Arial" w:cs="Arial"/>
            <w:color w:val="0E2841" w:themeColor="text2"/>
            <w:kern w:val="0"/>
            <w:sz w:val="24"/>
            <w:szCs w:val="24"/>
            <w:lang w:val="en-US" w:eastAsia="en-GB"/>
          </w:rPr>
          <w:t>https://doi.org/10.1108/tlo-04-2021-266</w:t>
        </w:r>
      </w:hyperlink>
      <w:r w:rsidRPr="009A2F0A">
        <w:rPr>
          <w:rFonts w:ascii="Arial" w:eastAsia="Times New Roman" w:hAnsi="Arial" w:cs="Arial"/>
          <w:color w:val="0E2841" w:themeColor="text2"/>
          <w:kern w:val="0"/>
          <w:sz w:val="24"/>
          <w:szCs w:val="24"/>
          <w:lang w:val="en-US" w:eastAsia="en-GB"/>
        </w:rPr>
        <w:t>.</w:t>
      </w:r>
    </w:p>
    <w:p w14:paraId="40B1412C"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Northouse, P. (2021) ‘Leadership: Theory and Practice’, </w:t>
      </w:r>
      <w:r w:rsidRPr="009A2F0A">
        <w:rPr>
          <w:rFonts w:ascii="Arial" w:eastAsia="Times New Roman" w:hAnsi="Arial" w:cs="Arial"/>
          <w:i/>
          <w:iCs/>
          <w:color w:val="0E2841" w:themeColor="text2"/>
          <w:kern w:val="0"/>
          <w:sz w:val="24"/>
          <w:szCs w:val="24"/>
          <w:lang w:val="en-US" w:eastAsia="en-GB"/>
        </w:rPr>
        <w:t>The Leadership Quarterly</w:t>
      </w:r>
      <w:r w:rsidRPr="009A2F0A">
        <w:rPr>
          <w:rFonts w:ascii="Arial" w:eastAsia="Times New Roman" w:hAnsi="Arial" w:cs="Arial"/>
          <w:color w:val="0E2841" w:themeColor="text2"/>
          <w:kern w:val="0"/>
          <w:sz w:val="24"/>
          <w:szCs w:val="24"/>
          <w:lang w:val="en-US" w:eastAsia="en-GB"/>
        </w:rPr>
        <w:t xml:space="preserve">, 9(4), pp. 530–533. Available at: </w:t>
      </w:r>
      <w:hyperlink r:id="rId62" w:history="1">
        <w:r w:rsidRPr="009A2F0A">
          <w:rPr>
            <w:rFonts w:ascii="Arial" w:eastAsia="Times New Roman" w:hAnsi="Arial" w:cs="Arial"/>
            <w:color w:val="0E2841" w:themeColor="text2"/>
            <w:kern w:val="0"/>
            <w:sz w:val="24"/>
            <w:szCs w:val="24"/>
            <w:lang w:val="en-US" w:eastAsia="en-GB"/>
          </w:rPr>
          <w:t>https://doi.org/10.1016/s1048-9843(98)90015-7</w:t>
        </w:r>
      </w:hyperlink>
      <w:r w:rsidRPr="009A2F0A">
        <w:rPr>
          <w:rFonts w:ascii="Arial" w:eastAsia="Times New Roman" w:hAnsi="Arial" w:cs="Arial"/>
          <w:color w:val="0E2841" w:themeColor="text2"/>
          <w:kern w:val="0"/>
          <w:sz w:val="24"/>
          <w:szCs w:val="24"/>
          <w:lang w:val="en-US" w:eastAsia="en-GB"/>
        </w:rPr>
        <w:t>.</w:t>
      </w:r>
    </w:p>
    <w:p w14:paraId="6B1E1869"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Norton, J. (2010) ‘Interview with Michael Armstrong, Co</w:t>
      </w:r>
      <w:r w:rsidRPr="009A2F0A">
        <w:rPr>
          <w:rFonts w:ascii="Cambria Math" w:eastAsia="Times New Roman" w:hAnsi="Cambria Math" w:cs="Cambria Math"/>
          <w:color w:val="0E2841" w:themeColor="text2"/>
          <w:kern w:val="0"/>
          <w:sz w:val="24"/>
          <w:szCs w:val="24"/>
          <w:lang w:val="en-US" w:eastAsia="en-GB"/>
        </w:rPr>
        <w:t>‐</w:t>
      </w:r>
      <w:r w:rsidRPr="009A2F0A">
        <w:rPr>
          <w:rFonts w:ascii="Arial" w:eastAsia="Times New Roman" w:hAnsi="Arial" w:cs="Arial"/>
          <w:color w:val="0E2841" w:themeColor="text2"/>
          <w:kern w:val="0"/>
          <w:sz w:val="24"/>
          <w:szCs w:val="24"/>
          <w:lang w:val="en-US" w:eastAsia="en-GB"/>
        </w:rPr>
        <w:t xml:space="preserve">author of Evidence Based Reward Management’, </w:t>
      </w:r>
      <w:r w:rsidRPr="009A2F0A">
        <w:rPr>
          <w:rFonts w:ascii="Arial" w:eastAsia="Times New Roman" w:hAnsi="Arial" w:cs="Arial"/>
          <w:i/>
          <w:iCs/>
          <w:color w:val="0E2841" w:themeColor="text2"/>
          <w:kern w:val="0"/>
          <w:sz w:val="24"/>
          <w:szCs w:val="24"/>
          <w:lang w:val="en-US" w:eastAsia="en-GB"/>
        </w:rPr>
        <w:t>Human Resource Management International Digest</w:t>
      </w:r>
      <w:r w:rsidRPr="009A2F0A">
        <w:rPr>
          <w:rFonts w:ascii="Arial" w:eastAsia="Times New Roman" w:hAnsi="Arial" w:cs="Arial"/>
          <w:color w:val="0E2841" w:themeColor="text2"/>
          <w:kern w:val="0"/>
          <w:sz w:val="24"/>
          <w:szCs w:val="24"/>
          <w:lang w:val="en-US" w:eastAsia="en-GB"/>
        </w:rPr>
        <w:t xml:space="preserve">, 18(7), pp. 41–43. Available at: </w:t>
      </w:r>
      <w:hyperlink r:id="rId63" w:history="1">
        <w:r w:rsidRPr="009A2F0A">
          <w:rPr>
            <w:rFonts w:ascii="Arial" w:eastAsia="Times New Roman" w:hAnsi="Arial" w:cs="Arial"/>
            <w:color w:val="0E2841" w:themeColor="text2"/>
            <w:kern w:val="0"/>
            <w:sz w:val="24"/>
            <w:szCs w:val="24"/>
            <w:lang w:val="en-US" w:eastAsia="en-GB"/>
          </w:rPr>
          <w:t>https://doi.org/10.1108/09670731011083833</w:t>
        </w:r>
      </w:hyperlink>
      <w:r w:rsidRPr="009A2F0A">
        <w:rPr>
          <w:rFonts w:ascii="Arial" w:eastAsia="Times New Roman" w:hAnsi="Arial" w:cs="Arial"/>
          <w:color w:val="0E2841" w:themeColor="text2"/>
          <w:kern w:val="0"/>
          <w:sz w:val="24"/>
          <w:szCs w:val="24"/>
          <w:lang w:val="en-US" w:eastAsia="en-GB"/>
        </w:rPr>
        <w:t>.</w:t>
      </w:r>
    </w:p>
    <w:p w14:paraId="7C9B75C4"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O’BOYLE JR., E. and AGUINIS, H. (2012) ‘THE BEST AND THE REST: REVISITING THE NORM OF NORMALITY OF INDIVIDUAL PERFORMANCE’, </w:t>
      </w:r>
      <w:r w:rsidRPr="009A2F0A">
        <w:rPr>
          <w:rFonts w:ascii="Arial" w:eastAsia="Times New Roman" w:hAnsi="Arial" w:cs="Arial"/>
          <w:i/>
          <w:iCs/>
          <w:color w:val="0E2841" w:themeColor="text2"/>
          <w:kern w:val="0"/>
          <w:sz w:val="24"/>
          <w:szCs w:val="24"/>
          <w:lang w:val="en-US" w:eastAsia="en-GB"/>
        </w:rPr>
        <w:t>Personnel Psychology</w:t>
      </w:r>
      <w:r w:rsidRPr="009A2F0A">
        <w:rPr>
          <w:rFonts w:ascii="Arial" w:eastAsia="Times New Roman" w:hAnsi="Arial" w:cs="Arial"/>
          <w:color w:val="0E2841" w:themeColor="text2"/>
          <w:kern w:val="0"/>
          <w:sz w:val="24"/>
          <w:szCs w:val="24"/>
          <w:lang w:val="en-US" w:eastAsia="en-GB"/>
        </w:rPr>
        <w:t xml:space="preserve">, 65(1), pp. 79–119. Available at: </w:t>
      </w:r>
      <w:hyperlink r:id="rId64" w:history="1">
        <w:r w:rsidRPr="009A2F0A">
          <w:rPr>
            <w:rFonts w:ascii="Arial" w:eastAsia="Times New Roman" w:hAnsi="Arial" w:cs="Arial"/>
            <w:color w:val="0E2841" w:themeColor="text2"/>
            <w:kern w:val="0"/>
            <w:sz w:val="24"/>
            <w:szCs w:val="24"/>
            <w:lang w:val="en-US" w:eastAsia="en-GB"/>
          </w:rPr>
          <w:t>https://doi.org/10.1111/j.1744-6570.2011.01239.x</w:t>
        </w:r>
      </w:hyperlink>
      <w:r w:rsidRPr="009A2F0A">
        <w:rPr>
          <w:rFonts w:ascii="Arial" w:eastAsia="Times New Roman" w:hAnsi="Arial" w:cs="Arial"/>
          <w:color w:val="0E2841" w:themeColor="text2"/>
          <w:kern w:val="0"/>
          <w:sz w:val="24"/>
          <w:szCs w:val="24"/>
          <w:lang w:val="en-US" w:eastAsia="en-GB"/>
        </w:rPr>
        <w:t>.</w:t>
      </w:r>
    </w:p>
    <w:p w14:paraId="7301E9B2"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Paul, R.J. and Ebadi, Y.M. (1989) ‘Leadership Decision Making in a Service organization: a Field Test of the Vroom-Yetton Model’, </w:t>
      </w:r>
      <w:r w:rsidRPr="009A2F0A">
        <w:rPr>
          <w:rFonts w:ascii="Arial" w:eastAsia="Times New Roman" w:hAnsi="Arial" w:cs="Arial"/>
          <w:i/>
          <w:iCs/>
          <w:color w:val="0E2841" w:themeColor="text2"/>
          <w:kern w:val="0"/>
          <w:sz w:val="24"/>
          <w:szCs w:val="24"/>
          <w:lang w:val="en-US" w:eastAsia="en-GB"/>
        </w:rPr>
        <w:t>Journal of Occupational Psychology</w:t>
      </w:r>
      <w:r w:rsidRPr="009A2F0A">
        <w:rPr>
          <w:rFonts w:ascii="Arial" w:eastAsia="Times New Roman" w:hAnsi="Arial" w:cs="Arial"/>
          <w:color w:val="0E2841" w:themeColor="text2"/>
          <w:kern w:val="0"/>
          <w:sz w:val="24"/>
          <w:szCs w:val="24"/>
          <w:lang w:val="en-US" w:eastAsia="en-GB"/>
        </w:rPr>
        <w:t xml:space="preserve">, 62(3), pp. 201–211. Available at: </w:t>
      </w:r>
      <w:hyperlink r:id="rId65" w:history="1">
        <w:r w:rsidRPr="009A2F0A">
          <w:rPr>
            <w:rFonts w:ascii="Arial" w:eastAsia="Times New Roman" w:hAnsi="Arial" w:cs="Arial"/>
            <w:color w:val="0E2841" w:themeColor="text2"/>
            <w:kern w:val="0"/>
            <w:sz w:val="24"/>
            <w:szCs w:val="24"/>
            <w:lang w:val="en-US" w:eastAsia="en-GB"/>
          </w:rPr>
          <w:t>https://doi.org/10.1111/j.2044-</w:t>
        </w:r>
        <w:r w:rsidRPr="009A2F0A">
          <w:rPr>
            <w:rFonts w:ascii="Arial" w:eastAsia="Times New Roman" w:hAnsi="Arial" w:cs="Arial"/>
            <w:color w:val="0E2841" w:themeColor="text2"/>
            <w:kern w:val="0"/>
            <w:sz w:val="24"/>
            <w:szCs w:val="24"/>
            <w:lang w:val="en-US" w:eastAsia="en-GB"/>
          </w:rPr>
          <w:lastRenderedPageBreak/>
          <w:t>8325.1989.tb00492.x</w:t>
        </w:r>
      </w:hyperlink>
      <w:r w:rsidRPr="009A2F0A">
        <w:rPr>
          <w:rFonts w:ascii="Arial" w:eastAsia="Times New Roman" w:hAnsi="Arial" w:cs="Arial"/>
          <w:color w:val="0E2841" w:themeColor="text2"/>
          <w:kern w:val="0"/>
          <w:sz w:val="24"/>
          <w:szCs w:val="24"/>
          <w:lang w:val="en-US" w:eastAsia="en-GB"/>
        </w:rPr>
        <w:t>.</w:t>
      </w:r>
    </w:p>
    <w:p w14:paraId="2B6F377E"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Prokosch, H.-U. ., Ganslandt, T. and Šuc, J. (2019) ‘Applicability of Lewin´s Change Management Model in a Hospital Setting’, </w:t>
      </w:r>
      <w:r w:rsidRPr="009A2F0A">
        <w:rPr>
          <w:rFonts w:ascii="Arial" w:eastAsia="Times New Roman" w:hAnsi="Arial" w:cs="Arial"/>
          <w:i/>
          <w:iCs/>
          <w:color w:val="0E2841" w:themeColor="text2"/>
          <w:kern w:val="0"/>
          <w:sz w:val="24"/>
          <w:szCs w:val="24"/>
          <w:lang w:val="en-US" w:eastAsia="en-GB"/>
        </w:rPr>
        <w:t>Methods of Information in Medicine</w:t>
      </w:r>
      <w:r w:rsidRPr="009A2F0A">
        <w:rPr>
          <w:rFonts w:ascii="Arial" w:eastAsia="Times New Roman" w:hAnsi="Arial" w:cs="Arial"/>
          <w:color w:val="0E2841" w:themeColor="text2"/>
          <w:kern w:val="0"/>
          <w:sz w:val="24"/>
          <w:szCs w:val="24"/>
          <w:lang w:val="en-US" w:eastAsia="en-GB"/>
        </w:rPr>
        <w:t>, 48(05), pp. 419–428.</w:t>
      </w:r>
    </w:p>
    <w:p w14:paraId="64B0B0EA"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Schein, E.H. (1986) ‘Organizational Culture and Leadership’, </w:t>
      </w:r>
      <w:r w:rsidRPr="009A2F0A">
        <w:rPr>
          <w:rFonts w:ascii="Arial" w:eastAsia="Times New Roman" w:hAnsi="Arial" w:cs="Arial"/>
          <w:i/>
          <w:iCs/>
          <w:color w:val="0E2841" w:themeColor="text2"/>
          <w:kern w:val="0"/>
          <w:sz w:val="24"/>
          <w:szCs w:val="24"/>
          <w:lang w:val="en-US" w:eastAsia="en-GB"/>
        </w:rPr>
        <w:t>The Academy of Management Review</w:t>
      </w:r>
      <w:r w:rsidRPr="009A2F0A">
        <w:rPr>
          <w:rFonts w:ascii="Arial" w:eastAsia="Times New Roman" w:hAnsi="Arial" w:cs="Arial"/>
          <w:color w:val="0E2841" w:themeColor="text2"/>
          <w:kern w:val="0"/>
          <w:sz w:val="24"/>
          <w:szCs w:val="24"/>
          <w:lang w:val="en-US" w:eastAsia="en-GB"/>
        </w:rPr>
        <w:t xml:space="preserve">, 11(3), p. 677. Available at: </w:t>
      </w:r>
      <w:hyperlink r:id="rId66" w:history="1">
        <w:r w:rsidRPr="009A2F0A">
          <w:rPr>
            <w:rFonts w:ascii="Arial" w:eastAsia="Times New Roman" w:hAnsi="Arial" w:cs="Arial"/>
            <w:color w:val="0E2841" w:themeColor="text2"/>
            <w:kern w:val="0"/>
            <w:sz w:val="24"/>
            <w:szCs w:val="24"/>
            <w:lang w:val="en-US" w:eastAsia="en-GB"/>
          </w:rPr>
          <w:t>https://doi.org/10.2307/258322</w:t>
        </w:r>
      </w:hyperlink>
      <w:r w:rsidRPr="009A2F0A">
        <w:rPr>
          <w:rFonts w:ascii="Arial" w:eastAsia="Times New Roman" w:hAnsi="Arial" w:cs="Arial"/>
          <w:color w:val="0E2841" w:themeColor="text2"/>
          <w:kern w:val="0"/>
          <w:sz w:val="24"/>
          <w:szCs w:val="24"/>
          <w:lang w:val="en-US" w:eastAsia="en-GB"/>
        </w:rPr>
        <w:t>.</w:t>
      </w:r>
    </w:p>
    <w:p w14:paraId="69800089"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Schon, D.A. (1983) ‘The Reflective Practitioner: How Professionals Think in Action.’, </w:t>
      </w:r>
      <w:r w:rsidRPr="009A2F0A">
        <w:rPr>
          <w:rFonts w:ascii="Arial" w:eastAsia="Times New Roman" w:hAnsi="Arial" w:cs="Arial"/>
          <w:i/>
          <w:iCs/>
          <w:color w:val="0E2841" w:themeColor="text2"/>
          <w:kern w:val="0"/>
          <w:sz w:val="24"/>
          <w:szCs w:val="24"/>
          <w:lang w:val="en-US" w:eastAsia="en-GB"/>
        </w:rPr>
        <w:t>Administrative Science Quarterly</w:t>
      </w:r>
      <w:r w:rsidRPr="009A2F0A">
        <w:rPr>
          <w:rFonts w:ascii="Arial" w:eastAsia="Times New Roman" w:hAnsi="Arial" w:cs="Arial"/>
          <w:color w:val="0E2841" w:themeColor="text2"/>
          <w:kern w:val="0"/>
          <w:sz w:val="24"/>
          <w:szCs w:val="24"/>
          <w:lang w:val="en-US" w:eastAsia="en-GB"/>
        </w:rPr>
        <w:t xml:space="preserve">, 32(4), p. 614. Available at: </w:t>
      </w:r>
      <w:hyperlink r:id="rId67" w:history="1">
        <w:r w:rsidRPr="009A2F0A">
          <w:rPr>
            <w:rFonts w:ascii="Arial" w:eastAsia="Times New Roman" w:hAnsi="Arial" w:cs="Arial"/>
            <w:color w:val="0E2841" w:themeColor="text2"/>
            <w:kern w:val="0"/>
            <w:sz w:val="24"/>
            <w:szCs w:val="24"/>
            <w:lang w:val="en-US" w:eastAsia="en-GB"/>
          </w:rPr>
          <w:t>https://doi.org/10.2307/2392894</w:t>
        </w:r>
      </w:hyperlink>
      <w:r w:rsidRPr="009A2F0A">
        <w:rPr>
          <w:rFonts w:ascii="Arial" w:eastAsia="Times New Roman" w:hAnsi="Arial" w:cs="Arial"/>
          <w:color w:val="0E2841" w:themeColor="text2"/>
          <w:kern w:val="0"/>
          <w:sz w:val="24"/>
          <w:szCs w:val="24"/>
          <w:lang w:val="en-US" w:eastAsia="en-GB"/>
        </w:rPr>
        <w:t>.</w:t>
      </w:r>
    </w:p>
    <w:p w14:paraId="6EA16773"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Schön, D.A. (1983) </w:t>
      </w:r>
      <w:r w:rsidRPr="009A2F0A">
        <w:rPr>
          <w:rFonts w:ascii="Arial" w:eastAsia="Times New Roman" w:hAnsi="Arial" w:cs="Arial"/>
          <w:i/>
          <w:iCs/>
          <w:color w:val="0E2841" w:themeColor="text2"/>
          <w:kern w:val="0"/>
          <w:sz w:val="24"/>
          <w:szCs w:val="24"/>
          <w:lang w:val="en-US" w:eastAsia="en-GB"/>
        </w:rPr>
        <w:t>The Reflective Practitioner : How Professionals Think in Action</w:t>
      </w:r>
      <w:r w:rsidRPr="009A2F0A">
        <w:rPr>
          <w:rFonts w:ascii="Arial" w:eastAsia="Times New Roman" w:hAnsi="Arial" w:cs="Arial"/>
          <w:color w:val="0E2841" w:themeColor="text2"/>
          <w:kern w:val="0"/>
          <w:sz w:val="24"/>
          <w:szCs w:val="24"/>
          <w:lang w:val="en-US" w:eastAsia="en-GB"/>
        </w:rPr>
        <w:t>. New York: Basic Books.</w:t>
      </w:r>
    </w:p>
    <w:p w14:paraId="410AA542"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Sekerka, L.E. and Bagozzi, R.P. (2007) ‘Moral Courage in the workplace: Moving to and from the Desire and Decision to Act’, </w:t>
      </w:r>
      <w:r w:rsidRPr="009A2F0A">
        <w:rPr>
          <w:rFonts w:ascii="Arial" w:eastAsia="Times New Roman" w:hAnsi="Arial" w:cs="Arial"/>
          <w:i/>
          <w:iCs/>
          <w:color w:val="0E2841" w:themeColor="text2"/>
          <w:kern w:val="0"/>
          <w:sz w:val="24"/>
          <w:szCs w:val="24"/>
          <w:lang w:val="en-US" w:eastAsia="en-GB"/>
        </w:rPr>
        <w:t>Business Ethics: A European Review</w:t>
      </w:r>
      <w:r w:rsidRPr="009A2F0A">
        <w:rPr>
          <w:rFonts w:ascii="Arial" w:eastAsia="Times New Roman" w:hAnsi="Arial" w:cs="Arial"/>
          <w:color w:val="0E2841" w:themeColor="text2"/>
          <w:kern w:val="0"/>
          <w:sz w:val="24"/>
          <w:szCs w:val="24"/>
          <w:lang w:val="en-US" w:eastAsia="en-GB"/>
        </w:rPr>
        <w:t xml:space="preserve">, 16(2), pp. 132–149. Available at: </w:t>
      </w:r>
      <w:hyperlink r:id="rId68" w:history="1">
        <w:r w:rsidRPr="009A2F0A">
          <w:rPr>
            <w:rFonts w:ascii="Arial" w:eastAsia="Times New Roman" w:hAnsi="Arial" w:cs="Arial"/>
            <w:color w:val="0E2841" w:themeColor="text2"/>
            <w:kern w:val="0"/>
            <w:sz w:val="24"/>
            <w:szCs w:val="24"/>
            <w:lang w:val="en-US" w:eastAsia="en-GB"/>
          </w:rPr>
          <w:t>https://doi.org/10.1111/j.1467-8608.2007.00484.x</w:t>
        </w:r>
      </w:hyperlink>
      <w:r w:rsidRPr="009A2F0A">
        <w:rPr>
          <w:rFonts w:ascii="Arial" w:eastAsia="Times New Roman" w:hAnsi="Arial" w:cs="Arial"/>
          <w:color w:val="0E2841" w:themeColor="text2"/>
          <w:kern w:val="0"/>
          <w:sz w:val="24"/>
          <w:szCs w:val="24"/>
          <w:lang w:val="en-US" w:eastAsia="en-GB"/>
        </w:rPr>
        <w:t>.</w:t>
      </w:r>
    </w:p>
    <w:p w14:paraId="50729FD4"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Shah, P. and Holmes, J. (2023) ‘Neurodiversity: Towards an Interdisciplinary Approach’, </w:t>
      </w:r>
      <w:r w:rsidRPr="009A2F0A">
        <w:rPr>
          <w:rFonts w:ascii="Arial" w:eastAsia="Times New Roman" w:hAnsi="Arial" w:cs="Arial"/>
          <w:i/>
          <w:iCs/>
          <w:color w:val="0E2841" w:themeColor="text2"/>
          <w:kern w:val="0"/>
          <w:sz w:val="24"/>
          <w:szCs w:val="24"/>
          <w:lang w:val="en-US" w:eastAsia="en-GB"/>
        </w:rPr>
        <w:t>Neurodiversity</w:t>
      </w:r>
      <w:r w:rsidRPr="009A2F0A">
        <w:rPr>
          <w:rFonts w:ascii="Arial" w:eastAsia="Times New Roman" w:hAnsi="Arial" w:cs="Arial"/>
          <w:color w:val="0E2841" w:themeColor="text2"/>
          <w:kern w:val="0"/>
          <w:sz w:val="24"/>
          <w:szCs w:val="24"/>
          <w:lang w:val="en-US" w:eastAsia="en-GB"/>
        </w:rPr>
        <w:t xml:space="preserve">, 1. Available at: </w:t>
      </w:r>
      <w:hyperlink r:id="rId69" w:history="1">
        <w:r w:rsidRPr="009A2F0A">
          <w:rPr>
            <w:rFonts w:ascii="Arial" w:eastAsia="Times New Roman" w:hAnsi="Arial" w:cs="Arial"/>
            <w:color w:val="0E2841" w:themeColor="text2"/>
            <w:kern w:val="0"/>
            <w:sz w:val="24"/>
            <w:szCs w:val="24"/>
            <w:lang w:val="en-US" w:eastAsia="en-GB"/>
          </w:rPr>
          <w:t>https://doi.org/10.1177/27546330231187565</w:t>
        </w:r>
      </w:hyperlink>
      <w:r w:rsidRPr="009A2F0A">
        <w:rPr>
          <w:rFonts w:ascii="Arial" w:eastAsia="Times New Roman" w:hAnsi="Arial" w:cs="Arial"/>
          <w:color w:val="0E2841" w:themeColor="text2"/>
          <w:kern w:val="0"/>
          <w:sz w:val="24"/>
          <w:szCs w:val="24"/>
          <w:lang w:val="en-US" w:eastAsia="en-GB"/>
        </w:rPr>
        <w:t>.</w:t>
      </w:r>
    </w:p>
    <w:p w14:paraId="586A7376"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Shimazu, A. </w:t>
      </w:r>
      <w:r w:rsidRPr="009A2F0A">
        <w:rPr>
          <w:rFonts w:ascii="Arial" w:eastAsia="Times New Roman" w:hAnsi="Arial" w:cs="Arial"/>
          <w:i/>
          <w:iCs/>
          <w:color w:val="0E2841" w:themeColor="text2"/>
          <w:kern w:val="0"/>
          <w:sz w:val="24"/>
          <w:szCs w:val="24"/>
          <w:lang w:val="en-US" w:eastAsia="en-GB"/>
        </w:rPr>
        <w:t>et al.</w:t>
      </w:r>
      <w:r w:rsidRPr="009A2F0A">
        <w:rPr>
          <w:rFonts w:ascii="Arial" w:eastAsia="Times New Roman" w:hAnsi="Arial" w:cs="Arial"/>
          <w:color w:val="0E2841" w:themeColor="text2"/>
          <w:kern w:val="0"/>
          <w:sz w:val="24"/>
          <w:szCs w:val="24"/>
          <w:lang w:val="en-US" w:eastAsia="en-GB"/>
        </w:rPr>
        <w:t xml:space="preserve"> (2020) ‘Psychosocial Impact of COVID</w:t>
      </w:r>
      <w:r w:rsidRPr="009A2F0A">
        <w:rPr>
          <w:rFonts w:ascii="Cambria Math" w:eastAsia="Times New Roman" w:hAnsi="Cambria Math" w:cs="Cambria Math"/>
          <w:color w:val="0E2841" w:themeColor="text2"/>
          <w:kern w:val="0"/>
          <w:sz w:val="24"/>
          <w:szCs w:val="24"/>
          <w:lang w:val="en-US" w:eastAsia="en-GB"/>
        </w:rPr>
        <w:t>‐</w:t>
      </w:r>
      <w:r w:rsidRPr="009A2F0A">
        <w:rPr>
          <w:rFonts w:ascii="Arial" w:eastAsia="Times New Roman" w:hAnsi="Arial" w:cs="Arial"/>
          <w:color w:val="0E2841" w:themeColor="text2"/>
          <w:kern w:val="0"/>
          <w:sz w:val="24"/>
          <w:szCs w:val="24"/>
          <w:lang w:val="en-US" w:eastAsia="en-GB"/>
        </w:rPr>
        <w:t xml:space="preserve">19 for General Workers’, </w:t>
      </w:r>
      <w:r w:rsidRPr="009A2F0A">
        <w:rPr>
          <w:rFonts w:ascii="Arial" w:eastAsia="Times New Roman" w:hAnsi="Arial" w:cs="Arial"/>
          <w:i/>
          <w:iCs/>
          <w:color w:val="0E2841" w:themeColor="text2"/>
          <w:kern w:val="0"/>
          <w:sz w:val="24"/>
          <w:szCs w:val="24"/>
          <w:lang w:val="en-US" w:eastAsia="en-GB"/>
        </w:rPr>
        <w:t>Journal of Occupational Health</w:t>
      </w:r>
      <w:r w:rsidRPr="009A2F0A">
        <w:rPr>
          <w:rFonts w:ascii="Arial" w:eastAsia="Times New Roman" w:hAnsi="Arial" w:cs="Arial"/>
          <w:color w:val="0E2841" w:themeColor="text2"/>
          <w:kern w:val="0"/>
          <w:sz w:val="24"/>
          <w:szCs w:val="24"/>
          <w:lang w:val="en-US" w:eastAsia="en-GB"/>
        </w:rPr>
        <w:t xml:space="preserve">, 62(1). Available at: </w:t>
      </w:r>
      <w:hyperlink r:id="rId70" w:history="1">
        <w:r w:rsidRPr="009A2F0A">
          <w:rPr>
            <w:rFonts w:ascii="Arial" w:eastAsia="Times New Roman" w:hAnsi="Arial" w:cs="Arial"/>
            <w:color w:val="0E2841" w:themeColor="text2"/>
            <w:kern w:val="0"/>
            <w:sz w:val="24"/>
            <w:szCs w:val="24"/>
            <w:lang w:val="en-US" w:eastAsia="en-GB"/>
          </w:rPr>
          <w:t>https://doi.org/10.1002/1348-9585.12132</w:t>
        </w:r>
      </w:hyperlink>
      <w:r w:rsidRPr="009A2F0A">
        <w:rPr>
          <w:rFonts w:ascii="Arial" w:eastAsia="Times New Roman" w:hAnsi="Arial" w:cs="Arial"/>
          <w:color w:val="0E2841" w:themeColor="text2"/>
          <w:kern w:val="0"/>
          <w:sz w:val="24"/>
          <w:szCs w:val="24"/>
          <w:lang w:val="en-US" w:eastAsia="en-GB"/>
        </w:rPr>
        <w:t>.</w:t>
      </w:r>
    </w:p>
    <w:p w14:paraId="06DC61D8"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Sigal, M.D. (2007) ‘Adult ADHD, Fact and Myth’, </w:t>
      </w:r>
      <w:r w:rsidRPr="009A2F0A">
        <w:rPr>
          <w:rFonts w:ascii="Arial" w:eastAsia="Times New Roman" w:hAnsi="Arial" w:cs="Arial"/>
          <w:i/>
          <w:iCs/>
          <w:color w:val="0E2841" w:themeColor="text2"/>
          <w:kern w:val="0"/>
          <w:sz w:val="24"/>
          <w:szCs w:val="24"/>
          <w:lang w:val="en-US" w:eastAsia="en-GB"/>
        </w:rPr>
        <w:t>European Psychiatry</w:t>
      </w:r>
      <w:r w:rsidRPr="009A2F0A">
        <w:rPr>
          <w:rFonts w:ascii="Arial" w:eastAsia="Times New Roman" w:hAnsi="Arial" w:cs="Arial"/>
          <w:color w:val="0E2841" w:themeColor="text2"/>
          <w:kern w:val="0"/>
          <w:sz w:val="24"/>
          <w:szCs w:val="24"/>
          <w:lang w:val="en-US" w:eastAsia="en-GB"/>
        </w:rPr>
        <w:t xml:space="preserve">, 22(4), p. S305. Available at: </w:t>
      </w:r>
      <w:hyperlink r:id="rId71" w:history="1">
        <w:r w:rsidRPr="009A2F0A">
          <w:rPr>
            <w:rFonts w:ascii="Arial" w:eastAsia="Times New Roman" w:hAnsi="Arial" w:cs="Arial"/>
            <w:color w:val="0E2841" w:themeColor="text2"/>
            <w:kern w:val="0"/>
            <w:sz w:val="24"/>
            <w:szCs w:val="24"/>
            <w:lang w:val="en-US" w:eastAsia="en-GB"/>
          </w:rPr>
          <w:t>https://doi.org/10.1016/j.eurpsy.2007.01.1036</w:t>
        </w:r>
      </w:hyperlink>
      <w:r w:rsidRPr="009A2F0A">
        <w:rPr>
          <w:rFonts w:ascii="Arial" w:eastAsia="Times New Roman" w:hAnsi="Arial" w:cs="Arial"/>
          <w:color w:val="0E2841" w:themeColor="text2"/>
          <w:kern w:val="0"/>
          <w:sz w:val="24"/>
          <w:szCs w:val="24"/>
          <w:lang w:val="en-US" w:eastAsia="en-GB"/>
        </w:rPr>
        <w:t>.</w:t>
      </w:r>
    </w:p>
    <w:p w14:paraId="4FA24521"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Silverman, C. (2015) ‘NeuroTribes: the Legacy of Autism and the Future of Neurodiversity by Steve Silberman’, </w:t>
      </w:r>
      <w:r w:rsidRPr="009A2F0A">
        <w:rPr>
          <w:rFonts w:ascii="Arial" w:eastAsia="Times New Roman" w:hAnsi="Arial" w:cs="Arial"/>
          <w:i/>
          <w:iCs/>
          <w:color w:val="0E2841" w:themeColor="text2"/>
          <w:kern w:val="0"/>
          <w:sz w:val="24"/>
          <w:szCs w:val="24"/>
          <w:lang w:val="en-US" w:eastAsia="en-GB"/>
        </w:rPr>
        <w:t>Anthropological Quarterly</w:t>
      </w:r>
      <w:r w:rsidRPr="009A2F0A">
        <w:rPr>
          <w:rFonts w:ascii="Arial" w:eastAsia="Times New Roman" w:hAnsi="Arial" w:cs="Arial"/>
          <w:color w:val="0E2841" w:themeColor="text2"/>
          <w:kern w:val="0"/>
          <w:sz w:val="24"/>
          <w:szCs w:val="24"/>
          <w:lang w:val="en-US" w:eastAsia="en-GB"/>
        </w:rPr>
        <w:t xml:space="preserve">, 88(4), pp. 1111–1121. Available at: </w:t>
      </w:r>
      <w:hyperlink r:id="rId72" w:history="1">
        <w:r w:rsidRPr="009A2F0A">
          <w:rPr>
            <w:rFonts w:ascii="Arial" w:eastAsia="Times New Roman" w:hAnsi="Arial" w:cs="Arial"/>
            <w:color w:val="0E2841" w:themeColor="text2"/>
            <w:kern w:val="0"/>
            <w:sz w:val="24"/>
            <w:szCs w:val="24"/>
            <w:lang w:val="en-US" w:eastAsia="en-GB"/>
          </w:rPr>
          <w:t>https://doi.org/10.1353/anq.2015.0057</w:t>
        </w:r>
      </w:hyperlink>
      <w:r w:rsidRPr="009A2F0A">
        <w:rPr>
          <w:rFonts w:ascii="Arial" w:eastAsia="Times New Roman" w:hAnsi="Arial" w:cs="Arial"/>
          <w:color w:val="0E2841" w:themeColor="text2"/>
          <w:kern w:val="0"/>
          <w:sz w:val="24"/>
          <w:szCs w:val="24"/>
          <w:lang w:val="en-US" w:eastAsia="en-GB"/>
        </w:rPr>
        <w:t>.</w:t>
      </w:r>
    </w:p>
    <w:p w14:paraId="1F42DC88"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Sowell, S. (2014) ‘Building a New Paradigm: Analysis of a Case Study in Organizational Change in Collection Management Using Bolman’s and Deal’s Four-Frame Model’, </w:t>
      </w:r>
      <w:r w:rsidRPr="009A2F0A">
        <w:rPr>
          <w:rFonts w:ascii="Arial" w:eastAsia="Times New Roman" w:hAnsi="Arial" w:cs="Arial"/>
          <w:i/>
          <w:iCs/>
          <w:color w:val="0E2841" w:themeColor="text2"/>
          <w:kern w:val="0"/>
          <w:sz w:val="24"/>
          <w:szCs w:val="24"/>
          <w:lang w:val="en-US" w:eastAsia="en-GB"/>
        </w:rPr>
        <w:t>Collection Management</w:t>
      </w:r>
      <w:r w:rsidRPr="009A2F0A">
        <w:rPr>
          <w:rFonts w:ascii="Arial" w:eastAsia="Times New Roman" w:hAnsi="Arial" w:cs="Arial"/>
          <w:color w:val="0E2841" w:themeColor="text2"/>
          <w:kern w:val="0"/>
          <w:sz w:val="24"/>
          <w:szCs w:val="24"/>
          <w:lang w:val="en-US" w:eastAsia="en-GB"/>
        </w:rPr>
        <w:t xml:space="preserve">, 39(2-3), pp. 211–226. Available at: </w:t>
      </w:r>
      <w:hyperlink r:id="rId73" w:history="1">
        <w:r w:rsidRPr="009A2F0A">
          <w:rPr>
            <w:rFonts w:ascii="Arial" w:eastAsia="Times New Roman" w:hAnsi="Arial" w:cs="Arial"/>
            <w:color w:val="0E2841" w:themeColor="text2"/>
            <w:kern w:val="0"/>
            <w:sz w:val="24"/>
            <w:szCs w:val="24"/>
            <w:lang w:val="en-US" w:eastAsia="en-GB"/>
          </w:rPr>
          <w:t>https://doi.org/10.1080/01462679.2014.890993</w:t>
        </w:r>
      </w:hyperlink>
      <w:r w:rsidRPr="009A2F0A">
        <w:rPr>
          <w:rFonts w:ascii="Arial" w:eastAsia="Times New Roman" w:hAnsi="Arial" w:cs="Arial"/>
          <w:color w:val="0E2841" w:themeColor="text2"/>
          <w:kern w:val="0"/>
          <w:sz w:val="24"/>
          <w:szCs w:val="24"/>
          <w:lang w:val="en-US" w:eastAsia="en-GB"/>
        </w:rPr>
        <w:t>.</w:t>
      </w:r>
    </w:p>
    <w:p w14:paraId="63130334"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Suherman, U.D. </w:t>
      </w:r>
      <w:r w:rsidRPr="009A2F0A">
        <w:rPr>
          <w:rFonts w:ascii="Arial" w:eastAsia="Times New Roman" w:hAnsi="Arial" w:cs="Arial"/>
          <w:i/>
          <w:iCs/>
          <w:color w:val="0E2841" w:themeColor="text2"/>
          <w:kern w:val="0"/>
          <w:sz w:val="24"/>
          <w:szCs w:val="24"/>
          <w:lang w:val="en-US" w:eastAsia="en-GB"/>
        </w:rPr>
        <w:t>et al.</w:t>
      </w:r>
      <w:r w:rsidRPr="009A2F0A">
        <w:rPr>
          <w:rFonts w:ascii="Arial" w:eastAsia="Times New Roman" w:hAnsi="Arial" w:cs="Arial"/>
          <w:color w:val="0E2841" w:themeColor="text2"/>
          <w:kern w:val="0"/>
          <w:sz w:val="24"/>
          <w:szCs w:val="24"/>
          <w:lang w:val="en-US" w:eastAsia="en-GB"/>
        </w:rPr>
        <w:t xml:space="preserve"> (2023) ‘Effect of Career Development and Employee Engagement on Employee Performance of PT. Pos Indonesia (Persero)’, </w:t>
      </w:r>
      <w:r w:rsidRPr="009A2F0A">
        <w:rPr>
          <w:rFonts w:ascii="Arial" w:eastAsia="Times New Roman" w:hAnsi="Arial" w:cs="Arial"/>
          <w:i/>
          <w:iCs/>
          <w:color w:val="0E2841" w:themeColor="text2"/>
          <w:kern w:val="0"/>
          <w:sz w:val="24"/>
          <w:szCs w:val="24"/>
          <w:lang w:val="en-US" w:eastAsia="en-GB"/>
        </w:rPr>
        <w:t>Jurnal Manajemen Universitas Bung Hatta</w:t>
      </w:r>
      <w:r w:rsidRPr="009A2F0A">
        <w:rPr>
          <w:rFonts w:ascii="Arial" w:eastAsia="Times New Roman" w:hAnsi="Arial" w:cs="Arial"/>
          <w:color w:val="0E2841" w:themeColor="text2"/>
          <w:kern w:val="0"/>
          <w:sz w:val="24"/>
          <w:szCs w:val="24"/>
          <w:lang w:val="en-US" w:eastAsia="en-GB"/>
        </w:rPr>
        <w:t xml:space="preserve">, 18(1), pp. 134–144. Available at: </w:t>
      </w:r>
      <w:hyperlink r:id="rId74" w:history="1">
        <w:r w:rsidRPr="009A2F0A">
          <w:rPr>
            <w:rFonts w:ascii="Arial" w:eastAsia="Times New Roman" w:hAnsi="Arial" w:cs="Arial"/>
            <w:color w:val="0E2841" w:themeColor="text2"/>
            <w:kern w:val="0"/>
            <w:sz w:val="24"/>
            <w:szCs w:val="24"/>
            <w:lang w:val="en-US" w:eastAsia="en-GB"/>
          </w:rPr>
          <w:t>https://doi.org/10.37301/jmubh.v18i1.22063</w:t>
        </w:r>
      </w:hyperlink>
      <w:r w:rsidRPr="009A2F0A">
        <w:rPr>
          <w:rFonts w:ascii="Arial" w:eastAsia="Times New Roman" w:hAnsi="Arial" w:cs="Arial"/>
          <w:color w:val="0E2841" w:themeColor="text2"/>
          <w:kern w:val="0"/>
          <w:sz w:val="24"/>
          <w:szCs w:val="24"/>
          <w:lang w:val="en-US" w:eastAsia="en-GB"/>
        </w:rPr>
        <w:t>.</w:t>
      </w:r>
    </w:p>
    <w:p w14:paraId="6B6ECBC3"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Sutcliffe, K.M. (2005) ‘Ethics, the Heart of LeadershipEthics, the Heart of Leadership (2nd edition), by CiullaJoanne B.. Ciulla. Westport, CT: Praeger, 2004.’, </w:t>
      </w:r>
      <w:r w:rsidRPr="009A2F0A">
        <w:rPr>
          <w:rFonts w:ascii="Arial" w:eastAsia="Times New Roman" w:hAnsi="Arial" w:cs="Arial"/>
          <w:i/>
          <w:iCs/>
          <w:color w:val="0E2841" w:themeColor="text2"/>
          <w:kern w:val="0"/>
          <w:sz w:val="24"/>
          <w:szCs w:val="24"/>
          <w:lang w:val="en-US" w:eastAsia="en-GB"/>
        </w:rPr>
        <w:t>Academy of Management Review</w:t>
      </w:r>
      <w:r w:rsidRPr="009A2F0A">
        <w:rPr>
          <w:rFonts w:ascii="Arial" w:eastAsia="Times New Roman" w:hAnsi="Arial" w:cs="Arial"/>
          <w:color w:val="0E2841" w:themeColor="text2"/>
          <w:kern w:val="0"/>
          <w:sz w:val="24"/>
          <w:szCs w:val="24"/>
          <w:lang w:val="en-US" w:eastAsia="en-GB"/>
        </w:rPr>
        <w:t xml:space="preserve">, 30(4), pp. 869–871. Available at: </w:t>
      </w:r>
      <w:hyperlink r:id="rId75" w:history="1">
        <w:r w:rsidRPr="009A2F0A">
          <w:rPr>
            <w:rFonts w:ascii="Arial" w:eastAsia="Times New Roman" w:hAnsi="Arial" w:cs="Arial"/>
            <w:color w:val="0E2841" w:themeColor="text2"/>
            <w:kern w:val="0"/>
            <w:sz w:val="24"/>
            <w:szCs w:val="24"/>
            <w:lang w:val="en-US" w:eastAsia="en-GB"/>
          </w:rPr>
          <w:t>https://doi.org/10.5465/amr.2005.18378883</w:t>
        </w:r>
      </w:hyperlink>
      <w:r w:rsidRPr="009A2F0A">
        <w:rPr>
          <w:rFonts w:ascii="Arial" w:eastAsia="Times New Roman" w:hAnsi="Arial" w:cs="Arial"/>
          <w:color w:val="0E2841" w:themeColor="text2"/>
          <w:kern w:val="0"/>
          <w:sz w:val="24"/>
          <w:szCs w:val="24"/>
          <w:lang w:val="en-US" w:eastAsia="en-GB"/>
        </w:rPr>
        <w:t>.</w:t>
      </w:r>
    </w:p>
    <w:p w14:paraId="148BEAEF"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Tolar, T. (2023) ‘Value of Reflective Learning for Nursing students: Case Studies of Critical Reflection within Applied Gibbs’ Model of Reflection’, </w:t>
      </w:r>
      <w:r w:rsidRPr="009A2F0A">
        <w:rPr>
          <w:rFonts w:ascii="Arial" w:eastAsia="Times New Roman" w:hAnsi="Arial" w:cs="Arial"/>
          <w:i/>
          <w:iCs/>
          <w:color w:val="0E2841" w:themeColor="text2"/>
          <w:kern w:val="0"/>
          <w:sz w:val="24"/>
          <w:szCs w:val="24"/>
          <w:lang w:val="en-US" w:eastAsia="en-GB"/>
        </w:rPr>
        <w:t>Journal of Learning Development in Higher Education</w:t>
      </w:r>
      <w:r w:rsidRPr="009A2F0A">
        <w:rPr>
          <w:rFonts w:ascii="Arial" w:eastAsia="Times New Roman" w:hAnsi="Arial" w:cs="Arial"/>
          <w:color w:val="0E2841" w:themeColor="text2"/>
          <w:kern w:val="0"/>
          <w:sz w:val="24"/>
          <w:szCs w:val="24"/>
          <w:lang w:val="en-US" w:eastAsia="en-GB"/>
        </w:rPr>
        <w:t xml:space="preserve">, 29(29). Available at: </w:t>
      </w:r>
      <w:hyperlink r:id="rId76" w:history="1">
        <w:r w:rsidRPr="009A2F0A">
          <w:rPr>
            <w:rFonts w:ascii="Arial" w:eastAsia="Times New Roman" w:hAnsi="Arial" w:cs="Arial"/>
            <w:color w:val="0E2841" w:themeColor="text2"/>
            <w:kern w:val="0"/>
            <w:sz w:val="24"/>
            <w:szCs w:val="24"/>
            <w:lang w:val="en-US" w:eastAsia="en-GB"/>
          </w:rPr>
          <w:t>https://doi.org/10.47408/jldhe.vi29.1082</w:t>
        </w:r>
      </w:hyperlink>
      <w:r w:rsidRPr="009A2F0A">
        <w:rPr>
          <w:rFonts w:ascii="Arial" w:eastAsia="Times New Roman" w:hAnsi="Arial" w:cs="Arial"/>
          <w:color w:val="0E2841" w:themeColor="text2"/>
          <w:kern w:val="0"/>
          <w:sz w:val="24"/>
          <w:szCs w:val="24"/>
          <w:lang w:val="en-US" w:eastAsia="en-GB"/>
        </w:rPr>
        <w:t>.</w:t>
      </w:r>
    </w:p>
    <w:p w14:paraId="56C0864D"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Weber, C. </w:t>
      </w:r>
      <w:r w:rsidRPr="009A2F0A">
        <w:rPr>
          <w:rFonts w:ascii="Arial" w:eastAsia="Times New Roman" w:hAnsi="Arial" w:cs="Arial"/>
          <w:i/>
          <w:iCs/>
          <w:color w:val="0E2841" w:themeColor="text2"/>
          <w:kern w:val="0"/>
          <w:sz w:val="24"/>
          <w:szCs w:val="24"/>
          <w:lang w:val="en-US" w:eastAsia="en-GB"/>
        </w:rPr>
        <w:t>et al.</w:t>
      </w:r>
      <w:r w:rsidRPr="009A2F0A">
        <w:rPr>
          <w:rFonts w:ascii="Arial" w:eastAsia="Times New Roman" w:hAnsi="Arial" w:cs="Arial"/>
          <w:color w:val="0E2841" w:themeColor="text2"/>
          <w:kern w:val="0"/>
          <w:sz w:val="24"/>
          <w:szCs w:val="24"/>
          <w:lang w:val="en-US" w:eastAsia="en-GB"/>
        </w:rPr>
        <w:t xml:space="preserve"> (2022) ‘Physical Workplace Adjustments to Support Neurodivergent workers: a Systematic Review’, </w:t>
      </w:r>
      <w:r w:rsidRPr="009A2F0A">
        <w:rPr>
          <w:rFonts w:ascii="Arial" w:eastAsia="Times New Roman" w:hAnsi="Arial" w:cs="Arial"/>
          <w:i/>
          <w:iCs/>
          <w:color w:val="0E2841" w:themeColor="text2"/>
          <w:kern w:val="0"/>
          <w:sz w:val="24"/>
          <w:szCs w:val="24"/>
          <w:lang w:val="en-US" w:eastAsia="en-GB"/>
        </w:rPr>
        <w:t>Applied Psychology</w:t>
      </w:r>
      <w:r w:rsidRPr="009A2F0A">
        <w:rPr>
          <w:rFonts w:ascii="Arial" w:eastAsia="Times New Roman" w:hAnsi="Arial" w:cs="Arial"/>
          <w:color w:val="0E2841" w:themeColor="text2"/>
          <w:kern w:val="0"/>
          <w:sz w:val="24"/>
          <w:szCs w:val="24"/>
          <w:lang w:val="en-US" w:eastAsia="en-GB"/>
        </w:rPr>
        <w:t xml:space="preserve">, 73(3), pp. 1–53. Available at: </w:t>
      </w:r>
      <w:hyperlink r:id="rId77" w:history="1">
        <w:r w:rsidRPr="009A2F0A">
          <w:rPr>
            <w:rFonts w:ascii="Arial" w:eastAsia="Times New Roman" w:hAnsi="Arial" w:cs="Arial"/>
            <w:color w:val="0E2841" w:themeColor="text2"/>
            <w:kern w:val="0"/>
            <w:sz w:val="24"/>
            <w:szCs w:val="24"/>
            <w:lang w:val="en-US" w:eastAsia="en-GB"/>
          </w:rPr>
          <w:t>https://doi.org/10.1111/apps.12431</w:t>
        </w:r>
      </w:hyperlink>
      <w:r w:rsidRPr="009A2F0A">
        <w:rPr>
          <w:rFonts w:ascii="Arial" w:eastAsia="Times New Roman" w:hAnsi="Arial" w:cs="Arial"/>
          <w:color w:val="0E2841" w:themeColor="text2"/>
          <w:kern w:val="0"/>
          <w:sz w:val="24"/>
          <w:szCs w:val="24"/>
          <w:lang w:val="en-US" w:eastAsia="en-GB"/>
        </w:rPr>
        <w:t>.</w:t>
      </w:r>
    </w:p>
    <w:p w14:paraId="32ED09A5"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Woiceshyn, J. (2021) ‘A Model for Ethical Decision Making in Business: Reasoning, Intuition, and Rational Moral Principles’, </w:t>
      </w:r>
      <w:r w:rsidRPr="009A2F0A">
        <w:rPr>
          <w:rFonts w:ascii="Arial" w:eastAsia="Times New Roman" w:hAnsi="Arial" w:cs="Arial"/>
          <w:i/>
          <w:iCs/>
          <w:color w:val="0E2841" w:themeColor="text2"/>
          <w:kern w:val="0"/>
          <w:sz w:val="24"/>
          <w:szCs w:val="24"/>
          <w:lang w:val="en-US" w:eastAsia="en-GB"/>
        </w:rPr>
        <w:t>Journal of Business Ethics</w:t>
      </w:r>
      <w:r w:rsidRPr="009A2F0A">
        <w:rPr>
          <w:rFonts w:ascii="Arial" w:eastAsia="Times New Roman" w:hAnsi="Arial" w:cs="Arial"/>
          <w:color w:val="0E2841" w:themeColor="text2"/>
          <w:kern w:val="0"/>
          <w:sz w:val="24"/>
          <w:szCs w:val="24"/>
          <w:lang w:val="en-US" w:eastAsia="en-GB"/>
        </w:rPr>
        <w:t xml:space="preserve">, 104(3), pp. 311–323. Available at: </w:t>
      </w:r>
      <w:hyperlink r:id="rId78" w:history="1">
        <w:r w:rsidRPr="009A2F0A">
          <w:rPr>
            <w:rFonts w:ascii="Arial" w:eastAsia="Times New Roman" w:hAnsi="Arial" w:cs="Arial"/>
            <w:color w:val="0E2841" w:themeColor="text2"/>
            <w:kern w:val="0"/>
            <w:sz w:val="24"/>
            <w:szCs w:val="24"/>
            <w:lang w:val="en-US" w:eastAsia="en-GB"/>
          </w:rPr>
          <w:t>https://doi.org/10.1007/s10551-011-0910-1</w:t>
        </w:r>
      </w:hyperlink>
      <w:r w:rsidRPr="009A2F0A">
        <w:rPr>
          <w:rFonts w:ascii="Arial" w:eastAsia="Times New Roman" w:hAnsi="Arial" w:cs="Arial"/>
          <w:color w:val="0E2841" w:themeColor="text2"/>
          <w:kern w:val="0"/>
          <w:sz w:val="24"/>
          <w:szCs w:val="24"/>
          <w:lang w:val="en-US" w:eastAsia="en-GB"/>
        </w:rPr>
        <w:t>.</w:t>
      </w:r>
    </w:p>
    <w:p w14:paraId="4A97D855" w14:textId="77777777" w:rsidR="005E3516" w:rsidRPr="009A2F0A" w:rsidRDefault="005E3516" w:rsidP="005E3516">
      <w:pPr>
        <w:widowControl w:val="0"/>
        <w:autoSpaceDE w:val="0"/>
        <w:autoSpaceDN w:val="0"/>
        <w:adjustRightInd w:val="0"/>
        <w:spacing w:after="240" w:line="360" w:lineRule="auto"/>
        <w:rPr>
          <w:rFonts w:ascii="Arial" w:eastAsia="Times New Roman" w:hAnsi="Arial" w:cs="Arial"/>
          <w:color w:val="0E2841" w:themeColor="text2"/>
          <w:kern w:val="0"/>
          <w:sz w:val="24"/>
          <w:szCs w:val="24"/>
          <w:lang w:val="en-US" w:eastAsia="en-GB"/>
        </w:rPr>
      </w:pPr>
      <w:r w:rsidRPr="009A2F0A">
        <w:rPr>
          <w:rFonts w:ascii="Arial" w:eastAsia="Times New Roman" w:hAnsi="Arial" w:cs="Arial"/>
          <w:color w:val="0E2841" w:themeColor="text2"/>
          <w:kern w:val="0"/>
          <w:sz w:val="24"/>
          <w:szCs w:val="24"/>
          <w:lang w:val="en-US" w:eastAsia="en-GB"/>
        </w:rPr>
        <w:t xml:space="preserve">Zainab, B., Akbar, W. and Siddiqui, F. (2021) ‘Impact of Transformational Leadership and Transparent Communication on Employee Openness to change: Mediating Role of Employee Organization Trust and Moderated Role of change-related self-efficacy’, </w:t>
      </w:r>
      <w:r w:rsidRPr="009A2F0A">
        <w:rPr>
          <w:rFonts w:ascii="Arial" w:eastAsia="Times New Roman" w:hAnsi="Arial" w:cs="Arial"/>
          <w:i/>
          <w:iCs/>
          <w:color w:val="0E2841" w:themeColor="text2"/>
          <w:kern w:val="0"/>
          <w:sz w:val="24"/>
          <w:szCs w:val="24"/>
          <w:lang w:val="en-US" w:eastAsia="en-GB"/>
        </w:rPr>
        <w:t>Leadership &amp; Organization Development Journal</w:t>
      </w:r>
      <w:r w:rsidRPr="009A2F0A">
        <w:rPr>
          <w:rFonts w:ascii="Arial" w:eastAsia="Times New Roman" w:hAnsi="Arial" w:cs="Arial"/>
          <w:color w:val="0E2841" w:themeColor="text2"/>
          <w:kern w:val="0"/>
          <w:sz w:val="24"/>
          <w:szCs w:val="24"/>
          <w:lang w:val="en-US" w:eastAsia="en-GB"/>
        </w:rPr>
        <w:t xml:space="preserve">, 43(1), pp. 1–13. Available at: </w:t>
      </w:r>
      <w:hyperlink r:id="rId79" w:history="1">
        <w:r w:rsidRPr="009A2F0A">
          <w:rPr>
            <w:rFonts w:ascii="Arial" w:eastAsia="Times New Roman" w:hAnsi="Arial" w:cs="Arial"/>
            <w:color w:val="0E2841" w:themeColor="text2"/>
            <w:kern w:val="0"/>
            <w:sz w:val="24"/>
            <w:szCs w:val="24"/>
            <w:lang w:val="en-US" w:eastAsia="en-GB"/>
          </w:rPr>
          <w:t>https://doi.org/10.1108/lodj-08-2020-0355</w:t>
        </w:r>
      </w:hyperlink>
      <w:r w:rsidRPr="009A2F0A">
        <w:rPr>
          <w:rFonts w:ascii="Arial" w:eastAsia="Times New Roman" w:hAnsi="Arial" w:cs="Arial"/>
          <w:color w:val="0E2841" w:themeColor="text2"/>
          <w:kern w:val="0"/>
          <w:sz w:val="24"/>
          <w:szCs w:val="24"/>
          <w:lang w:val="en-US" w:eastAsia="en-GB"/>
        </w:rPr>
        <w:t>.</w:t>
      </w:r>
    </w:p>
    <w:p w14:paraId="793F9628" w14:textId="77777777" w:rsidR="005E3516" w:rsidRPr="009A2F0A" w:rsidRDefault="005E3516" w:rsidP="00E303FA">
      <w:pPr>
        <w:rPr>
          <w:rFonts w:ascii="Arial" w:hAnsi="Arial" w:cs="Arial"/>
          <w:b/>
          <w:bCs/>
          <w:color w:val="0E2841" w:themeColor="text2"/>
          <w:sz w:val="24"/>
          <w:szCs w:val="24"/>
          <w:u w:val="single"/>
        </w:rPr>
      </w:pPr>
    </w:p>
    <w:p w14:paraId="52AA3BD1" w14:textId="77777777" w:rsidR="005E3516" w:rsidRPr="009A2F0A" w:rsidRDefault="005E3516" w:rsidP="00E303FA">
      <w:pPr>
        <w:rPr>
          <w:rFonts w:ascii="Arial" w:hAnsi="Arial" w:cs="Arial"/>
          <w:b/>
          <w:bCs/>
          <w:color w:val="0E2841" w:themeColor="text2"/>
          <w:sz w:val="24"/>
          <w:szCs w:val="24"/>
          <w:u w:val="single"/>
        </w:rPr>
      </w:pPr>
    </w:p>
    <w:p w14:paraId="7A61AF7C" w14:textId="77777777" w:rsidR="00AA428D" w:rsidRPr="009A2F0A" w:rsidRDefault="00AA428D" w:rsidP="00E303FA">
      <w:pPr>
        <w:rPr>
          <w:rFonts w:ascii="Arial" w:hAnsi="Arial" w:cs="Arial"/>
          <w:color w:val="0E2841" w:themeColor="text2"/>
          <w:sz w:val="24"/>
          <w:szCs w:val="24"/>
        </w:rPr>
      </w:pPr>
    </w:p>
    <w:sectPr w:rsidR="00AA428D" w:rsidRPr="009A2F0A">
      <w:headerReference w:type="default" r:id="rId80"/>
      <w:foot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B3C6D" w14:textId="77777777" w:rsidR="00204581" w:rsidRDefault="00204581" w:rsidP="00204581">
      <w:pPr>
        <w:spacing w:after="0" w:line="240" w:lineRule="auto"/>
      </w:pPr>
      <w:r>
        <w:separator/>
      </w:r>
    </w:p>
  </w:endnote>
  <w:endnote w:type="continuationSeparator" w:id="0">
    <w:p w14:paraId="557CABC1" w14:textId="77777777" w:rsidR="00204581" w:rsidRDefault="00204581" w:rsidP="00204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028798"/>
      <w:docPartObj>
        <w:docPartGallery w:val="Page Numbers (Bottom of Page)"/>
        <w:docPartUnique/>
      </w:docPartObj>
    </w:sdtPr>
    <w:sdtEndPr>
      <w:rPr>
        <w:noProof/>
      </w:rPr>
    </w:sdtEndPr>
    <w:sdtContent>
      <w:p w14:paraId="3AC386C5" w14:textId="3838C10B" w:rsidR="009A2F0A" w:rsidRDefault="009A2F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C755A0" w14:textId="77777777" w:rsidR="009A2F0A" w:rsidRDefault="009A2F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2259F" w14:textId="77777777" w:rsidR="00204581" w:rsidRDefault="00204581" w:rsidP="00204581">
      <w:pPr>
        <w:spacing w:after="0" w:line="240" w:lineRule="auto"/>
      </w:pPr>
      <w:r>
        <w:separator/>
      </w:r>
    </w:p>
  </w:footnote>
  <w:footnote w:type="continuationSeparator" w:id="0">
    <w:p w14:paraId="41393D09" w14:textId="77777777" w:rsidR="00204581" w:rsidRDefault="00204581" w:rsidP="002045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85AB9" w14:textId="479C594A" w:rsidR="004A294D" w:rsidRPr="004A294D" w:rsidRDefault="004A294D">
    <w:pPr>
      <w:pStyle w:val="Header"/>
      <w:rPr>
        <w:sz w:val="16"/>
        <w:szCs w:val="16"/>
      </w:rPr>
    </w:pPr>
    <w:r w:rsidRPr="004A294D">
      <w:rPr>
        <w:sz w:val="16"/>
        <w:szCs w:val="16"/>
      </w:rPr>
      <w:t>S Davies-Jaynes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719"/>
    <w:rsid w:val="00004333"/>
    <w:rsid w:val="00072400"/>
    <w:rsid w:val="0012479A"/>
    <w:rsid w:val="00135CEB"/>
    <w:rsid w:val="001F1655"/>
    <w:rsid w:val="00204581"/>
    <w:rsid w:val="0034747A"/>
    <w:rsid w:val="003623B9"/>
    <w:rsid w:val="003A7190"/>
    <w:rsid w:val="004171BD"/>
    <w:rsid w:val="004A294D"/>
    <w:rsid w:val="004A40E1"/>
    <w:rsid w:val="005E3516"/>
    <w:rsid w:val="0067350E"/>
    <w:rsid w:val="00706AC3"/>
    <w:rsid w:val="00715AE9"/>
    <w:rsid w:val="007234EB"/>
    <w:rsid w:val="00742241"/>
    <w:rsid w:val="007F08E1"/>
    <w:rsid w:val="0085122F"/>
    <w:rsid w:val="008648F0"/>
    <w:rsid w:val="00894C6F"/>
    <w:rsid w:val="008D7585"/>
    <w:rsid w:val="00915DAC"/>
    <w:rsid w:val="009255B6"/>
    <w:rsid w:val="009A2F0A"/>
    <w:rsid w:val="00A171DB"/>
    <w:rsid w:val="00AA428D"/>
    <w:rsid w:val="00AA7719"/>
    <w:rsid w:val="00AC1403"/>
    <w:rsid w:val="00AD2D07"/>
    <w:rsid w:val="00B65812"/>
    <w:rsid w:val="00B80717"/>
    <w:rsid w:val="00B9512F"/>
    <w:rsid w:val="00C043A7"/>
    <w:rsid w:val="00C2311B"/>
    <w:rsid w:val="00C84CF9"/>
    <w:rsid w:val="00CB2233"/>
    <w:rsid w:val="00CB4396"/>
    <w:rsid w:val="00D636AB"/>
    <w:rsid w:val="00DA2D18"/>
    <w:rsid w:val="00DD6B60"/>
    <w:rsid w:val="00E303FA"/>
    <w:rsid w:val="00E56040"/>
    <w:rsid w:val="00EC70C4"/>
    <w:rsid w:val="00ED11C4"/>
    <w:rsid w:val="00F279D0"/>
    <w:rsid w:val="00FB34D3"/>
    <w:rsid w:val="00FD23D3"/>
    <w:rsid w:val="00FF1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2C72"/>
  <w15:chartTrackingRefBased/>
  <w15:docId w15:val="{34BCC9CA-1E31-44ED-90F3-F5E9AEABF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7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77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77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77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77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77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7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7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7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7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77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77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77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77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77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77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77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7719"/>
    <w:rPr>
      <w:rFonts w:eastAsiaTheme="majorEastAsia" w:cstheme="majorBidi"/>
      <w:color w:val="272727" w:themeColor="text1" w:themeTint="D8"/>
    </w:rPr>
  </w:style>
  <w:style w:type="paragraph" w:styleId="Title">
    <w:name w:val="Title"/>
    <w:basedOn w:val="Normal"/>
    <w:next w:val="Normal"/>
    <w:link w:val="TitleChar"/>
    <w:uiPriority w:val="10"/>
    <w:qFormat/>
    <w:rsid w:val="00AA77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7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77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7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7719"/>
    <w:pPr>
      <w:spacing w:before="160"/>
      <w:jc w:val="center"/>
    </w:pPr>
    <w:rPr>
      <w:i/>
      <w:iCs/>
      <w:color w:val="404040" w:themeColor="text1" w:themeTint="BF"/>
    </w:rPr>
  </w:style>
  <w:style w:type="character" w:customStyle="1" w:styleId="QuoteChar">
    <w:name w:val="Quote Char"/>
    <w:basedOn w:val="DefaultParagraphFont"/>
    <w:link w:val="Quote"/>
    <w:uiPriority w:val="29"/>
    <w:rsid w:val="00AA7719"/>
    <w:rPr>
      <w:i/>
      <w:iCs/>
      <w:color w:val="404040" w:themeColor="text1" w:themeTint="BF"/>
    </w:rPr>
  </w:style>
  <w:style w:type="paragraph" w:styleId="ListParagraph">
    <w:name w:val="List Paragraph"/>
    <w:basedOn w:val="Normal"/>
    <w:uiPriority w:val="34"/>
    <w:qFormat/>
    <w:rsid w:val="00AA7719"/>
    <w:pPr>
      <w:ind w:left="720"/>
      <w:contextualSpacing/>
    </w:pPr>
  </w:style>
  <w:style w:type="character" w:styleId="IntenseEmphasis">
    <w:name w:val="Intense Emphasis"/>
    <w:basedOn w:val="DefaultParagraphFont"/>
    <w:uiPriority w:val="21"/>
    <w:qFormat/>
    <w:rsid w:val="00AA7719"/>
    <w:rPr>
      <w:i/>
      <w:iCs/>
      <w:color w:val="0F4761" w:themeColor="accent1" w:themeShade="BF"/>
    </w:rPr>
  </w:style>
  <w:style w:type="paragraph" w:styleId="IntenseQuote">
    <w:name w:val="Intense Quote"/>
    <w:basedOn w:val="Normal"/>
    <w:next w:val="Normal"/>
    <w:link w:val="IntenseQuoteChar"/>
    <w:uiPriority w:val="30"/>
    <w:qFormat/>
    <w:rsid w:val="00AA77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7719"/>
    <w:rPr>
      <w:i/>
      <w:iCs/>
      <w:color w:val="0F4761" w:themeColor="accent1" w:themeShade="BF"/>
    </w:rPr>
  </w:style>
  <w:style w:type="character" w:styleId="IntenseReference">
    <w:name w:val="Intense Reference"/>
    <w:basedOn w:val="DefaultParagraphFont"/>
    <w:uiPriority w:val="32"/>
    <w:qFormat/>
    <w:rsid w:val="00AA7719"/>
    <w:rPr>
      <w:b/>
      <w:bCs/>
      <w:smallCaps/>
      <w:color w:val="0F4761" w:themeColor="accent1" w:themeShade="BF"/>
      <w:spacing w:val="5"/>
    </w:rPr>
  </w:style>
  <w:style w:type="character" w:styleId="Hyperlink">
    <w:name w:val="Hyperlink"/>
    <w:basedOn w:val="DefaultParagraphFont"/>
    <w:uiPriority w:val="99"/>
    <w:unhideWhenUsed/>
    <w:rsid w:val="00204581"/>
    <w:rPr>
      <w:color w:val="467886" w:themeColor="hyperlink"/>
      <w:u w:val="single"/>
    </w:rPr>
  </w:style>
  <w:style w:type="character" w:styleId="UnresolvedMention">
    <w:name w:val="Unresolved Mention"/>
    <w:basedOn w:val="DefaultParagraphFont"/>
    <w:uiPriority w:val="99"/>
    <w:semiHidden/>
    <w:unhideWhenUsed/>
    <w:rsid w:val="00204581"/>
    <w:rPr>
      <w:color w:val="605E5C"/>
      <w:shd w:val="clear" w:color="auto" w:fill="E1DFDD"/>
    </w:rPr>
  </w:style>
  <w:style w:type="paragraph" w:styleId="Header">
    <w:name w:val="header"/>
    <w:basedOn w:val="Normal"/>
    <w:link w:val="HeaderChar"/>
    <w:uiPriority w:val="99"/>
    <w:unhideWhenUsed/>
    <w:rsid w:val="002045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581"/>
  </w:style>
  <w:style w:type="paragraph" w:styleId="Footer">
    <w:name w:val="footer"/>
    <w:basedOn w:val="Normal"/>
    <w:link w:val="FooterChar"/>
    <w:uiPriority w:val="99"/>
    <w:unhideWhenUsed/>
    <w:rsid w:val="002045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581"/>
  </w:style>
  <w:style w:type="character" w:styleId="FollowedHyperlink">
    <w:name w:val="FollowedHyperlink"/>
    <w:basedOn w:val="DefaultParagraphFont"/>
    <w:uiPriority w:val="99"/>
    <w:semiHidden/>
    <w:unhideWhenUsed/>
    <w:rsid w:val="009A2F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org/uk/the-people-profession/the-profession-map/explore-the-profession-map/" TargetMode="External"/><Relationship Id="rId21" Type="http://schemas.openxmlformats.org/officeDocument/2006/relationships/hyperlink" Target="https://doi.org/10.2307/3324262" TargetMode="External"/><Relationship Id="rId42" Type="http://schemas.openxmlformats.org/officeDocument/2006/relationships/hyperlink" Target="https://doi.org/10.1016/s0099-1333(97)90081-1" TargetMode="External"/><Relationship Id="rId47" Type="http://schemas.openxmlformats.org/officeDocument/2006/relationships/hyperlink" Target="https://www.peoplemanagement.co.uk/article/1874954/learning-leadership-power-community-professional-development" TargetMode="External"/><Relationship Id="rId63" Type="http://schemas.openxmlformats.org/officeDocument/2006/relationships/hyperlink" Target="https://doi.org/10.1108/09670731011083833" TargetMode="External"/><Relationship Id="rId68" Type="http://schemas.openxmlformats.org/officeDocument/2006/relationships/hyperlink" Target="https://doi.org/10.1111/j.1467-8608.2007.00484.x" TargetMode="External"/><Relationship Id="rId16" Type="http://schemas.openxmlformats.org/officeDocument/2006/relationships/hyperlink" Target="https://doi.org/10.1177/105960117700200317" TargetMode="External"/><Relationship Id="rId11" Type="http://schemas.openxmlformats.org/officeDocument/2006/relationships/hyperlink" Target="https://doi.org/10.1093/rfs/hhw049" TargetMode="External"/><Relationship Id="rId32" Type="http://schemas.openxmlformats.org/officeDocument/2006/relationships/hyperlink" Target="https://doi.org/10.1007/s10734-020-00513-6" TargetMode="External"/><Relationship Id="rId37" Type="http://schemas.openxmlformats.org/officeDocument/2006/relationships/hyperlink" Target="https://doi.org/10.2307/2666999." TargetMode="External"/><Relationship Id="rId53" Type="http://schemas.openxmlformats.org/officeDocument/2006/relationships/hyperlink" Target="https://www.jstor.org/stable/1914185" TargetMode="External"/><Relationship Id="rId58" Type="http://schemas.openxmlformats.org/officeDocument/2006/relationships/hyperlink" Target="https://doi.org/10.5465/19416520.2011.574506" TargetMode="External"/><Relationship Id="rId74" Type="http://schemas.openxmlformats.org/officeDocument/2006/relationships/hyperlink" Target="https://doi.org/10.37301/jmubh.v18i1.22063" TargetMode="External"/><Relationship Id="rId79" Type="http://schemas.openxmlformats.org/officeDocument/2006/relationships/hyperlink" Target="https://doi.org/10.1108/lodj-08-2020-0355" TargetMode="External"/><Relationship Id="rId5" Type="http://schemas.openxmlformats.org/officeDocument/2006/relationships/endnotes" Target="endnotes.xml"/><Relationship Id="rId61" Type="http://schemas.openxmlformats.org/officeDocument/2006/relationships/hyperlink" Target="https://doi.org/10.1108/tlo-04-2021-266" TargetMode="External"/><Relationship Id="rId82" Type="http://schemas.openxmlformats.org/officeDocument/2006/relationships/fontTable" Target="fontTable.xml"/><Relationship Id="rId19" Type="http://schemas.openxmlformats.org/officeDocument/2006/relationships/hyperlink" Target="https://doi.org/10.1080/15332667.2023.2219589" TargetMode="External"/><Relationship Id="rId14" Type="http://schemas.openxmlformats.org/officeDocument/2006/relationships/hyperlink" Target="https://www.tandfonline.com/doi/epdf/10.1080/135943299398410?needAccess=true" TargetMode="External"/><Relationship Id="rId22" Type="http://schemas.openxmlformats.org/officeDocument/2006/relationships/hyperlink" Target="https://www.cipd.org/uk/knowledge/bitesize-research/reflections-cpd/" TargetMode="External"/><Relationship Id="rId27" Type="http://schemas.openxmlformats.org/officeDocument/2006/relationships/hyperlink" Target="https://www.cipd.org/uk/knowledge/factsheets/recruitment-brand-factsheet/" TargetMode="External"/><Relationship Id="rId30" Type="http://schemas.openxmlformats.org/officeDocument/2006/relationships/hyperlink" Target="https://www.cipd.org/uk/knowledge/guides/ethics-work-guide/" TargetMode="External"/><Relationship Id="rId35" Type="http://schemas.openxmlformats.org/officeDocument/2006/relationships/hyperlink" Target="https://doi.org/10.1080/14697017.2015.1125384" TargetMode="External"/><Relationship Id="rId43" Type="http://schemas.openxmlformats.org/officeDocument/2006/relationships/hyperlink" Target="https://doi.org/10.1093/itnow/bwaa026" TargetMode="External"/><Relationship Id="rId48" Type="http://schemas.openxmlformats.org/officeDocument/2006/relationships/hyperlink" Target="https://doi.org/10.3390/admsci13010003" TargetMode="External"/><Relationship Id="rId56" Type="http://schemas.openxmlformats.org/officeDocument/2006/relationships/hyperlink" Target="https://doi.org/10.5860/choice.50-2759" TargetMode="External"/><Relationship Id="rId64" Type="http://schemas.openxmlformats.org/officeDocument/2006/relationships/hyperlink" Target="https://doi.org/10.1111/j.1744-6570.2011.01239.x" TargetMode="External"/><Relationship Id="rId69" Type="http://schemas.openxmlformats.org/officeDocument/2006/relationships/hyperlink" Target="https://doi.org/10.1177/27546330231187565" TargetMode="External"/><Relationship Id="rId77" Type="http://schemas.openxmlformats.org/officeDocument/2006/relationships/hyperlink" Target="https://doi.org/10.1111/apps.12431" TargetMode="External"/><Relationship Id="rId8" Type="http://schemas.openxmlformats.org/officeDocument/2006/relationships/hyperlink" Target="https://doi.org/10.25134/ieflj.v6i2.3382" TargetMode="External"/><Relationship Id="rId51" Type="http://schemas.openxmlformats.org/officeDocument/2006/relationships/hyperlink" Target="https://doi.org/10.1016/s0024-6301(01)00065-6" TargetMode="External"/><Relationship Id="rId72" Type="http://schemas.openxmlformats.org/officeDocument/2006/relationships/hyperlink" Target="https://doi.org/10.1353/anq.2015.0057" TargetMode="External"/><Relationship Id="rId80" Type="http://schemas.openxmlformats.org/officeDocument/2006/relationships/header" Target="header1.xml"/><Relationship Id="rId3" Type="http://schemas.openxmlformats.org/officeDocument/2006/relationships/webSettings" Target="webSettings.xml"/><Relationship Id="rId12" Type="http://schemas.openxmlformats.org/officeDocument/2006/relationships/hyperlink" Target="https://doi.org/10.1016/0090-2616(90)90061-S" TargetMode="External"/><Relationship Id="rId17" Type="http://schemas.openxmlformats.org/officeDocument/2006/relationships/hyperlink" Target="https://doi.org/10.1016/j.leaqua.2006.10.004" TargetMode="External"/><Relationship Id="rId25" Type="http://schemas.openxmlformats.org/officeDocument/2006/relationships/hyperlink" Target="https://www.cipd.org/uk/knowledge/factsheets/change-management-factsheet/" TargetMode="External"/><Relationship Id="rId33" Type="http://schemas.openxmlformats.org/officeDocument/2006/relationships/hyperlink" Target="https://doi.org/10.1177/009102600203100408" TargetMode="External"/><Relationship Id="rId38" Type="http://schemas.openxmlformats.org/officeDocument/2006/relationships/hyperlink" Target="https://www.researchgate.net/publication/228320877_A_Stakeholder_Approach_to_Strategic_Management" TargetMode="External"/><Relationship Id="rId46" Type="http://schemas.openxmlformats.org/officeDocument/2006/relationships/hyperlink" Target="https://doi.org/10.1080/00345334.1969.11755973" TargetMode="External"/><Relationship Id="rId59" Type="http://schemas.openxmlformats.org/officeDocument/2006/relationships/hyperlink" Target="https://doi.org/10.1080/03069885.2013.773961" TargetMode="External"/><Relationship Id="rId67" Type="http://schemas.openxmlformats.org/officeDocument/2006/relationships/hyperlink" Target="https://doi.org/10.2307/2392894" TargetMode="External"/><Relationship Id="rId20" Type="http://schemas.openxmlformats.org/officeDocument/2006/relationships/hyperlink" Target="https://www.peoplemanagement.co.uk/article/1906431/encouraging-allyship-organisation" TargetMode="External"/><Relationship Id="rId41" Type="http://schemas.openxmlformats.org/officeDocument/2006/relationships/hyperlink" Target="https://doi.org/10.1002/ltl.40619981008" TargetMode="External"/><Relationship Id="rId54" Type="http://schemas.openxmlformats.org/officeDocument/2006/relationships/hyperlink" Target="https://doi.org/10.2139/ssrn.2744133" TargetMode="External"/><Relationship Id="rId62" Type="http://schemas.openxmlformats.org/officeDocument/2006/relationships/hyperlink" Target="https://doi.org/10.1016/s1048-9843(98)90015-7" TargetMode="External"/><Relationship Id="rId70" Type="http://schemas.openxmlformats.org/officeDocument/2006/relationships/hyperlink" Target="https://doi.org/10.1002/1348-9585.12132" TargetMode="External"/><Relationship Id="rId75" Type="http://schemas.openxmlformats.org/officeDocument/2006/relationships/hyperlink" Target="https://doi.org/10.5465/amr.2005.18378883" TargetMode="External"/><Relationship Id="rId83"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anva.com/design/DAGPgeiOncM/NuDJvPzvFOj_C1-anLYuAQ/edit?utm_content=DAGPgeiOncM&amp;utm_campaign=designshare&amp;utm_medium=link2&amp;utm_source=sharebutton" TargetMode="External"/><Relationship Id="rId15" Type="http://schemas.openxmlformats.org/officeDocument/2006/relationships/hyperlink" Target="https://careers.bluestonewales.com/our-values" TargetMode="External"/><Relationship Id="rId23" Type="http://schemas.openxmlformats.org/officeDocument/2006/relationships/hyperlink" Target="https://www.cipd.org/uk/knowledge/guides/manager-guidance-recruiting-managing-people-with-disability-or-health-condition/" TargetMode="External"/><Relationship Id="rId28" Type="http://schemas.openxmlformats.org/officeDocument/2006/relationships/hyperlink" Target="https://www.cipd.org/uk/knowledge/factsheets/leadership-factsheet/" TargetMode="External"/><Relationship Id="rId36" Type="http://schemas.openxmlformats.org/officeDocument/2006/relationships/hyperlink" Target="https://doi.org/10.1093/bmb/ldaa021" TargetMode="External"/><Relationship Id="rId49" Type="http://schemas.openxmlformats.org/officeDocument/2006/relationships/hyperlink" Target="https://doi.org/10.1177/0021886307312773" TargetMode="External"/><Relationship Id="rId57" Type="http://schemas.openxmlformats.org/officeDocument/2006/relationships/hyperlink" Target="https://doi.org/10.1177/0011128714526499" TargetMode="External"/><Relationship Id="rId10" Type="http://schemas.openxmlformats.org/officeDocument/2006/relationships/hyperlink" Target="https://doi.org/10.1016/j.leaqua.2005.03.001" TargetMode="External"/><Relationship Id="rId31" Type="http://schemas.openxmlformats.org/officeDocument/2006/relationships/hyperlink" Target="https://www.cipd.org/globalassets/media/comms/the-people-profession/profession-map-pdfs/full-standards-download-a4-2024/" TargetMode="External"/><Relationship Id="rId44" Type="http://schemas.openxmlformats.org/officeDocument/2006/relationships/hyperlink" Target="https://doi.org/10.2307/2584420" TargetMode="External"/><Relationship Id="rId52" Type="http://schemas.openxmlformats.org/officeDocument/2006/relationships/hyperlink" Target="https://doi.org/10.5465/256287" TargetMode="External"/><Relationship Id="rId60" Type="http://schemas.openxmlformats.org/officeDocument/2006/relationships/hyperlink" Target="https://doi.org/10.1108/eb004043" TargetMode="External"/><Relationship Id="rId65" Type="http://schemas.openxmlformats.org/officeDocument/2006/relationships/hyperlink" Target="https://doi.org/10.1111/j.2044-8325.1989.tb00492.x" TargetMode="External"/><Relationship Id="rId73" Type="http://schemas.openxmlformats.org/officeDocument/2006/relationships/hyperlink" Target="https://doi.org/10.1080/01462679.2014.890993" TargetMode="External"/><Relationship Id="rId78" Type="http://schemas.openxmlformats.org/officeDocument/2006/relationships/hyperlink" Target="https://doi.org/10.1007/s10551-011-0910-1" TargetMode="External"/><Relationship Id="rId8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oi.org/10.5465/amr.1989.4279008" TargetMode="External"/><Relationship Id="rId13" Type="http://schemas.openxmlformats.org/officeDocument/2006/relationships/hyperlink" Target="https://doi.org/10.5860/choice.35-4579" TargetMode="External"/><Relationship Id="rId18" Type="http://schemas.openxmlformats.org/officeDocument/2006/relationships/hyperlink" Target="https://doi.org/10.22543/1948-0733.1408" TargetMode="External"/><Relationship Id="rId39" Type="http://schemas.openxmlformats.org/officeDocument/2006/relationships/hyperlink" Target="https://doi.org/10.1016/j.leaqua.2005.03.003" TargetMode="External"/><Relationship Id="rId34" Type="http://schemas.openxmlformats.org/officeDocument/2006/relationships/hyperlink" Target="https://doi.org/10.1207/S15327965PLI1104_01" TargetMode="External"/><Relationship Id="rId50" Type="http://schemas.openxmlformats.org/officeDocument/2006/relationships/hyperlink" Target="https://doi.org/10.1111/j.1365-2702.1994.tb00364.x" TargetMode="External"/><Relationship Id="rId55" Type="http://schemas.openxmlformats.org/officeDocument/2006/relationships/hyperlink" Target="https://doi.org/10.2307/2025030" TargetMode="External"/><Relationship Id="rId76" Type="http://schemas.openxmlformats.org/officeDocument/2006/relationships/hyperlink" Target="https://doi.org/10.47408/jldhe.vi29.1082" TargetMode="External"/><Relationship Id="rId7" Type="http://schemas.openxmlformats.org/officeDocument/2006/relationships/hyperlink" Target="https://www.acas.org.uk/redundancy" TargetMode="External"/><Relationship Id="rId71" Type="http://schemas.openxmlformats.org/officeDocument/2006/relationships/hyperlink" Target="https://doi.org/10.1016/j.eurpsy.2007.01.1036" TargetMode="External"/><Relationship Id="rId2" Type="http://schemas.openxmlformats.org/officeDocument/2006/relationships/settings" Target="settings.xml"/><Relationship Id="rId29" Type="http://schemas.openxmlformats.org/officeDocument/2006/relationships/hyperlink" Target="https://www.cipd.org/uk/knowledge/guides/neuroinclusion-work/" TargetMode="External"/><Relationship Id="rId24" Type="http://schemas.openxmlformats.org/officeDocument/2006/relationships/hyperlink" Target="https://www.cipd.org/uk/about/news/new-programme-designed-ccl/" TargetMode="External"/><Relationship Id="rId40" Type="http://schemas.openxmlformats.org/officeDocument/2006/relationships/hyperlink" Target="https://doi.org/10.1037/0021-9010.82.6.827" TargetMode="External"/><Relationship Id="rId45" Type="http://schemas.openxmlformats.org/officeDocument/2006/relationships/hyperlink" Target="https://doi.org/10.1002/hrm.3930290308" TargetMode="External"/><Relationship Id="rId66" Type="http://schemas.openxmlformats.org/officeDocument/2006/relationships/hyperlink" Target="https://doi.org/10.2307/2583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504</TotalTime>
  <Pages>21</Pages>
  <Words>7915</Words>
  <Characters>45121</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Davies-Jaynes</dc:creator>
  <cp:keywords/>
  <dc:description/>
  <cp:lastModifiedBy>Stuart Davies-Jaynes</cp:lastModifiedBy>
  <cp:revision>38</cp:revision>
  <dcterms:created xsi:type="dcterms:W3CDTF">2025-02-16T09:02:00Z</dcterms:created>
  <dcterms:modified xsi:type="dcterms:W3CDTF">2025-03-31T14:03:00Z</dcterms:modified>
</cp:coreProperties>
</file>