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cs="Times New Roman"/>
          <w:sz w:val="22"/>
          <w:szCs w:val="22"/>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 xml:space="preserve">The following is a book review for the </w:t>
      </w:r>
      <w:r>
        <w:rPr>
          <w:rFonts w:hint="default" w:ascii="Times New Roman" w:hAnsi="Times New Roman" w:cs="Times New Roman"/>
          <w:i/>
          <w:iCs/>
          <w:sz w:val="22"/>
          <w:szCs w:val="22"/>
          <w:lang w:val="en-AU"/>
        </w:rPr>
        <w:t>American Anthropologist.</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b/>
          <w:bCs/>
          <w:sz w:val="22"/>
          <w:szCs w:val="22"/>
          <w:lang w:val="en-AU"/>
        </w:rPr>
        <w:t>Spirits of Palestine: Gender, Society, and Stories of the Jinn.</w:t>
      </w:r>
      <w:r>
        <w:rPr>
          <w:rFonts w:hint="default" w:ascii="Times New Roman" w:hAnsi="Times New Roman" w:cs="Times New Roman"/>
          <w:sz w:val="22"/>
          <w:szCs w:val="22"/>
          <w:lang w:val="en-AU"/>
        </w:rPr>
        <w:t xml:space="preserve"> Celia E. Rothenberg. Oxford, UK: Lexington Books, 2004. 149 pp.</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b/>
          <w:bCs/>
          <w:sz w:val="22"/>
          <w:szCs w:val="22"/>
          <w:lang w:val="en-AU"/>
        </w:rPr>
      </w:pPr>
      <w:r>
        <w:rPr>
          <w:rFonts w:hint="default" w:ascii="Times New Roman" w:hAnsi="Times New Roman" w:cs="Times New Roman"/>
          <w:b/>
          <w:bCs/>
          <w:sz w:val="22"/>
          <w:szCs w:val="22"/>
          <w:lang w:val="en-AU"/>
        </w:rPr>
        <w:t>AARON MORATZ</w:t>
      </w: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University of Wales</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 xml:space="preserve">Looking for the effects of trauma through the lens of mental health issues is no new approach, especially in the study of refugee communities in Europe and the United States. Anthropologist Celia Rothenberg’s academic focus has been the trauma of occupation among Palestinian villagers in the West Bank. Her approach, however, is novel. She uses experiences of spirit possession to uncover social dynamics that remain largely hidden in everyday discourse. </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 xml:space="preserve">Her monograph </w:t>
      </w:r>
      <w:r>
        <w:rPr>
          <w:rFonts w:hint="default" w:ascii="Times New Roman" w:hAnsi="Times New Roman" w:cs="Times New Roman"/>
          <w:i/>
          <w:iCs/>
          <w:sz w:val="22"/>
          <w:szCs w:val="22"/>
          <w:lang w:val="en-AU"/>
        </w:rPr>
        <w:t>Spirits of Palestine</w:t>
      </w:r>
      <w:r>
        <w:rPr>
          <w:rFonts w:hint="default" w:ascii="Times New Roman" w:hAnsi="Times New Roman" w:cs="Times New Roman"/>
          <w:i w:val="0"/>
          <w:iCs w:val="0"/>
          <w:sz w:val="22"/>
          <w:szCs w:val="22"/>
          <w:lang w:val="en-AU"/>
        </w:rPr>
        <w:t xml:space="preserve"> is the product of participant observation in Artas, a Palestinian village where she collected jinn possession stories that were frequently told and retold, without ever having witnessed an instance of spirit possession herself. </w:t>
      </w:r>
      <w:r>
        <w:rPr>
          <w:rFonts w:hint="default" w:ascii="Times New Roman" w:hAnsi="Times New Roman" w:cs="Times New Roman"/>
          <w:sz w:val="22"/>
          <w:szCs w:val="22"/>
          <w:lang w:val="en-AU"/>
        </w:rPr>
        <w:t xml:space="preserve">She leaves aside theological issues, but chooses a smaller number of jinn stories and interprets them in detail, exploring the themes that arise in the stories and putting them into their larger social context. After covering basic local knowledge and beliefs about jinn (ch. 2), there is an emphasis on stories told by women and their implicit messages in the areas of moral norms and the effects of the Israeli occupation of the West Bank (ch. 3-4). One chapter incorporates less public possession stories by Artasian men in the context of the occupation (ch. 5). </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Rothernberg’s approach is hermeneutic in that she interprets the stories as text. For example, when analysing the story of Nura, an unmarried woman well past marriage age in Artasian expectations, Rothenberg explores a wide range of contextual aspects: generally accepted marriage practices; the role of a girl’s marriageable age and reputation; cultural notions of cleanliness; the politics of occupation, the first intifada, and their impact on education, economy and the people’s psychology; changes in Palestinian society including work opportunities for women; appropriate roles and skills for women in village life. She concludes that in local explanations, the problem of Nura’s singleness is due to a jinn, while broader factors are not taken into consideration by villagers (p. 57). Her interest, then, is not in the question whether the jinn stories are ‘true’. Her methodological assumption is the Thomas theorem, namely that if villagers define situations as real, then they are real in their consequences. As a result, she aims to explore the stories’ meanings for the lives of Palestinian village people. To her, jinn narratives are “a subjugated discourse” in relation to “the more powerful discourses that are typically publicly upheld and defended as ‘natural’ or ‘right’” (p. 8). Jinn possession stories are an area of life in which implicit social developments are made explicit. The “symbolic significance of the jinn” gives insight into villagers’ social circumstances (p. 2).</w:t>
      </w:r>
    </w:p>
    <w:p>
      <w:pPr>
        <w:spacing w:line="360" w:lineRule="auto"/>
        <w:rPr>
          <w:rFonts w:hint="default" w:ascii="Times New Roman" w:hAnsi="Times New Roman" w:cs="Times New Roman"/>
          <w:sz w:val="22"/>
          <w:szCs w:val="22"/>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Apart from simply bringing to light the social circumstances that villagers find themselves in, she sees jinn stories as a means of implicit critique of social norms and political events. To give an example, in Samira’s story, the author sees a critique of the work that married women are expected to do. Due to their busyness, women cannot focus on God which makes them more vulnerable to attacks by jinn. In another case study Zahia, a possessed women says a few words in Hebrew, which is interpreted by her surroundings as a clear sign that she must be possessed, as Artasi women don’t know the Hebrew language. The author notes that in this social context men are more positive towards learning the Hebrew language of their perceived oppressors than women. While men exhibit their Hebrew skills with pride of being able to financially benefit from their occupiers, Rothenberg argues that “Artasi women understand their lack of knowledge of Hebrew as resistance” to the foreign force (p. 92). While these differences are “rarely stated directly”, they “become more explicit in stories of the jinn”. The fact that a jinn speaks Hebrew, then, is an indirect critique of men’s positive attitude towards learning the language. Rothenberg concludes that Zahia’s case study is an example of “an implicit discourse on power in which women comment on the dictates and paradoxes of both village life and the Israeli military through the idiom of possession by a Jewish jinn” (p. 93). The different forces of power at play are made explicit in the fact that a village woman’s body is taken over by an external agent, the jinn.</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In her treatment of the literature, Rothenberg is critical of some of the previous approaches to the study of spirit possession. She argues strongly against the notion that possession is a misinterpretation on the side of the villagers of some kind of mental illness. In contrast, she agrees with Crapanzano that possession is “an idiom for articulating a certain range of experience” which is different to the “internalised […] psychological idiom of the Western world” but instead allows for the expression of possession’s “external and public significance” (Crapanzano 1977: 10). She also opposes Lewis’ interpretation of possession as deprivation theory, namely “thinly disguised protest movements directed against the dominant sex” (Lewis 1975) because (1) it ignores the fact that possession does not always lead to change in women’s lives, (2) “the jinn do not always work in women’s favor”, and (3) the theory sees women as manipulative liars (p. 129). Rothenberg agrees with Boddy that deprivation theory ignores the complexities of jinn possession as well as the “‘fact’ of the spirits themselves [which are] a locally meaningful belief” (p. 130).</w:t>
      </w:r>
    </w:p>
    <w:p>
      <w:pPr>
        <w:spacing w:line="360" w:lineRule="auto"/>
        <w:rPr>
          <w:rFonts w:hint="default" w:ascii="Times New Roman" w:hAnsi="Times New Roman" w:cs="Times New Roman"/>
          <w:sz w:val="22"/>
          <w:szCs w:val="22"/>
          <w:lang w:val="en-AU"/>
        </w:rPr>
      </w:pPr>
    </w:p>
    <w:p>
      <w:pPr>
        <w:spacing w:line="360" w:lineRule="auto"/>
        <w:rPr>
          <w:rFonts w:ascii="Times New Roman" w:hAnsi="Times New Roman" w:eastAsia="Times New Roman"/>
          <w:kern w:val="0"/>
          <w:sz w:val="22"/>
          <w:szCs w:val="22"/>
          <w:lang w:val="en-US" w:eastAsia="en-AU"/>
        </w:rPr>
      </w:pPr>
      <w:r>
        <w:rPr>
          <w:rFonts w:hint="default" w:ascii="Times New Roman" w:hAnsi="Times New Roman" w:cs="Times New Roman"/>
          <w:sz w:val="22"/>
          <w:szCs w:val="22"/>
          <w:lang w:val="en-AU"/>
        </w:rPr>
        <w:t xml:space="preserve">Throughout the book, however, she does not explore the breadth that Crapanzano’s definition calls for. Whilst she does mention reasons for possession which are not connected to some social problem, all her case studies are focused on social problems, making it relatively easy to read her interpretation of possession stories as idioms of distress in which undamaged persons consciously or unconsciously act out of their own interests. Her tendency to read jinn stories as acts of subtle resistance further plays into this criticism. Kalpana Ram’s critique of Lewis’ work equally applies to Rothenberg’s approach: women and men are strategically employing the act of possession towards their own ends. While in Lewis’ case this activity is not only interested by also conscious, Rothenberg nevertheless displays possession narratives as a means of subtle resistance towards social injustices: the stories are “one more ‘stratagem’ employed by the marginalised” (Ram 2013:82). </w:t>
      </w:r>
      <w:r>
        <w:rPr>
          <w:rFonts w:ascii="Times New Roman" w:hAnsi="Times New Roman" w:eastAsia="Times New Roman"/>
          <w:kern w:val="0"/>
          <w:sz w:val="22"/>
          <w:szCs w:val="22"/>
          <w:lang w:val="en-AU" w:eastAsia="en-AU"/>
        </w:rPr>
        <w:t xml:space="preserve">The focus of analysis </w:t>
      </w:r>
      <w:r>
        <w:rPr>
          <w:rFonts w:ascii="Times New Roman" w:hAnsi="Times New Roman" w:eastAsia="Times New Roman"/>
          <w:kern w:val="0"/>
          <w:sz w:val="22"/>
          <w:szCs w:val="22"/>
          <w:lang w:val="en-US" w:eastAsia="en-AU"/>
        </w:rPr>
        <w:t xml:space="preserve">is </w:t>
      </w:r>
      <w:r>
        <w:rPr>
          <w:rFonts w:ascii="Times New Roman" w:hAnsi="Times New Roman" w:eastAsia="Times New Roman"/>
          <w:kern w:val="0"/>
          <w:sz w:val="22"/>
          <w:szCs w:val="22"/>
          <w:lang w:val="en-AU" w:eastAsia="en-AU"/>
        </w:rPr>
        <w:t>instrumental</w:t>
      </w:r>
      <w:r>
        <w:rPr>
          <w:rFonts w:ascii="Times New Roman" w:hAnsi="Times New Roman" w:eastAsia="Times New Roman"/>
          <w:kern w:val="0"/>
          <w:sz w:val="22"/>
          <w:szCs w:val="22"/>
          <w:lang w:val="en-US" w:eastAsia="en-AU"/>
        </w:rPr>
        <w:t xml:space="preserve"> which is typical for a focus on resistance. By avoiding to address ontological questions about the </w:t>
      </w:r>
      <w:r>
        <w:rPr>
          <w:rFonts w:hint="default" w:ascii="Times New Roman" w:hAnsi="Times New Roman" w:eastAsia="Times New Roman"/>
          <w:kern w:val="0"/>
          <w:sz w:val="22"/>
          <w:szCs w:val="22"/>
          <w:lang w:val="en-US" w:eastAsia="en-AU"/>
        </w:rPr>
        <w:t>‘reality’ of jinn, Rothenberg ends up treating statements that are intended as literal as if they were metaphorical.</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r>
        <w:rPr>
          <w:rFonts w:hint="default" w:ascii="Times New Roman" w:hAnsi="Times New Roman" w:cs="Times New Roman"/>
          <w:sz w:val="22"/>
          <w:szCs w:val="22"/>
          <w:lang w:val="en-AU"/>
        </w:rPr>
        <w:t xml:space="preserve">In the final chapter 6, the author concludes that “the schism between </w:t>
      </w:r>
      <w:r>
        <w:rPr>
          <w:rFonts w:hint="default" w:ascii="Times New Roman" w:hAnsi="Times New Roman" w:cs="Times New Roman"/>
          <w:i/>
          <w:iCs/>
          <w:sz w:val="22"/>
          <w:szCs w:val="22"/>
          <w:lang w:val="en-AU"/>
        </w:rPr>
        <w:t>what is</w:t>
      </w:r>
      <w:r>
        <w:rPr>
          <w:rFonts w:hint="default" w:ascii="Times New Roman" w:hAnsi="Times New Roman" w:cs="Times New Roman"/>
          <w:i w:val="0"/>
          <w:iCs w:val="0"/>
          <w:sz w:val="22"/>
          <w:szCs w:val="22"/>
          <w:lang w:val="en-AU"/>
        </w:rPr>
        <w:t xml:space="preserve"> and </w:t>
      </w:r>
      <w:r>
        <w:rPr>
          <w:rFonts w:hint="default" w:ascii="Times New Roman" w:hAnsi="Times New Roman" w:cs="Times New Roman"/>
          <w:i/>
          <w:iCs/>
          <w:sz w:val="22"/>
          <w:szCs w:val="22"/>
          <w:lang w:val="en-AU"/>
        </w:rPr>
        <w:t>what should be</w:t>
      </w:r>
      <w:r>
        <w:rPr>
          <w:rFonts w:hint="default" w:ascii="Times New Roman" w:hAnsi="Times New Roman" w:cs="Times New Roman"/>
          <w:i w:val="0"/>
          <w:iCs w:val="0"/>
          <w:sz w:val="22"/>
          <w:szCs w:val="22"/>
          <w:lang w:val="en-AU"/>
        </w:rPr>
        <w:t xml:space="preserve"> is often keenly felt and expressed through stories of the jinn” which create a space for what is taken for granted to be “</w:t>
      </w:r>
      <w:r>
        <w:rPr>
          <w:rFonts w:hint="default" w:ascii="Times New Roman" w:hAnsi="Times New Roman" w:cs="Times New Roman"/>
          <w:sz w:val="22"/>
          <w:szCs w:val="22"/>
          <w:lang w:val="en-AU"/>
        </w:rPr>
        <w:t xml:space="preserve">critiqued, probed, revealed, and challenged” </w:t>
      </w:r>
      <w:r>
        <w:rPr>
          <w:rFonts w:hint="default" w:ascii="Times New Roman" w:hAnsi="Times New Roman" w:cs="Times New Roman"/>
          <w:i w:val="0"/>
          <w:iCs w:val="0"/>
          <w:sz w:val="22"/>
          <w:szCs w:val="22"/>
          <w:lang w:val="en-AU"/>
        </w:rPr>
        <w:t>(p. 123, 125; italics in the original). This reading of the place of jinn in Artasian social structure allows her to offer two contributions to the study of spirit possession in the context of moral norms. Firstly, belief in jinn makes the divide between public and private space “largely meaningless” (p. 126), as villagers believe themselves to be observed by spirits at all times and never in a truly private space. This raises the question whether the public-private distinction is only relevant in cultures that presume all reality to be material and the boundaries of individual persons to be clearly demarcated. Secondly, spirit possession allows for the externalising of responsibility to a foreign agent who carries the blame for the transgression. As a result, t</w:t>
      </w:r>
      <w:r>
        <w:rPr>
          <w:rFonts w:hint="default" w:ascii="Times New Roman" w:hAnsi="Times New Roman" w:cs="Times New Roman"/>
          <w:sz w:val="22"/>
          <w:szCs w:val="22"/>
          <w:lang w:val="en-AU"/>
        </w:rPr>
        <w:t>he moral code of th</w:t>
      </w:r>
      <w:bookmarkStart w:id="0" w:name="_GoBack"/>
      <w:bookmarkEnd w:id="0"/>
      <w:r>
        <w:rPr>
          <w:rFonts w:hint="default" w:ascii="Times New Roman" w:hAnsi="Times New Roman" w:cs="Times New Roman"/>
          <w:sz w:val="22"/>
          <w:szCs w:val="22"/>
          <w:lang w:val="en-AU"/>
        </w:rPr>
        <w:t>e social group is left intact while mistakes are “minimized and covered up” and the individual person left undamaged (p. 63). These two insights in the working of Palestinian social structure may have wider implications and deserve further study.</w:t>
      </w: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sz w:val="22"/>
          <w:szCs w:val="22"/>
          <w:lang w:val="en-AU"/>
        </w:rPr>
      </w:pPr>
    </w:p>
    <w:p>
      <w:pPr>
        <w:spacing w:line="360" w:lineRule="auto"/>
        <w:rPr>
          <w:rFonts w:hint="default" w:ascii="Times New Roman" w:hAnsi="Times New Roman" w:cs="Times New Roman"/>
          <w:b/>
          <w:bCs/>
          <w:sz w:val="21"/>
          <w:szCs w:val="21"/>
          <w:lang w:val="en-AU"/>
        </w:rPr>
      </w:pPr>
      <w:r>
        <w:rPr>
          <w:rFonts w:hint="default" w:ascii="Times New Roman" w:hAnsi="Times New Roman" w:cs="Times New Roman"/>
          <w:b/>
          <w:bCs/>
          <w:sz w:val="21"/>
          <w:szCs w:val="21"/>
          <w:lang w:val="en-AU"/>
        </w:rPr>
        <w:t>REFERENCES CITED</w:t>
      </w:r>
    </w:p>
    <w:p>
      <w:pPr>
        <w:spacing w:line="240" w:lineRule="auto"/>
        <w:rPr>
          <w:rFonts w:hint="default" w:ascii="Times New Roman" w:hAnsi="Times New Roman" w:cs="Times New Roman"/>
          <w:sz w:val="21"/>
          <w:szCs w:val="21"/>
          <w:lang w:val="en-AU"/>
        </w:rPr>
      </w:pPr>
    </w:p>
    <w:p>
      <w:pPr>
        <w:pStyle w:val="8"/>
        <w:spacing w:line="240" w:lineRule="auto"/>
        <w:rPr>
          <w:rFonts w:ascii="Times New Roman" w:hAnsi="Times New Roman"/>
          <w:sz w:val="21"/>
          <w:szCs w:val="21"/>
          <w:lang w:val="en-AU"/>
        </w:rPr>
      </w:pPr>
      <w:r>
        <w:rPr>
          <w:rFonts w:ascii="Times New Roman" w:hAnsi="Times New Roman"/>
          <w:sz w:val="21"/>
          <w:szCs w:val="21"/>
          <w:lang w:val="en-AU"/>
        </w:rPr>
        <w:t xml:space="preserve">Crapanzano, Vincent. 1977. Introduction. In </w:t>
      </w:r>
      <w:r>
        <w:rPr>
          <w:rFonts w:ascii="Times New Roman" w:hAnsi="Times New Roman"/>
          <w:i/>
          <w:iCs/>
          <w:sz w:val="21"/>
          <w:szCs w:val="21"/>
          <w:lang w:val="en-AU"/>
        </w:rPr>
        <w:t>Case Studies in Spirit Possession</w:t>
      </w:r>
      <w:r>
        <w:rPr>
          <w:rFonts w:ascii="Times New Roman" w:hAnsi="Times New Roman"/>
          <w:i w:val="0"/>
          <w:iCs w:val="0"/>
          <w:sz w:val="21"/>
          <w:szCs w:val="21"/>
          <w:lang w:val="en-AU"/>
        </w:rPr>
        <w:t>, ed. V. Crapanzano and V. Garrison. New York: John Wiley.</w:t>
      </w:r>
    </w:p>
    <w:p>
      <w:pPr>
        <w:pStyle w:val="8"/>
        <w:spacing w:line="240" w:lineRule="auto"/>
        <w:rPr>
          <w:rFonts w:ascii="Times New Roman" w:hAnsi="Times New Roman"/>
          <w:sz w:val="21"/>
          <w:szCs w:val="21"/>
          <w:lang w:val="en-GB"/>
        </w:rPr>
      </w:pPr>
    </w:p>
    <w:p>
      <w:pPr>
        <w:pStyle w:val="8"/>
        <w:spacing w:line="240" w:lineRule="auto"/>
        <w:rPr>
          <w:rFonts w:ascii="Times New Roman" w:hAnsi="Times New Roman"/>
          <w:sz w:val="21"/>
          <w:szCs w:val="21"/>
          <w:lang w:val="en-AU"/>
        </w:rPr>
      </w:pPr>
      <w:r>
        <w:rPr>
          <w:rFonts w:ascii="Times New Roman" w:hAnsi="Times New Roman"/>
          <w:sz w:val="21"/>
          <w:szCs w:val="21"/>
          <w:lang w:val="en-AU"/>
        </w:rPr>
        <w:t xml:space="preserve">Lewis, I.M. 1975. </w:t>
      </w:r>
      <w:r>
        <w:rPr>
          <w:rFonts w:ascii="Times New Roman" w:hAnsi="Times New Roman"/>
          <w:i/>
          <w:iCs/>
          <w:sz w:val="21"/>
          <w:szCs w:val="21"/>
          <w:lang w:val="en-AU"/>
        </w:rPr>
        <w:t>Ecstatic Religion</w:t>
      </w:r>
      <w:r>
        <w:rPr>
          <w:rFonts w:ascii="Times New Roman" w:hAnsi="Times New Roman"/>
          <w:i w:val="0"/>
          <w:iCs w:val="0"/>
          <w:sz w:val="21"/>
          <w:szCs w:val="21"/>
          <w:lang w:val="en-AU"/>
        </w:rPr>
        <w:t>. Harmondsworth, UK: Penguin Books.</w:t>
      </w:r>
    </w:p>
    <w:p>
      <w:pPr>
        <w:pStyle w:val="8"/>
        <w:spacing w:line="240" w:lineRule="auto"/>
        <w:rPr>
          <w:rFonts w:ascii="Times New Roman" w:hAnsi="Times New Roman"/>
          <w:sz w:val="21"/>
          <w:szCs w:val="21"/>
          <w:lang w:val="en-GB"/>
        </w:rPr>
      </w:pPr>
    </w:p>
    <w:p>
      <w:pPr>
        <w:pStyle w:val="8"/>
        <w:spacing w:line="240" w:lineRule="auto"/>
        <w:rPr>
          <w:rFonts w:ascii="Times New Roman" w:hAnsi="Times New Roman"/>
          <w:sz w:val="21"/>
          <w:szCs w:val="21"/>
          <w:lang w:val="en-GB"/>
        </w:rPr>
      </w:pPr>
      <w:r>
        <w:rPr>
          <w:rFonts w:ascii="Times New Roman" w:hAnsi="Times New Roman"/>
          <w:sz w:val="21"/>
          <w:szCs w:val="21"/>
          <w:lang w:val="en-GB"/>
        </w:rPr>
        <w:t xml:space="preserve">Ram, Kalpana. 2013. </w:t>
      </w:r>
      <w:r>
        <w:rPr>
          <w:rFonts w:ascii="Times New Roman" w:hAnsi="Times New Roman"/>
          <w:i/>
          <w:sz w:val="21"/>
          <w:szCs w:val="21"/>
          <w:lang w:val="en-GB"/>
        </w:rPr>
        <w:t>Fertile Disorder: Spirit Possession and Its Provocation of the Modern</w:t>
      </w:r>
      <w:r>
        <w:rPr>
          <w:rFonts w:ascii="Times New Roman" w:hAnsi="Times New Roman"/>
          <w:sz w:val="21"/>
          <w:szCs w:val="21"/>
          <w:lang w:val="en-GB"/>
        </w:rPr>
        <w:t>. Honolulu: University of Hawai’i Press.</w:t>
      </w:r>
    </w:p>
    <w:p>
      <w:pPr>
        <w:spacing w:line="360" w:lineRule="auto"/>
        <w:rPr>
          <w:rFonts w:hint="default" w:ascii="Times New Roman" w:hAnsi="Times New Roman" w:cs="Times New Roman"/>
          <w:sz w:val="21"/>
          <w:szCs w:val="21"/>
          <w:lang w:val="en-AU"/>
        </w:rPr>
      </w:pPr>
    </w:p>
    <w:p>
      <w:pPr>
        <w:spacing w:line="360" w:lineRule="auto"/>
        <w:rPr>
          <w:rFonts w:hint="default" w:ascii="Times New Roman" w:hAnsi="Times New Roman" w:cs="Times New Roman"/>
          <w:sz w:val="21"/>
          <w:szCs w:val="21"/>
          <w:lang w:val="en-AU"/>
        </w:rPr>
      </w:pPr>
    </w:p>
    <w:p>
      <w:pPr>
        <w:spacing w:line="360" w:lineRule="auto"/>
        <w:rPr>
          <w:rFonts w:hint="default" w:ascii="Times New Roman" w:hAnsi="Times New Roman" w:cs="Times New Roman"/>
          <w:sz w:val="21"/>
          <w:szCs w:val="21"/>
          <w:lang w:val="en-AU"/>
        </w:rPr>
      </w:pPr>
    </w:p>
    <w:p>
      <w:pPr>
        <w:spacing w:line="360" w:lineRule="auto"/>
        <w:rPr>
          <w:rFonts w:hint="default" w:ascii="Times New Roman" w:hAnsi="Times New Roman" w:cs="Times New Roman"/>
          <w:sz w:val="21"/>
          <w:szCs w:val="21"/>
          <w:lang w:val="en-AU"/>
        </w:rPr>
      </w:pPr>
    </w:p>
    <w:p>
      <w:pPr>
        <w:spacing w:line="360" w:lineRule="auto"/>
        <w:rPr>
          <w:rFonts w:hint="default" w:ascii="Times New Roman" w:hAnsi="Times New Roman" w:cs="Times New Roman"/>
          <w:sz w:val="21"/>
          <w:szCs w:val="21"/>
          <w:lang w:val="en-AU"/>
        </w:rPr>
      </w:pPr>
    </w:p>
    <w:p>
      <w:pPr>
        <w:spacing w:line="360" w:lineRule="auto"/>
        <w:rPr>
          <w:rFonts w:hint="default" w:ascii="Times New Roman" w:hAnsi="Times New Roman" w:cs="Times New Roman"/>
          <w:sz w:val="21"/>
          <w:szCs w:val="21"/>
          <w:lang w:val="en-AU"/>
        </w:rPr>
      </w:pPr>
    </w:p>
    <w:p>
      <w:pPr>
        <w:spacing w:line="360" w:lineRule="auto"/>
        <w:rPr>
          <w:rFonts w:hint="default" w:ascii="Times New Roman" w:hAnsi="Times New Roman" w:cs="Times New Roman"/>
          <w:sz w:val="21"/>
          <w:szCs w:val="21"/>
          <w:lang w:val="en-AU"/>
        </w:rPr>
      </w:pPr>
      <w:r>
        <w:rPr>
          <w:rFonts w:hint="default" w:ascii="Times New Roman" w:hAnsi="Times New Roman" w:cs="Times New Roman"/>
          <w:sz w:val="21"/>
          <w:szCs w:val="21"/>
          <w:lang w:val="en-AU"/>
        </w:rPr>
        <w:t>Word Count: 1376</w:t>
      </w:r>
    </w:p>
    <w:sectPr>
      <w:headerReference r:id="rId3" w:type="default"/>
      <w:footerReference r:id="rId4" w:type="default"/>
      <w:pgSz w:w="11906" w:h="16838"/>
      <w:pgMar w:top="1440" w:right="180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Open Sans">
    <w:panose1 w:val="020B0606030504020204"/>
    <w:charset w:val="00"/>
    <w:family w:val="auto"/>
    <w:pitch w:val="default"/>
    <w:sig w:usb0="E00002EF" w:usb1="4000205B" w:usb2="00000028" w:usb3="00000000" w:csb0="2000019F" w:csb1="00000000"/>
  </w:font>
  <w:font w:name="Open Sans Semibold">
    <w:panose1 w:val="020B0706030804020204"/>
    <w:charset w:val="00"/>
    <w:family w:val="auto"/>
    <w:pitch w:val="default"/>
    <w:sig w:usb0="E00002EF" w:usb1="4000205B" w:usb2="00000028" w:usb3="00000000" w:csb0="2000019F" w:csb1="00000000"/>
  </w:font>
  <w:font w:name="Helvetica Neue">
    <w:altName w:val="Times New Roman"/>
    <w:panose1 w:val="00000000000000000000"/>
    <w:charset w:val="00"/>
    <w:family w:val="roman"/>
    <w:pitch w:val="default"/>
    <w:sig w:usb0="00000000" w:usb1="00000000" w:usb2="00000000" w:usb3="00000000" w:csb0="00000000" w:csb1="00000000"/>
  </w:font>
  <w:font w:name="Code">
    <w:altName w:val="Segoe Print"/>
    <w:panose1 w:val="00000000000000000000"/>
    <w:charset w:val="00"/>
    <w:family w:val="swiss"/>
    <w:pitch w:val="default"/>
    <w:sig w:usb0="00000000" w:usb1="00000000" w:usb2="00000000" w:usb3="00000000" w:csb0="00000001" w:csb1="00000000"/>
  </w:font>
  <w:font w:name="TimesNewRomanPS-ItalicMT">
    <w:altName w:val="MS Gothic"/>
    <w:panose1 w:val="00000000000000000000"/>
    <w:charset w:val="80"/>
    <w:family w:val="auto"/>
    <w:pitch w:val="default"/>
    <w:sig w:usb0="00000000" w:usb1="00000000" w:usb2="00000010" w:usb3="00000000" w:csb0="00020000" w:csb1="00000000"/>
  </w:font>
  <w:font w:name="Garamond-Bold">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auto"/>
    <w:pitch w:val="default"/>
    <w:sig w:usb0="E00002FF" w:usb1="6AC7FDFB" w:usb2="08000012" w:usb3="00000000" w:csb0="4002009F" w:csb1="DFD70000"/>
  </w:font>
  <w:font w:name="Lucida Grande">
    <w:altName w:val="Microsoft Sans Serif"/>
    <w:panose1 w:val="020B0600040502020204"/>
    <w:charset w:val="00"/>
    <w:family w:val="auto"/>
    <w:pitch w:val="default"/>
    <w:sig w:usb0="00000000" w:usb1="00000000" w:usb2="00000000" w:usb3="00000000" w:csb0="000001BF" w:csb1="00000000"/>
  </w:font>
  <w:font w:name="Minion-Regular">
    <w:altName w:val="Segoe Print"/>
    <w:panose1 w:val="00000000000000000000"/>
    <w:charset w:val="00"/>
    <w:family w:val="roman"/>
    <w:pitch w:val="default"/>
    <w:sig w:usb0="00000000" w:usb1="00000000" w:usb2="00000000" w:usb3="00000000" w:csb0="00000001" w:csb1="00000000"/>
  </w:font>
  <w:font w:name="AdvTimes-i">
    <w:altName w:val="Malgun Gothic"/>
    <w:panose1 w:val="00000000000000000000"/>
    <w:charset w:val="81"/>
    <w:family w:val="auto"/>
    <w:pitch w:val="default"/>
    <w:sig w:usb0="00000000" w:usb1="00000000" w:usb2="00000000" w:usb3="00000000" w:csb0="00080000" w:csb1="00000000"/>
  </w:font>
  <w:font w:name="AdvTimes">
    <w:altName w:val="Segoe Print"/>
    <w:panose1 w:val="00000000000000000000"/>
    <w:charset w:val="00"/>
    <w:family w:val="auto"/>
    <w:pitch w:val="default"/>
    <w:sig w:usb0="00000000" w:usb1="00000000" w:usb2="00000000" w:usb3="00000000" w:csb0="00000001" w:csb1="00000000"/>
  </w:font>
  <w:font w:name="Microsoft Sans Serif">
    <w:panose1 w:val="020B0604020202020204"/>
    <w:charset w:val="00"/>
    <w:family w:val="auto"/>
    <w:pitch w:val="default"/>
    <w:sig w:usb0="E5002EFF" w:usb1="C000605B" w:usb2="00000029" w:usb3="00000000" w:csb0="200101FF" w:csb1="20280000"/>
  </w:font>
  <w:font w:name="Malgun Gothic">
    <w:panose1 w:val="020B0503020000020004"/>
    <w:charset w:val="81"/>
    <w:family w:val="auto"/>
    <w:pitch w:val="default"/>
    <w:sig w:usb0="9000002F" w:usb1="29D77CFB" w:usb2="00000012" w:usb3="00000000" w:csb0="00080001" w:csb1="00000000"/>
  </w:font>
  <w:font w:name="AdvPTimes">
    <w:altName w:val="Segoe Print"/>
    <w:panose1 w:val="00000000000000000000"/>
    <w:charset w:val="00"/>
    <w:family w:val="roman"/>
    <w:pitch w:val="default"/>
    <w:sig w:usb0="00000000" w:usb1="00000000" w:usb2="00000000" w:usb3="00000000" w:csb0="00000001" w:csb1="00000000"/>
  </w:font>
  <w:font w:name="AdvTimes-i">
    <w:altName w:val="Segoe Print"/>
    <w:panose1 w:val="00000000000000000000"/>
    <w:charset w:val="00"/>
    <w:family w:val="auto"/>
    <w:pitch w:val="default"/>
    <w:sig w:usb0="00000000" w:usb1="00000000" w:usb2="00000000" w:usb3="00000000" w:csb0="00000001" w:csb1="00000000"/>
  </w:font>
  <w:font w:name="AdvP705F">
    <w:altName w:val="Segoe Print"/>
    <w:panose1 w:val="00000000000000000000"/>
    <w:charset w:val="00"/>
    <w:family w:val="swiss"/>
    <w:pitch w:val="default"/>
    <w:sig w:usb0="00000000" w:usb1="00000000" w:usb2="00000000" w:usb3="00000000" w:csb0="00000001" w:csb1="00000000"/>
  </w:font>
  <w:font w:name="AdvP7627">
    <w:altName w:val="Segoe Print"/>
    <w:panose1 w:val="00000000000000000000"/>
    <w:charset w:val="00"/>
    <w:family w:val="roman"/>
    <w:pitch w:val="default"/>
    <w:sig w:usb0="00000000" w:usb1="00000000" w:usb2="00000000" w:usb3="00000000" w:csb0="00000001" w:csb1="00000000"/>
  </w:font>
  <w:font w:name="AdvMT_RM">
    <w:altName w:val="Segoe Print"/>
    <w:panose1 w:val="00000000000000000000"/>
    <w:charset w:val="00"/>
    <w:family w:val="auto"/>
    <w:pitch w:val="default"/>
    <w:sig w:usb0="00000000" w:usb1="00000000" w:usb2="00000000" w:usb3="00000000" w:csb0="00000001" w:csb1="00000000"/>
  </w:font>
  <w:font w:name="AdvTimes-bi">
    <w:altName w:val="Segoe Print"/>
    <w:panose1 w:val="00000000000000000000"/>
    <w:charset w:val="00"/>
    <w:family w:val="auto"/>
    <w:pitch w:val="default"/>
    <w:sig w:usb0="00000000" w:usb1="00000000" w:usb2="00000000" w:usb3="00000000" w:csb0="00000001" w:csb1="00000000"/>
  </w:font>
  <w:font w:name="Minion-Italic">
    <w:altName w:val="Segoe Print"/>
    <w:panose1 w:val="00000000000000000000"/>
    <w:charset w:val="00"/>
    <w:family w:val="roman"/>
    <w:pitch w:val="default"/>
    <w:sig w:usb0="00000000" w:usb1="00000000" w:usb2="00000000" w:usb3="00000000" w:csb0="00000001" w:csb1="00000000"/>
  </w:font>
  <w:font w:name="TimesNewRomanPSMT">
    <w:altName w:val="Times New Roman"/>
    <w:panose1 w:val="00000000000000000000"/>
    <w:charset w:val="00"/>
    <w:family w:val="roman"/>
    <w:pitch w:val="default"/>
    <w:sig w:usb0="00000000" w:usb1="00000000" w:usb2="00000000" w:usb3="00000000" w:csb0="00000001" w:csb1="00000000"/>
  </w:font>
  <w:font w:name="AdvSTP_PSTimR">
    <w:altName w:val="Malgun Gothic"/>
    <w:panose1 w:val="00000000000000000000"/>
    <w:charset w:val="81"/>
    <w:family w:val="auto"/>
    <w:pitch w:val="default"/>
    <w:sig w:usb0="00000000" w:usb1="00000000" w:usb2="00000000" w:usb3="00000000" w:csb0="00080000" w:csb1="00000000"/>
  </w:font>
  <w:font w:name="AdvSTP_PSTimI">
    <w:altName w:val="Segoe Print"/>
    <w:panose1 w:val="00000000000000000000"/>
    <w:charset w:val="00"/>
    <w:family w:val="auto"/>
    <w:pitch w:val="default"/>
    <w:sig w:usb0="00000000" w:usb1="00000000" w:usb2="00000000" w:usb3="00000000" w:csb0="00000001" w:csb1="00000000"/>
  </w:font>
  <w:font w:name="Brill">
    <w:altName w:val="Segoe Print"/>
    <w:panose1 w:val="00000000000000000000"/>
    <w:charset w:val="00"/>
    <w:family w:val="auto"/>
    <w:pitch w:val="default"/>
    <w:sig w:usb0="00000000" w:usb1="00000000" w:usb2="00000000" w:usb3="00000000" w:csb0="00000001" w:csb1="00000000"/>
  </w:font>
  <w:font w:name="Brill">
    <w:altName w:val="Segoe Print"/>
    <w:panose1 w:val="00000000000000000000"/>
    <w:charset w:val="EE"/>
    <w:family w:val="auto"/>
    <w:pitch w:val="default"/>
    <w:sig w:usb0="00000000" w:usb1="00000000" w:usb2="00000000" w:usb3="00000000" w:csb0="00000002" w:csb1="00000000"/>
  </w:font>
  <w:font w:name="Segoe Print">
    <w:panose1 w:val="02000600000000000000"/>
    <w:charset w:val="EE"/>
    <w:family w:val="auto"/>
    <w:pitch w:val="default"/>
    <w:sig w:usb0="0000028F" w:usb1="00000000" w:usb2="00000000" w:usb3="00000000" w:csb0="2000009F" w:csb1="47010000"/>
  </w:font>
  <w:font w:name="Arial">
    <w:panose1 w:val="020B0604020202020204"/>
    <w:charset w:val="EE"/>
    <w:family w:val="auto"/>
    <w:pitch w:val="default"/>
    <w:sig w:usb0="E0002EFF" w:usb1="C0007843" w:usb2="00000009" w:usb3="00000000" w:csb0="400001FF" w:csb1="FFFF0000"/>
  </w:font>
  <w:font w:name="Brill">
    <w:altName w:val="Segoe Print"/>
    <w:panose1 w:val="00000000000000000000"/>
    <w:charset w:val="A3"/>
    <w:family w:val="auto"/>
    <w:pitch w:val="default"/>
    <w:sig w:usb0="00000000" w:usb1="00000000" w:usb2="00000000" w:usb3="00000000" w:csb0="00000100" w:csb1="00000000"/>
  </w:font>
  <w:font w:name="Segoe Print">
    <w:panose1 w:val="02000600000000000000"/>
    <w:charset w:val="A3"/>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lang w:val="en-AU"/>
                            </w:rPr>
                          </w:pPr>
                          <w:r>
                            <w:rPr>
                              <w:lang w:val="en-AU"/>
                            </w:rPr>
                            <w:fldChar w:fldCharType="begin"/>
                          </w:r>
                          <w:r>
                            <w:rPr>
                              <w:lang w:val="en-AU"/>
                            </w:rPr>
                            <w:instrText xml:space="preserve"> PAGE  \* MERGEFORMAT </w:instrText>
                          </w:r>
                          <w:r>
                            <w:rPr>
                              <w:lang w:val="en-AU"/>
                            </w:rPr>
                            <w:fldChar w:fldCharType="separate"/>
                          </w:r>
                          <w:r>
                            <w:rPr>
                              <w:lang w:val="en-AU"/>
                            </w:rPr>
                            <w:t>1</w:t>
                          </w:r>
                          <w:r>
                            <w:rPr>
                              <w:lang w:val="en-AU"/>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zSVju0AAAAAUBAAAPAAAAAAAAAAEAIAAAACIAAABkcnMvZG93bnJldi54&#10;bWxQSwECFAAUAAAACACHTuJA2hmdFQICAAASBAAADgAAAAAAAAABACAAAAAfAQAAZHJzL2Uyb0Rv&#10;Yy54bWxQSwUGAAAAAAYABgBZAQAAkwUAAAAA&#10;">
              <v:fill on="f" focussize="0,0"/>
              <v:stroke on="f" weight="0.5pt"/>
              <v:imagedata o:title=""/>
              <o:lock v:ext="edit" aspectratio="f"/>
              <v:textbox inset="0mm,0mm,0mm,0mm" style="mso-fit-shape-to-text:t;">
                <w:txbxContent>
                  <w:p>
                    <w:pPr>
                      <w:pStyle w:val="2"/>
                      <w:rPr>
                        <w:lang w:val="en-AU"/>
                      </w:rPr>
                    </w:pPr>
                    <w:r>
                      <w:rPr>
                        <w:lang w:val="en-AU"/>
                      </w:rPr>
                      <w:fldChar w:fldCharType="begin"/>
                    </w:r>
                    <w:r>
                      <w:rPr>
                        <w:lang w:val="en-AU"/>
                      </w:rPr>
                      <w:instrText xml:space="preserve"> PAGE  \* MERGEFORMAT </w:instrText>
                    </w:r>
                    <w:r>
                      <w:rPr>
                        <w:lang w:val="en-AU"/>
                      </w:rPr>
                      <w:fldChar w:fldCharType="separate"/>
                    </w:r>
                    <w:r>
                      <w:rPr>
                        <w:lang w:val="en-AU"/>
                      </w:rPr>
                      <w:t>1</w:t>
                    </w:r>
                    <w:r>
                      <w:rPr>
                        <w:lang w:val="en-AU"/>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default"/>
        <w:lang w:val="en-AU"/>
      </w:rPr>
    </w:pPr>
    <w:r>
      <w:rPr>
        <w:rFonts w:hint="default"/>
        <w:lang w:val="en-AU"/>
      </w:rPr>
      <w:t>TRDL7107 Assignment 2</w:t>
    </w:r>
    <w:r>
      <w:rPr>
        <w:lang w:val="en-AU"/>
      </w:rPr>
      <w:tab/>
    </w:r>
    <w:r>
      <w:rPr>
        <w:lang w:val="en-AU"/>
      </w:rPr>
      <w:tab/>
    </w:r>
    <w:r>
      <w:rPr>
        <w:lang w:val="en-AU"/>
      </w:rPr>
      <w:t xml:space="preserve">Aaron Moratz, Student ID </w:t>
    </w:r>
    <w:r>
      <w:rPr>
        <w:rFonts w:hint="default"/>
        <w:lang w:val="en-AU"/>
      </w:rPr>
      <w:t>1703964</w:t>
    </w:r>
  </w:p>
  <w:p>
    <w:pPr>
      <w:pStyle w:val="3"/>
      <w:rPr>
        <w:rFonts w:hint="default"/>
        <w:lang w:val="en-AU"/>
      </w:rPr>
    </w:pPr>
    <w:r>
      <w:rPr>
        <w:rFonts w:hint="default"/>
        <w:lang w:val="en-AU"/>
      </w:rPr>
      <w:t>Book Review</w:t>
    </w:r>
  </w:p>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E126EA"/>
    <w:rsid w:val="191F73A7"/>
    <w:rsid w:val="1A784FF1"/>
    <w:rsid w:val="2C9E1DEE"/>
    <w:rsid w:val="3BC65738"/>
    <w:rsid w:val="3F9A453F"/>
    <w:rsid w:val="48721C40"/>
    <w:rsid w:val="4CDC67DB"/>
    <w:rsid w:val="4CF77304"/>
    <w:rsid w:val="4F1D58AF"/>
    <w:rsid w:val="55E066BC"/>
    <w:rsid w:val="5A576397"/>
    <w:rsid w:val="5FBE4626"/>
    <w:rsid w:val="633A37FB"/>
    <w:rsid w:val="6BF60625"/>
    <w:rsid w:val="7FE353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uiPriority w:val="0"/>
    <w:pPr>
      <w:tabs>
        <w:tab w:val="center" w:pos="4153"/>
        <w:tab w:val="right" w:pos="8306"/>
      </w:tabs>
      <w:snapToGrid w:val="0"/>
    </w:pPr>
    <w:rPr>
      <w:sz w:val="18"/>
      <w:szCs w:val="18"/>
    </w:rPr>
  </w:style>
  <w:style w:type="paragraph" w:styleId="4">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6">
    <w:name w:val="Hyperlink"/>
    <w:basedOn w:val="5"/>
    <w:uiPriority w:val="0"/>
    <w:rPr>
      <w:color w:val="0000FF"/>
      <w:u w:val="single"/>
    </w:rPr>
  </w:style>
  <w:style w:type="paragraph" w:customStyle="1" w:styleId="8">
    <w:name w:val="No Spacing1"/>
    <w:qFormat/>
    <w:uiPriority w:val="1"/>
    <w:rPr>
      <w:rFonts w:ascii="Calibri" w:hAnsi="Calibri" w:eastAsia="Calibri" w:cs="Times New Roman"/>
      <w:sz w:val="22"/>
      <w:szCs w:val="22"/>
      <w:lang w:val="en-A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2017-11-12T14:39:00Z</dcterms:created>
  <dc:creator>AM</dc:creator>
  <cp:lastModifiedBy>AM</cp:lastModifiedBy>
  <dcterms:modified xsi:type="dcterms:W3CDTF">2017-11-27T06:22:06Z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2057-10.2.0.5978</vt:lpwstr>
  </property>
</Properties>
</file>