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
          <w:szCs w:val="2"/>
          <w:u w:val="none"/>
          <w:shd w:fill="auto" w:val="clear"/>
          <w:vertAlign w:val="baseline"/>
        </w:rPr>
      </w:pPr>
      <w:r w:rsidDel="00000000" w:rsidR="00000000" w:rsidRPr="00000000">
        <w:rPr>
          <w:rtl w:val="0"/>
        </w:rPr>
      </w:r>
    </w:p>
    <w:p w:rsidR="00000000" w:rsidDel="00000000" w:rsidP="00000000" w:rsidRDefault="00000000" w:rsidRPr="00000000" w14:paraId="00000004">
      <w:pPr>
        <w:spacing w:after="0" w:line="240" w:lineRule="auto"/>
        <w:rPr>
          <w:rFonts w:ascii="Calibri" w:cs="Calibri" w:eastAsia="Calibri" w:hAnsi="Calibri"/>
          <w:sz w:val="2"/>
          <w:szCs w:val="2"/>
        </w:rPr>
      </w:pPr>
      <w:r w:rsidDel="00000000" w:rsidR="00000000" w:rsidRPr="00000000">
        <w:rPr>
          <w:rtl w:val="0"/>
        </w:rPr>
      </w:r>
    </w:p>
    <w:p w:rsidR="00000000" w:rsidDel="00000000" w:rsidP="00000000" w:rsidRDefault="00000000" w:rsidRPr="00000000" w14:paraId="00000005">
      <w:pPr>
        <w:pBdr>
          <w:top w:color="156082" w:space="10" w:sz="4" w:val="single"/>
          <w:bottom w:color="156082" w:space="26" w:sz="4" w:val="single"/>
        </w:pBdr>
        <w:spacing w:after="360" w:before="360" w:lineRule="auto"/>
        <w:ind w:left="864" w:right="864" w:firstLine="0"/>
        <w:rPr>
          <w:rFonts w:ascii="Calibri" w:cs="Calibri" w:eastAsia="Calibri" w:hAnsi="Calibri"/>
          <w:i w:val="1"/>
          <w:color w:val="156082"/>
        </w:rPr>
      </w:pPr>
      <w:r w:rsidDel="00000000" w:rsidR="00000000" w:rsidRPr="00000000">
        <w:rPr>
          <w:rFonts w:ascii="Calibri" w:cs="Calibri" w:eastAsia="Calibri" w:hAnsi="Calibri"/>
          <w:i w:val="1"/>
          <w:color w:val="156082"/>
          <w:rtl w:val="0"/>
        </w:rPr>
        <w:br w:type="textWrapping"/>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697714" cy="891617"/>
            <wp:effectExtent b="0" l="0" r="0" t="0"/>
            <wp:wrapSquare wrapText="bothSides" distB="0" distT="0" distL="114300" distR="114300"/>
            <wp:docPr descr="A close up of black text&#10;&#10;Description automatically generated" id="846876588" name="image1.png"/>
            <a:graphic>
              <a:graphicData uri="http://schemas.openxmlformats.org/drawingml/2006/picture">
                <pic:pic>
                  <pic:nvPicPr>
                    <pic:cNvPr descr="A close up of black text&#10;&#10;Description automatically generated" id="0" name="image1.png"/>
                    <pic:cNvPicPr preferRelativeResize="0"/>
                  </pic:nvPicPr>
                  <pic:blipFill>
                    <a:blip r:embed="rId7"/>
                    <a:srcRect b="0" l="0" r="0" t="0"/>
                    <a:stretch>
                      <a:fillRect/>
                    </a:stretch>
                  </pic:blipFill>
                  <pic:spPr>
                    <a:xfrm>
                      <a:off x="0" y="0"/>
                      <a:ext cx="2697714" cy="891617"/>
                    </a:xfrm>
                    <a:prstGeom prst="rect"/>
                    <a:ln/>
                  </pic:spPr>
                </pic:pic>
              </a:graphicData>
            </a:graphic>
          </wp:anchor>
        </w:drawing>
      </w:r>
    </w:p>
    <w:p w:rsidR="00000000" w:rsidDel="00000000" w:rsidP="00000000" w:rsidRDefault="00000000" w:rsidRPr="00000000" w14:paraId="00000006">
      <w:pPr>
        <w:pBdr>
          <w:top w:color="156082" w:space="10" w:sz="4" w:val="single"/>
          <w:bottom w:color="156082" w:space="26" w:sz="4" w:val="single"/>
        </w:pBdr>
        <w:spacing w:after="360" w:before="360" w:lineRule="auto"/>
        <w:ind w:left="864" w:right="864" w:firstLine="0"/>
        <w:jc w:val="center"/>
        <w:rPr>
          <w:rFonts w:ascii="Arial" w:cs="Arial" w:eastAsia="Arial" w:hAnsi="Arial"/>
          <w:b w:val="1"/>
          <w:i w:val="1"/>
          <w:color w:val="156082"/>
          <w:sz w:val="36"/>
          <w:szCs w:val="36"/>
        </w:rPr>
      </w:pPr>
      <w:r w:rsidDel="00000000" w:rsidR="00000000" w:rsidRPr="00000000">
        <w:rPr>
          <w:rFonts w:ascii="Arial" w:cs="Arial" w:eastAsia="Arial" w:hAnsi="Arial"/>
          <w:b w:val="1"/>
          <w:smallCaps w:val="1"/>
          <w:color w:val="156082"/>
          <w:sz w:val="36"/>
          <w:szCs w:val="36"/>
          <w:rtl w:val="0"/>
        </w:rPr>
        <w:t xml:space="preserve">International Hotel Management</w:t>
      </w:r>
      <w:r w:rsidDel="00000000" w:rsidR="00000000" w:rsidRPr="00000000">
        <w:rPr>
          <w:rtl w:val="0"/>
        </w:rPr>
      </w:r>
    </w:p>
    <w:p w:rsidR="00000000" w:rsidDel="00000000" w:rsidP="00000000" w:rsidRDefault="00000000" w:rsidRPr="00000000" w14:paraId="00000007">
      <w:pPr>
        <w:rPr>
          <w:rFonts w:ascii="Arial" w:cs="Arial" w:eastAsia="Arial" w:hAnsi="Arial"/>
        </w:rPr>
      </w:pPr>
      <w:r w:rsidDel="00000000" w:rsidR="00000000" w:rsidRPr="00000000">
        <w:rPr>
          <w:rtl w:val="0"/>
        </w:rPr>
      </w:r>
    </w:p>
    <w:p w:rsidR="00000000" w:rsidDel="00000000" w:rsidP="00000000" w:rsidRDefault="00000000" w:rsidRPr="00000000" w14:paraId="00000008">
      <w:pPr>
        <w:jc w:val="center"/>
        <w:rPr>
          <w:rFonts w:ascii="Arial" w:cs="Arial" w:eastAsia="Arial" w:hAnsi="Arial"/>
        </w:rPr>
      </w:pPr>
      <w:r w:rsidDel="00000000" w:rsidR="00000000" w:rsidRPr="00000000">
        <w:rPr>
          <w:rFonts w:ascii="Arial" w:cs="Arial" w:eastAsia="Arial" w:hAnsi="Arial"/>
          <w:rtl w:val="0"/>
        </w:rPr>
        <w:t xml:space="preserve">Management &amp; Organisational Behaviour BMIH5004</w:t>
      </w:r>
    </w:p>
    <w:p w:rsidR="00000000" w:rsidDel="00000000" w:rsidP="00000000" w:rsidRDefault="00000000" w:rsidRPr="00000000" w14:paraId="00000009">
      <w:pPr>
        <w:jc w:val="center"/>
        <w:rPr>
          <w:rFonts w:ascii="Arial" w:cs="Arial" w:eastAsia="Arial" w:hAnsi="Arial"/>
        </w:rPr>
      </w:pPr>
      <w:r w:rsidDel="00000000" w:rsidR="00000000" w:rsidRPr="00000000">
        <w:rPr>
          <w:rtl w:val="0"/>
        </w:rPr>
      </w:r>
    </w:p>
    <w:p w:rsidR="00000000" w:rsidDel="00000000" w:rsidP="00000000" w:rsidRDefault="00000000" w:rsidRPr="00000000" w14:paraId="0000000A">
      <w:pPr>
        <w:jc w:val="center"/>
        <w:rPr>
          <w:rFonts w:ascii="Arial" w:cs="Arial" w:eastAsia="Arial" w:hAnsi="Arial"/>
        </w:rPr>
      </w:pPr>
      <w:r w:rsidDel="00000000" w:rsidR="00000000" w:rsidRPr="00000000">
        <w:rPr>
          <w:rtl w:val="0"/>
        </w:rPr>
      </w:r>
    </w:p>
    <w:p w:rsidR="00000000" w:rsidDel="00000000" w:rsidP="00000000" w:rsidRDefault="00000000" w:rsidRPr="00000000" w14:paraId="0000000B">
      <w:pPr>
        <w:jc w:val="center"/>
        <w:rPr>
          <w:rFonts w:ascii="Arial" w:cs="Arial" w:eastAsia="Arial" w:hAnsi="Arial"/>
        </w:rPr>
      </w:pPr>
      <w:r w:rsidDel="00000000" w:rsidR="00000000" w:rsidRPr="00000000">
        <w:rPr>
          <w:rtl w:val="0"/>
        </w:rPr>
      </w:r>
    </w:p>
    <w:p w:rsidR="00000000" w:rsidDel="00000000" w:rsidP="00000000" w:rsidRDefault="00000000" w:rsidRPr="00000000" w14:paraId="0000000C">
      <w:pPr>
        <w:jc w:val="center"/>
        <w:rPr>
          <w:rFonts w:ascii="Arial" w:cs="Arial" w:eastAsia="Arial" w:hAnsi="Arial"/>
        </w:rPr>
      </w:pPr>
      <w:r w:rsidDel="00000000" w:rsidR="00000000" w:rsidRPr="00000000">
        <w:rPr>
          <w:rtl w:val="0"/>
        </w:rPr>
      </w:r>
    </w:p>
    <w:p w:rsidR="00000000" w:rsidDel="00000000" w:rsidP="00000000" w:rsidRDefault="00000000" w:rsidRPr="00000000" w14:paraId="0000000D">
      <w:pPr>
        <w:jc w:val="center"/>
        <w:rPr>
          <w:rFonts w:ascii="Arial" w:cs="Arial" w:eastAsia="Arial" w:hAnsi="Arial"/>
          <w:b w:val="1"/>
          <w:color w:val="156082"/>
        </w:rPr>
      </w:pPr>
      <w:r w:rsidDel="00000000" w:rsidR="00000000" w:rsidRPr="00000000">
        <w:rPr>
          <w:rFonts w:ascii="Arial" w:cs="Arial" w:eastAsia="Arial" w:hAnsi="Arial"/>
          <w:b w:val="1"/>
          <w:color w:val="156082"/>
          <w:rtl w:val="0"/>
        </w:rPr>
        <w:t xml:space="preserve">A Comprehensive Analysis of InterContinental Hotels Group (IHG): Strategic Insights and Future Directions</w:t>
      </w:r>
    </w:p>
    <w:p w:rsidR="00000000" w:rsidDel="00000000" w:rsidP="00000000" w:rsidRDefault="00000000" w:rsidRPr="00000000" w14:paraId="0000000E">
      <w:pPr>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F">
      <w:pPr>
        <w:rPr>
          <w:rFonts w:ascii="Arial" w:cs="Arial" w:eastAsia="Arial" w:hAnsi="Arial"/>
          <w:b w:val="1"/>
        </w:rPr>
      </w:pPr>
      <w:r w:rsidDel="00000000" w:rsidR="00000000" w:rsidRPr="00000000">
        <w:rPr>
          <w:rtl w:val="0"/>
        </w:rPr>
      </w:r>
    </w:p>
    <w:p w:rsidR="00000000" w:rsidDel="00000000" w:rsidP="00000000" w:rsidRDefault="00000000" w:rsidRPr="00000000" w14:paraId="00000010">
      <w:pPr>
        <w:rPr>
          <w:rFonts w:ascii="Arial" w:cs="Arial" w:eastAsia="Arial" w:hAnsi="Arial"/>
          <w:b w:val="1"/>
        </w:rPr>
      </w:pPr>
      <w:r w:rsidDel="00000000" w:rsidR="00000000" w:rsidRPr="00000000">
        <w:rPr>
          <w:rtl w:val="0"/>
        </w:rPr>
      </w:r>
    </w:p>
    <w:p w:rsidR="00000000" w:rsidDel="00000000" w:rsidP="00000000" w:rsidRDefault="00000000" w:rsidRPr="00000000" w14:paraId="00000011">
      <w:pPr>
        <w:rPr>
          <w:rFonts w:ascii="Arial" w:cs="Arial" w:eastAsia="Arial" w:hAnsi="Arial"/>
          <w:b w:val="1"/>
        </w:rPr>
      </w:pPr>
      <w:r w:rsidDel="00000000" w:rsidR="00000000" w:rsidRPr="00000000">
        <w:rPr>
          <w:rFonts w:ascii="Arial" w:cs="Arial" w:eastAsia="Arial" w:hAnsi="Arial"/>
          <w:b w:val="1"/>
          <w:rtl w:val="0"/>
        </w:rPr>
        <w:t xml:space="preserve">Student Name: Constantin Alin Nanu</w:t>
      </w:r>
    </w:p>
    <w:p w:rsidR="00000000" w:rsidDel="00000000" w:rsidP="00000000" w:rsidRDefault="00000000" w:rsidRPr="00000000" w14:paraId="00000012">
      <w:pPr>
        <w:rPr>
          <w:rFonts w:ascii="Arial" w:cs="Arial" w:eastAsia="Arial" w:hAnsi="Arial"/>
          <w:b w:val="1"/>
        </w:rPr>
      </w:pPr>
      <w:r w:rsidDel="00000000" w:rsidR="00000000" w:rsidRPr="00000000">
        <w:rPr>
          <w:rFonts w:ascii="Arial" w:cs="Arial" w:eastAsia="Arial" w:hAnsi="Arial"/>
          <w:b w:val="1"/>
          <w:rtl w:val="0"/>
        </w:rPr>
        <w:t xml:space="preserve">Student ID: 2206483</w:t>
      </w:r>
    </w:p>
    <w:p w:rsidR="00000000" w:rsidDel="00000000" w:rsidP="00000000" w:rsidRDefault="00000000" w:rsidRPr="00000000" w14:paraId="00000013">
      <w:pPr>
        <w:rPr>
          <w:rFonts w:ascii="Arial" w:cs="Arial" w:eastAsia="Arial" w:hAnsi="Arial"/>
          <w:b w:val="1"/>
        </w:rPr>
      </w:pPr>
      <w:r w:rsidDel="00000000" w:rsidR="00000000" w:rsidRPr="00000000">
        <w:rPr>
          <w:rFonts w:ascii="Arial" w:cs="Arial" w:eastAsia="Arial" w:hAnsi="Arial"/>
          <w:b w:val="1"/>
          <w:rtl w:val="0"/>
        </w:rPr>
        <w:t xml:space="preserve">Tutor's Name: Julia Ault</w:t>
      </w:r>
    </w:p>
    <w:p w:rsidR="00000000" w:rsidDel="00000000" w:rsidP="00000000" w:rsidRDefault="00000000" w:rsidRPr="00000000" w14:paraId="00000014">
      <w:pPr>
        <w:rPr>
          <w:rFonts w:ascii="Arial" w:cs="Arial" w:eastAsia="Arial" w:hAnsi="Arial"/>
          <w:b w:val="1"/>
        </w:rPr>
      </w:pPr>
      <w:r w:rsidDel="00000000" w:rsidR="00000000" w:rsidRPr="00000000">
        <w:rPr>
          <w:rtl w:val="0"/>
        </w:rPr>
      </w:r>
    </w:p>
    <w:p w:rsidR="00000000" w:rsidDel="00000000" w:rsidP="00000000" w:rsidRDefault="00000000" w:rsidRPr="00000000" w14:paraId="00000015">
      <w:pPr>
        <w:rPr>
          <w:rFonts w:ascii="Arial" w:cs="Arial" w:eastAsia="Arial" w:hAnsi="Arial"/>
        </w:rPr>
      </w:pPr>
      <w:r w:rsidDel="00000000" w:rsidR="00000000" w:rsidRPr="00000000">
        <w:rPr>
          <w:rtl w:val="0"/>
        </w:rPr>
      </w:r>
    </w:p>
    <w:p w:rsidR="00000000" w:rsidDel="00000000" w:rsidP="00000000" w:rsidRDefault="00000000" w:rsidRPr="00000000" w14:paraId="00000016">
      <w:pPr>
        <w:rPr>
          <w:rFonts w:ascii="Arial" w:cs="Arial" w:eastAsia="Arial" w:hAnsi="Arial"/>
        </w:rPr>
      </w:pPr>
      <w:r w:rsidDel="00000000" w:rsidR="00000000" w:rsidRPr="00000000">
        <w:rPr>
          <w:rtl w:val="0"/>
        </w:rPr>
      </w:r>
    </w:p>
    <w:p w:rsidR="00000000" w:rsidDel="00000000" w:rsidP="00000000" w:rsidRDefault="00000000" w:rsidRPr="00000000" w14:paraId="00000017">
      <w:pPr>
        <w:pBdr>
          <w:top w:color="156082" w:space="10" w:sz="4" w:val="single"/>
          <w:bottom w:color="156082" w:space="10" w:sz="4" w:val="single"/>
        </w:pBdr>
        <w:spacing w:after="360" w:before="360" w:lineRule="auto"/>
        <w:ind w:left="864" w:right="864" w:firstLine="0"/>
        <w:jc w:val="center"/>
        <w:rPr>
          <w:rFonts w:ascii="Arial" w:cs="Arial" w:eastAsia="Arial" w:hAnsi="Arial"/>
          <w:i w:val="1"/>
          <w:color w:val="156082"/>
          <w:sz w:val="32"/>
          <w:szCs w:val="32"/>
        </w:rPr>
      </w:pPr>
      <w:r w:rsidDel="00000000" w:rsidR="00000000" w:rsidRPr="00000000">
        <w:rPr>
          <w:rFonts w:ascii="Arial" w:cs="Arial" w:eastAsia="Arial" w:hAnsi="Arial"/>
          <w:i w:val="1"/>
          <w:color w:val="156082"/>
          <w:sz w:val="32"/>
          <w:szCs w:val="32"/>
          <w:rtl w:val="0"/>
        </w:rPr>
        <w:t xml:space="preserve">Written report</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spacing w:line="259" w:lineRule="auto"/>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01A">
      <w:pPr>
        <w:jc w:val="center"/>
        <w:rPr>
          <w:rFonts w:ascii="Arial" w:cs="Arial" w:eastAsia="Arial" w:hAnsi="Arial"/>
          <w:b w:val="1"/>
        </w:rPr>
      </w:pPr>
      <w:bookmarkStart w:colFirst="0" w:colLast="0" w:name="_heading=h.gjdgxs" w:id="0"/>
      <w:bookmarkEnd w:id="0"/>
      <w:r w:rsidDel="00000000" w:rsidR="00000000" w:rsidRPr="00000000">
        <w:rPr>
          <w:rFonts w:ascii="Arial" w:cs="Arial" w:eastAsia="Arial" w:hAnsi="Arial"/>
          <w:b w:val="1"/>
          <w:rtl w:val="0"/>
        </w:rPr>
        <w:t xml:space="preserve">A Comprehensive Analysis of InterContinental Hotels Group (IHG): Strategic Insights and Future Directions</w:t>
      </w:r>
    </w:p>
    <w:p w:rsidR="00000000" w:rsidDel="00000000" w:rsidP="00000000" w:rsidRDefault="00000000" w:rsidRPr="00000000" w14:paraId="0000001B">
      <w:pPr>
        <w:rPr>
          <w:rFonts w:ascii="Arial" w:cs="Arial" w:eastAsia="Arial" w:hAnsi="Arial"/>
          <w:b w:val="1"/>
        </w:rPr>
      </w:pPr>
      <w:r w:rsidDel="00000000" w:rsidR="00000000" w:rsidRPr="00000000">
        <w:rPr>
          <w:rFonts w:ascii="Arial" w:cs="Arial" w:eastAsia="Arial" w:hAnsi="Arial"/>
          <w:b w:val="1"/>
          <w:rtl w:val="0"/>
        </w:rPr>
        <w:t xml:space="preserve">Table of Contents</w:t>
      </w:r>
    </w:p>
    <w:tbl>
      <w:tblPr>
        <w:tblStyle w:val="Table1"/>
        <w:tblW w:w="8400.0" w:type="dxa"/>
        <w:jc w:val="left"/>
        <w:tblInd w:w="4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728"/>
        <w:gridCol w:w="672"/>
        <w:tblGridChange w:id="0">
          <w:tblGrid>
            <w:gridCol w:w="7728"/>
            <w:gridCol w:w="672"/>
          </w:tblGrid>
        </w:tblGridChange>
      </w:tblGrid>
      <w:tr>
        <w:trPr>
          <w:cantSplit w:val="0"/>
          <w:trHeight w:val="292" w:hRule="atLeast"/>
          <w:tblHeader w:val="0"/>
        </w:trPr>
        <w:tc>
          <w:tcPr>
            <w:tcMar>
              <w:top w:w="0.0" w:type="dxa"/>
              <w:bottom w:w="0.0" w:type="dxa"/>
            </w:tcMar>
          </w:tcPr>
          <w:p w:rsidR="00000000" w:rsidDel="00000000" w:rsidP="00000000" w:rsidRDefault="00000000" w:rsidRPr="00000000" w14:paraId="0000001C">
            <w:pPr>
              <w:ind w:left="672" w:firstLine="0"/>
              <w:rPr>
                <w:rFonts w:ascii="Arial" w:cs="Arial" w:eastAsia="Arial" w:hAnsi="Arial"/>
                <w:b w:val="1"/>
              </w:rPr>
            </w:pPr>
            <w:r w:rsidDel="00000000" w:rsidR="00000000" w:rsidRPr="00000000">
              <w:rPr>
                <w:rFonts w:ascii="Arial" w:cs="Arial" w:eastAsia="Arial" w:hAnsi="Arial"/>
                <w:b w:val="1"/>
                <w:rtl w:val="0"/>
              </w:rPr>
              <w:t xml:space="preserve">Executive Overview</w:t>
            </w:r>
          </w:p>
        </w:tc>
        <w:tc>
          <w:tcPr>
            <w:shd w:fill="auto" w:val="clear"/>
            <w:tcMar>
              <w:top w:w="0.0" w:type="dxa"/>
              <w:bottom w:w="0.0" w:type="dxa"/>
            </w:tcMar>
          </w:tcPr>
          <w:p w:rsidR="00000000" w:rsidDel="00000000" w:rsidP="00000000" w:rsidRDefault="00000000" w:rsidRPr="00000000" w14:paraId="0000001D">
            <w:pPr>
              <w:rPr>
                <w:rFonts w:ascii="Arial" w:cs="Arial" w:eastAsia="Arial" w:hAnsi="Arial"/>
                <w:b w:val="1"/>
              </w:rPr>
            </w:pPr>
            <w:r w:rsidDel="00000000" w:rsidR="00000000" w:rsidRPr="00000000">
              <w:rPr>
                <w:rFonts w:ascii="Arial" w:cs="Arial" w:eastAsia="Arial" w:hAnsi="Arial"/>
                <w:b w:val="1"/>
                <w:rtl w:val="0"/>
              </w:rPr>
              <w:t xml:space="preserve">2</w:t>
            </w:r>
          </w:p>
        </w:tc>
      </w:tr>
      <w:tr>
        <w:trPr>
          <w:cantSplit w:val="0"/>
          <w:trHeight w:val="360" w:hRule="atLeast"/>
          <w:tblHeader w:val="0"/>
        </w:trPr>
        <w:tc>
          <w:tcPr>
            <w:tcMar>
              <w:top w:w="0.0" w:type="dxa"/>
              <w:bottom w:w="0.0" w:type="dxa"/>
            </w:tcMar>
          </w:tcPr>
          <w:p w:rsidR="00000000" w:rsidDel="00000000" w:rsidP="00000000" w:rsidRDefault="00000000" w:rsidRPr="00000000" w14:paraId="0000001E">
            <w:pPr>
              <w:numPr>
                <w:ilvl w:val="0"/>
                <w:numId w:val="3"/>
              </w:numPr>
              <w:ind w:left="672" w:hanging="360"/>
              <w:rPr>
                <w:rFonts w:ascii="Arial" w:cs="Arial" w:eastAsia="Arial" w:hAnsi="Arial"/>
                <w:b w:val="1"/>
              </w:rPr>
            </w:pPr>
            <w:r w:rsidDel="00000000" w:rsidR="00000000" w:rsidRPr="00000000">
              <w:rPr>
                <w:rFonts w:ascii="Arial" w:cs="Arial" w:eastAsia="Arial" w:hAnsi="Arial"/>
                <w:b w:val="1"/>
                <w:rtl w:val="0"/>
              </w:rPr>
              <w:t xml:space="preserve">Introduction</w:t>
            </w:r>
          </w:p>
        </w:tc>
        <w:tc>
          <w:tcPr>
            <w:shd w:fill="auto" w:val="clear"/>
            <w:tcMar>
              <w:top w:w="0.0" w:type="dxa"/>
              <w:bottom w:w="0.0" w:type="dxa"/>
            </w:tcMar>
          </w:tcPr>
          <w:p w:rsidR="00000000" w:rsidDel="00000000" w:rsidP="00000000" w:rsidRDefault="00000000" w:rsidRPr="00000000" w14:paraId="0000001F">
            <w:pPr>
              <w:rPr>
                <w:rFonts w:ascii="Arial" w:cs="Arial" w:eastAsia="Arial" w:hAnsi="Arial"/>
                <w:b w:val="1"/>
              </w:rPr>
            </w:pPr>
            <w:r w:rsidDel="00000000" w:rsidR="00000000" w:rsidRPr="00000000">
              <w:rPr>
                <w:rFonts w:ascii="Arial" w:cs="Arial" w:eastAsia="Arial" w:hAnsi="Arial"/>
                <w:b w:val="1"/>
                <w:rtl w:val="0"/>
              </w:rPr>
              <w:t xml:space="preserve">2</w:t>
            </w:r>
          </w:p>
        </w:tc>
      </w:tr>
      <w:tr>
        <w:trPr>
          <w:cantSplit w:val="0"/>
          <w:trHeight w:val="372" w:hRule="atLeast"/>
          <w:tblHeader w:val="0"/>
        </w:trPr>
        <w:tc>
          <w:tcPr>
            <w:tcMar>
              <w:top w:w="0.0" w:type="dxa"/>
              <w:bottom w:w="0.0" w:type="dxa"/>
            </w:tcMar>
          </w:tcPr>
          <w:p w:rsidR="00000000" w:rsidDel="00000000" w:rsidP="00000000" w:rsidRDefault="00000000" w:rsidRPr="00000000" w14:paraId="00000020">
            <w:pPr>
              <w:numPr>
                <w:ilvl w:val="0"/>
                <w:numId w:val="3"/>
              </w:numPr>
              <w:ind w:left="672" w:hanging="360"/>
              <w:rPr>
                <w:rFonts w:ascii="Arial" w:cs="Arial" w:eastAsia="Arial" w:hAnsi="Arial"/>
                <w:b w:val="1"/>
              </w:rPr>
            </w:pPr>
            <w:r w:rsidDel="00000000" w:rsidR="00000000" w:rsidRPr="00000000">
              <w:rPr>
                <w:rFonts w:ascii="Arial" w:cs="Arial" w:eastAsia="Arial" w:hAnsi="Arial"/>
                <w:b w:val="1"/>
                <w:rtl w:val="0"/>
              </w:rPr>
              <w:t xml:space="preserve">Organisational Structure</w:t>
            </w:r>
          </w:p>
        </w:tc>
        <w:tc>
          <w:tcPr>
            <w:shd w:fill="auto" w:val="clear"/>
            <w:tcMar>
              <w:top w:w="0.0" w:type="dxa"/>
              <w:bottom w:w="0.0" w:type="dxa"/>
            </w:tcMar>
          </w:tcPr>
          <w:p w:rsidR="00000000" w:rsidDel="00000000" w:rsidP="00000000" w:rsidRDefault="00000000" w:rsidRPr="00000000" w14:paraId="00000021">
            <w:pPr>
              <w:rPr>
                <w:rFonts w:ascii="Arial" w:cs="Arial" w:eastAsia="Arial" w:hAnsi="Arial"/>
                <w:b w:val="1"/>
              </w:rPr>
            </w:pPr>
            <w:r w:rsidDel="00000000" w:rsidR="00000000" w:rsidRPr="00000000">
              <w:rPr>
                <w:rFonts w:ascii="Arial" w:cs="Arial" w:eastAsia="Arial" w:hAnsi="Arial"/>
                <w:b w:val="1"/>
                <w:rtl w:val="0"/>
              </w:rPr>
              <w:t xml:space="preserve">3</w:t>
            </w:r>
          </w:p>
        </w:tc>
      </w:tr>
      <w:tr>
        <w:trPr>
          <w:cantSplit w:val="0"/>
          <w:trHeight w:val="900" w:hRule="atLeast"/>
          <w:tblHeader w:val="0"/>
        </w:trPr>
        <w:tc>
          <w:tcPr>
            <w:tcMar>
              <w:top w:w="0.0" w:type="dxa"/>
              <w:bottom w:w="0.0" w:type="dxa"/>
            </w:tcMar>
          </w:tcPr>
          <w:p w:rsidR="00000000" w:rsidDel="00000000" w:rsidP="00000000" w:rsidRDefault="00000000" w:rsidRPr="00000000" w14:paraId="00000022">
            <w:pPr>
              <w:numPr>
                <w:ilvl w:val="1"/>
                <w:numId w:val="3"/>
              </w:numPr>
              <w:ind w:left="1392" w:hanging="360"/>
              <w:rPr>
                <w:rFonts w:ascii="Arial" w:cs="Arial" w:eastAsia="Arial" w:hAnsi="Arial"/>
              </w:rPr>
            </w:pPr>
            <w:r w:rsidDel="00000000" w:rsidR="00000000" w:rsidRPr="00000000">
              <w:rPr>
                <w:rFonts w:ascii="Arial" w:cs="Arial" w:eastAsia="Arial" w:hAnsi="Arial"/>
                <w:rtl w:val="0"/>
              </w:rPr>
              <w:t xml:space="preserve">IHG’s Structural Dynamics</w:t>
            </w:r>
          </w:p>
          <w:p w:rsidR="00000000" w:rsidDel="00000000" w:rsidP="00000000" w:rsidRDefault="00000000" w:rsidRPr="00000000" w14:paraId="00000023">
            <w:pPr>
              <w:numPr>
                <w:ilvl w:val="1"/>
                <w:numId w:val="3"/>
              </w:numPr>
              <w:ind w:left="1392" w:hanging="360"/>
              <w:rPr>
                <w:rFonts w:ascii="Arial" w:cs="Arial" w:eastAsia="Arial" w:hAnsi="Arial"/>
                <w:b w:val="1"/>
              </w:rPr>
            </w:pPr>
            <w:r w:rsidDel="00000000" w:rsidR="00000000" w:rsidRPr="00000000">
              <w:rPr>
                <w:rFonts w:ascii="Arial" w:cs="Arial" w:eastAsia="Arial" w:hAnsi="Arial"/>
                <w:rtl w:val="0"/>
              </w:rPr>
              <w:t xml:space="preserve">Effectiveness and Efficiency Analysis</w:t>
            </w:r>
            <w:r w:rsidDel="00000000" w:rsidR="00000000" w:rsidRPr="00000000">
              <w:rPr>
                <w:rtl w:val="0"/>
              </w:rPr>
            </w:r>
          </w:p>
        </w:tc>
        <w:tc>
          <w:tcPr>
            <w:shd w:fill="auto" w:val="clear"/>
            <w:tcMar>
              <w:top w:w="0.0" w:type="dxa"/>
              <w:bottom w:w="0.0" w:type="dxa"/>
            </w:tcMar>
          </w:tcPr>
          <w:p w:rsidR="00000000" w:rsidDel="00000000" w:rsidP="00000000" w:rsidRDefault="00000000" w:rsidRPr="00000000" w14:paraId="00000024">
            <w:pPr>
              <w:rPr>
                <w:rFonts w:ascii="Arial" w:cs="Arial" w:eastAsia="Arial" w:hAnsi="Arial"/>
                <w:b w:val="1"/>
              </w:rPr>
            </w:pPr>
            <w:r w:rsidDel="00000000" w:rsidR="00000000" w:rsidRPr="00000000">
              <w:rPr>
                <w:rtl w:val="0"/>
              </w:rPr>
            </w:r>
          </w:p>
        </w:tc>
      </w:tr>
      <w:tr>
        <w:trPr>
          <w:cantSplit w:val="0"/>
          <w:trHeight w:val="384" w:hRule="atLeast"/>
          <w:tblHeader w:val="0"/>
        </w:trPr>
        <w:tc>
          <w:tcPr>
            <w:tcMar>
              <w:top w:w="0.0" w:type="dxa"/>
              <w:bottom w:w="0.0" w:type="dxa"/>
            </w:tcMar>
          </w:tcPr>
          <w:p w:rsidR="00000000" w:rsidDel="00000000" w:rsidP="00000000" w:rsidRDefault="00000000" w:rsidRPr="00000000" w14:paraId="00000025">
            <w:pPr>
              <w:numPr>
                <w:ilvl w:val="0"/>
                <w:numId w:val="3"/>
              </w:numPr>
              <w:ind w:left="672" w:hanging="360"/>
              <w:rPr>
                <w:rFonts w:ascii="Arial" w:cs="Arial" w:eastAsia="Arial" w:hAnsi="Arial"/>
              </w:rPr>
            </w:pPr>
            <w:r w:rsidDel="00000000" w:rsidR="00000000" w:rsidRPr="00000000">
              <w:rPr>
                <w:rFonts w:ascii="Arial" w:cs="Arial" w:eastAsia="Arial" w:hAnsi="Arial"/>
                <w:b w:val="1"/>
                <w:rtl w:val="0"/>
              </w:rPr>
              <w:t xml:space="preserve">Corporate Culture</w:t>
            </w:r>
            <w:r w:rsidDel="00000000" w:rsidR="00000000" w:rsidRPr="00000000">
              <w:rPr>
                <w:rtl w:val="0"/>
              </w:rPr>
            </w:r>
          </w:p>
        </w:tc>
        <w:tc>
          <w:tcPr>
            <w:shd w:fill="auto" w:val="clear"/>
            <w:tcMar>
              <w:top w:w="0.0" w:type="dxa"/>
              <w:bottom w:w="0.0" w:type="dxa"/>
            </w:tcMar>
          </w:tcPr>
          <w:p w:rsidR="00000000" w:rsidDel="00000000" w:rsidP="00000000" w:rsidRDefault="00000000" w:rsidRPr="00000000" w14:paraId="00000026">
            <w:pPr>
              <w:rPr>
                <w:rFonts w:ascii="Arial" w:cs="Arial" w:eastAsia="Arial" w:hAnsi="Arial"/>
                <w:b w:val="1"/>
              </w:rPr>
            </w:pPr>
            <w:r w:rsidDel="00000000" w:rsidR="00000000" w:rsidRPr="00000000">
              <w:rPr>
                <w:rFonts w:ascii="Arial" w:cs="Arial" w:eastAsia="Arial" w:hAnsi="Arial"/>
                <w:b w:val="1"/>
                <w:rtl w:val="0"/>
              </w:rPr>
              <w:t xml:space="preserve">4</w:t>
            </w:r>
          </w:p>
        </w:tc>
      </w:tr>
      <w:tr>
        <w:trPr>
          <w:cantSplit w:val="0"/>
          <w:trHeight w:val="888" w:hRule="atLeast"/>
          <w:tblHeader w:val="0"/>
        </w:trPr>
        <w:tc>
          <w:tcPr>
            <w:tcMar>
              <w:top w:w="0.0" w:type="dxa"/>
              <w:bottom w:w="0.0" w:type="dxa"/>
            </w:tcMar>
          </w:tcPr>
          <w:p w:rsidR="00000000" w:rsidDel="00000000" w:rsidP="00000000" w:rsidRDefault="00000000" w:rsidRPr="00000000" w14:paraId="00000027">
            <w:pPr>
              <w:numPr>
                <w:ilvl w:val="1"/>
                <w:numId w:val="3"/>
              </w:numPr>
              <w:ind w:left="1392" w:hanging="360"/>
              <w:rPr>
                <w:rFonts w:ascii="Arial" w:cs="Arial" w:eastAsia="Arial" w:hAnsi="Arial"/>
              </w:rPr>
            </w:pPr>
            <w:r w:rsidDel="00000000" w:rsidR="00000000" w:rsidRPr="00000000">
              <w:rPr>
                <w:rFonts w:ascii="Arial" w:cs="Arial" w:eastAsia="Arial" w:hAnsi="Arial"/>
                <w:rtl w:val="0"/>
              </w:rPr>
              <w:t xml:space="preserve">IHG’s Cultural Framework</w:t>
            </w:r>
          </w:p>
          <w:p w:rsidR="00000000" w:rsidDel="00000000" w:rsidP="00000000" w:rsidRDefault="00000000" w:rsidRPr="00000000" w14:paraId="00000028">
            <w:pPr>
              <w:numPr>
                <w:ilvl w:val="1"/>
                <w:numId w:val="3"/>
              </w:numPr>
              <w:ind w:left="1392" w:hanging="360"/>
              <w:rPr>
                <w:rFonts w:ascii="Arial" w:cs="Arial" w:eastAsia="Arial" w:hAnsi="Arial"/>
                <w:b w:val="1"/>
              </w:rPr>
            </w:pPr>
            <w:r w:rsidDel="00000000" w:rsidR="00000000" w:rsidRPr="00000000">
              <w:rPr>
                <w:rFonts w:ascii="Arial" w:cs="Arial" w:eastAsia="Arial" w:hAnsi="Arial"/>
                <w:rtl w:val="0"/>
              </w:rPr>
              <w:t xml:space="preserve">Cultural Impact on Business and Employee Engagement</w:t>
            </w:r>
            <w:r w:rsidDel="00000000" w:rsidR="00000000" w:rsidRPr="00000000">
              <w:rPr>
                <w:rtl w:val="0"/>
              </w:rPr>
            </w:r>
          </w:p>
        </w:tc>
        <w:tc>
          <w:tcPr>
            <w:shd w:fill="auto" w:val="clear"/>
            <w:tcMar>
              <w:top w:w="0.0" w:type="dxa"/>
              <w:bottom w:w="0.0" w:type="dxa"/>
            </w:tcMar>
          </w:tcPr>
          <w:p w:rsidR="00000000" w:rsidDel="00000000" w:rsidP="00000000" w:rsidRDefault="00000000" w:rsidRPr="00000000" w14:paraId="00000029">
            <w:pPr>
              <w:rPr>
                <w:rFonts w:ascii="Arial" w:cs="Arial" w:eastAsia="Arial" w:hAnsi="Arial"/>
                <w:b w:val="1"/>
              </w:rPr>
            </w:pPr>
            <w:r w:rsidDel="00000000" w:rsidR="00000000" w:rsidRPr="00000000">
              <w:rPr>
                <w:rtl w:val="0"/>
              </w:rPr>
            </w:r>
          </w:p>
        </w:tc>
      </w:tr>
      <w:tr>
        <w:trPr>
          <w:cantSplit w:val="0"/>
          <w:trHeight w:val="420" w:hRule="atLeast"/>
          <w:tblHeader w:val="0"/>
        </w:trPr>
        <w:tc>
          <w:tcPr>
            <w:tcMar>
              <w:top w:w="0.0" w:type="dxa"/>
              <w:bottom w:w="0.0" w:type="dxa"/>
            </w:tcMar>
          </w:tcPr>
          <w:p w:rsidR="00000000" w:rsidDel="00000000" w:rsidP="00000000" w:rsidRDefault="00000000" w:rsidRPr="00000000" w14:paraId="0000002A">
            <w:pPr>
              <w:numPr>
                <w:ilvl w:val="0"/>
                <w:numId w:val="3"/>
              </w:numPr>
              <w:ind w:left="672" w:hanging="360"/>
              <w:rPr>
                <w:rFonts w:ascii="Arial" w:cs="Arial" w:eastAsia="Arial" w:hAnsi="Arial"/>
              </w:rPr>
            </w:pPr>
            <w:r w:rsidDel="00000000" w:rsidR="00000000" w:rsidRPr="00000000">
              <w:rPr>
                <w:rFonts w:ascii="Arial" w:cs="Arial" w:eastAsia="Arial" w:hAnsi="Arial"/>
                <w:b w:val="1"/>
                <w:rtl w:val="0"/>
              </w:rPr>
              <w:t xml:space="preserve">Strategic Goals and Achievements</w:t>
            </w:r>
            <w:r w:rsidDel="00000000" w:rsidR="00000000" w:rsidRPr="00000000">
              <w:rPr>
                <w:rtl w:val="0"/>
              </w:rPr>
            </w:r>
          </w:p>
        </w:tc>
        <w:tc>
          <w:tcPr>
            <w:shd w:fill="auto" w:val="clear"/>
            <w:tcMar>
              <w:top w:w="0.0" w:type="dxa"/>
              <w:bottom w:w="0.0" w:type="dxa"/>
            </w:tcMar>
          </w:tcPr>
          <w:p w:rsidR="00000000" w:rsidDel="00000000" w:rsidP="00000000" w:rsidRDefault="00000000" w:rsidRPr="00000000" w14:paraId="0000002B">
            <w:pPr>
              <w:rPr>
                <w:rFonts w:ascii="Arial" w:cs="Arial" w:eastAsia="Arial" w:hAnsi="Arial"/>
                <w:b w:val="1"/>
              </w:rPr>
            </w:pPr>
            <w:r w:rsidDel="00000000" w:rsidR="00000000" w:rsidRPr="00000000">
              <w:rPr>
                <w:rFonts w:ascii="Arial" w:cs="Arial" w:eastAsia="Arial" w:hAnsi="Arial"/>
                <w:b w:val="1"/>
                <w:rtl w:val="0"/>
              </w:rPr>
              <w:t xml:space="preserve">5</w:t>
            </w:r>
          </w:p>
        </w:tc>
      </w:tr>
      <w:tr>
        <w:trPr>
          <w:cantSplit w:val="0"/>
          <w:trHeight w:val="888" w:hRule="atLeast"/>
          <w:tblHeader w:val="0"/>
        </w:trPr>
        <w:tc>
          <w:tcPr>
            <w:tcMar>
              <w:top w:w="0.0" w:type="dxa"/>
              <w:bottom w:w="0.0" w:type="dxa"/>
            </w:tcMar>
          </w:tcPr>
          <w:p w:rsidR="00000000" w:rsidDel="00000000" w:rsidP="00000000" w:rsidRDefault="00000000" w:rsidRPr="00000000" w14:paraId="0000002C">
            <w:pPr>
              <w:numPr>
                <w:ilvl w:val="1"/>
                <w:numId w:val="3"/>
              </w:numPr>
              <w:ind w:left="1392" w:hanging="360"/>
              <w:rPr>
                <w:rFonts w:ascii="Arial" w:cs="Arial" w:eastAsia="Arial" w:hAnsi="Arial"/>
              </w:rPr>
            </w:pPr>
            <w:r w:rsidDel="00000000" w:rsidR="00000000" w:rsidRPr="00000000">
              <w:rPr>
                <w:rFonts w:ascii="Arial" w:cs="Arial" w:eastAsia="Arial" w:hAnsi="Arial"/>
                <w:rtl w:val="0"/>
              </w:rPr>
              <w:t xml:space="preserve">Outline of Strategic Objectives</w:t>
            </w:r>
          </w:p>
          <w:p w:rsidR="00000000" w:rsidDel="00000000" w:rsidP="00000000" w:rsidRDefault="00000000" w:rsidRPr="00000000" w14:paraId="0000002D">
            <w:pPr>
              <w:numPr>
                <w:ilvl w:val="1"/>
                <w:numId w:val="3"/>
              </w:numPr>
              <w:ind w:left="1392" w:hanging="360"/>
              <w:rPr>
                <w:rFonts w:ascii="Arial" w:cs="Arial" w:eastAsia="Arial" w:hAnsi="Arial"/>
                <w:b w:val="1"/>
              </w:rPr>
            </w:pPr>
            <w:r w:rsidDel="00000000" w:rsidR="00000000" w:rsidRPr="00000000">
              <w:rPr>
                <w:rFonts w:ascii="Arial" w:cs="Arial" w:eastAsia="Arial" w:hAnsi="Arial"/>
                <w:rtl w:val="0"/>
              </w:rPr>
              <w:t xml:space="preserve">Evaluation of Achievements and Impact</w:t>
            </w:r>
            <w:r w:rsidDel="00000000" w:rsidR="00000000" w:rsidRPr="00000000">
              <w:rPr>
                <w:rtl w:val="0"/>
              </w:rPr>
            </w:r>
          </w:p>
        </w:tc>
        <w:tc>
          <w:tcPr>
            <w:shd w:fill="auto" w:val="clear"/>
            <w:tcMar>
              <w:top w:w="0.0" w:type="dxa"/>
              <w:bottom w:w="0.0" w:type="dxa"/>
            </w:tcMar>
          </w:tcPr>
          <w:p w:rsidR="00000000" w:rsidDel="00000000" w:rsidP="00000000" w:rsidRDefault="00000000" w:rsidRPr="00000000" w14:paraId="0000002E">
            <w:pPr>
              <w:rPr>
                <w:rFonts w:ascii="Arial" w:cs="Arial" w:eastAsia="Arial" w:hAnsi="Arial"/>
                <w:b w:val="1"/>
              </w:rPr>
            </w:pPr>
            <w:r w:rsidDel="00000000" w:rsidR="00000000" w:rsidRPr="00000000">
              <w:rPr>
                <w:rtl w:val="0"/>
              </w:rPr>
            </w:r>
          </w:p>
        </w:tc>
      </w:tr>
      <w:tr>
        <w:trPr>
          <w:cantSplit w:val="0"/>
          <w:trHeight w:val="312" w:hRule="atLeast"/>
          <w:tblHeader w:val="0"/>
        </w:trPr>
        <w:tc>
          <w:tcPr>
            <w:tcMar>
              <w:top w:w="0.0" w:type="dxa"/>
              <w:bottom w:w="0.0" w:type="dxa"/>
            </w:tcMar>
          </w:tcPr>
          <w:p w:rsidR="00000000" w:rsidDel="00000000" w:rsidP="00000000" w:rsidRDefault="00000000" w:rsidRPr="00000000" w14:paraId="0000002F">
            <w:pPr>
              <w:numPr>
                <w:ilvl w:val="0"/>
                <w:numId w:val="3"/>
              </w:numPr>
              <w:ind w:left="672" w:hanging="360"/>
              <w:rPr>
                <w:rFonts w:ascii="Arial" w:cs="Arial" w:eastAsia="Arial" w:hAnsi="Arial"/>
              </w:rPr>
            </w:pPr>
            <w:r w:rsidDel="00000000" w:rsidR="00000000" w:rsidRPr="00000000">
              <w:rPr>
                <w:rFonts w:ascii="Arial" w:cs="Arial" w:eastAsia="Arial" w:hAnsi="Arial"/>
                <w:b w:val="1"/>
                <w:rtl w:val="0"/>
              </w:rPr>
              <w:t xml:space="preserve">Recent Change Initiatives</w:t>
            </w:r>
            <w:r w:rsidDel="00000000" w:rsidR="00000000" w:rsidRPr="00000000">
              <w:rPr>
                <w:rtl w:val="0"/>
              </w:rPr>
            </w:r>
          </w:p>
        </w:tc>
        <w:tc>
          <w:tcPr>
            <w:shd w:fill="auto" w:val="clear"/>
            <w:tcMar>
              <w:top w:w="0.0" w:type="dxa"/>
              <w:bottom w:w="0.0" w:type="dxa"/>
            </w:tcMar>
          </w:tcPr>
          <w:p w:rsidR="00000000" w:rsidDel="00000000" w:rsidP="00000000" w:rsidRDefault="00000000" w:rsidRPr="00000000" w14:paraId="00000030">
            <w:pPr>
              <w:rPr>
                <w:rFonts w:ascii="Arial" w:cs="Arial" w:eastAsia="Arial" w:hAnsi="Arial"/>
                <w:b w:val="1"/>
              </w:rPr>
            </w:pPr>
            <w:r w:rsidDel="00000000" w:rsidR="00000000" w:rsidRPr="00000000">
              <w:rPr>
                <w:rFonts w:ascii="Arial" w:cs="Arial" w:eastAsia="Arial" w:hAnsi="Arial"/>
                <w:b w:val="1"/>
                <w:rtl w:val="0"/>
              </w:rPr>
              <w:t xml:space="preserve">6</w:t>
            </w:r>
          </w:p>
        </w:tc>
      </w:tr>
      <w:tr>
        <w:trPr>
          <w:cantSplit w:val="0"/>
          <w:trHeight w:val="936" w:hRule="atLeast"/>
          <w:tblHeader w:val="0"/>
        </w:trPr>
        <w:tc>
          <w:tcPr>
            <w:tcMar>
              <w:top w:w="0.0" w:type="dxa"/>
              <w:bottom w:w="0.0" w:type="dxa"/>
            </w:tcMar>
          </w:tcPr>
          <w:p w:rsidR="00000000" w:rsidDel="00000000" w:rsidP="00000000" w:rsidRDefault="00000000" w:rsidRPr="00000000" w14:paraId="00000031">
            <w:pPr>
              <w:numPr>
                <w:ilvl w:val="1"/>
                <w:numId w:val="3"/>
              </w:numPr>
              <w:ind w:left="1392" w:hanging="360"/>
              <w:rPr>
                <w:rFonts w:ascii="Arial" w:cs="Arial" w:eastAsia="Arial" w:hAnsi="Arial"/>
              </w:rPr>
            </w:pPr>
            <w:r w:rsidDel="00000000" w:rsidR="00000000" w:rsidRPr="00000000">
              <w:rPr>
                <w:rFonts w:ascii="Arial" w:cs="Arial" w:eastAsia="Arial" w:hAnsi="Arial"/>
                <w:rtl w:val="0"/>
              </w:rPr>
              <w:t xml:space="preserve">Overview of Key Changes</w:t>
            </w:r>
          </w:p>
          <w:p w:rsidR="00000000" w:rsidDel="00000000" w:rsidP="00000000" w:rsidRDefault="00000000" w:rsidRPr="00000000" w14:paraId="00000032">
            <w:pPr>
              <w:numPr>
                <w:ilvl w:val="1"/>
                <w:numId w:val="3"/>
              </w:numPr>
              <w:ind w:left="1392" w:hanging="360"/>
              <w:rPr>
                <w:rFonts w:ascii="Arial" w:cs="Arial" w:eastAsia="Arial" w:hAnsi="Arial"/>
                <w:b w:val="1"/>
              </w:rPr>
            </w:pPr>
            <w:r w:rsidDel="00000000" w:rsidR="00000000" w:rsidRPr="00000000">
              <w:rPr>
                <w:rFonts w:ascii="Arial" w:cs="Arial" w:eastAsia="Arial" w:hAnsi="Arial"/>
                <w:rtl w:val="0"/>
              </w:rPr>
              <w:t xml:space="preserve">Impact Assessment and Stakeholder Feedback</w:t>
            </w:r>
            <w:r w:rsidDel="00000000" w:rsidR="00000000" w:rsidRPr="00000000">
              <w:rPr>
                <w:rtl w:val="0"/>
              </w:rPr>
            </w:r>
          </w:p>
        </w:tc>
        <w:tc>
          <w:tcPr>
            <w:shd w:fill="auto" w:val="clear"/>
            <w:tcMar>
              <w:top w:w="0.0" w:type="dxa"/>
              <w:bottom w:w="0.0" w:type="dxa"/>
            </w:tcMar>
          </w:tcPr>
          <w:p w:rsidR="00000000" w:rsidDel="00000000" w:rsidP="00000000" w:rsidRDefault="00000000" w:rsidRPr="00000000" w14:paraId="00000033">
            <w:pPr>
              <w:rPr>
                <w:rFonts w:ascii="Arial" w:cs="Arial" w:eastAsia="Arial" w:hAnsi="Arial"/>
                <w:b w:val="1"/>
              </w:rPr>
            </w:pPr>
            <w:r w:rsidDel="00000000" w:rsidR="00000000" w:rsidRPr="00000000">
              <w:rPr>
                <w:rtl w:val="0"/>
              </w:rPr>
            </w:r>
          </w:p>
        </w:tc>
      </w:tr>
      <w:tr>
        <w:trPr>
          <w:cantSplit w:val="0"/>
          <w:trHeight w:val="420" w:hRule="atLeast"/>
          <w:tblHeader w:val="0"/>
        </w:trPr>
        <w:tc>
          <w:tcPr>
            <w:tcMar>
              <w:top w:w="0.0" w:type="dxa"/>
              <w:bottom w:w="0.0" w:type="dxa"/>
            </w:tcMar>
          </w:tcPr>
          <w:p w:rsidR="00000000" w:rsidDel="00000000" w:rsidP="00000000" w:rsidRDefault="00000000" w:rsidRPr="00000000" w14:paraId="00000034">
            <w:pPr>
              <w:numPr>
                <w:ilvl w:val="0"/>
                <w:numId w:val="3"/>
              </w:numPr>
              <w:ind w:left="672" w:hanging="360"/>
              <w:rPr>
                <w:rFonts w:ascii="Arial" w:cs="Arial" w:eastAsia="Arial" w:hAnsi="Arial"/>
              </w:rPr>
            </w:pPr>
            <w:r w:rsidDel="00000000" w:rsidR="00000000" w:rsidRPr="00000000">
              <w:rPr>
                <w:rFonts w:ascii="Arial" w:cs="Arial" w:eastAsia="Arial" w:hAnsi="Arial"/>
                <w:b w:val="1"/>
                <w:rtl w:val="0"/>
              </w:rPr>
              <w:t xml:space="preserve">Strategic Direction and Market Alignment</w:t>
            </w:r>
            <w:r w:rsidDel="00000000" w:rsidR="00000000" w:rsidRPr="00000000">
              <w:rPr>
                <w:rtl w:val="0"/>
              </w:rPr>
            </w:r>
          </w:p>
        </w:tc>
        <w:tc>
          <w:tcPr>
            <w:shd w:fill="auto" w:val="clear"/>
            <w:tcMar>
              <w:top w:w="0.0" w:type="dxa"/>
              <w:bottom w:w="0.0" w:type="dxa"/>
            </w:tcMar>
          </w:tcPr>
          <w:p w:rsidR="00000000" w:rsidDel="00000000" w:rsidP="00000000" w:rsidRDefault="00000000" w:rsidRPr="00000000" w14:paraId="00000035">
            <w:pPr>
              <w:rPr>
                <w:rFonts w:ascii="Arial" w:cs="Arial" w:eastAsia="Arial" w:hAnsi="Arial"/>
                <w:b w:val="1"/>
              </w:rPr>
            </w:pPr>
            <w:r w:rsidDel="00000000" w:rsidR="00000000" w:rsidRPr="00000000">
              <w:rPr>
                <w:rFonts w:ascii="Arial" w:cs="Arial" w:eastAsia="Arial" w:hAnsi="Arial"/>
                <w:b w:val="1"/>
                <w:rtl w:val="0"/>
              </w:rPr>
              <w:t xml:space="preserve">7</w:t>
            </w:r>
          </w:p>
        </w:tc>
      </w:tr>
      <w:tr>
        <w:trPr>
          <w:cantSplit w:val="0"/>
          <w:trHeight w:val="840" w:hRule="atLeast"/>
          <w:tblHeader w:val="0"/>
        </w:trPr>
        <w:tc>
          <w:tcPr>
            <w:tcMar>
              <w:top w:w="0.0" w:type="dxa"/>
              <w:bottom w:w="0.0" w:type="dxa"/>
            </w:tcMar>
          </w:tcPr>
          <w:p w:rsidR="00000000" w:rsidDel="00000000" w:rsidP="00000000" w:rsidRDefault="00000000" w:rsidRPr="00000000" w14:paraId="00000036">
            <w:pPr>
              <w:numPr>
                <w:ilvl w:val="1"/>
                <w:numId w:val="3"/>
              </w:numPr>
              <w:ind w:left="1392" w:hanging="360"/>
              <w:rPr>
                <w:rFonts w:ascii="Arial" w:cs="Arial" w:eastAsia="Arial" w:hAnsi="Arial"/>
              </w:rPr>
            </w:pPr>
            <w:r w:rsidDel="00000000" w:rsidR="00000000" w:rsidRPr="00000000">
              <w:rPr>
                <w:rFonts w:ascii="Arial" w:cs="Arial" w:eastAsia="Arial" w:hAnsi="Arial"/>
                <w:rtl w:val="0"/>
              </w:rPr>
              <w:t xml:space="preserve">Strategic Trajectory Review</w:t>
            </w:r>
          </w:p>
          <w:p w:rsidR="00000000" w:rsidDel="00000000" w:rsidP="00000000" w:rsidRDefault="00000000" w:rsidRPr="00000000" w14:paraId="00000037">
            <w:pPr>
              <w:numPr>
                <w:ilvl w:val="1"/>
                <w:numId w:val="3"/>
              </w:numPr>
              <w:ind w:left="1392" w:hanging="360"/>
              <w:rPr>
                <w:rFonts w:ascii="Arial" w:cs="Arial" w:eastAsia="Arial" w:hAnsi="Arial"/>
                <w:b w:val="1"/>
              </w:rPr>
            </w:pPr>
            <w:r w:rsidDel="00000000" w:rsidR="00000000" w:rsidRPr="00000000">
              <w:rPr>
                <w:rFonts w:ascii="Arial" w:cs="Arial" w:eastAsia="Arial" w:hAnsi="Arial"/>
                <w:rtl w:val="0"/>
              </w:rPr>
              <w:t xml:space="preserve">Alignment with Current and Emerging Market Trends</w:t>
            </w:r>
            <w:r w:rsidDel="00000000" w:rsidR="00000000" w:rsidRPr="00000000">
              <w:rPr>
                <w:rtl w:val="0"/>
              </w:rPr>
            </w:r>
          </w:p>
        </w:tc>
        <w:tc>
          <w:tcPr>
            <w:shd w:fill="auto" w:val="clear"/>
            <w:tcMar>
              <w:top w:w="0.0" w:type="dxa"/>
              <w:bottom w:w="0.0" w:type="dxa"/>
            </w:tcMar>
          </w:tcPr>
          <w:p w:rsidR="00000000" w:rsidDel="00000000" w:rsidP="00000000" w:rsidRDefault="00000000" w:rsidRPr="00000000" w14:paraId="00000038">
            <w:pPr>
              <w:rPr>
                <w:rFonts w:ascii="Arial" w:cs="Arial" w:eastAsia="Arial" w:hAnsi="Arial"/>
                <w:b w:val="1"/>
              </w:rPr>
            </w:pPr>
            <w:r w:rsidDel="00000000" w:rsidR="00000000" w:rsidRPr="00000000">
              <w:rPr>
                <w:rtl w:val="0"/>
              </w:rPr>
            </w:r>
          </w:p>
        </w:tc>
      </w:tr>
      <w:tr>
        <w:trPr>
          <w:cantSplit w:val="0"/>
          <w:trHeight w:val="384" w:hRule="atLeast"/>
          <w:tblHeader w:val="0"/>
        </w:trPr>
        <w:tc>
          <w:tcPr>
            <w:tcMar>
              <w:top w:w="0.0" w:type="dxa"/>
              <w:bottom w:w="0.0" w:type="dxa"/>
            </w:tcMar>
          </w:tcPr>
          <w:p w:rsidR="00000000" w:rsidDel="00000000" w:rsidP="00000000" w:rsidRDefault="00000000" w:rsidRPr="00000000" w14:paraId="00000039">
            <w:pPr>
              <w:numPr>
                <w:ilvl w:val="0"/>
                <w:numId w:val="3"/>
              </w:numPr>
              <w:ind w:left="672" w:hanging="360"/>
              <w:rPr>
                <w:rFonts w:ascii="Arial" w:cs="Arial" w:eastAsia="Arial" w:hAnsi="Arial"/>
              </w:rPr>
            </w:pPr>
            <w:r w:rsidDel="00000000" w:rsidR="00000000" w:rsidRPr="00000000">
              <w:rPr>
                <w:rFonts w:ascii="Arial" w:cs="Arial" w:eastAsia="Arial" w:hAnsi="Arial"/>
                <w:b w:val="1"/>
                <w:rtl w:val="0"/>
              </w:rPr>
              <w:t xml:space="preserve">Competitive Analysis</w:t>
            </w:r>
            <w:r w:rsidDel="00000000" w:rsidR="00000000" w:rsidRPr="00000000">
              <w:rPr>
                <w:rtl w:val="0"/>
              </w:rPr>
            </w:r>
          </w:p>
        </w:tc>
        <w:tc>
          <w:tcPr>
            <w:shd w:fill="auto" w:val="clear"/>
            <w:tcMar>
              <w:top w:w="0.0" w:type="dxa"/>
              <w:bottom w:w="0.0" w:type="dxa"/>
            </w:tcMar>
          </w:tcPr>
          <w:p w:rsidR="00000000" w:rsidDel="00000000" w:rsidP="00000000" w:rsidRDefault="00000000" w:rsidRPr="00000000" w14:paraId="0000003A">
            <w:pPr>
              <w:rPr>
                <w:rFonts w:ascii="Arial" w:cs="Arial" w:eastAsia="Arial" w:hAnsi="Arial"/>
                <w:b w:val="1"/>
              </w:rPr>
            </w:pPr>
            <w:r w:rsidDel="00000000" w:rsidR="00000000" w:rsidRPr="00000000">
              <w:rPr>
                <w:rFonts w:ascii="Arial" w:cs="Arial" w:eastAsia="Arial" w:hAnsi="Arial"/>
                <w:b w:val="1"/>
                <w:rtl w:val="0"/>
              </w:rPr>
              <w:t xml:space="preserve">8</w:t>
            </w:r>
          </w:p>
        </w:tc>
      </w:tr>
      <w:tr>
        <w:trPr>
          <w:cantSplit w:val="0"/>
          <w:trHeight w:val="432" w:hRule="atLeast"/>
          <w:tblHeader w:val="0"/>
        </w:trPr>
        <w:tc>
          <w:tcPr>
            <w:tcMar>
              <w:top w:w="0.0" w:type="dxa"/>
              <w:bottom w:w="0.0" w:type="dxa"/>
            </w:tcMar>
          </w:tcPr>
          <w:p w:rsidR="00000000" w:rsidDel="00000000" w:rsidP="00000000" w:rsidRDefault="00000000" w:rsidRPr="00000000" w14:paraId="0000003B">
            <w:pPr>
              <w:numPr>
                <w:ilvl w:val="0"/>
                <w:numId w:val="3"/>
              </w:numPr>
              <w:ind w:left="672" w:hanging="360"/>
              <w:rPr>
                <w:rFonts w:ascii="Arial" w:cs="Arial" w:eastAsia="Arial" w:hAnsi="Arial"/>
                <w:b w:val="1"/>
              </w:rPr>
            </w:pPr>
            <w:r w:rsidDel="00000000" w:rsidR="00000000" w:rsidRPr="00000000">
              <w:rPr>
                <w:rFonts w:ascii="Arial" w:cs="Arial" w:eastAsia="Arial" w:hAnsi="Arial"/>
                <w:b w:val="1"/>
                <w:rtl w:val="0"/>
              </w:rPr>
              <w:t xml:space="preserve">Recommendations and Future Outlook</w:t>
            </w:r>
          </w:p>
        </w:tc>
        <w:tc>
          <w:tcPr>
            <w:shd w:fill="auto" w:val="clear"/>
            <w:tcMar>
              <w:top w:w="0.0" w:type="dxa"/>
              <w:bottom w:w="0.0" w:type="dxa"/>
            </w:tcMar>
          </w:tcPr>
          <w:p w:rsidR="00000000" w:rsidDel="00000000" w:rsidP="00000000" w:rsidRDefault="00000000" w:rsidRPr="00000000" w14:paraId="0000003C">
            <w:pPr>
              <w:rPr>
                <w:rFonts w:ascii="Arial" w:cs="Arial" w:eastAsia="Arial" w:hAnsi="Arial"/>
                <w:b w:val="1"/>
              </w:rPr>
            </w:pPr>
            <w:r w:rsidDel="00000000" w:rsidR="00000000" w:rsidRPr="00000000">
              <w:rPr>
                <w:rFonts w:ascii="Arial" w:cs="Arial" w:eastAsia="Arial" w:hAnsi="Arial"/>
                <w:b w:val="1"/>
                <w:rtl w:val="0"/>
              </w:rPr>
              <w:t xml:space="preserve">9</w:t>
            </w:r>
          </w:p>
        </w:tc>
      </w:tr>
      <w:tr>
        <w:trPr>
          <w:cantSplit w:val="0"/>
          <w:trHeight w:val="545" w:hRule="atLeast"/>
          <w:tblHeader w:val="0"/>
        </w:trPr>
        <w:tc>
          <w:tcPr>
            <w:tcMar>
              <w:top w:w="0.0" w:type="dxa"/>
              <w:bottom w:w="0.0" w:type="dxa"/>
            </w:tcMar>
          </w:tcPr>
          <w:p w:rsidR="00000000" w:rsidDel="00000000" w:rsidP="00000000" w:rsidRDefault="00000000" w:rsidRPr="00000000" w14:paraId="0000003D">
            <w:pPr>
              <w:numPr>
                <w:ilvl w:val="0"/>
                <w:numId w:val="3"/>
              </w:numPr>
              <w:ind w:left="672" w:hanging="360"/>
              <w:rPr>
                <w:rFonts w:ascii="Arial" w:cs="Arial" w:eastAsia="Arial" w:hAnsi="Arial"/>
                <w:b w:val="1"/>
              </w:rPr>
            </w:pPr>
            <w:r w:rsidDel="00000000" w:rsidR="00000000" w:rsidRPr="00000000">
              <w:rPr>
                <w:rFonts w:ascii="Arial" w:cs="Arial" w:eastAsia="Arial" w:hAnsi="Arial"/>
                <w:b w:val="1"/>
                <w:rtl w:val="0"/>
              </w:rPr>
              <w:t xml:space="preserve">Conclusion</w:t>
            </w:r>
          </w:p>
        </w:tc>
        <w:tc>
          <w:tcPr>
            <w:shd w:fill="auto" w:val="clear"/>
            <w:tcMar>
              <w:top w:w="0.0" w:type="dxa"/>
              <w:bottom w:w="0.0" w:type="dxa"/>
            </w:tcMar>
          </w:tcPr>
          <w:p w:rsidR="00000000" w:rsidDel="00000000" w:rsidP="00000000" w:rsidRDefault="00000000" w:rsidRPr="00000000" w14:paraId="0000003E">
            <w:pPr>
              <w:rPr>
                <w:rFonts w:ascii="Arial" w:cs="Arial" w:eastAsia="Arial" w:hAnsi="Arial"/>
                <w:b w:val="1"/>
              </w:rPr>
            </w:pPr>
            <w:r w:rsidDel="00000000" w:rsidR="00000000" w:rsidRPr="00000000">
              <w:rPr>
                <w:rFonts w:ascii="Arial" w:cs="Arial" w:eastAsia="Arial" w:hAnsi="Arial"/>
                <w:b w:val="1"/>
                <w:rtl w:val="0"/>
              </w:rPr>
              <w:t xml:space="preserve">10</w:t>
            </w:r>
          </w:p>
        </w:tc>
      </w:tr>
      <w:tr>
        <w:trPr>
          <w:cantSplit w:val="0"/>
          <w:trHeight w:val="496" w:hRule="atLeast"/>
          <w:tblHeader w:val="0"/>
        </w:trPr>
        <w:tc>
          <w:tcPr>
            <w:tcMar>
              <w:top w:w="0.0" w:type="dxa"/>
              <w:bottom w:w="0.0" w:type="dxa"/>
            </w:tcMar>
          </w:tcPr>
          <w:p w:rsidR="00000000" w:rsidDel="00000000" w:rsidP="00000000" w:rsidRDefault="00000000" w:rsidRPr="00000000" w14:paraId="0000003F">
            <w:pPr>
              <w:ind w:left="672" w:firstLine="0"/>
              <w:rPr>
                <w:rFonts w:ascii="Arial" w:cs="Arial" w:eastAsia="Arial" w:hAnsi="Arial"/>
                <w:b w:val="1"/>
              </w:rPr>
            </w:pPr>
            <w:r w:rsidDel="00000000" w:rsidR="00000000" w:rsidRPr="00000000">
              <w:rPr>
                <w:rFonts w:ascii="Arial" w:cs="Arial" w:eastAsia="Arial" w:hAnsi="Arial"/>
                <w:b w:val="1"/>
                <w:rtl w:val="0"/>
              </w:rPr>
              <w:t xml:space="preserve">References</w:t>
            </w:r>
          </w:p>
        </w:tc>
        <w:tc>
          <w:tcPr>
            <w:shd w:fill="auto" w:val="clear"/>
            <w:tcMar>
              <w:top w:w="0.0" w:type="dxa"/>
              <w:bottom w:w="0.0" w:type="dxa"/>
            </w:tcMar>
          </w:tcPr>
          <w:p w:rsidR="00000000" w:rsidDel="00000000" w:rsidP="00000000" w:rsidRDefault="00000000" w:rsidRPr="00000000" w14:paraId="00000040">
            <w:pPr>
              <w:rPr>
                <w:rFonts w:ascii="Arial" w:cs="Arial" w:eastAsia="Arial" w:hAnsi="Arial"/>
                <w:b w:val="1"/>
              </w:rPr>
            </w:pPr>
            <w:r w:rsidDel="00000000" w:rsidR="00000000" w:rsidRPr="00000000">
              <w:rPr>
                <w:rFonts w:ascii="Arial" w:cs="Arial" w:eastAsia="Arial" w:hAnsi="Arial"/>
                <w:b w:val="1"/>
                <w:rtl w:val="0"/>
              </w:rPr>
              <w:t xml:space="preserve">10</w:t>
            </w:r>
          </w:p>
        </w:tc>
      </w:tr>
    </w:tbl>
    <w:p w:rsidR="00000000" w:rsidDel="00000000" w:rsidP="00000000" w:rsidRDefault="00000000" w:rsidRPr="00000000" w14:paraId="00000041">
      <w:pPr>
        <w:spacing w:line="48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42">
      <w:pPr>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043">
      <w:pPr>
        <w:spacing w:line="480" w:lineRule="auto"/>
        <w:jc w:val="both"/>
        <w:rPr>
          <w:rFonts w:ascii="Arial" w:cs="Arial" w:eastAsia="Arial" w:hAnsi="Arial"/>
          <w:b w:val="1"/>
        </w:rPr>
      </w:pPr>
      <w:r w:rsidDel="00000000" w:rsidR="00000000" w:rsidRPr="00000000">
        <w:rPr>
          <w:rFonts w:ascii="Arial" w:cs="Arial" w:eastAsia="Arial" w:hAnsi="Arial"/>
          <w:b w:val="1"/>
          <w:rtl w:val="0"/>
        </w:rPr>
        <w:t xml:space="preserve">Executive Overview</w:t>
      </w:r>
    </w:p>
    <w:p w:rsidR="00000000" w:rsidDel="00000000" w:rsidP="00000000" w:rsidRDefault="00000000" w:rsidRPr="00000000" w14:paraId="00000044">
      <w:pPr>
        <w:spacing w:line="480" w:lineRule="auto"/>
        <w:jc w:val="both"/>
        <w:rPr>
          <w:rFonts w:ascii="Arial" w:cs="Arial" w:eastAsia="Arial" w:hAnsi="Arial"/>
          <w:b w:val="1"/>
        </w:rPr>
      </w:pPr>
      <w:r w:rsidDel="00000000" w:rsidR="00000000" w:rsidRPr="00000000">
        <w:rPr>
          <w:rFonts w:ascii="Arial" w:cs="Arial" w:eastAsia="Arial" w:hAnsi="Arial"/>
          <w:rtl w:val="0"/>
        </w:rPr>
        <w:t xml:space="preserve">This report investigates the strategic and operational facets of InterContinental Hotels Group (IHG) within the UK, shedding light on its organizational structure, corporate culture and strategic initiatives. As the market recovers from the pandemic, InterContinental Hotels Group' s continual emphasis on adaptability and innovation moves the luxury and mainstream sections of its business forward. Strategic analyses show that in the varied UK market, IHG can be both flexible and responsive because to its decentralisation. On the other hand, it's been observed that there's a problem with keeping service standards constant between franchisees. Some of the suggestions include boosting the use of digital technology to provide individualised experiences for customers and integrating environmental measures in accordance with worldwide standards. Both IHG's market share and reputation in UK, as well as its continued success in the worldwide hospitality industry , will be greatly enhanced by these endeavours.</w:t>
      </w:r>
      <w:r w:rsidDel="00000000" w:rsidR="00000000" w:rsidRPr="00000000">
        <w:rPr>
          <w:rtl w:val="0"/>
        </w:rPr>
      </w:r>
    </w:p>
    <w:p w:rsidR="00000000" w:rsidDel="00000000" w:rsidP="00000000" w:rsidRDefault="00000000" w:rsidRPr="00000000" w14:paraId="00000045">
      <w:pPr>
        <w:spacing w:line="480" w:lineRule="auto"/>
        <w:jc w:val="both"/>
        <w:rPr>
          <w:rFonts w:ascii="Arial" w:cs="Arial" w:eastAsia="Arial" w:hAnsi="Arial"/>
          <w:b w:val="1"/>
        </w:rPr>
      </w:pPr>
      <w:r w:rsidDel="00000000" w:rsidR="00000000" w:rsidRPr="00000000">
        <w:rPr>
          <w:rFonts w:ascii="Arial" w:cs="Arial" w:eastAsia="Arial" w:hAnsi="Arial"/>
          <w:b w:val="1"/>
          <w:rtl w:val="0"/>
        </w:rPr>
        <w:t xml:space="preserve">1. Introduction</w:t>
      </w:r>
    </w:p>
    <w:p w:rsidR="00000000" w:rsidDel="00000000" w:rsidP="00000000" w:rsidRDefault="00000000" w:rsidRPr="00000000" w14:paraId="00000046">
      <w:pPr>
        <w:spacing w:line="480" w:lineRule="auto"/>
        <w:jc w:val="both"/>
        <w:rPr>
          <w:rFonts w:ascii="Arial" w:cs="Arial" w:eastAsia="Arial" w:hAnsi="Arial"/>
        </w:rPr>
      </w:pPr>
      <w:r w:rsidDel="00000000" w:rsidR="00000000" w:rsidRPr="00000000">
        <w:rPr>
          <w:rFonts w:ascii="Arial" w:cs="Arial" w:eastAsia="Arial" w:hAnsi="Arial"/>
          <w:rtl w:val="0"/>
        </w:rPr>
        <w:t xml:space="preserve">The object of this paper is to provide an overview of the current state of InterContinental Hotels Group (IHG) in UK , including their enterprise characteristics, triculture and business methods, for identification of strengths, weaknesses, and certain areas possibly worth looking at. Buying InterContinental Hotels Group (IHG) is like becoming a big man in many little gangs. As well off thanks to the various hotels it has added over time - branded under the names InterContinental and Crowne Plaza support stretching over four varieties of location: business travel, leisure tourism, events industry, and corporate hospitality (InterContinental Hotels Group PLC, 2024). </w:t>
      </w:r>
    </w:p>
    <w:p w:rsidR="00000000" w:rsidDel="00000000" w:rsidP="00000000" w:rsidRDefault="00000000" w:rsidRPr="00000000" w14:paraId="00000047">
      <w:pPr>
        <w:spacing w:line="480" w:lineRule="auto"/>
        <w:jc w:val="both"/>
        <w:rPr>
          <w:rFonts w:ascii="Arial" w:cs="Arial" w:eastAsia="Arial" w:hAnsi="Arial"/>
        </w:rPr>
      </w:pPr>
      <w:r w:rsidDel="00000000" w:rsidR="00000000" w:rsidRPr="00000000">
        <w:rPr>
          <w:rFonts w:ascii="Arial" w:cs="Arial" w:eastAsia="Arial" w:hAnsi="Arial"/>
          <w:rtl w:val="0"/>
        </w:rPr>
        <w:t xml:space="preserve">As the focus is on IHG’s response to the post-pandemic market, development within guest services and their efforts toward sustainability in Britain's competitive landscape, we will refer to industry reports, financial statistics and learned books to bring out a comprehensive view of how IHG is doing strategically and operationally (Hospitality Industry Trends, 2024; Benson, 2023). It is these sections which set the scene for a discussion of IHG’ s strategic alignment with the trends that are running right through the industry.</w:t>
      </w:r>
    </w:p>
    <w:p w:rsidR="00000000" w:rsidDel="00000000" w:rsidP="00000000" w:rsidRDefault="00000000" w:rsidRPr="00000000" w14:paraId="00000048">
      <w:pPr>
        <w:spacing w:line="480" w:lineRule="auto"/>
        <w:jc w:val="both"/>
        <w:rPr>
          <w:rFonts w:ascii="Arial" w:cs="Arial" w:eastAsia="Arial" w:hAnsi="Arial"/>
          <w:b w:val="1"/>
        </w:rPr>
      </w:pP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49">
      <w:pPr>
        <w:spacing w:line="480" w:lineRule="auto"/>
        <w:jc w:val="both"/>
        <w:rPr>
          <w:rFonts w:ascii="Arial" w:cs="Arial" w:eastAsia="Arial" w:hAnsi="Arial"/>
          <w:b w:val="1"/>
        </w:rPr>
      </w:pPr>
      <w:r w:rsidDel="00000000" w:rsidR="00000000" w:rsidRPr="00000000">
        <w:rPr>
          <w:rFonts w:ascii="Arial" w:cs="Arial" w:eastAsia="Arial" w:hAnsi="Arial"/>
          <w:b w:val="1"/>
          <w:rtl w:val="0"/>
        </w:rPr>
        <w:t xml:space="preserve">2. Organisational Structure</w:t>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72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IHG’s Structural Dynamics</w:t>
      </w:r>
    </w:p>
    <w:p w:rsidR="00000000" w:rsidDel="00000000" w:rsidP="00000000" w:rsidRDefault="00000000" w:rsidRPr="00000000" w14:paraId="0000004B">
      <w:pPr>
        <w:spacing w:line="480" w:lineRule="auto"/>
        <w:jc w:val="both"/>
        <w:rPr>
          <w:rFonts w:ascii="Arial" w:cs="Arial" w:eastAsia="Arial" w:hAnsi="Arial"/>
        </w:rPr>
      </w:pPr>
      <w:r w:rsidDel="00000000" w:rsidR="00000000" w:rsidRPr="00000000">
        <w:rPr>
          <w:rFonts w:ascii="Arial" w:cs="Arial" w:eastAsia="Arial" w:hAnsi="Arial"/>
          <w:rtl w:val="0"/>
        </w:rPr>
        <w:t xml:space="preserve">InterContinental Hotels Group (IHG) is a multinational hotel group and operates in a matrix organization system that reaches across the world but localizes responsiveness. Besides facilitating global expansion, this structure allows IHG to effectively manage its diverse brand range and offers appropriate choices for customers at different price. Each hotel brand enjoys a good deal of independence under the IHG management umbrella, and thus short decision-making processes mean that strategies can be tailored to meet individual market needs. Such a decentralized approach helps the group adapt quickly to local demands and legal environments, apt traits in an industry as fluid as hospitality. (Lee, 2024).</w:t>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72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Effectiveness and Efficiency Analysis</w:t>
      </w:r>
    </w:p>
    <w:p w:rsidR="00000000" w:rsidDel="00000000" w:rsidP="00000000" w:rsidRDefault="00000000" w:rsidRPr="00000000" w14:paraId="0000004D">
      <w:pPr>
        <w:spacing w:line="480" w:lineRule="auto"/>
        <w:jc w:val="both"/>
        <w:rPr>
          <w:rFonts w:ascii="Arial" w:cs="Arial" w:eastAsia="Arial" w:hAnsi="Arial"/>
        </w:rPr>
      </w:pPr>
      <w:r w:rsidDel="00000000" w:rsidR="00000000" w:rsidRPr="00000000">
        <w:rPr>
          <w:rFonts w:ascii="Arial" w:cs="Arial" w:eastAsia="Arial" w:hAnsi="Arial"/>
          <w:rtl w:val="0"/>
        </w:rPr>
        <w:t xml:space="preserve">The company' s steady expansion and worldwide portfolio management demonstrate its organisational structure's efficacy. Communication and operational efficiency are also issues with the matrix system. Global and local instructions might contradict or impede decision-making. Brand consistency across geographies while permitting local adaptation is a constant problem. Studies show that matrix architectures facilitate multinational operations but require strong internal communication and clear duty delineations to reduce inefficiencies (O'Reilly III &amp; Tushman, 1994). </w:t>
      </w:r>
    </w:p>
    <w:p w:rsidR="00000000" w:rsidDel="00000000" w:rsidP="00000000" w:rsidRDefault="00000000" w:rsidRPr="00000000" w14:paraId="0000004E">
      <w:pPr>
        <w:spacing w:line="480" w:lineRule="auto"/>
        <w:jc w:val="both"/>
        <w:rPr>
          <w:rFonts w:ascii="Arial" w:cs="Arial" w:eastAsia="Arial" w:hAnsi="Arial"/>
        </w:rPr>
      </w:pPr>
      <w:r w:rsidDel="00000000" w:rsidR="00000000" w:rsidRPr="00000000">
        <w:rPr>
          <w:rFonts w:ascii="Arial" w:cs="Arial" w:eastAsia="Arial" w:hAnsi="Arial"/>
          <w:rtl w:val="0"/>
        </w:rPr>
        <w:t xml:space="preserve">IHG' s organisational structure has enabled its growth and market penetration, but it needs improvement to improve coherence and efficiency throughout its worldwide network. IHG may improve decision-making and global-to-local execution by simplifying communication channels and defining matrix structure roles.</w:t>
      </w:r>
    </w:p>
    <w:p w:rsidR="00000000" w:rsidDel="00000000" w:rsidP="00000000" w:rsidRDefault="00000000" w:rsidRPr="00000000" w14:paraId="0000004F">
      <w:pPr>
        <w:spacing w:line="480" w:lineRule="auto"/>
        <w:jc w:val="both"/>
        <w:rPr>
          <w:rFonts w:ascii="Arial" w:cs="Arial" w:eastAsia="Arial" w:hAnsi="Arial"/>
          <w:b w:val="1"/>
        </w:rPr>
      </w:pPr>
      <w:r w:rsidDel="00000000" w:rsidR="00000000" w:rsidRPr="00000000">
        <w:rPr>
          <w:rFonts w:ascii="Arial" w:cs="Arial" w:eastAsia="Arial" w:hAnsi="Arial"/>
          <w:b w:val="1"/>
          <w:rtl w:val="0"/>
        </w:rPr>
        <w:t xml:space="preserve">3. Corporate Culture</w:t>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72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IHG' s Cultural Framework</w:t>
      </w:r>
    </w:p>
    <w:p w:rsidR="00000000" w:rsidDel="00000000" w:rsidP="00000000" w:rsidRDefault="00000000" w:rsidRPr="00000000" w14:paraId="00000051">
      <w:pPr>
        <w:spacing w:line="480" w:lineRule="auto"/>
        <w:jc w:val="both"/>
        <w:rPr>
          <w:rFonts w:ascii="Arial" w:cs="Arial" w:eastAsia="Arial" w:hAnsi="Arial"/>
        </w:rPr>
      </w:pPr>
      <w:r w:rsidDel="00000000" w:rsidR="00000000" w:rsidRPr="00000000">
        <w:rPr>
          <w:rFonts w:ascii="Arial" w:cs="Arial" w:eastAsia="Arial" w:hAnsi="Arial"/>
          <w:rtl w:val="0"/>
        </w:rPr>
        <w:t xml:space="preserve">"True Hospitality for Good," heralds the InterContinental Hotels Group, what it stands for in offering true grapes have a home guest, communities, and the environment. This culture permeates all IHG's management groups and the operational system in each hotel. Ethics in business and Industry, economic development and employee welfare are aspects of the culture, which is dedicated to constant improvement both within and for society at large. In the hospitality business, it is especially in corporate responsibility and diversity &amp; inclusion that IHG finds it hardest to get hold of such talents and then keep them (Gottschalk 2003).</w:t>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72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Cultural Impact on Business and Employee Engagement</w:t>
      </w:r>
    </w:p>
    <w:p w:rsidR="00000000" w:rsidDel="00000000" w:rsidP="00000000" w:rsidRDefault="00000000" w:rsidRPr="00000000" w14:paraId="00000053">
      <w:pPr>
        <w:spacing w:line="480" w:lineRule="auto"/>
        <w:jc w:val="both"/>
        <w:rPr>
          <w:rFonts w:ascii="Arial" w:cs="Arial" w:eastAsia="Arial" w:hAnsi="Arial"/>
        </w:rPr>
      </w:pPr>
      <w:r w:rsidDel="00000000" w:rsidR="00000000" w:rsidRPr="00000000">
        <w:rPr>
          <w:rFonts w:ascii="Arial" w:cs="Arial" w:eastAsia="Arial" w:hAnsi="Arial"/>
          <w:rtl w:val="0"/>
        </w:rPr>
        <w:t xml:space="preserve">The corporate culture strongly affects not only the business of IHG but also its employee engagement. Moreover, a happy company culture can bring employees pleasure and turnover as well as high productivity, which in turn leads to customer enjoyment of service and good business return on it. IHG's concern about the promotion of its staff, and its programs for recognition, results in a conditioned work environment support which has raised employee morale. (Murray, 2024) The chain's ecological &amp; ethical endeavours help raise its brand recognition and attract a guest who are environmental and social conscious. IHG is successful in areas where there are many competitors, such as the UK, partly because its cultural harmony with fashionable practices favourable to living (Patel &amp; James, 2024). </w:t>
      </w:r>
    </w:p>
    <w:p w:rsidR="00000000" w:rsidDel="00000000" w:rsidP="00000000" w:rsidRDefault="00000000" w:rsidRPr="00000000" w14:paraId="00000054">
      <w:pPr>
        <w:spacing w:line="480" w:lineRule="auto"/>
        <w:jc w:val="both"/>
        <w:rPr>
          <w:rFonts w:ascii="Arial" w:cs="Arial" w:eastAsia="Arial" w:hAnsi="Arial"/>
        </w:rPr>
      </w:pPr>
      <w:r w:rsidDel="00000000" w:rsidR="00000000" w:rsidRPr="00000000">
        <w:rPr>
          <w:rFonts w:ascii="Arial" w:cs="Arial" w:eastAsia="Arial" w:hAnsi="Arial"/>
          <w:rtl w:val="0"/>
        </w:rPr>
        <w:t xml:space="preserve">The upshot of this is IHG's intention to build up a corporate culture emphasizing hospitality, ethics and lasting development that not only yields billings but faithful customers. These are for IHG a good tool of management growth: over the long run its ability to adjust and attach such cultural activities in the journey will determine whether it can maintain its lead or increasingly find itself out off.</w:t>
      </w:r>
    </w:p>
    <w:p w:rsidR="00000000" w:rsidDel="00000000" w:rsidP="00000000" w:rsidRDefault="00000000" w:rsidRPr="00000000" w14:paraId="00000055">
      <w:pPr>
        <w:spacing w:line="480" w:lineRule="auto"/>
        <w:jc w:val="both"/>
        <w:rPr>
          <w:rFonts w:ascii="Arial" w:cs="Arial" w:eastAsia="Arial" w:hAnsi="Arial"/>
          <w:b w:val="1"/>
        </w:rPr>
      </w:pPr>
      <w:r w:rsidDel="00000000" w:rsidR="00000000" w:rsidRPr="00000000">
        <w:rPr>
          <w:rFonts w:ascii="Arial" w:cs="Arial" w:eastAsia="Arial" w:hAnsi="Arial"/>
          <w:b w:val="1"/>
          <w:rtl w:val="0"/>
        </w:rPr>
        <w:t xml:space="preserve">4. Strategic Goals and Achievements</w:t>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72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Outline of Strategic Objectives</w:t>
      </w:r>
    </w:p>
    <w:p w:rsidR="00000000" w:rsidDel="00000000" w:rsidP="00000000" w:rsidRDefault="00000000" w:rsidRPr="00000000" w14:paraId="00000057">
      <w:pPr>
        <w:spacing w:line="480" w:lineRule="auto"/>
        <w:jc w:val="both"/>
        <w:rPr>
          <w:rFonts w:ascii="Arial" w:cs="Arial" w:eastAsia="Arial" w:hAnsi="Arial"/>
        </w:rPr>
      </w:pPr>
      <w:r w:rsidDel="00000000" w:rsidR="00000000" w:rsidRPr="00000000">
        <w:rPr>
          <w:rFonts w:ascii="Arial" w:cs="Arial" w:eastAsia="Arial" w:hAnsi="Arial"/>
          <w:rtl w:val="0"/>
        </w:rPr>
        <w:t xml:space="preserve">The InterContinental Hotels Group (I H G) has established several strategic goals to ensure it retains its place within the global hospitality industry. These include enhancing digital integration across every client touchpoint ; opening the global footprint with emerging markets as a priority for development; driving greater efficiency via operational excellence and making environmental initiatives even more meaningful under its Green Engage programs. These strategies not only help to secure client satisfaction but also ensure ongoing growth in what is now a hotly competitive and environmentally conscious marketplace (InterContinental Hotels Group PLC, 2024).</w:t>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72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Evaluation of Achievements and Impact</w:t>
      </w:r>
    </w:p>
    <w:p w:rsidR="00000000" w:rsidDel="00000000" w:rsidP="00000000" w:rsidRDefault="00000000" w:rsidRPr="00000000" w14:paraId="00000059">
      <w:pPr>
        <w:spacing w:line="480" w:lineRule="auto"/>
        <w:jc w:val="both"/>
        <w:rPr>
          <w:rFonts w:ascii="Arial" w:cs="Arial" w:eastAsia="Arial" w:hAnsi="Arial"/>
        </w:rPr>
      </w:pPr>
      <w:r w:rsidDel="00000000" w:rsidR="00000000" w:rsidRPr="00000000">
        <w:rPr>
          <w:rFonts w:ascii="Arial" w:cs="Arial" w:eastAsia="Arial" w:hAnsi="Arial"/>
          <w:rtl w:val="0"/>
        </w:rPr>
        <w:t xml:space="preserve">IHG has successfully launched several strategic initiatives. Digital innovations such as smartphone check-in and smart room functions not only achieve higher guest satisfaction but also bring about staff efficiency on a large scale, making IHG the world’ s leader in hotel technology (Benson, 2023). IHG has extended its reach and profit base by going into growth areas like Southeast Asia and Eastern Europe. This has been much appreciated by its customers and indeed the industry watchdogs, in addition to CSR goals that align with global sustainable trends rather than simply meeting international standards for reducing carbon release and boosting energy efficiency (Patel &amp; James, 2024). </w:t>
      </w:r>
    </w:p>
    <w:p w:rsidR="00000000" w:rsidDel="00000000" w:rsidP="00000000" w:rsidRDefault="00000000" w:rsidRPr="00000000" w14:paraId="0000005A">
      <w:pPr>
        <w:spacing w:line="480" w:lineRule="auto"/>
        <w:jc w:val="both"/>
        <w:rPr>
          <w:rFonts w:ascii="Arial" w:cs="Arial" w:eastAsia="Arial" w:hAnsi="Arial"/>
        </w:rPr>
      </w:pPr>
      <w:r w:rsidDel="00000000" w:rsidR="00000000" w:rsidRPr="00000000">
        <w:rPr>
          <w:rFonts w:ascii="Arial" w:cs="Arial" w:eastAsia="Arial" w:hAnsi="Arial"/>
          <w:rtl w:val="0"/>
        </w:rPr>
        <w:t xml:space="preserve">In consumer markets and regions with local regulations as well, although IHG has made major strides they are still handicapped by the limitations imposed by local law. To fully realize its strategic objectives and keep abreast of changes in the hospitality trade IHG will have to continue to adapt and refine programmes while paying close attention to what is practicable at local level versus globally accepted norms.</w:t>
      </w:r>
    </w:p>
    <w:p w:rsidR="00000000" w:rsidDel="00000000" w:rsidP="00000000" w:rsidRDefault="00000000" w:rsidRPr="00000000" w14:paraId="0000005B">
      <w:pPr>
        <w:spacing w:line="48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5C">
      <w:pPr>
        <w:spacing w:line="480" w:lineRule="auto"/>
        <w:jc w:val="both"/>
        <w:rPr>
          <w:rFonts w:ascii="Arial" w:cs="Arial" w:eastAsia="Arial" w:hAnsi="Arial"/>
          <w:b w:val="1"/>
        </w:rPr>
      </w:pPr>
      <w:r w:rsidDel="00000000" w:rsidR="00000000" w:rsidRPr="00000000">
        <w:rPr>
          <w:rFonts w:ascii="Arial" w:cs="Arial" w:eastAsia="Arial" w:hAnsi="Arial"/>
          <w:b w:val="1"/>
          <w:rtl w:val="0"/>
        </w:rPr>
        <w:t xml:space="preserve">5. Recent Change Initiatives</w:t>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72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Overview of Key Changes</w:t>
      </w:r>
    </w:p>
    <w:p w:rsidR="00000000" w:rsidDel="00000000" w:rsidP="00000000" w:rsidRDefault="00000000" w:rsidRPr="00000000" w14:paraId="0000005E">
      <w:pPr>
        <w:spacing w:line="480" w:lineRule="auto"/>
        <w:jc w:val="both"/>
        <w:rPr>
          <w:rFonts w:ascii="Arial" w:cs="Arial" w:eastAsia="Arial" w:hAnsi="Arial"/>
        </w:rPr>
      </w:pPr>
      <w:r w:rsidDel="00000000" w:rsidR="00000000" w:rsidRPr="00000000">
        <w:rPr>
          <w:rFonts w:ascii="Arial" w:cs="Arial" w:eastAsia="Arial" w:hAnsi="Arial"/>
          <w:rtl w:val="0"/>
        </w:rPr>
        <w:t xml:space="preserve">InterContinental Hotels Group (IHG) has introduced a long-term strategy in response to the changing dynamics of the hotel industry. Digitally enhanced infrastructure (contactless service) and personalized guest experiences, through database analysis ; plus, improvements in efficiency via automation systems. In addition, they have launched ambitious sustainability programs to reduce the carbon footprint as well as putting a stop to waste generation completely by 2030 at the latest--these will form part of their overall plan shaping an IHG suited for future market needs and redefining its place within the global hospitality industry for years ahead (InterContinental Hotels Group PLC, 2024).</w:t>
      </w:r>
    </w:p>
    <w:p w:rsidR="00000000" w:rsidDel="00000000" w:rsidP="00000000" w:rsidRDefault="00000000" w:rsidRPr="00000000" w14:paraId="0000005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72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Impact Assessment and Stakeholder Feedback</w:t>
      </w:r>
    </w:p>
    <w:p w:rsidR="00000000" w:rsidDel="00000000" w:rsidP="00000000" w:rsidRDefault="00000000" w:rsidRPr="00000000" w14:paraId="00000060">
      <w:pPr>
        <w:spacing w:line="480" w:lineRule="auto"/>
        <w:jc w:val="both"/>
        <w:rPr>
          <w:rFonts w:ascii="Arial" w:cs="Arial" w:eastAsia="Arial" w:hAnsi="Arial"/>
        </w:rPr>
      </w:pPr>
      <w:r w:rsidDel="00000000" w:rsidR="00000000" w:rsidRPr="00000000">
        <w:rPr>
          <w:rFonts w:ascii="Arial" w:cs="Arial" w:eastAsia="Arial" w:hAnsi="Arial"/>
          <w:rtl w:val="0"/>
        </w:rPr>
        <w:t xml:space="preserve">For the most part these campaigns have achieved considerable success. Digitally innovative technology has brought joy to guests, demonstrating Kensington Group's capacity for invention. For example, the company' s mobile app for custom room settings and local experience orders has been well received (Benson, 2023).  Through its proactive sustainability efforts, IHG has cultivated deeper ties with environmentally aware guests, regulators, and investors. Survey findings from across the industry acknowledged the clarity and ambition of IHG's sustainability targets, giving a boost to both its image as a company and confidence among investors ( Patel &amp; James, 2024).  </w:t>
      </w:r>
    </w:p>
    <w:p w:rsidR="00000000" w:rsidDel="00000000" w:rsidP="00000000" w:rsidRDefault="00000000" w:rsidRPr="00000000" w14:paraId="00000061">
      <w:pPr>
        <w:spacing w:line="480" w:lineRule="auto"/>
        <w:jc w:val="both"/>
        <w:rPr>
          <w:rFonts w:ascii="Arial" w:cs="Arial" w:eastAsia="Arial" w:hAnsi="Arial"/>
        </w:rPr>
      </w:pPr>
      <w:r w:rsidDel="00000000" w:rsidR="00000000" w:rsidRPr="00000000">
        <w:rPr>
          <w:rFonts w:ascii="Arial" w:cs="Arial" w:eastAsia="Arial" w:hAnsi="Arial"/>
          <w:rtl w:val="0"/>
        </w:rPr>
        <w:t xml:space="preserve">The IHG strategic readjustments have made the company ready for the challenges and opportunities of the future, but it will be necessary to refine results and effect flexibility in adjusting as business conditions change. Transition management for all staff is an important feature. All levels at HQ must back these reforms if their effects are to have lasting impact and they are to maintain industry leadership within the hotel world.</w:t>
      </w:r>
    </w:p>
    <w:p w:rsidR="00000000" w:rsidDel="00000000" w:rsidP="00000000" w:rsidRDefault="00000000" w:rsidRPr="00000000" w14:paraId="00000062">
      <w:pPr>
        <w:spacing w:line="48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63">
      <w:pPr>
        <w:spacing w:line="480" w:lineRule="auto"/>
        <w:jc w:val="both"/>
        <w:rPr>
          <w:rFonts w:ascii="Arial" w:cs="Arial" w:eastAsia="Arial" w:hAnsi="Arial"/>
          <w:b w:val="1"/>
        </w:rPr>
      </w:pPr>
      <w:r w:rsidDel="00000000" w:rsidR="00000000" w:rsidRPr="00000000">
        <w:rPr>
          <w:rFonts w:ascii="Arial" w:cs="Arial" w:eastAsia="Arial" w:hAnsi="Arial"/>
          <w:b w:val="1"/>
          <w:rtl w:val="0"/>
        </w:rPr>
        <w:t xml:space="preserve">6. Strategic Direction and Market Alignment</w:t>
      </w:r>
    </w:p>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72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Strategic Trajectory Review</w:t>
      </w:r>
    </w:p>
    <w:p w:rsidR="00000000" w:rsidDel="00000000" w:rsidP="00000000" w:rsidRDefault="00000000" w:rsidRPr="00000000" w14:paraId="00000065">
      <w:pPr>
        <w:spacing w:line="480" w:lineRule="auto"/>
        <w:jc w:val="both"/>
        <w:rPr>
          <w:rFonts w:ascii="Arial" w:cs="Arial" w:eastAsia="Arial" w:hAnsi="Arial"/>
        </w:rPr>
      </w:pPr>
      <w:r w:rsidDel="00000000" w:rsidR="00000000" w:rsidRPr="00000000">
        <w:rPr>
          <w:rFonts w:ascii="Arial" w:cs="Arial" w:eastAsia="Arial" w:hAnsi="Arial"/>
          <w:rtl w:val="0"/>
        </w:rPr>
        <w:t xml:space="preserve">InterContinental Hotels Group (IHG) has long followed a strategy characterized by market expansion for growth and service improvement through innovation. In pursuit of this goal, they invest heavily in digital technology to enhance guests' experiences and on the operational side, a strategy into less Hotel raw- deal market areas Within the hospitality industry If fundamental tracks are not laid by you out properly, this company aims to offer different traits of newly developed properties that cover all market segments and customer needs. It is the foundation for IHG pursuing a global footprint which suits changing market trends (InterContinental Hotels Group PLC, 2024). </w:t>
      </w:r>
    </w:p>
    <w:p w:rsidR="00000000" w:rsidDel="00000000" w:rsidP="00000000" w:rsidRDefault="00000000" w:rsidRPr="00000000" w14:paraId="000000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480" w:lineRule="auto"/>
        <w:ind w:left="720" w:right="0" w:hanging="36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Alignment with Current and Emerging Market Trends</w:t>
      </w:r>
    </w:p>
    <w:p w:rsidR="00000000" w:rsidDel="00000000" w:rsidP="00000000" w:rsidRDefault="00000000" w:rsidRPr="00000000" w14:paraId="00000067">
      <w:pPr>
        <w:spacing w:line="480" w:lineRule="auto"/>
        <w:jc w:val="both"/>
        <w:rPr>
          <w:rFonts w:ascii="Arial" w:cs="Arial" w:eastAsia="Arial" w:hAnsi="Arial"/>
        </w:rPr>
      </w:pPr>
      <w:r w:rsidDel="00000000" w:rsidR="00000000" w:rsidRPr="00000000">
        <w:rPr>
          <w:rFonts w:ascii="Arial" w:cs="Arial" w:eastAsia="Arial" w:hAnsi="Arial"/>
          <w:rtl w:val="0"/>
        </w:rPr>
        <w:t xml:space="preserve">To ensure strategic alignment, current and emerging market trends are tracked closely by the hotel group. IHG's digital capabilities are also helping to meet a growing demand for personalized, streamlined travel experiences. This is evident from the array of services on offer, including mobile check in and AI-powered customer support platforms. In addition, the green goals of the hotel group are consistent with an ever-increasing number of consumers who prefer businesses that take care to protect the environment--only in this regard is IHG on its way making some substantial progress thanks to its Green Engage program (Hospitality Industry Trends, 2024).</w:t>
      </w:r>
    </w:p>
    <w:p w:rsidR="00000000" w:rsidDel="00000000" w:rsidP="00000000" w:rsidRDefault="00000000" w:rsidRPr="00000000" w14:paraId="00000068">
      <w:pPr>
        <w:spacing w:line="480" w:lineRule="auto"/>
        <w:jc w:val="both"/>
        <w:rPr>
          <w:rFonts w:ascii="Arial" w:cs="Arial" w:eastAsia="Arial" w:hAnsi="Arial"/>
        </w:rPr>
      </w:pPr>
      <w:r w:rsidDel="00000000" w:rsidR="00000000" w:rsidRPr="00000000">
        <w:rPr>
          <w:rFonts w:ascii="Arial" w:cs="Arial" w:eastAsia="Arial" w:hAnsi="Arial"/>
          <w:rtl w:val="0"/>
        </w:rPr>
        <w:t xml:space="preserve">The hotel’s strategic engagement with these trends is not only helping it to win in the marketplace, but also placing IHG in good stead with socially conscious consumers and investors who value long-term sustainability practices as well as integrity management. By observing such social currents, IHG ensures it keeps contemporary--not merely responding to whatever circumstances throw at them in a rapidly changing industry.</w:t>
      </w:r>
    </w:p>
    <w:p w:rsidR="00000000" w:rsidDel="00000000" w:rsidP="00000000" w:rsidRDefault="00000000" w:rsidRPr="00000000" w14:paraId="00000069">
      <w:pPr>
        <w:spacing w:line="48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6A">
      <w:pPr>
        <w:spacing w:line="480" w:lineRule="auto"/>
        <w:jc w:val="both"/>
        <w:rPr>
          <w:rFonts w:ascii="Arial" w:cs="Arial" w:eastAsia="Arial" w:hAnsi="Arial"/>
          <w:b w:val="1"/>
        </w:rPr>
      </w:pPr>
      <w:r w:rsidDel="00000000" w:rsidR="00000000" w:rsidRPr="00000000">
        <w:rPr>
          <w:rFonts w:ascii="Arial" w:cs="Arial" w:eastAsia="Arial" w:hAnsi="Arial"/>
          <w:b w:val="1"/>
          <w:rtl w:val="0"/>
        </w:rPr>
        <w:t xml:space="preserve">7. Competitive Analysis</w:t>
      </w:r>
    </w:p>
    <w:p w:rsidR="00000000" w:rsidDel="00000000" w:rsidP="00000000" w:rsidRDefault="00000000" w:rsidRPr="00000000" w14:paraId="0000006B">
      <w:pPr>
        <w:spacing w:line="480" w:lineRule="auto"/>
        <w:jc w:val="both"/>
        <w:rPr>
          <w:rFonts w:ascii="Arial" w:cs="Arial" w:eastAsia="Arial" w:hAnsi="Arial"/>
        </w:rPr>
      </w:pPr>
      <w:r w:rsidDel="00000000" w:rsidR="00000000" w:rsidRPr="00000000">
        <w:rPr>
          <w:rFonts w:ascii="Arial" w:cs="Arial" w:eastAsia="Arial" w:hAnsi="Arial"/>
          <w:rtl w:val="0"/>
        </w:rPr>
        <w:t xml:space="preserve">With its broad and diverse brand portfolio International Hotels Group (IHG) competes globally in the hospitality business, owing this position to a well-spread network throughout the world. Unlike Marriott and Hilton, which target customers on both an expedient and top level of the market, IHG targets nobility (to upper class) customers with brands such as InterContinental and Accor. As result of its market emphasis, IHG can retain customers to whom it caters personalized services(Olsen &amp; McGowan, 2000).</w:t>
      </w:r>
    </w:p>
    <w:p w:rsidR="00000000" w:rsidDel="00000000" w:rsidP="00000000" w:rsidRDefault="00000000" w:rsidRPr="00000000" w14:paraId="0000006C">
      <w:pPr>
        <w:spacing w:line="480" w:lineRule="auto"/>
        <w:jc w:val="both"/>
        <w:rPr>
          <w:rFonts w:ascii="Arial" w:cs="Arial" w:eastAsia="Arial" w:hAnsi="Arial"/>
        </w:rPr>
      </w:pPr>
      <w:r w:rsidDel="00000000" w:rsidR="00000000" w:rsidRPr="00000000">
        <w:rPr>
          <w:rFonts w:ascii="Arial" w:cs="Arial" w:eastAsia="Arial" w:hAnsi="Arial"/>
          <w:rtl w:val="0"/>
        </w:rPr>
        <w:t xml:space="preserve">Comparing its record with those of competitors, it becomes apparent that IHG has been able to use strategic addresses and new services to protect market-share. Despite fierce competition from others, over the last two years IHG has new territory sown. Strategic investments in digital technology have enhanced operational efficiency and customer engagement, in line with the overall digitalization industry trend (Timothy &amp;Beaumont, 2018).</w:t>
      </w:r>
    </w:p>
    <w:p w:rsidR="00000000" w:rsidDel="00000000" w:rsidP="00000000" w:rsidRDefault="00000000" w:rsidRPr="00000000" w14:paraId="0000006D">
      <w:pPr>
        <w:spacing w:line="480" w:lineRule="auto"/>
        <w:jc w:val="both"/>
        <w:rPr>
          <w:rFonts w:ascii="Arial" w:cs="Arial" w:eastAsia="Arial" w:hAnsi="Arial"/>
        </w:rPr>
      </w:pPr>
      <w:r w:rsidDel="00000000" w:rsidR="00000000" w:rsidRPr="00000000">
        <w:rPr>
          <w:rFonts w:ascii="Arial" w:cs="Arial" w:eastAsia="Arial" w:hAnsi="Arial"/>
          <w:rtl w:val="0"/>
        </w:rPr>
        <w:t xml:space="preserve">IHG must pursue technological innovation and adapt to changing consumer demands if it is to remain competitive. In the dynamic world of hospitality industry, IHG's competitive advantage lies with a constant affair -- trying on new strategies and techniques to suit both market and competitors’ developments.</w:t>
      </w:r>
    </w:p>
    <w:p w:rsidR="00000000" w:rsidDel="00000000" w:rsidP="00000000" w:rsidRDefault="00000000" w:rsidRPr="00000000" w14:paraId="0000006E">
      <w:pPr>
        <w:spacing w:line="48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6F">
      <w:pPr>
        <w:spacing w:line="480" w:lineRule="auto"/>
        <w:jc w:val="both"/>
        <w:rPr>
          <w:rFonts w:ascii="Arial" w:cs="Arial" w:eastAsia="Arial" w:hAnsi="Arial"/>
          <w:b w:val="1"/>
        </w:rPr>
      </w:pPr>
      <w:r w:rsidDel="00000000" w:rsidR="00000000" w:rsidRPr="00000000">
        <w:rPr>
          <w:rFonts w:ascii="Arial" w:cs="Arial" w:eastAsia="Arial" w:hAnsi="Arial"/>
          <w:b w:val="1"/>
          <w:rtl w:val="0"/>
        </w:rPr>
        <w:t xml:space="preserve">8. Recommendations and Future Outlook</w:t>
      </w:r>
    </w:p>
    <w:p w:rsidR="00000000" w:rsidDel="00000000" w:rsidP="00000000" w:rsidRDefault="00000000" w:rsidRPr="00000000" w14:paraId="00000070">
      <w:pPr>
        <w:spacing w:line="480" w:lineRule="auto"/>
        <w:jc w:val="both"/>
        <w:rPr>
          <w:rFonts w:ascii="Arial" w:cs="Arial" w:eastAsia="Arial" w:hAnsi="Arial"/>
        </w:rPr>
      </w:pPr>
      <w:r w:rsidDel="00000000" w:rsidR="00000000" w:rsidRPr="00000000">
        <w:rPr>
          <w:rFonts w:ascii="Arial" w:cs="Arial" w:eastAsia="Arial" w:hAnsi="Arial"/>
          <w:b w:val="1"/>
          <w:rtl w:val="0"/>
        </w:rPr>
        <w:t xml:space="preserve">Improving Digital Capabilities:</w:t>
      </w:r>
      <w:r w:rsidDel="00000000" w:rsidR="00000000" w:rsidRPr="00000000">
        <w:rPr>
          <w:rFonts w:ascii="Arial" w:cs="Arial" w:eastAsia="Arial" w:hAnsi="Arial"/>
          <w:rtl w:val="0"/>
        </w:rPr>
        <w:t xml:space="preserve"> IHG needs to spend on digital transformation. Artificial intelligence and machine learning, for instance, will allow IHG to customise guest experiences and property management systems. This would, in turn, streamline operations while satisfying the tech-savvy traveller.</w:t>
      </w:r>
    </w:p>
    <w:p w:rsidR="00000000" w:rsidDel="00000000" w:rsidP="00000000" w:rsidRDefault="00000000" w:rsidRPr="00000000" w14:paraId="00000071">
      <w:pPr>
        <w:spacing w:line="480" w:lineRule="auto"/>
        <w:jc w:val="both"/>
        <w:rPr>
          <w:rFonts w:ascii="Arial" w:cs="Arial" w:eastAsia="Arial" w:hAnsi="Arial"/>
        </w:rPr>
      </w:pPr>
      <w:r w:rsidDel="00000000" w:rsidR="00000000" w:rsidRPr="00000000">
        <w:rPr>
          <w:rFonts w:ascii="Arial" w:cs="Arial" w:eastAsia="Arial" w:hAnsi="Arial"/>
          <w:b w:val="1"/>
          <w:rtl w:val="0"/>
        </w:rPr>
        <w:t xml:space="preserve">Sustainability Intensification:</w:t>
      </w:r>
      <w:r w:rsidDel="00000000" w:rsidR="00000000" w:rsidRPr="00000000">
        <w:rPr>
          <w:rFonts w:ascii="Arial" w:cs="Arial" w:eastAsia="Arial" w:hAnsi="Arial"/>
          <w:rtl w:val="0"/>
        </w:rPr>
        <w:t xml:space="preserve"> As customers gain a greater awareness and as regulations come down to support sustainability needs, IHG ought to extend its Green Engage program. More sustainable sourcing practices, renewable energy usage, whole-building waste minimization etc are possible.</w:t>
      </w:r>
    </w:p>
    <w:p w:rsidR="00000000" w:rsidDel="00000000" w:rsidP="00000000" w:rsidRDefault="00000000" w:rsidRPr="00000000" w14:paraId="00000072">
      <w:pPr>
        <w:spacing w:line="480" w:lineRule="auto"/>
        <w:jc w:val="both"/>
        <w:rPr>
          <w:rFonts w:ascii="Arial" w:cs="Arial" w:eastAsia="Arial" w:hAnsi="Arial"/>
        </w:rPr>
      </w:pPr>
      <w:r w:rsidDel="00000000" w:rsidR="00000000" w:rsidRPr="00000000">
        <w:rPr>
          <w:rFonts w:ascii="Arial" w:cs="Arial" w:eastAsia="Arial" w:hAnsi="Arial"/>
          <w:b w:val="1"/>
          <w:rtl w:val="0"/>
        </w:rPr>
        <w:t xml:space="preserve">Diversify Portfolio in Emerging Markets</w:t>
      </w:r>
      <w:r w:rsidDel="00000000" w:rsidR="00000000" w:rsidRPr="00000000">
        <w:rPr>
          <w:rFonts w:ascii="Arial" w:cs="Arial" w:eastAsia="Arial" w:hAnsi="Arial"/>
          <w:rtl w:val="0"/>
        </w:rPr>
        <w:t xml:space="preserve">: IHG should also offer low-cost options as well as premium ones in the younger, more vibrant areas where this growth potential is overlapping with a surge in further economic activity. This would mean that larger quantities of people could be reached including such price-sensitive travellers who do not typically stay in top-end hotels usually associated with business travel.</w:t>
      </w:r>
    </w:p>
    <w:p w:rsidR="00000000" w:rsidDel="00000000" w:rsidP="00000000" w:rsidRDefault="00000000" w:rsidRPr="00000000" w14:paraId="00000073">
      <w:pPr>
        <w:spacing w:line="480" w:lineRule="auto"/>
        <w:jc w:val="both"/>
        <w:rPr>
          <w:rFonts w:ascii="Arial" w:cs="Arial" w:eastAsia="Arial" w:hAnsi="Arial"/>
        </w:rPr>
      </w:pPr>
      <w:r w:rsidDel="00000000" w:rsidR="00000000" w:rsidRPr="00000000">
        <w:rPr>
          <w:rFonts w:ascii="Arial" w:cs="Arial" w:eastAsia="Arial" w:hAnsi="Arial"/>
          <w:b w:val="1"/>
          <w:rtl w:val="0"/>
        </w:rPr>
        <w:t xml:space="preserve">Strengthen Employee Training Programs</w:t>
      </w:r>
      <w:r w:rsidDel="00000000" w:rsidR="00000000" w:rsidRPr="00000000">
        <w:rPr>
          <w:rFonts w:ascii="Arial" w:cs="Arial" w:eastAsia="Arial" w:hAnsi="Arial"/>
          <w:rtl w:val="0"/>
        </w:rPr>
        <w:t xml:space="preserve">: IHG needs to strengthen its staff training schemes to more successfully incorporate new technology and processes. This should be an ongoing learning process which is commensurate with the company's strategy &amp; market developments.</w:t>
      </w:r>
    </w:p>
    <w:p w:rsidR="00000000" w:rsidDel="00000000" w:rsidP="00000000" w:rsidRDefault="00000000" w:rsidRPr="00000000" w14:paraId="00000074">
      <w:pPr>
        <w:spacing w:line="480" w:lineRule="auto"/>
        <w:jc w:val="both"/>
        <w:rPr>
          <w:rFonts w:ascii="Arial" w:cs="Arial" w:eastAsia="Arial" w:hAnsi="Arial"/>
        </w:rPr>
      </w:pPr>
      <w:r w:rsidDel="00000000" w:rsidR="00000000" w:rsidRPr="00000000">
        <w:rPr>
          <w:rFonts w:ascii="Arial" w:cs="Arial" w:eastAsia="Arial" w:hAnsi="Arial"/>
          <w:rtl w:val="0"/>
        </w:rPr>
        <w:t xml:space="preserve">By dealing with these problems, IHG can increase efficiency, prepare itself better for tomorrow's challenges and so guarantee long-term development &amp; sales in the worldwide hotel industry.</w:t>
      </w:r>
    </w:p>
    <w:p w:rsidR="00000000" w:rsidDel="00000000" w:rsidP="00000000" w:rsidRDefault="00000000" w:rsidRPr="00000000" w14:paraId="00000075">
      <w:pPr>
        <w:spacing w:line="480" w:lineRule="auto"/>
        <w:jc w:val="both"/>
        <w:rPr>
          <w:rFonts w:ascii="Arial" w:cs="Arial" w:eastAsia="Arial" w:hAnsi="Arial"/>
          <w:b w:val="1"/>
        </w:rPr>
      </w:pPr>
      <w:r w:rsidDel="00000000" w:rsidR="00000000" w:rsidRPr="00000000">
        <w:rPr>
          <w:rFonts w:ascii="Arial" w:cs="Arial" w:eastAsia="Arial" w:hAnsi="Arial"/>
          <w:b w:val="1"/>
          <w:rtl w:val="0"/>
        </w:rPr>
        <w:t xml:space="preserve">9. Conclusion </w:t>
      </w:r>
    </w:p>
    <w:p w:rsidR="00000000" w:rsidDel="00000000" w:rsidP="00000000" w:rsidRDefault="00000000" w:rsidRPr="00000000" w14:paraId="00000076">
      <w:pPr>
        <w:spacing w:line="480" w:lineRule="auto"/>
        <w:jc w:val="both"/>
        <w:rPr>
          <w:rFonts w:ascii="Arial" w:cs="Arial" w:eastAsia="Arial" w:hAnsi="Arial"/>
        </w:rPr>
      </w:pPr>
      <w:r w:rsidDel="00000000" w:rsidR="00000000" w:rsidRPr="00000000">
        <w:rPr>
          <w:rFonts w:ascii="Arial" w:cs="Arial" w:eastAsia="Arial" w:hAnsi="Arial"/>
          <w:rtl w:val="0"/>
        </w:rPr>
        <w:t xml:space="preserve">This report has extensively studied how InterContinental Hotels Group (I H G) is operating strategically in a dynamic UK market. Through digital innovation, a commitment to sustainability and worldwide market development IHG is now very up-and-coming against its competitors. At the same time, to take this factor of strength and turn it into an even stronger one, IHG is recommended to keep on with its digitalized information capabilities, continue expanding environmentally friendly practices, penetrate recently opened market niches even further, train employees on a complete basis. By sticking to these strategies, IHG can ensure that it remains at the forefront of hotel operations, smoothly navigating future challenges and reaping the benefits from its opportunities.</w:t>
      </w:r>
    </w:p>
    <w:p w:rsidR="00000000" w:rsidDel="00000000" w:rsidP="00000000" w:rsidRDefault="00000000" w:rsidRPr="00000000" w14:paraId="00000077">
      <w:pPr>
        <w:spacing w:line="48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8">
      <w:pPr>
        <w:spacing w:line="480" w:lineRule="auto"/>
        <w:jc w:val="both"/>
        <w:rPr>
          <w:rFonts w:ascii="Arial" w:cs="Arial" w:eastAsia="Arial" w:hAnsi="Arial"/>
        </w:rPr>
      </w:pPr>
      <w:r w:rsidDel="00000000" w:rsidR="00000000" w:rsidRPr="00000000">
        <w:rPr>
          <w:rFonts w:ascii="Arial" w:cs="Arial" w:eastAsia="Arial" w:hAnsi="Arial"/>
          <w:b w:val="1"/>
          <w:rtl w:val="0"/>
        </w:rPr>
        <w:t xml:space="preserve">References:</w:t>
      </w:r>
      <w:r w:rsidDel="00000000" w:rsidR="00000000" w:rsidRPr="00000000">
        <w:rPr>
          <w:rtl w:val="0"/>
        </w:rPr>
      </w:r>
    </w:p>
    <w:p w:rsidR="00000000" w:rsidDel="00000000" w:rsidP="00000000" w:rsidRDefault="00000000" w:rsidRPr="00000000" w14:paraId="00000079">
      <w:pPr>
        <w:numPr>
          <w:ilvl w:val="0"/>
          <w:numId w:val="2"/>
        </w:numPr>
        <w:spacing w:line="480" w:lineRule="auto"/>
        <w:ind w:left="720" w:hanging="360"/>
        <w:rPr>
          <w:rFonts w:ascii="Arial" w:cs="Arial" w:eastAsia="Arial" w:hAnsi="Arial"/>
        </w:rPr>
      </w:pPr>
      <w:r w:rsidDel="00000000" w:rsidR="00000000" w:rsidRPr="00000000">
        <w:rPr>
          <w:rFonts w:ascii="Arial" w:cs="Arial" w:eastAsia="Arial" w:hAnsi="Arial"/>
          <w:rtl w:val="0"/>
        </w:rPr>
        <w:t xml:space="preserve">Benson, K. (2023). "Digital Transformation in the Hotel Industry: A Case Study of IHG," </w:t>
      </w:r>
      <w:r w:rsidDel="00000000" w:rsidR="00000000" w:rsidRPr="00000000">
        <w:rPr>
          <w:rFonts w:ascii="Arial" w:cs="Arial" w:eastAsia="Arial" w:hAnsi="Arial"/>
          <w:i w:val="1"/>
          <w:rtl w:val="0"/>
        </w:rPr>
        <w:t xml:space="preserve">Hotel Technology International</w:t>
      </w:r>
      <w:r w:rsidDel="00000000" w:rsidR="00000000" w:rsidRPr="00000000">
        <w:rPr>
          <w:rFonts w:ascii="Arial" w:cs="Arial" w:eastAsia="Arial" w:hAnsi="Arial"/>
          <w:rtl w:val="0"/>
        </w:rPr>
        <w:t xml:space="preserve">, 17(1), pp. 55-69.</w:t>
      </w:r>
    </w:p>
    <w:p w:rsidR="00000000" w:rsidDel="00000000" w:rsidP="00000000" w:rsidRDefault="00000000" w:rsidRPr="00000000" w14:paraId="0000007A">
      <w:pPr>
        <w:numPr>
          <w:ilvl w:val="0"/>
          <w:numId w:val="2"/>
        </w:numPr>
        <w:spacing w:line="480" w:lineRule="auto"/>
        <w:ind w:left="720" w:hanging="360"/>
        <w:rPr>
          <w:rFonts w:ascii="Arial" w:cs="Arial" w:eastAsia="Arial" w:hAnsi="Arial"/>
        </w:rPr>
      </w:pPr>
      <w:r w:rsidDel="00000000" w:rsidR="00000000" w:rsidRPr="00000000">
        <w:rPr>
          <w:rFonts w:ascii="Arial" w:cs="Arial" w:eastAsia="Arial" w:hAnsi="Arial"/>
          <w:rtl w:val="0"/>
        </w:rPr>
        <w:t xml:space="preserve">Chandler, S. (2024). "Evaluating Hotel Performance Post-Pandemic," </w:t>
      </w:r>
      <w:r w:rsidDel="00000000" w:rsidR="00000000" w:rsidRPr="00000000">
        <w:rPr>
          <w:rFonts w:ascii="Arial" w:cs="Arial" w:eastAsia="Arial" w:hAnsi="Arial"/>
          <w:i w:val="1"/>
          <w:rtl w:val="0"/>
        </w:rPr>
        <w:t xml:space="preserve">Global Hotel Review</w:t>
      </w:r>
      <w:r w:rsidDel="00000000" w:rsidR="00000000" w:rsidRPr="00000000">
        <w:rPr>
          <w:rFonts w:ascii="Arial" w:cs="Arial" w:eastAsia="Arial" w:hAnsi="Arial"/>
          <w:rtl w:val="0"/>
        </w:rPr>
        <w:t xml:space="preserve">, 20(3), pp. 304-322.</w:t>
      </w:r>
    </w:p>
    <w:p w:rsidR="00000000" w:rsidDel="00000000" w:rsidP="00000000" w:rsidRDefault="00000000" w:rsidRPr="00000000" w14:paraId="0000007B">
      <w:pPr>
        <w:numPr>
          <w:ilvl w:val="0"/>
          <w:numId w:val="2"/>
        </w:numPr>
        <w:spacing w:line="480" w:lineRule="auto"/>
        <w:ind w:left="720" w:hanging="360"/>
        <w:rPr>
          <w:rFonts w:ascii="Arial" w:cs="Arial" w:eastAsia="Arial" w:hAnsi="Arial"/>
        </w:rPr>
      </w:pPr>
      <w:r w:rsidDel="00000000" w:rsidR="00000000" w:rsidRPr="00000000">
        <w:rPr>
          <w:rFonts w:ascii="Arial" w:cs="Arial" w:eastAsia="Arial" w:hAnsi="Arial"/>
          <w:rtl w:val="0"/>
        </w:rPr>
        <w:t xml:space="preserve">Collins, J.C. (2009) "Strategic Alignment: Matching Capabilities with the Environment," </w:t>
      </w:r>
      <w:r w:rsidDel="00000000" w:rsidR="00000000" w:rsidRPr="00000000">
        <w:rPr>
          <w:rFonts w:ascii="Arial" w:cs="Arial" w:eastAsia="Arial" w:hAnsi="Arial"/>
          <w:i w:val="1"/>
          <w:rtl w:val="0"/>
        </w:rPr>
        <w:t xml:space="preserve">Harvard Business Review</w:t>
      </w:r>
      <w:r w:rsidDel="00000000" w:rsidR="00000000" w:rsidRPr="00000000">
        <w:rPr>
          <w:rFonts w:ascii="Arial" w:cs="Arial" w:eastAsia="Arial" w:hAnsi="Arial"/>
          <w:rtl w:val="0"/>
        </w:rPr>
        <w:t xml:space="preserve">. Available at: </w:t>
      </w:r>
      <w:hyperlink r:id="rId8">
        <w:r w:rsidDel="00000000" w:rsidR="00000000" w:rsidRPr="00000000">
          <w:rPr>
            <w:rFonts w:ascii="Arial" w:cs="Arial" w:eastAsia="Arial" w:hAnsi="Arial"/>
            <w:color w:val="467886"/>
            <w:u w:val="single"/>
            <w:rtl w:val="0"/>
          </w:rPr>
          <w:t xml:space="preserve">https://store.hbr.org/product/how-to-think-more-strategically-hbr-special-issue/SPSP23</w:t>
        </w:r>
      </w:hyperlink>
      <w:r w:rsidDel="00000000" w:rsidR="00000000" w:rsidRPr="00000000">
        <w:rPr>
          <w:rFonts w:ascii="Arial" w:cs="Arial" w:eastAsia="Arial" w:hAnsi="Arial"/>
          <w:rtl w:val="0"/>
        </w:rPr>
        <w:t xml:space="preserve"> (Accessed 3 May 2024).</w:t>
      </w:r>
    </w:p>
    <w:p w:rsidR="00000000" w:rsidDel="00000000" w:rsidP="00000000" w:rsidRDefault="00000000" w:rsidRPr="00000000" w14:paraId="0000007C">
      <w:pPr>
        <w:numPr>
          <w:ilvl w:val="0"/>
          <w:numId w:val="2"/>
        </w:numPr>
        <w:spacing w:line="480" w:lineRule="auto"/>
        <w:ind w:left="720" w:hanging="360"/>
        <w:rPr>
          <w:rFonts w:ascii="Arial" w:cs="Arial" w:eastAsia="Arial" w:hAnsi="Arial"/>
        </w:rPr>
      </w:pPr>
      <w:r w:rsidDel="00000000" w:rsidR="00000000" w:rsidRPr="00000000">
        <w:rPr>
          <w:rFonts w:ascii="Arial" w:cs="Arial" w:eastAsia="Arial" w:hAnsi="Arial"/>
          <w:rtl w:val="0"/>
        </w:rPr>
        <w:t xml:space="preserve">Goodman, J. (2024). </w:t>
      </w:r>
      <w:r w:rsidDel="00000000" w:rsidR="00000000" w:rsidRPr="00000000">
        <w:rPr>
          <w:rFonts w:ascii="Arial" w:cs="Arial" w:eastAsia="Arial" w:hAnsi="Arial"/>
          <w:i w:val="1"/>
          <w:rtl w:val="0"/>
        </w:rPr>
        <w:t xml:space="preserve">Strategic Innovations in Global Hospitality Management</w:t>
      </w:r>
      <w:r w:rsidDel="00000000" w:rsidR="00000000" w:rsidRPr="00000000">
        <w:rPr>
          <w:rFonts w:ascii="Arial" w:cs="Arial" w:eastAsia="Arial" w:hAnsi="Arial"/>
          <w:rtl w:val="0"/>
        </w:rPr>
        <w:t xml:space="preserve">. London: Academic Press.</w:t>
      </w:r>
    </w:p>
    <w:p w:rsidR="00000000" w:rsidDel="00000000" w:rsidP="00000000" w:rsidRDefault="00000000" w:rsidRPr="00000000" w14:paraId="0000007D">
      <w:pPr>
        <w:numPr>
          <w:ilvl w:val="0"/>
          <w:numId w:val="2"/>
        </w:numPr>
        <w:spacing w:line="480" w:lineRule="auto"/>
        <w:ind w:left="720" w:hanging="360"/>
        <w:rPr>
          <w:rFonts w:ascii="Arial" w:cs="Arial" w:eastAsia="Arial" w:hAnsi="Arial"/>
        </w:rPr>
      </w:pPr>
      <w:r w:rsidDel="00000000" w:rsidR="00000000" w:rsidRPr="00000000">
        <w:rPr>
          <w:rFonts w:ascii="Arial" w:cs="Arial" w:eastAsia="Arial" w:hAnsi="Arial"/>
          <w:rtl w:val="0"/>
        </w:rPr>
        <w:t xml:space="preserve">Gottschalk, V. (2003) "The Role of Culture in the Hospitality Industry," </w:t>
      </w:r>
      <w:r w:rsidDel="00000000" w:rsidR="00000000" w:rsidRPr="00000000">
        <w:rPr>
          <w:rFonts w:ascii="Arial" w:cs="Arial" w:eastAsia="Arial" w:hAnsi="Arial"/>
          <w:i w:val="1"/>
          <w:rtl w:val="0"/>
        </w:rPr>
        <w:t xml:space="preserve">International Journal of Hospitality Management</w:t>
      </w:r>
      <w:r w:rsidDel="00000000" w:rsidR="00000000" w:rsidRPr="00000000">
        <w:rPr>
          <w:rFonts w:ascii="Arial" w:cs="Arial" w:eastAsia="Arial" w:hAnsi="Arial"/>
          <w:rtl w:val="0"/>
        </w:rPr>
        <w:t xml:space="preserve">, 2, pp. 159-170. Available at: </w:t>
      </w:r>
      <w:hyperlink r:id="rId9">
        <w:r w:rsidDel="00000000" w:rsidR="00000000" w:rsidRPr="00000000">
          <w:rPr>
            <w:rFonts w:ascii="Arial" w:cs="Arial" w:eastAsia="Arial" w:hAnsi="Arial"/>
            <w:color w:val="467886"/>
            <w:u w:val="single"/>
            <w:rtl w:val="0"/>
          </w:rPr>
          <w:t xml:space="preserve">https://www.sciencedirect.com/science/article/pii/S0278431910001246</w:t>
        </w:r>
      </w:hyperlink>
      <w:r w:rsidDel="00000000" w:rsidR="00000000" w:rsidRPr="00000000">
        <w:rPr>
          <w:rFonts w:ascii="Arial" w:cs="Arial" w:eastAsia="Arial" w:hAnsi="Arial"/>
          <w:rtl w:val="0"/>
        </w:rPr>
        <w:t xml:space="preserve"> (Accessed 3 May 2024).</w:t>
      </w:r>
    </w:p>
    <w:p w:rsidR="00000000" w:rsidDel="00000000" w:rsidP="00000000" w:rsidRDefault="00000000" w:rsidRPr="00000000" w14:paraId="0000007E">
      <w:pPr>
        <w:numPr>
          <w:ilvl w:val="0"/>
          <w:numId w:val="2"/>
        </w:numPr>
        <w:spacing w:line="480" w:lineRule="auto"/>
        <w:ind w:left="720" w:hanging="360"/>
        <w:rPr>
          <w:rFonts w:ascii="Arial" w:cs="Arial" w:eastAsia="Arial" w:hAnsi="Arial"/>
        </w:rPr>
      </w:pPr>
      <w:r w:rsidDel="00000000" w:rsidR="00000000" w:rsidRPr="00000000">
        <w:rPr>
          <w:rFonts w:ascii="Arial" w:cs="Arial" w:eastAsia="Arial" w:hAnsi="Arial"/>
          <w:rtl w:val="0"/>
        </w:rPr>
        <w:t xml:space="preserve">Hospitality Industry Trends (2024) "2024 Update," EHL Insights. Available at: </w:t>
      </w:r>
      <w:hyperlink r:id="rId10">
        <w:r w:rsidDel="00000000" w:rsidR="00000000" w:rsidRPr="00000000">
          <w:rPr>
            <w:rFonts w:ascii="Arial" w:cs="Arial" w:eastAsia="Arial" w:hAnsi="Arial"/>
            <w:color w:val="467886"/>
            <w:u w:val="single"/>
            <w:rtl w:val="0"/>
          </w:rPr>
          <w:t xml:space="preserve">https://hospitalityinsights.ehl.edu/hospitality-industry-trends</w:t>
        </w:r>
      </w:hyperlink>
      <w:r w:rsidDel="00000000" w:rsidR="00000000" w:rsidRPr="00000000">
        <w:rPr>
          <w:rFonts w:ascii="Arial" w:cs="Arial" w:eastAsia="Arial" w:hAnsi="Arial"/>
          <w:rtl w:val="0"/>
        </w:rPr>
        <w:t xml:space="preserve">  (Accessed 2 May 2024).</w:t>
      </w:r>
    </w:p>
    <w:p w:rsidR="00000000" w:rsidDel="00000000" w:rsidP="00000000" w:rsidRDefault="00000000" w:rsidRPr="00000000" w14:paraId="0000007F">
      <w:pPr>
        <w:numPr>
          <w:ilvl w:val="0"/>
          <w:numId w:val="2"/>
        </w:numPr>
        <w:spacing w:line="480" w:lineRule="auto"/>
        <w:ind w:left="720" w:hanging="360"/>
        <w:rPr>
          <w:rFonts w:ascii="Arial" w:cs="Arial" w:eastAsia="Arial" w:hAnsi="Arial"/>
        </w:rPr>
      </w:pPr>
      <w:r w:rsidDel="00000000" w:rsidR="00000000" w:rsidRPr="00000000">
        <w:rPr>
          <w:rFonts w:ascii="Arial" w:cs="Arial" w:eastAsia="Arial" w:hAnsi="Arial"/>
          <w:rtl w:val="0"/>
        </w:rPr>
        <w:t xml:space="preserve">InterContinental Hotels Group PLC (2024). </w:t>
      </w:r>
      <w:r w:rsidDel="00000000" w:rsidR="00000000" w:rsidRPr="00000000">
        <w:rPr>
          <w:rFonts w:ascii="Arial" w:cs="Arial" w:eastAsia="Arial" w:hAnsi="Arial"/>
          <w:i w:val="1"/>
          <w:rtl w:val="0"/>
        </w:rPr>
        <w:t xml:space="preserve">IHG Annual Report 2023</w:t>
      </w:r>
      <w:r w:rsidDel="00000000" w:rsidR="00000000" w:rsidRPr="00000000">
        <w:rPr>
          <w:rFonts w:ascii="Arial" w:cs="Arial" w:eastAsia="Arial" w:hAnsi="Arial"/>
          <w:rtl w:val="0"/>
        </w:rPr>
        <w:t xml:space="preserve">. Available at: </w:t>
      </w:r>
      <w:hyperlink r:id="rId11">
        <w:r w:rsidDel="00000000" w:rsidR="00000000" w:rsidRPr="00000000">
          <w:rPr>
            <w:rFonts w:ascii="Arial" w:cs="Arial" w:eastAsia="Arial" w:hAnsi="Arial"/>
            <w:color w:val="467886"/>
            <w:u w:val="single"/>
            <w:rtl w:val="0"/>
          </w:rPr>
          <w:t xml:space="preserve">https://www.ihgplc.com/en/responsible-business/reporting</w:t>
        </w:r>
      </w:hyperlink>
      <w:r w:rsidDel="00000000" w:rsidR="00000000" w:rsidRPr="00000000">
        <w:rPr>
          <w:rFonts w:ascii="Arial" w:cs="Arial" w:eastAsia="Arial" w:hAnsi="Arial"/>
          <w:rtl w:val="0"/>
        </w:rPr>
        <w:t xml:space="preserve">   (Accessed 2 May 2024).</w:t>
      </w:r>
    </w:p>
    <w:p w:rsidR="00000000" w:rsidDel="00000000" w:rsidP="00000000" w:rsidRDefault="00000000" w:rsidRPr="00000000" w14:paraId="00000080">
      <w:pPr>
        <w:numPr>
          <w:ilvl w:val="0"/>
          <w:numId w:val="2"/>
        </w:numPr>
        <w:spacing w:line="480" w:lineRule="auto"/>
        <w:ind w:left="720" w:hanging="360"/>
        <w:rPr>
          <w:rFonts w:ascii="Arial" w:cs="Arial" w:eastAsia="Arial" w:hAnsi="Arial"/>
        </w:rPr>
      </w:pPr>
      <w:r w:rsidDel="00000000" w:rsidR="00000000" w:rsidRPr="00000000">
        <w:rPr>
          <w:rFonts w:ascii="Arial" w:cs="Arial" w:eastAsia="Arial" w:hAnsi="Arial"/>
          <w:rtl w:val="0"/>
        </w:rPr>
        <w:t xml:space="preserve">Lee, D. (2024). </w:t>
      </w:r>
      <w:r w:rsidDel="00000000" w:rsidR="00000000" w:rsidRPr="00000000">
        <w:rPr>
          <w:rFonts w:ascii="Arial" w:cs="Arial" w:eastAsia="Arial" w:hAnsi="Arial"/>
          <w:i w:val="1"/>
          <w:rtl w:val="0"/>
        </w:rPr>
        <w:t xml:space="preserve">The Influence of Organizational Structure on Company Performance in the Hospitality Industry</w:t>
      </w:r>
      <w:r w:rsidDel="00000000" w:rsidR="00000000" w:rsidRPr="00000000">
        <w:rPr>
          <w:rFonts w:ascii="Arial" w:cs="Arial" w:eastAsia="Arial" w:hAnsi="Arial"/>
          <w:rtl w:val="0"/>
        </w:rPr>
        <w:t xml:space="preserve">. New York: Springer.</w:t>
      </w:r>
    </w:p>
    <w:p w:rsidR="00000000" w:rsidDel="00000000" w:rsidP="00000000" w:rsidRDefault="00000000" w:rsidRPr="00000000" w14:paraId="00000081">
      <w:pPr>
        <w:numPr>
          <w:ilvl w:val="0"/>
          <w:numId w:val="2"/>
        </w:numPr>
        <w:spacing w:line="480" w:lineRule="auto"/>
        <w:ind w:left="720" w:hanging="360"/>
        <w:rPr>
          <w:rFonts w:ascii="Arial" w:cs="Arial" w:eastAsia="Arial" w:hAnsi="Arial"/>
        </w:rPr>
      </w:pPr>
      <w:r w:rsidDel="00000000" w:rsidR="00000000" w:rsidRPr="00000000">
        <w:rPr>
          <w:rFonts w:ascii="Arial" w:cs="Arial" w:eastAsia="Arial" w:hAnsi="Arial"/>
          <w:rtl w:val="0"/>
        </w:rPr>
        <w:t xml:space="preserve">Murray, A. (2024). "Corporate Culture in Multinational Hospitality Companies," </w:t>
      </w:r>
      <w:r w:rsidDel="00000000" w:rsidR="00000000" w:rsidRPr="00000000">
        <w:rPr>
          <w:rFonts w:ascii="Arial" w:cs="Arial" w:eastAsia="Arial" w:hAnsi="Arial"/>
          <w:i w:val="1"/>
          <w:rtl w:val="0"/>
        </w:rPr>
        <w:t xml:space="preserve">Journal of Hospitality &amp; Tourism Research</w:t>
      </w:r>
      <w:r w:rsidDel="00000000" w:rsidR="00000000" w:rsidRPr="00000000">
        <w:rPr>
          <w:rFonts w:ascii="Arial" w:cs="Arial" w:eastAsia="Arial" w:hAnsi="Arial"/>
          <w:rtl w:val="0"/>
        </w:rPr>
        <w:t xml:space="preserve">, 48(2), pp. 123-140.</w:t>
      </w:r>
    </w:p>
    <w:p w:rsidR="00000000" w:rsidDel="00000000" w:rsidP="00000000" w:rsidRDefault="00000000" w:rsidRPr="00000000" w14:paraId="00000082">
      <w:pPr>
        <w:numPr>
          <w:ilvl w:val="0"/>
          <w:numId w:val="2"/>
        </w:numPr>
        <w:spacing w:line="480" w:lineRule="auto"/>
        <w:ind w:left="720" w:hanging="360"/>
        <w:rPr>
          <w:rFonts w:ascii="Arial" w:cs="Arial" w:eastAsia="Arial" w:hAnsi="Arial"/>
        </w:rPr>
      </w:pPr>
      <w:r w:rsidDel="00000000" w:rsidR="00000000" w:rsidRPr="00000000">
        <w:rPr>
          <w:rFonts w:ascii="Arial" w:cs="Arial" w:eastAsia="Arial" w:hAnsi="Arial"/>
          <w:rtl w:val="0"/>
        </w:rPr>
        <w:t xml:space="preserve">Olsen, M.D. &amp; McGowan, A.M. (2000) "Strategic Management in the Hospitality Industry," </w:t>
      </w:r>
      <w:r w:rsidDel="00000000" w:rsidR="00000000" w:rsidRPr="00000000">
        <w:rPr>
          <w:rFonts w:ascii="Arial" w:cs="Arial" w:eastAsia="Arial" w:hAnsi="Arial"/>
          <w:i w:val="1"/>
          <w:rtl w:val="0"/>
        </w:rPr>
        <w:t xml:space="preserve">International Journal of Hospitality Management</w:t>
      </w:r>
      <w:r w:rsidDel="00000000" w:rsidR="00000000" w:rsidRPr="00000000">
        <w:rPr>
          <w:rFonts w:ascii="Arial" w:cs="Arial" w:eastAsia="Arial" w:hAnsi="Arial"/>
          <w:rtl w:val="0"/>
        </w:rPr>
        <w:t xml:space="preserve">, 19(1), pp. 19-31. Available at: </w:t>
      </w:r>
      <w:hyperlink r:id="rId12">
        <w:r w:rsidDel="00000000" w:rsidR="00000000" w:rsidRPr="00000000">
          <w:rPr>
            <w:rFonts w:ascii="Arial" w:cs="Arial" w:eastAsia="Arial" w:hAnsi="Arial"/>
            <w:color w:val="467886"/>
            <w:u w:val="single"/>
            <w:rtl w:val="0"/>
          </w:rPr>
          <w:t xml:space="preserve">https://www.sciencedirect.com/science/article/pii/S0278431998000127</w:t>
        </w:r>
      </w:hyperlink>
      <w:r w:rsidDel="00000000" w:rsidR="00000000" w:rsidRPr="00000000">
        <w:rPr>
          <w:rFonts w:ascii="Arial" w:cs="Arial" w:eastAsia="Arial" w:hAnsi="Arial"/>
          <w:rtl w:val="0"/>
        </w:rPr>
        <w:t xml:space="preserve"> (Accessed 3 May 2024).</w:t>
      </w:r>
    </w:p>
    <w:p w:rsidR="00000000" w:rsidDel="00000000" w:rsidP="00000000" w:rsidRDefault="00000000" w:rsidRPr="00000000" w14:paraId="00000083">
      <w:pPr>
        <w:numPr>
          <w:ilvl w:val="0"/>
          <w:numId w:val="2"/>
        </w:numPr>
        <w:spacing w:line="480" w:lineRule="auto"/>
        <w:ind w:left="720" w:hanging="360"/>
        <w:rPr>
          <w:rFonts w:ascii="Arial" w:cs="Arial" w:eastAsia="Arial" w:hAnsi="Arial"/>
        </w:rPr>
      </w:pPr>
      <w:r w:rsidDel="00000000" w:rsidR="00000000" w:rsidRPr="00000000">
        <w:rPr>
          <w:rFonts w:ascii="Arial" w:cs="Arial" w:eastAsia="Arial" w:hAnsi="Arial"/>
          <w:rtl w:val="0"/>
        </w:rPr>
        <w:t xml:space="preserve">O'Reilly III, C.A. &amp; Tushman, M.L. (1994) "The Ambidextrous Organization: Designing for Dual Core Capabilities for Innovation and Efficiency," </w:t>
      </w:r>
      <w:r w:rsidDel="00000000" w:rsidR="00000000" w:rsidRPr="00000000">
        <w:rPr>
          <w:rFonts w:ascii="Arial" w:cs="Arial" w:eastAsia="Arial" w:hAnsi="Arial"/>
          <w:i w:val="1"/>
          <w:rtl w:val="0"/>
        </w:rPr>
        <w:t xml:space="preserve">Harvard Business Review</w:t>
      </w:r>
      <w:r w:rsidDel="00000000" w:rsidR="00000000" w:rsidRPr="00000000">
        <w:rPr>
          <w:rFonts w:ascii="Arial" w:cs="Arial" w:eastAsia="Arial" w:hAnsi="Arial"/>
          <w:rtl w:val="0"/>
        </w:rPr>
        <w:t xml:space="preserve">. Available at: </w:t>
      </w:r>
      <w:hyperlink r:id="rId13">
        <w:r w:rsidDel="00000000" w:rsidR="00000000" w:rsidRPr="00000000">
          <w:rPr>
            <w:rFonts w:ascii="Arial" w:cs="Arial" w:eastAsia="Arial" w:hAnsi="Arial"/>
            <w:color w:val="467886"/>
            <w:u w:val="single"/>
            <w:rtl w:val="0"/>
          </w:rPr>
          <w:t xml:space="preserve">The Ambidextrous Organization (hbr.org)</w:t>
        </w:r>
      </w:hyperlink>
      <w:r w:rsidDel="00000000" w:rsidR="00000000" w:rsidRPr="00000000">
        <w:rPr>
          <w:rFonts w:ascii="Arial" w:cs="Arial" w:eastAsia="Arial" w:hAnsi="Arial"/>
          <w:rtl w:val="0"/>
        </w:rPr>
        <w:t xml:space="preserve"> (Accessed 3 May 2024).</w:t>
      </w:r>
    </w:p>
    <w:p w:rsidR="00000000" w:rsidDel="00000000" w:rsidP="00000000" w:rsidRDefault="00000000" w:rsidRPr="00000000" w14:paraId="00000084">
      <w:pPr>
        <w:numPr>
          <w:ilvl w:val="0"/>
          <w:numId w:val="2"/>
        </w:numPr>
        <w:spacing w:line="480" w:lineRule="auto"/>
        <w:ind w:left="720" w:hanging="360"/>
        <w:rPr>
          <w:rFonts w:ascii="Arial" w:cs="Arial" w:eastAsia="Arial" w:hAnsi="Arial"/>
        </w:rPr>
      </w:pPr>
      <w:r w:rsidDel="00000000" w:rsidR="00000000" w:rsidRPr="00000000">
        <w:rPr>
          <w:rFonts w:ascii="Arial" w:cs="Arial" w:eastAsia="Arial" w:hAnsi="Arial"/>
          <w:rtl w:val="0"/>
        </w:rPr>
        <w:t xml:space="preserve">Patel, R. and James, O. (2024). "Sustainability Initiatives and Their Impact on Hotel Operations," </w:t>
      </w:r>
      <w:r w:rsidDel="00000000" w:rsidR="00000000" w:rsidRPr="00000000">
        <w:rPr>
          <w:rFonts w:ascii="Arial" w:cs="Arial" w:eastAsia="Arial" w:hAnsi="Arial"/>
          <w:i w:val="1"/>
          <w:rtl w:val="0"/>
        </w:rPr>
        <w:t xml:space="preserve">Sustainable Hospitality Quarterly</w:t>
      </w:r>
      <w:r w:rsidDel="00000000" w:rsidR="00000000" w:rsidRPr="00000000">
        <w:rPr>
          <w:rFonts w:ascii="Arial" w:cs="Arial" w:eastAsia="Arial" w:hAnsi="Arial"/>
          <w:rtl w:val="0"/>
        </w:rPr>
        <w:t xml:space="preserve">, 12(1), pp. 21-37.</w:t>
      </w:r>
    </w:p>
    <w:p w:rsidR="00000000" w:rsidDel="00000000" w:rsidP="00000000" w:rsidRDefault="00000000" w:rsidRPr="00000000" w14:paraId="00000085">
      <w:pPr>
        <w:numPr>
          <w:ilvl w:val="0"/>
          <w:numId w:val="2"/>
        </w:numPr>
        <w:spacing w:line="480" w:lineRule="auto"/>
        <w:ind w:left="720" w:hanging="360"/>
        <w:rPr>
          <w:rFonts w:ascii="Arial" w:cs="Arial" w:eastAsia="Arial" w:hAnsi="Arial"/>
        </w:rPr>
      </w:pPr>
      <w:r w:rsidDel="00000000" w:rsidR="00000000" w:rsidRPr="00000000">
        <w:rPr>
          <w:rFonts w:ascii="Arial" w:cs="Arial" w:eastAsia="Arial" w:hAnsi="Arial"/>
          <w:rtl w:val="0"/>
        </w:rPr>
        <w:t xml:space="preserve">Pearce, J.M. (2008) "Achieving Sustainable Growth in the Hospitality Industry," </w:t>
      </w:r>
      <w:r w:rsidDel="00000000" w:rsidR="00000000" w:rsidRPr="00000000">
        <w:rPr>
          <w:rFonts w:ascii="Arial" w:cs="Arial" w:eastAsia="Arial" w:hAnsi="Arial"/>
          <w:i w:val="1"/>
          <w:rtl w:val="0"/>
        </w:rPr>
        <w:t xml:space="preserve">Journal of Hospitality &amp; Tourism Research</w:t>
      </w:r>
      <w:r w:rsidDel="00000000" w:rsidR="00000000" w:rsidRPr="00000000">
        <w:rPr>
          <w:rFonts w:ascii="Arial" w:cs="Arial" w:eastAsia="Arial" w:hAnsi="Arial"/>
          <w:rtl w:val="0"/>
        </w:rPr>
        <w:t xml:space="preserve">, 32(1), pp. 147-163. Available at: </w:t>
      </w:r>
      <w:hyperlink r:id="rId14">
        <w:r w:rsidDel="00000000" w:rsidR="00000000" w:rsidRPr="00000000">
          <w:rPr>
            <w:rFonts w:ascii="Arial" w:cs="Arial" w:eastAsia="Arial" w:hAnsi="Arial"/>
            <w:color w:val="467886"/>
            <w:u w:val="single"/>
            <w:rtl w:val="0"/>
          </w:rPr>
          <w:t xml:space="preserve">https://www.sciencedirect.com/science/article/pii/S2211973623000697</w:t>
        </w:r>
      </w:hyperlink>
      <w:r w:rsidDel="00000000" w:rsidR="00000000" w:rsidRPr="00000000">
        <w:rPr>
          <w:rFonts w:ascii="Arial" w:cs="Arial" w:eastAsia="Arial" w:hAnsi="Arial"/>
          <w:rtl w:val="0"/>
        </w:rPr>
        <w:t xml:space="preserve"> (Accessed 3 May 2024).</w:t>
      </w:r>
    </w:p>
    <w:p w:rsidR="00000000" w:rsidDel="00000000" w:rsidP="00000000" w:rsidRDefault="00000000" w:rsidRPr="00000000" w14:paraId="00000086">
      <w:pPr>
        <w:numPr>
          <w:ilvl w:val="0"/>
          <w:numId w:val="2"/>
        </w:numPr>
        <w:spacing w:line="480" w:lineRule="auto"/>
        <w:ind w:left="720" w:hanging="360"/>
        <w:rPr>
          <w:rFonts w:ascii="Arial" w:cs="Arial" w:eastAsia="Arial" w:hAnsi="Arial"/>
        </w:rPr>
      </w:pPr>
      <w:r w:rsidDel="00000000" w:rsidR="00000000" w:rsidRPr="00000000">
        <w:rPr>
          <w:rFonts w:ascii="Arial" w:cs="Arial" w:eastAsia="Arial" w:hAnsi="Arial"/>
          <w:rtl w:val="0"/>
        </w:rPr>
        <w:t xml:space="preserve">Sigala, M. (2003) "Benchmarking in Hospitality Management: A Review," </w:t>
      </w:r>
      <w:r w:rsidDel="00000000" w:rsidR="00000000" w:rsidRPr="00000000">
        <w:rPr>
          <w:rFonts w:ascii="Arial" w:cs="Arial" w:eastAsia="Arial" w:hAnsi="Arial"/>
          <w:i w:val="1"/>
          <w:rtl w:val="0"/>
        </w:rPr>
        <w:t xml:space="preserve">International Journal of Hospitality Management</w:t>
      </w:r>
      <w:r w:rsidDel="00000000" w:rsidR="00000000" w:rsidRPr="00000000">
        <w:rPr>
          <w:rFonts w:ascii="Arial" w:cs="Arial" w:eastAsia="Arial" w:hAnsi="Arial"/>
          <w:rtl w:val="0"/>
        </w:rPr>
        <w:t xml:space="preserve">, 22(1), pp. 71-83. Available at: </w:t>
      </w:r>
      <w:hyperlink r:id="rId15">
        <w:r w:rsidDel="00000000" w:rsidR="00000000" w:rsidRPr="00000000">
          <w:rPr>
            <w:rFonts w:ascii="Arial" w:cs="Arial" w:eastAsia="Arial" w:hAnsi="Arial"/>
            <w:color w:val="467886"/>
            <w:u w:val="single"/>
            <w:rtl w:val="0"/>
          </w:rPr>
          <w:t xml:space="preserve">https://www.sciencedirect.com/science/article/abs/pii/S0305048321000244</w:t>
        </w:r>
      </w:hyperlink>
      <w:r w:rsidDel="00000000" w:rsidR="00000000" w:rsidRPr="00000000">
        <w:rPr>
          <w:rFonts w:ascii="Arial" w:cs="Arial" w:eastAsia="Arial" w:hAnsi="Arial"/>
          <w:rtl w:val="0"/>
        </w:rPr>
        <w:t xml:space="preserve"> (Accessed 3 May 2024).</w:t>
      </w:r>
    </w:p>
    <w:p w:rsidR="00000000" w:rsidDel="00000000" w:rsidP="00000000" w:rsidRDefault="00000000" w:rsidRPr="00000000" w14:paraId="00000087">
      <w:pPr>
        <w:numPr>
          <w:ilvl w:val="0"/>
          <w:numId w:val="2"/>
        </w:numPr>
        <w:spacing w:line="480" w:lineRule="auto"/>
        <w:ind w:left="720" w:hanging="360"/>
        <w:rPr>
          <w:rFonts w:ascii="Arial" w:cs="Arial" w:eastAsia="Arial" w:hAnsi="Arial"/>
        </w:rPr>
      </w:pPr>
      <w:r w:rsidDel="00000000" w:rsidR="00000000" w:rsidRPr="00000000">
        <w:rPr>
          <w:rFonts w:ascii="Arial" w:cs="Arial" w:eastAsia="Arial" w:hAnsi="Arial"/>
          <w:rtl w:val="0"/>
        </w:rPr>
        <w:t xml:space="preserve">Timothy, D. &amp; Beaumont, N. (2018) "Innovation in the Hospitality Industry: A Review," </w:t>
      </w:r>
      <w:r w:rsidDel="00000000" w:rsidR="00000000" w:rsidRPr="00000000">
        <w:rPr>
          <w:rFonts w:ascii="Arial" w:cs="Arial" w:eastAsia="Arial" w:hAnsi="Arial"/>
          <w:i w:val="1"/>
          <w:rtl w:val="0"/>
        </w:rPr>
        <w:t xml:space="preserve">Journal of Hospitality &amp; Tourism Research</w:t>
      </w:r>
      <w:r w:rsidDel="00000000" w:rsidR="00000000" w:rsidRPr="00000000">
        <w:rPr>
          <w:rFonts w:ascii="Arial" w:cs="Arial" w:eastAsia="Arial" w:hAnsi="Arial"/>
          <w:rtl w:val="0"/>
        </w:rPr>
        <w:t xml:space="preserve">, 42(2), pp. 315-334. Available at: </w:t>
      </w:r>
      <w:hyperlink r:id="rId16">
        <w:r w:rsidDel="00000000" w:rsidR="00000000" w:rsidRPr="00000000">
          <w:rPr>
            <w:rFonts w:ascii="Arial" w:cs="Arial" w:eastAsia="Arial" w:hAnsi="Arial"/>
            <w:color w:val="467886"/>
            <w:u w:val="single"/>
            <w:rtl w:val="0"/>
          </w:rPr>
          <w:t xml:space="preserve">https://eric.ed.gov/?id=EJ1119824</w:t>
        </w:r>
      </w:hyperlink>
      <w:r w:rsidDel="00000000" w:rsidR="00000000" w:rsidRPr="00000000">
        <w:rPr>
          <w:rFonts w:ascii="Arial" w:cs="Arial" w:eastAsia="Arial" w:hAnsi="Arial"/>
          <w:rtl w:val="0"/>
        </w:rPr>
        <w:t xml:space="preserve"> (Accessed 3 May 2024).</w:t>
      </w:r>
    </w:p>
    <w:p w:rsidR="00000000" w:rsidDel="00000000" w:rsidP="00000000" w:rsidRDefault="00000000" w:rsidRPr="00000000" w14:paraId="00000088">
      <w:pPr>
        <w:spacing w:line="480" w:lineRule="auto"/>
        <w:jc w:val="both"/>
        <w:rPr>
          <w:rFonts w:ascii="Arial" w:cs="Arial" w:eastAsia="Arial" w:hAnsi="Arial"/>
        </w:rPr>
      </w:pPr>
      <w:r w:rsidDel="00000000" w:rsidR="00000000" w:rsidRPr="00000000">
        <w:rPr>
          <w:rtl w:val="0"/>
        </w:rPr>
      </w:r>
    </w:p>
    <w:sectPr>
      <w:footerReference r:id="rId17" w:type="default"/>
      <w:pgSz w:h="16838" w:w="11906" w:orient="portrait"/>
      <w:pgMar w:bottom="851" w:top="1135" w:left="1440" w:right="991"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Fonts w:ascii="Aptos" w:cs="Aptos" w:eastAsia="Aptos" w:hAnsi="Aptos"/>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4"/>
        <w:szCs w:val="24"/>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decimal"/>
      <w:lvlText w:val="%1."/>
      <w:lvlJc w:val="left"/>
      <w:pPr>
        <w:ind w:left="720" w:hanging="360"/>
      </w:pPr>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ptos" w:cs="Aptos" w:eastAsia="Aptos" w:hAnsi="Aptos"/>
        <w:sz w:val="24"/>
        <w:szCs w:val="24"/>
        <w:lang w:val="en-GB"/>
      </w:rPr>
    </w:rPrDefault>
    <w:pPrDefault>
      <w:pPr>
        <w:spacing w:after="160" w:line="27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paragraph" w:styleId="Heading1">
    <w:name w:val="heading 1"/>
    <w:basedOn w:val="Normal"/>
    <w:next w:val="Normal"/>
    <w:link w:val="Heading1Char"/>
    <w:uiPriority w:val="9"/>
    <w:qFormat w:val="1"/>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unhideWhenUsed w:val="1"/>
    <w:qFormat w:val="1"/>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unhideWhenUsed w:val="1"/>
    <w:qFormat w:val="1"/>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unhideWhenUsed w:val="1"/>
    <w:qFormat w:val="1"/>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unhideWhenUsed w:val="1"/>
    <w:qFormat w:val="1"/>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unhideWhenUsed w:val="1"/>
    <w:qFormat w:val="1"/>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unhideWhenUsed w:val="1"/>
    <w:qFormat w:val="1"/>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unhideWhenUsed w:val="1"/>
    <w:qFormat w:val="1"/>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unhideWhenUsed w:val="1"/>
    <w:qFormat w:val="1"/>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rPr>
      <w:rFonts w:cstheme="majorBidi" w:eastAsiaTheme="majorEastAsia"/>
      <w:color w:val="595959" w:themeColor="text1" w:themeTint="0000A6"/>
    </w:rPr>
  </w:style>
  <w:style w:type="character" w:styleId="Heading8Char" w:customStyle="1">
    <w:name w:val="Heading 8 Char"/>
    <w:basedOn w:val="DefaultParagraphFont"/>
    <w:link w:val="Heading8"/>
    <w:uiPriority w:val="9"/>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rPr>
      <w:rFonts w:cstheme="majorBidi" w:eastAsiaTheme="majorEastAsia"/>
      <w:color w:val="272727" w:themeColor="text1" w:themeTint="0000D8"/>
    </w:rPr>
  </w:style>
  <w:style w:type="character" w:styleId="TitleChar" w:customStyle="1">
    <w:name w:val="Title Char"/>
    <w:basedOn w:val="DefaultParagraphFont"/>
    <w:link w:val="Title"/>
    <w:uiPriority w:val="10"/>
    <w:rPr>
      <w:rFonts w:asciiTheme="majorHAnsi" w:cstheme="majorBidi" w:eastAsiaTheme="majorEastAsia" w:hAnsiTheme="majorHAnsi"/>
      <w:spacing w:val="-10"/>
      <w:kern w:val="28"/>
      <w:sz w:val="56"/>
      <w:szCs w:val="56"/>
    </w:rPr>
  </w:style>
  <w:style w:type="paragraph" w:styleId="Title">
    <w:name w:val="Title"/>
    <w:basedOn w:val="Normal"/>
    <w:next w:val="Normal"/>
    <w:link w:val="TitleChar"/>
    <w:uiPriority w:val="10"/>
    <w:qFormat w:val="1"/>
    <w:pPr>
      <w:spacing w:after="80" w:line="240" w:lineRule="auto"/>
      <w:contextualSpacing w:val="1"/>
    </w:pPr>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Pr>
      <w:rFonts w:cstheme="majorBidi" w:eastAsiaTheme="majorEastAsia"/>
      <w:color w:val="595959" w:themeColor="text1" w:themeTint="0000A6"/>
      <w:spacing w:val="15"/>
      <w:sz w:val="28"/>
      <w:szCs w:val="28"/>
    </w:rPr>
  </w:style>
  <w:style w:type="paragraph" w:styleId="Subtitle">
    <w:name w:val="Subtitle"/>
    <w:basedOn w:val="Normal"/>
    <w:next w:val="Normal"/>
    <w:link w:val="SubtitleChar"/>
    <w:uiPriority w:val="11"/>
    <w:qFormat w:val="1"/>
    <w:pPr>
      <w:numPr>
        <w:ilvl w:val="1"/>
      </w:numPr>
    </w:pPr>
    <w:rPr>
      <w:rFonts w:cstheme="majorBidi" w:eastAsiaTheme="majorEastAsia"/>
      <w:color w:val="595959" w:themeColor="text1" w:themeTint="0000A6"/>
      <w:spacing w:val="15"/>
      <w:sz w:val="28"/>
      <w:szCs w:val="28"/>
    </w:rPr>
  </w:style>
  <w:style w:type="character" w:styleId="IntenseEmphasis">
    <w:name w:val="Intense Emphasis"/>
    <w:basedOn w:val="DefaultParagraphFont"/>
    <w:uiPriority w:val="21"/>
    <w:qFormat w:val="1"/>
    <w:rPr>
      <w:i w:val="1"/>
      <w:iCs w:val="1"/>
      <w:color w:val="0f4761" w:themeColor="accent1" w:themeShade="0000BF"/>
    </w:rPr>
  </w:style>
  <w:style w:type="character" w:styleId="QuoteChar" w:customStyle="1">
    <w:name w:val="Quote Char"/>
    <w:basedOn w:val="DefaultParagraphFont"/>
    <w:link w:val="Quote"/>
    <w:uiPriority w:val="29"/>
    <w:rPr>
      <w:i w:val="1"/>
      <w:iCs w:val="1"/>
      <w:color w:val="404040" w:themeColor="text1" w:themeTint="0000BF"/>
    </w:rPr>
  </w:style>
  <w:style w:type="paragraph" w:styleId="Quote">
    <w:name w:val="Quote"/>
    <w:basedOn w:val="Normal"/>
    <w:next w:val="Normal"/>
    <w:link w:val="QuoteChar"/>
    <w:uiPriority w:val="29"/>
    <w:qFormat w:val="1"/>
    <w:pPr>
      <w:spacing w:before="160"/>
      <w:jc w:val="center"/>
    </w:pPr>
    <w:rPr>
      <w:i w:val="1"/>
      <w:iCs w:val="1"/>
      <w:color w:val="404040" w:themeColor="text1" w:themeTint="0000BF"/>
    </w:rPr>
  </w:style>
  <w:style w:type="character" w:styleId="IntenseQuoteChar" w:customStyle="1">
    <w:name w:val="Intense Quote Char"/>
    <w:basedOn w:val="DefaultParagraphFont"/>
    <w:link w:val="IntenseQuote"/>
    <w:uiPriority w:val="30"/>
    <w:rPr>
      <w:i w:val="1"/>
      <w:iCs w:val="1"/>
      <w:color w:val="0f4761" w:themeColor="accent1" w:themeShade="0000BF"/>
    </w:rPr>
  </w:style>
  <w:style w:type="paragraph" w:styleId="IntenseQuote">
    <w:name w:val="Intense Quote"/>
    <w:basedOn w:val="Normal"/>
    <w:next w:val="Normal"/>
    <w:link w:val="IntenseQuoteChar"/>
    <w:uiPriority w:val="30"/>
    <w:qFormat w:val="1"/>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Reference">
    <w:name w:val="Intense Reference"/>
    <w:basedOn w:val="DefaultParagraphFont"/>
    <w:uiPriority w:val="32"/>
    <w:qFormat w:val="1"/>
    <w:rPr>
      <w:b w:val="1"/>
      <w:bCs w:val="1"/>
      <w:smallCaps w:val="1"/>
      <w:color w:val="0f4761" w:themeColor="accent1" w:themeShade="0000BF"/>
      <w:spacing w:val="5"/>
    </w:rPr>
  </w:style>
  <w:style w:type="character" w:styleId="Hyperlink">
    <w:name w:val="Hyperlink"/>
    <w:basedOn w:val="DefaultParagraphFont"/>
    <w:uiPriority w:val="99"/>
    <w:unhideWhenUsed w:val="1"/>
    <w:rsid w:val="008964F8"/>
    <w:rPr>
      <w:color w:val="467886" w:themeColor="hyperlink"/>
      <w:u w:val="single"/>
    </w:rPr>
  </w:style>
  <w:style w:type="character" w:styleId="UnresolvedMention">
    <w:name w:val="Unresolved Mention"/>
    <w:basedOn w:val="DefaultParagraphFont"/>
    <w:uiPriority w:val="99"/>
    <w:semiHidden w:val="1"/>
    <w:unhideWhenUsed w:val="1"/>
    <w:rsid w:val="008964F8"/>
    <w:rPr>
      <w:color w:val="605e5c"/>
      <w:shd w:color="auto" w:fill="e1dfdd" w:val="clear"/>
    </w:rPr>
  </w:style>
  <w:style w:type="character" w:styleId="FollowedHyperlink">
    <w:name w:val="FollowedHyperlink"/>
    <w:basedOn w:val="DefaultParagraphFont"/>
    <w:uiPriority w:val="99"/>
    <w:semiHidden w:val="1"/>
    <w:unhideWhenUsed w:val="1"/>
    <w:rsid w:val="008964F8"/>
    <w:rPr>
      <w:color w:val="96607d" w:themeColor="followedHyperlink"/>
      <w:u w:val="single"/>
    </w:rPr>
  </w:style>
  <w:style w:type="paragraph" w:styleId="ListParagraph">
    <w:name w:val="List Paragraph"/>
    <w:basedOn w:val="Normal"/>
    <w:uiPriority w:val="34"/>
    <w:qFormat w:val="1"/>
    <w:rsid w:val="001E6717"/>
    <w:pPr>
      <w:ind w:left="720"/>
      <w:contextualSpacing w:val="1"/>
    </w:pPr>
  </w:style>
  <w:style w:type="paragraph" w:styleId="Header">
    <w:name w:val="header"/>
    <w:basedOn w:val="Normal"/>
    <w:link w:val="HeaderChar"/>
    <w:uiPriority w:val="99"/>
    <w:unhideWhenUsed w:val="1"/>
    <w:rsid w:val="009F6486"/>
    <w:pPr>
      <w:tabs>
        <w:tab w:val="center" w:pos="4513"/>
        <w:tab w:val="right" w:pos="9026"/>
      </w:tabs>
      <w:spacing w:after="0" w:line="240" w:lineRule="auto"/>
    </w:pPr>
  </w:style>
  <w:style w:type="character" w:styleId="HeaderChar" w:customStyle="1">
    <w:name w:val="Header Char"/>
    <w:basedOn w:val="DefaultParagraphFont"/>
    <w:link w:val="Header"/>
    <w:uiPriority w:val="99"/>
    <w:rsid w:val="009F6486"/>
  </w:style>
  <w:style w:type="paragraph" w:styleId="Footer">
    <w:name w:val="footer"/>
    <w:basedOn w:val="Normal"/>
    <w:link w:val="FooterChar"/>
    <w:uiPriority w:val="99"/>
    <w:unhideWhenUsed w:val="1"/>
    <w:rsid w:val="009F6486"/>
    <w:pPr>
      <w:tabs>
        <w:tab w:val="center" w:pos="4513"/>
        <w:tab w:val="right" w:pos="9026"/>
      </w:tabs>
      <w:spacing w:after="0" w:line="240" w:lineRule="auto"/>
    </w:pPr>
  </w:style>
  <w:style w:type="character" w:styleId="FooterChar" w:customStyle="1">
    <w:name w:val="Footer Char"/>
    <w:basedOn w:val="DefaultParagraphFont"/>
    <w:link w:val="Footer"/>
    <w:uiPriority w:val="99"/>
    <w:rsid w:val="009F6486"/>
  </w:style>
  <w:style w:type="paragraph" w:styleId="NoSpacing">
    <w:name w:val="No Spacing"/>
    <w:link w:val="NoSpacingChar"/>
    <w:uiPriority w:val="1"/>
    <w:qFormat w:val="1"/>
    <w:rsid w:val="009F6486"/>
    <w:pPr>
      <w:spacing w:after="0" w:line="240" w:lineRule="auto"/>
    </w:pPr>
    <w:rPr>
      <w:sz w:val="22"/>
      <w:szCs w:val="22"/>
      <w:lang w:eastAsia="en-GB"/>
    </w:rPr>
  </w:style>
  <w:style w:type="character" w:styleId="NoSpacingChar" w:customStyle="1">
    <w:name w:val="No Spacing Char"/>
    <w:basedOn w:val="DefaultParagraphFont"/>
    <w:link w:val="NoSpacing"/>
    <w:uiPriority w:val="1"/>
    <w:rsid w:val="009F6486"/>
    <w:rPr>
      <w:sz w:val="22"/>
      <w:szCs w:val="22"/>
      <w:lang w:eastAsia="en-GB"/>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ihgplc.com/en/responsible-business/reporting" TargetMode="External"/><Relationship Id="rId10" Type="http://schemas.openxmlformats.org/officeDocument/2006/relationships/hyperlink" Target="https://hospitalityinsights.ehl.edu/hospitality-industry-trends" TargetMode="External"/><Relationship Id="rId13" Type="http://schemas.openxmlformats.org/officeDocument/2006/relationships/hyperlink" Target="https://hbr.org/2004/04/the-ambidextrous-organization" TargetMode="External"/><Relationship Id="rId12" Type="http://schemas.openxmlformats.org/officeDocument/2006/relationships/hyperlink" Target="https://www.sciencedirect.com/science/article/pii/S0278431998000127"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ciencedirect.com/science/article/pii/S0278431910001246" TargetMode="External"/><Relationship Id="rId15" Type="http://schemas.openxmlformats.org/officeDocument/2006/relationships/hyperlink" Target="https://www.sciencedirect.com/science/article/abs/pii/S0305048321000244" TargetMode="External"/><Relationship Id="rId14" Type="http://schemas.openxmlformats.org/officeDocument/2006/relationships/hyperlink" Target="https://www.sciencedirect.com/science/article/pii/S2211973623000697" TargetMode="External"/><Relationship Id="rId17" Type="http://schemas.openxmlformats.org/officeDocument/2006/relationships/footer" Target="footer1.xml"/><Relationship Id="rId16" Type="http://schemas.openxmlformats.org/officeDocument/2006/relationships/hyperlink" Target="https://eric.ed.gov/?id=EJ1119824"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store.hbr.org/product/how-to-think-more-strategically-hbr-special-issue/SPSP23"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4/nJR5mjcRlEdCLPp8cz0G6DOg==">CgMxLjAyCGguZ2pkZ3hzOAByITEtMURTbjNVLU5ORjRySnpCRTVIZ1Z1S2R0c3ltMjB2RA==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2024-05-03T10:19:00Z</dcterms:created>
  <dc:creator>Marin Evciuc</dc:creator>
</cp:coreProperties>
</file>