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27412" w14:textId="5AE2D329" w:rsidR="00A508A4" w:rsidRPr="0007743A" w:rsidRDefault="009D68FA" w:rsidP="00C64429">
      <w:pPr>
        <w:spacing w:line="360" w:lineRule="auto"/>
        <w:jc w:val="center"/>
        <w:rPr>
          <w:rFonts w:ascii="Arial" w:eastAsia="Arial" w:hAnsi="Arial" w:cs="Arial"/>
          <w:b/>
          <w:bCs/>
          <w:color w:val="000000" w:themeColor="text1"/>
          <w:sz w:val="24"/>
          <w:szCs w:val="24"/>
        </w:rPr>
      </w:pPr>
      <w:r w:rsidRPr="0007743A">
        <w:rPr>
          <w:rFonts w:ascii="Arial" w:hAnsi="Arial" w:cs="Arial"/>
          <w:noProof/>
          <w:color w:val="000000" w:themeColor="text1"/>
          <w:sz w:val="24"/>
          <w:szCs w:val="24"/>
        </w:rPr>
        <w:drawing>
          <wp:inline distT="0" distB="0" distL="0" distR="0" wp14:anchorId="4ACBAE80" wp14:editId="02F23FD7">
            <wp:extent cx="2158365" cy="8655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267650A5" w14:textId="77777777" w:rsidR="00923009" w:rsidRPr="0007743A" w:rsidRDefault="00923009" w:rsidP="00C64429">
      <w:pPr>
        <w:spacing w:line="360" w:lineRule="auto"/>
        <w:jc w:val="center"/>
        <w:rPr>
          <w:rFonts w:ascii="Arial" w:eastAsia="Arial" w:hAnsi="Arial" w:cs="Arial"/>
          <w:b/>
          <w:bCs/>
          <w:color w:val="000000" w:themeColor="text1"/>
          <w:sz w:val="24"/>
          <w:szCs w:val="24"/>
        </w:rPr>
      </w:pPr>
    </w:p>
    <w:p w14:paraId="71FA4A68" w14:textId="77777777" w:rsidR="009D68FA" w:rsidRPr="0007743A" w:rsidRDefault="009D68FA" w:rsidP="00C64429">
      <w:pPr>
        <w:spacing w:line="360" w:lineRule="auto"/>
        <w:jc w:val="center"/>
        <w:rPr>
          <w:rFonts w:ascii="Arial" w:hAnsi="Arial" w:cs="Arial"/>
          <w:color w:val="000000" w:themeColor="text1"/>
          <w:sz w:val="24"/>
          <w:szCs w:val="24"/>
        </w:rPr>
      </w:pPr>
      <w:proofErr w:type="spellStart"/>
      <w:r w:rsidRPr="0007743A">
        <w:rPr>
          <w:rFonts w:ascii="Arial" w:hAnsi="Arial" w:cs="Arial"/>
          <w:color w:val="000000" w:themeColor="text1"/>
          <w:sz w:val="24"/>
          <w:szCs w:val="24"/>
        </w:rPr>
        <w:t>Programme</w:t>
      </w:r>
      <w:proofErr w:type="spellEnd"/>
      <w:r w:rsidRPr="0007743A">
        <w:rPr>
          <w:rFonts w:ascii="Arial" w:hAnsi="Arial" w:cs="Arial"/>
          <w:color w:val="000000" w:themeColor="text1"/>
          <w:sz w:val="24"/>
          <w:szCs w:val="24"/>
        </w:rPr>
        <w:t>: Master of Business Administration</w:t>
      </w:r>
    </w:p>
    <w:p w14:paraId="2A0559CA" w14:textId="1B9A3A46" w:rsidR="009D68FA" w:rsidRPr="0007743A" w:rsidRDefault="009D68FA" w:rsidP="00C64429">
      <w:pPr>
        <w:spacing w:line="360" w:lineRule="auto"/>
        <w:jc w:val="center"/>
        <w:rPr>
          <w:rFonts w:ascii="Arial" w:hAnsi="Arial" w:cs="Arial"/>
          <w:color w:val="000000" w:themeColor="text1"/>
          <w:sz w:val="24"/>
          <w:szCs w:val="24"/>
        </w:rPr>
      </w:pPr>
      <w:r w:rsidRPr="0007743A">
        <w:rPr>
          <w:rFonts w:ascii="Arial" w:hAnsi="Arial" w:cs="Arial"/>
          <w:color w:val="000000" w:themeColor="text1"/>
          <w:sz w:val="24"/>
          <w:szCs w:val="24"/>
        </w:rPr>
        <w:t>Module: Human Capital Management</w:t>
      </w:r>
    </w:p>
    <w:p w14:paraId="2A526457" w14:textId="25A7CE70" w:rsidR="009D68FA" w:rsidRPr="0007743A" w:rsidRDefault="009D68FA" w:rsidP="00C64429">
      <w:pPr>
        <w:spacing w:line="360" w:lineRule="auto"/>
        <w:jc w:val="center"/>
        <w:rPr>
          <w:rFonts w:ascii="Arial" w:hAnsi="Arial" w:cs="Arial"/>
          <w:color w:val="000000" w:themeColor="text1"/>
          <w:sz w:val="24"/>
          <w:szCs w:val="24"/>
        </w:rPr>
      </w:pPr>
      <w:r w:rsidRPr="0007743A">
        <w:rPr>
          <w:rFonts w:ascii="Arial" w:hAnsi="Arial" w:cs="Arial"/>
          <w:color w:val="000000" w:themeColor="text1"/>
          <w:sz w:val="24"/>
          <w:szCs w:val="24"/>
        </w:rPr>
        <w:t xml:space="preserve">Module code: </w:t>
      </w:r>
      <w:r w:rsidR="008C56E9" w:rsidRPr="0007743A">
        <w:rPr>
          <w:rFonts w:ascii="Arial" w:hAnsi="Arial" w:cs="Arial"/>
          <w:color w:val="000000" w:themeColor="text1"/>
          <w:sz w:val="24"/>
          <w:szCs w:val="24"/>
        </w:rPr>
        <w:t>LCMB7023</w:t>
      </w:r>
    </w:p>
    <w:p w14:paraId="470B27AA" w14:textId="77777777" w:rsidR="00923009" w:rsidRPr="0007743A" w:rsidRDefault="00923009" w:rsidP="00C64429">
      <w:pPr>
        <w:spacing w:line="360" w:lineRule="auto"/>
        <w:jc w:val="center"/>
        <w:rPr>
          <w:rFonts w:ascii="Arial" w:hAnsi="Arial" w:cs="Arial"/>
          <w:color w:val="000000" w:themeColor="text1"/>
          <w:sz w:val="24"/>
          <w:szCs w:val="24"/>
        </w:rPr>
      </w:pPr>
    </w:p>
    <w:p w14:paraId="2DCF00AD" w14:textId="2DAA8FA7" w:rsidR="000A12F6" w:rsidRPr="0007743A" w:rsidRDefault="000A12F6" w:rsidP="00C64429">
      <w:pPr>
        <w:spacing w:line="360" w:lineRule="auto"/>
        <w:jc w:val="center"/>
        <w:rPr>
          <w:rFonts w:ascii="Arial" w:hAnsi="Arial" w:cs="Arial"/>
          <w:color w:val="000000" w:themeColor="text1"/>
          <w:sz w:val="32"/>
          <w:szCs w:val="32"/>
        </w:rPr>
      </w:pPr>
      <w:r w:rsidRPr="0007743A">
        <w:rPr>
          <w:rFonts w:ascii="Arial" w:eastAsia="Arial" w:hAnsi="Arial" w:cs="Arial"/>
          <w:b/>
          <w:bCs/>
          <w:color w:val="000000" w:themeColor="text1"/>
          <w:sz w:val="32"/>
          <w:szCs w:val="32"/>
        </w:rPr>
        <w:t>Designing a Human Capital Architecture for Strategic Renewal</w:t>
      </w:r>
    </w:p>
    <w:p w14:paraId="7959CBA1" w14:textId="77777777" w:rsidR="000A12F6" w:rsidRPr="0007743A" w:rsidRDefault="000A12F6" w:rsidP="00C64429">
      <w:pPr>
        <w:spacing w:line="360" w:lineRule="auto"/>
        <w:jc w:val="center"/>
        <w:rPr>
          <w:rFonts w:ascii="Arial" w:hAnsi="Arial" w:cs="Arial"/>
          <w:color w:val="000000" w:themeColor="text1"/>
          <w:sz w:val="32"/>
          <w:szCs w:val="32"/>
        </w:rPr>
      </w:pPr>
      <w:r w:rsidRPr="0007743A">
        <w:rPr>
          <w:rFonts w:ascii="Arial" w:eastAsia="Arial" w:hAnsi="Arial" w:cs="Arial"/>
          <w:i/>
          <w:iCs/>
          <w:color w:val="000000" w:themeColor="text1"/>
          <w:sz w:val="32"/>
          <w:szCs w:val="32"/>
        </w:rPr>
        <w:t>A Strategic Human Capital Advisory Report for Helios Urban Mobility</w:t>
      </w:r>
    </w:p>
    <w:p w14:paraId="719731CE" w14:textId="04E5D714" w:rsidR="009D68FA" w:rsidRPr="0007743A" w:rsidRDefault="009D68FA" w:rsidP="00C64429">
      <w:pPr>
        <w:spacing w:line="360" w:lineRule="auto"/>
        <w:jc w:val="center"/>
        <w:rPr>
          <w:rFonts w:ascii="Arial" w:hAnsi="Arial" w:cs="Arial"/>
          <w:b/>
          <w:bCs/>
          <w:color w:val="000000" w:themeColor="text1"/>
          <w:sz w:val="24"/>
          <w:szCs w:val="24"/>
        </w:rPr>
      </w:pPr>
    </w:p>
    <w:p w14:paraId="505E9DBA" w14:textId="14FBAC35" w:rsidR="009D68FA" w:rsidRPr="0007743A" w:rsidRDefault="009D68FA" w:rsidP="00C64429">
      <w:pPr>
        <w:spacing w:line="360" w:lineRule="auto"/>
        <w:jc w:val="center"/>
        <w:rPr>
          <w:rFonts w:ascii="Arial" w:hAnsi="Arial" w:cs="Arial"/>
          <w:color w:val="000000" w:themeColor="text1"/>
          <w:sz w:val="24"/>
          <w:szCs w:val="24"/>
        </w:rPr>
      </w:pPr>
      <w:r w:rsidRPr="0007743A">
        <w:rPr>
          <w:rFonts w:ascii="Arial" w:hAnsi="Arial" w:cs="Arial"/>
          <w:color w:val="000000" w:themeColor="text1"/>
          <w:sz w:val="24"/>
          <w:szCs w:val="24"/>
        </w:rPr>
        <w:t>Student name:</w:t>
      </w:r>
      <w:r w:rsidR="009C549F">
        <w:rPr>
          <w:rFonts w:ascii="Arial" w:hAnsi="Arial" w:cs="Arial"/>
          <w:color w:val="000000" w:themeColor="text1"/>
          <w:sz w:val="24"/>
          <w:szCs w:val="24"/>
        </w:rPr>
        <w:t xml:space="preserve"> Vruta </w:t>
      </w:r>
      <w:proofErr w:type="spellStart"/>
      <w:r w:rsidR="009C549F">
        <w:rPr>
          <w:rFonts w:ascii="Arial" w:hAnsi="Arial" w:cs="Arial"/>
          <w:color w:val="000000" w:themeColor="text1"/>
          <w:sz w:val="24"/>
          <w:szCs w:val="24"/>
        </w:rPr>
        <w:t>Dipakbhai</w:t>
      </w:r>
      <w:proofErr w:type="spellEnd"/>
      <w:r w:rsidR="009C549F">
        <w:rPr>
          <w:rFonts w:ascii="Arial" w:hAnsi="Arial" w:cs="Arial"/>
          <w:color w:val="000000" w:themeColor="text1"/>
          <w:sz w:val="24"/>
          <w:szCs w:val="24"/>
        </w:rPr>
        <w:t xml:space="preserve"> </w:t>
      </w:r>
      <w:proofErr w:type="spellStart"/>
      <w:r w:rsidR="009C549F">
        <w:rPr>
          <w:rFonts w:ascii="Arial" w:hAnsi="Arial" w:cs="Arial"/>
          <w:color w:val="000000" w:themeColor="text1"/>
          <w:sz w:val="24"/>
          <w:szCs w:val="24"/>
        </w:rPr>
        <w:t>Gundraniya</w:t>
      </w:r>
      <w:proofErr w:type="spellEnd"/>
    </w:p>
    <w:p w14:paraId="58D5C601" w14:textId="0CA8313B" w:rsidR="009D68FA" w:rsidRPr="0007743A" w:rsidRDefault="009D68FA" w:rsidP="00C64429">
      <w:pPr>
        <w:spacing w:line="360" w:lineRule="auto"/>
        <w:jc w:val="center"/>
        <w:rPr>
          <w:rFonts w:ascii="Arial" w:hAnsi="Arial" w:cs="Arial"/>
          <w:color w:val="000000" w:themeColor="text1"/>
          <w:sz w:val="24"/>
          <w:szCs w:val="24"/>
        </w:rPr>
      </w:pPr>
      <w:r w:rsidRPr="0007743A">
        <w:rPr>
          <w:rFonts w:ascii="Arial" w:hAnsi="Arial" w:cs="Arial"/>
          <w:color w:val="000000" w:themeColor="text1"/>
          <w:sz w:val="24"/>
          <w:szCs w:val="24"/>
        </w:rPr>
        <w:t>Student id:</w:t>
      </w:r>
      <w:r w:rsidR="009C549F">
        <w:rPr>
          <w:rFonts w:ascii="Arial" w:hAnsi="Arial" w:cs="Arial"/>
          <w:color w:val="000000" w:themeColor="text1"/>
          <w:sz w:val="24"/>
          <w:szCs w:val="24"/>
        </w:rPr>
        <w:t xml:space="preserve"> 2539615</w:t>
      </w:r>
    </w:p>
    <w:p w14:paraId="1C1A019C" w14:textId="682999A2" w:rsidR="009D68FA" w:rsidRPr="0007743A" w:rsidRDefault="009D68FA" w:rsidP="00E82ECB">
      <w:pPr>
        <w:spacing w:line="360" w:lineRule="auto"/>
        <w:jc w:val="center"/>
        <w:rPr>
          <w:rFonts w:ascii="Arial" w:hAnsi="Arial" w:cs="Arial"/>
          <w:color w:val="000000" w:themeColor="text1"/>
          <w:sz w:val="24"/>
          <w:szCs w:val="24"/>
        </w:rPr>
      </w:pPr>
      <w:r w:rsidRPr="0007743A">
        <w:rPr>
          <w:rFonts w:ascii="Arial" w:hAnsi="Arial" w:cs="Arial"/>
          <w:color w:val="000000" w:themeColor="text1"/>
          <w:sz w:val="24"/>
          <w:szCs w:val="24"/>
        </w:rPr>
        <w:t xml:space="preserve">Lecturer name: </w:t>
      </w:r>
      <w:r w:rsidR="00E82ECB" w:rsidRPr="00E82ECB">
        <w:rPr>
          <w:rFonts w:ascii="Arial" w:hAnsi="Arial" w:cs="Arial"/>
          <w:color w:val="000000" w:themeColor="text1"/>
          <w:sz w:val="24"/>
          <w:szCs w:val="24"/>
        </w:rPr>
        <w:t>Gladius Kulothungan</w:t>
      </w:r>
      <w:r w:rsidR="00E82ECB">
        <w:rPr>
          <w:rFonts w:ascii="Arial" w:hAnsi="Arial" w:cs="Arial"/>
          <w:color w:val="000000" w:themeColor="text1"/>
          <w:sz w:val="24"/>
          <w:szCs w:val="24"/>
        </w:rPr>
        <w:t xml:space="preserve">, </w:t>
      </w:r>
      <w:r w:rsidR="00E82ECB" w:rsidRPr="00E82ECB">
        <w:rPr>
          <w:rFonts w:ascii="Arial" w:hAnsi="Arial" w:cs="Arial"/>
          <w:color w:val="000000" w:themeColor="text1"/>
          <w:sz w:val="24"/>
          <w:szCs w:val="24"/>
        </w:rPr>
        <w:t>Eno Maycock</w:t>
      </w:r>
    </w:p>
    <w:p w14:paraId="2CBC9112" w14:textId="25318332" w:rsidR="009D68FA" w:rsidRPr="0007743A" w:rsidRDefault="009D68FA" w:rsidP="00C64429">
      <w:pPr>
        <w:spacing w:line="360" w:lineRule="auto"/>
        <w:jc w:val="center"/>
        <w:rPr>
          <w:rFonts w:ascii="Arial" w:hAnsi="Arial" w:cs="Arial"/>
          <w:color w:val="000000" w:themeColor="text1"/>
          <w:sz w:val="24"/>
          <w:szCs w:val="24"/>
        </w:rPr>
      </w:pPr>
      <w:r w:rsidRPr="0007743A">
        <w:rPr>
          <w:rFonts w:ascii="Arial" w:hAnsi="Arial" w:cs="Arial"/>
          <w:color w:val="000000" w:themeColor="text1"/>
          <w:sz w:val="24"/>
          <w:szCs w:val="24"/>
        </w:rPr>
        <w:t xml:space="preserve">Word count: </w:t>
      </w:r>
      <w:r w:rsidR="00B113D5" w:rsidRPr="0007743A">
        <w:rPr>
          <w:rFonts w:ascii="Arial" w:hAnsi="Arial" w:cs="Arial"/>
          <w:color w:val="000000" w:themeColor="text1"/>
          <w:sz w:val="24"/>
          <w:szCs w:val="24"/>
        </w:rPr>
        <w:t>2750</w:t>
      </w:r>
    </w:p>
    <w:p w14:paraId="59161962" w14:textId="29B44EA3" w:rsidR="009D68FA" w:rsidRPr="0007743A" w:rsidRDefault="009D68FA" w:rsidP="00C64429">
      <w:pPr>
        <w:spacing w:line="360" w:lineRule="auto"/>
        <w:jc w:val="center"/>
        <w:rPr>
          <w:rFonts w:ascii="Arial" w:hAnsi="Arial" w:cs="Arial"/>
          <w:color w:val="000000" w:themeColor="text1"/>
          <w:sz w:val="24"/>
          <w:szCs w:val="24"/>
        </w:rPr>
      </w:pPr>
      <w:r w:rsidRPr="0007743A">
        <w:rPr>
          <w:rFonts w:ascii="Arial" w:hAnsi="Arial" w:cs="Arial"/>
          <w:color w:val="000000" w:themeColor="text1"/>
          <w:sz w:val="24"/>
          <w:szCs w:val="24"/>
        </w:rPr>
        <w:t>Submission date: 1</w:t>
      </w:r>
      <w:r w:rsidR="002B3EAC" w:rsidRPr="0007743A">
        <w:rPr>
          <w:rFonts w:ascii="Arial" w:hAnsi="Arial" w:cs="Arial"/>
          <w:color w:val="000000" w:themeColor="text1"/>
          <w:sz w:val="24"/>
          <w:szCs w:val="24"/>
        </w:rPr>
        <w:t>7</w:t>
      </w:r>
      <w:r w:rsidR="002B3EAC" w:rsidRPr="0007743A">
        <w:rPr>
          <w:rFonts w:ascii="Arial" w:hAnsi="Arial" w:cs="Arial"/>
          <w:color w:val="000000" w:themeColor="text1"/>
          <w:sz w:val="24"/>
          <w:szCs w:val="24"/>
          <w:vertAlign w:val="superscript"/>
        </w:rPr>
        <w:t>th</w:t>
      </w:r>
      <w:r w:rsidR="002B3EAC" w:rsidRPr="0007743A">
        <w:rPr>
          <w:rFonts w:ascii="Arial" w:hAnsi="Arial" w:cs="Arial"/>
          <w:color w:val="000000" w:themeColor="text1"/>
          <w:sz w:val="24"/>
          <w:szCs w:val="24"/>
        </w:rPr>
        <w:t xml:space="preserve"> </w:t>
      </w:r>
      <w:proofErr w:type="spellStart"/>
      <w:r w:rsidR="002B3EAC" w:rsidRPr="0007743A">
        <w:rPr>
          <w:rFonts w:ascii="Arial" w:hAnsi="Arial" w:cs="Arial"/>
          <w:color w:val="000000" w:themeColor="text1"/>
          <w:sz w:val="24"/>
          <w:szCs w:val="24"/>
        </w:rPr>
        <w:t>july</w:t>
      </w:r>
      <w:proofErr w:type="spellEnd"/>
      <w:r w:rsidRPr="0007743A">
        <w:rPr>
          <w:rFonts w:ascii="Arial" w:hAnsi="Arial" w:cs="Arial"/>
          <w:color w:val="000000" w:themeColor="text1"/>
          <w:sz w:val="24"/>
          <w:szCs w:val="24"/>
        </w:rPr>
        <w:t xml:space="preserve"> 2026</w:t>
      </w:r>
    </w:p>
    <w:p w14:paraId="0712F2BE" w14:textId="77777777" w:rsidR="009D68FA" w:rsidRPr="0007743A" w:rsidRDefault="009D68FA" w:rsidP="00740941">
      <w:pPr>
        <w:spacing w:line="360" w:lineRule="auto"/>
        <w:jc w:val="both"/>
        <w:rPr>
          <w:rFonts w:ascii="Arial" w:eastAsia="Arial" w:hAnsi="Arial" w:cs="Arial"/>
          <w:color w:val="000000" w:themeColor="text1"/>
          <w:sz w:val="24"/>
          <w:szCs w:val="24"/>
        </w:rPr>
      </w:pPr>
    </w:p>
    <w:p w14:paraId="714F541B" w14:textId="77777777" w:rsidR="00A508A4" w:rsidRPr="0007743A" w:rsidRDefault="00A508A4" w:rsidP="00740941">
      <w:pPr>
        <w:spacing w:line="360" w:lineRule="auto"/>
        <w:jc w:val="both"/>
        <w:rPr>
          <w:rFonts w:ascii="Arial" w:eastAsia="Arial" w:hAnsi="Arial" w:cs="Arial"/>
          <w:b/>
          <w:bCs/>
          <w:color w:val="000000" w:themeColor="text1"/>
          <w:sz w:val="24"/>
          <w:szCs w:val="24"/>
        </w:rPr>
      </w:pPr>
    </w:p>
    <w:p w14:paraId="2B1D22CE" w14:textId="77777777" w:rsidR="00A508A4" w:rsidRPr="0007743A" w:rsidRDefault="00A508A4" w:rsidP="00740941">
      <w:pPr>
        <w:spacing w:line="360" w:lineRule="auto"/>
        <w:jc w:val="both"/>
        <w:rPr>
          <w:rFonts w:ascii="Arial" w:eastAsia="Arial" w:hAnsi="Arial" w:cs="Arial"/>
          <w:b/>
          <w:bCs/>
          <w:color w:val="000000" w:themeColor="text1"/>
          <w:sz w:val="24"/>
          <w:szCs w:val="24"/>
        </w:rPr>
      </w:pPr>
    </w:p>
    <w:p w14:paraId="3001F7A7" w14:textId="77777777" w:rsidR="00A508A4" w:rsidRPr="0007743A" w:rsidRDefault="00A508A4" w:rsidP="00740941">
      <w:pPr>
        <w:spacing w:line="360" w:lineRule="auto"/>
        <w:jc w:val="both"/>
        <w:rPr>
          <w:rFonts w:ascii="Arial" w:eastAsia="Arial" w:hAnsi="Arial" w:cs="Arial"/>
          <w:b/>
          <w:bCs/>
          <w:color w:val="000000" w:themeColor="text1"/>
          <w:sz w:val="24"/>
          <w:szCs w:val="24"/>
        </w:rPr>
      </w:pPr>
    </w:p>
    <w:p w14:paraId="027C1942" w14:textId="77777777" w:rsidR="00A508A4" w:rsidRPr="0007743A" w:rsidRDefault="00A508A4" w:rsidP="00740941">
      <w:pPr>
        <w:spacing w:line="360" w:lineRule="auto"/>
        <w:jc w:val="both"/>
        <w:rPr>
          <w:rFonts w:ascii="Arial" w:eastAsia="Arial" w:hAnsi="Arial" w:cs="Arial"/>
          <w:b/>
          <w:bCs/>
          <w:color w:val="000000" w:themeColor="text1"/>
          <w:sz w:val="24"/>
          <w:szCs w:val="24"/>
        </w:rPr>
      </w:pPr>
    </w:p>
    <w:p w14:paraId="07C6B71E" w14:textId="77777777" w:rsidR="00A508A4" w:rsidRPr="0007743A" w:rsidRDefault="00A508A4" w:rsidP="00740941">
      <w:pPr>
        <w:spacing w:line="360" w:lineRule="auto"/>
        <w:jc w:val="both"/>
        <w:rPr>
          <w:rFonts w:ascii="Arial" w:eastAsia="Arial" w:hAnsi="Arial" w:cs="Arial"/>
          <w:color w:val="000000" w:themeColor="text1"/>
          <w:sz w:val="24"/>
          <w:szCs w:val="24"/>
        </w:rPr>
      </w:pPr>
    </w:p>
    <w:p w14:paraId="574E88E4" w14:textId="77777777" w:rsidR="00A508A4" w:rsidRPr="0007743A" w:rsidRDefault="00A508A4" w:rsidP="00740941">
      <w:pPr>
        <w:spacing w:line="360" w:lineRule="auto"/>
        <w:jc w:val="both"/>
        <w:rPr>
          <w:rFonts w:ascii="Arial" w:eastAsia="Arial" w:hAnsi="Arial" w:cs="Arial"/>
          <w:color w:val="000000" w:themeColor="text1"/>
          <w:sz w:val="24"/>
          <w:szCs w:val="24"/>
        </w:rPr>
      </w:pPr>
    </w:p>
    <w:p w14:paraId="759BA583" w14:textId="77777777" w:rsidR="00A508A4" w:rsidRPr="0007743A" w:rsidRDefault="00A508A4" w:rsidP="00740941">
      <w:pPr>
        <w:spacing w:line="360" w:lineRule="auto"/>
        <w:jc w:val="both"/>
        <w:rPr>
          <w:rFonts w:ascii="Arial" w:eastAsia="Arial" w:hAnsi="Arial" w:cs="Arial"/>
          <w:color w:val="000000" w:themeColor="text1"/>
          <w:sz w:val="24"/>
          <w:szCs w:val="24"/>
        </w:rPr>
      </w:pPr>
    </w:p>
    <w:p w14:paraId="299DBFBC" w14:textId="77777777" w:rsidR="00A508A4" w:rsidRPr="0007743A" w:rsidRDefault="00A508A4" w:rsidP="00740941">
      <w:pPr>
        <w:spacing w:line="360" w:lineRule="auto"/>
        <w:jc w:val="both"/>
        <w:rPr>
          <w:rFonts w:ascii="Arial" w:eastAsia="Arial" w:hAnsi="Arial" w:cs="Arial"/>
          <w:color w:val="000000" w:themeColor="text1"/>
          <w:sz w:val="24"/>
          <w:szCs w:val="24"/>
        </w:rPr>
      </w:pPr>
    </w:p>
    <w:p w14:paraId="104D6782" w14:textId="77777777" w:rsidR="00A508A4" w:rsidRPr="0007743A" w:rsidRDefault="00A508A4" w:rsidP="00740941">
      <w:pPr>
        <w:spacing w:line="360" w:lineRule="auto"/>
        <w:jc w:val="both"/>
        <w:rPr>
          <w:rFonts w:ascii="Arial" w:eastAsia="Arial" w:hAnsi="Arial" w:cs="Arial"/>
          <w:color w:val="000000" w:themeColor="text1"/>
          <w:sz w:val="24"/>
          <w:szCs w:val="24"/>
        </w:rPr>
      </w:pPr>
    </w:p>
    <w:p w14:paraId="02811038" w14:textId="77777777" w:rsidR="00A508A4" w:rsidRPr="0007743A" w:rsidRDefault="00A508A4" w:rsidP="00740941">
      <w:pPr>
        <w:spacing w:line="360" w:lineRule="auto"/>
        <w:jc w:val="both"/>
        <w:rPr>
          <w:rFonts w:ascii="Arial" w:eastAsia="Arial" w:hAnsi="Arial" w:cs="Arial"/>
          <w:color w:val="000000" w:themeColor="text1"/>
          <w:sz w:val="24"/>
          <w:szCs w:val="24"/>
        </w:rPr>
      </w:pPr>
    </w:p>
    <w:sdt>
      <w:sdtPr>
        <w:rPr>
          <w:rFonts w:ascii="Arial" w:eastAsia="Times New Roman" w:hAnsi="Arial" w:cs="Arial"/>
          <w:color w:val="000000" w:themeColor="text1"/>
          <w:sz w:val="24"/>
          <w:szCs w:val="24"/>
        </w:rPr>
        <w:id w:val="1207683054"/>
        <w:docPartObj>
          <w:docPartGallery w:val="Table of Contents"/>
          <w:docPartUnique/>
        </w:docPartObj>
      </w:sdtPr>
      <w:sdtEndPr>
        <w:rPr>
          <w:b/>
          <w:bCs/>
          <w:noProof/>
        </w:rPr>
      </w:sdtEndPr>
      <w:sdtContent>
        <w:p w14:paraId="5E145B7A" w14:textId="4D7BDDEF" w:rsidR="00A508A4" w:rsidRPr="0007743A" w:rsidRDefault="00A508A4" w:rsidP="00740941">
          <w:pPr>
            <w:pStyle w:val="TOCHeading"/>
            <w:spacing w:before="0" w:line="360" w:lineRule="auto"/>
            <w:jc w:val="both"/>
            <w:rPr>
              <w:rFonts w:ascii="Arial" w:hAnsi="Arial" w:cs="Arial"/>
              <w:color w:val="4472C4" w:themeColor="accent1"/>
              <w:sz w:val="24"/>
              <w:szCs w:val="24"/>
            </w:rPr>
          </w:pPr>
          <w:r w:rsidRPr="0007743A">
            <w:rPr>
              <w:rFonts w:ascii="Arial" w:hAnsi="Arial" w:cs="Arial"/>
              <w:color w:val="4472C4" w:themeColor="accent1"/>
              <w:sz w:val="24"/>
              <w:szCs w:val="24"/>
            </w:rPr>
            <w:t>Table of Contents</w:t>
          </w:r>
        </w:p>
        <w:p w14:paraId="259E0D0D" w14:textId="3CB5C4F4" w:rsidR="00A508A4" w:rsidRPr="0007743A" w:rsidRDefault="00A508A4" w:rsidP="00740941">
          <w:pPr>
            <w:pStyle w:val="TOC1"/>
            <w:tabs>
              <w:tab w:val="right" w:leader="dot" w:pos="9350"/>
            </w:tabs>
            <w:spacing w:after="0" w:line="360" w:lineRule="auto"/>
            <w:jc w:val="both"/>
            <w:rPr>
              <w:rFonts w:ascii="Arial" w:hAnsi="Arial" w:cs="Arial"/>
              <w:noProof/>
              <w:color w:val="000000" w:themeColor="text1"/>
              <w:sz w:val="24"/>
              <w:szCs w:val="24"/>
            </w:rPr>
          </w:pPr>
          <w:r w:rsidRPr="0007743A">
            <w:rPr>
              <w:rFonts w:ascii="Arial" w:hAnsi="Arial" w:cs="Arial"/>
              <w:color w:val="000000" w:themeColor="text1"/>
              <w:sz w:val="24"/>
              <w:szCs w:val="24"/>
            </w:rPr>
            <w:fldChar w:fldCharType="begin"/>
          </w:r>
          <w:r w:rsidRPr="0007743A">
            <w:rPr>
              <w:rFonts w:ascii="Arial" w:hAnsi="Arial" w:cs="Arial"/>
              <w:color w:val="000000" w:themeColor="text1"/>
              <w:sz w:val="24"/>
              <w:szCs w:val="24"/>
            </w:rPr>
            <w:instrText xml:space="preserve"> TOC \o "1-3" \h \z \u </w:instrText>
          </w:r>
          <w:r w:rsidRPr="0007743A">
            <w:rPr>
              <w:rFonts w:ascii="Arial" w:hAnsi="Arial" w:cs="Arial"/>
              <w:color w:val="000000" w:themeColor="text1"/>
              <w:sz w:val="24"/>
              <w:szCs w:val="24"/>
            </w:rPr>
            <w:fldChar w:fldCharType="separate"/>
          </w:r>
          <w:hyperlink w:anchor="_Toc235137309" w:history="1">
            <w:r w:rsidRPr="0007743A">
              <w:rPr>
                <w:rStyle w:val="Hyperlink"/>
                <w:rFonts w:ascii="Arial" w:eastAsia="Arial" w:hAnsi="Arial" w:cs="Arial"/>
                <w:b/>
                <w:bCs/>
                <w:noProof/>
                <w:color w:val="000000" w:themeColor="text1"/>
                <w:sz w:val="24"/>
                <w:szCs w:val="24"/>
              </w:rPr>
              <w:t>Introduction</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_Toc235137309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3</w:t>
            </w:r>
            <w:r w:rsidRPr="0007743A">
              <w:rPr>
                <w:rFonts w:ascii="Arial" w:hAnsi="Arial" w:cs="Arial"/>
                <w:noProof/>
                <w:webHidden/>
                <w:color w:val="000000" w:themeColor="text1"/>
                <w:sz w:val="24"/>
                <w:szCs w:val="24"/>
              </w:rPr>
              <w:fldChar w:fldCharType="end"/>
            </w:r>
          </w:hyperlink>
        </w:p>
        <w:p w14:paraId="3B676724" w14:textId="6B8FB6F7" w:rsidR="00A508A4" w:rsidRPr="0007743A" w:rsidRDefault="00A508A4" w:rsidP="00740941">
          <w:pPr>
            <w:pStyle w:val="TOC1"/>
            <w:tabs>
              <w:tab w:val="right" w:leader="dot" w:pos="9350"/>
            </w:tabs>
            <w:spacing w:after="0" w:line="360" w:lineRule="auto"/>
            <w:jc w:val="both"/>
            <w:rPr>
              <w:rFonts w:ascii="Arial" w:hAnsi="Arial" w:cs="Arial"/>
              <w:noProof/>
              <w:color w:val="000000" w:themeColor="text1"/>
              <w:sz w:val="24"/>
              <w:szCs w:val="24"/>
            </w:rPr>
          </w:pPr>
          <w:hyperlink w:anchor="_Toc235137310" w:history="1">
            <w:r w:rsidRPr="0007743A">
              <w:rPr>
                <w:rStyle w:val="Hyperlink"/>
                <w:rFonts w:ascii="Arial" w:eastAsia="Arial" w:hAnsi="Arial" w:cs="Arial"/>
                <w:noProof/>
                <w:color w:val="000000" w:themeColor="text1"/>
                <w:sz w:val="24"/>
                <w:szCs w:val="24"/>
              </w:rPr>
              <w:t>Task A: Socialisation, Identity and Business Activism</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_Toc235137310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3</w:t>
            </w:r>
            <w:r w:rsidRPr="0007743A">
              <w:rPr>
                <w:rFonts w:ascii="Arial" w:hAnsi="Arial" w:cs="Arial"/>
                <w:noProof/>
                <w:webHidden/>
                <w:color w:val="000000" w:themeColor="text1"/>
                <w:sz w:val="24"/>
                <w:szCs w:val="24"/>
              </w:rPr>
              <w:fldChar w:fldCharType="end"/>
            </w:r>
          </w:hyperlink>
        </w:p>
        <w:p w14:paraId="08ECAB7F" w14:textId="3B6FB422"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1" w:history="1">
            <w:r w:rsidRPr="0007743A">
              <w:rPr>
                <w:rStyle w:val="Hyperlink"/>
                <w:rFonts w:ascii="Arial" w:eastAsia="Arial" w:hAnsi="Arial" w:cs="Arial"/>
                <w:b/>
                <w:bCs/>
                <w:noProof/>
                <w:color w:val="000000" w:themeColor="text1"/>
                <w:sz w:val="24"/>
                <w:szCs w:val="24"/>
              </w:rPr>
              <w:t>1.1 From Onboarding to Strategic Socialisation</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_Toc235137311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3</w:t>
            </w:r>
            <w:r w:rsidRPr="0007743A">
              <w:rPr>
                <w:rFonts w:ascii="Arial" w:hAnsi="Arial" w:cs="Arial"/>
                <w:noProof/>
                <w:webHidden/>
                <w:color w:val="000000" w:themeColor="text1"/>
                <w:sz w:val="24"/>
                <w:szCs w:val="24"/>
              </w:rPr>
              <w:fldChar w:fldCharType="end"/>
            </w:r>
          </w:hyperlink>
        </w:p>
        <w:p w14:paraId="7A7BCB53" w14:textId="07711ABF"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2" w:history="1">
            <w:r w:rsidRPr="0007743A">
              <w:rPr>
                <w:rStyle w:val="Hyperlink"/>
                <w:rFonts w:ascii="Arial" w:eastAsia="Arial" w:hAnsi="Arial" w:cs="Arial"/>
                <w:b/>
                <w:bCs/>
                <w:noProof/>
                <w:color w:val="000000" w:themeColor="text1"/>
                <w:sz w:val="24"/>
                <w:szCs w:val="24"/>
              </w:rPr>
              <w:t>1.2 A Critical Comparison of Socialisation and Identification Theory</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_Toc235137312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3</w:t>
            </w:r>
            <w:r w:rsidRPr="0007743A">
              <w:rPr>
                <w:rFonts w:ascii="Arial" w:hAnsi="Arial" w:cs="Arial"/>
                <w:noProof/>
                <w:webHidden/>
                <w:color w:val="000000" w:themeColor="text1"/>
                <w:sz w:val="24"/>
                <w:szCs w:val="24"/>
              </w:rPr>
              <w:fldChar w:fldCharType="end"/>
            </w:r>
          </w:hyperlink>
        </w:p>
        <w:p w14:paraId="7A342516" w14:textId="59538458"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3" w:history="1">
            <w:r w:rsidRPr="0007743A">
              <w:rPr>
                <w:rStyle w:val="Hyperlink"/>
                <w:rFonts w:ascii="Arial" w:eastAsia="Arial" w:hAnsi="Arial" w:cs="Arial"/>
                <w:b/>
                <w:bCs/>
                <w:noProof/>
                <w:color w:val="000000" w:themeColor="text1"/>
                <w:sz w:val="24"/>
                <w:szCs w:val="24"/>
              </w:rPr>
              <w:t>1.3 A Structured Socialisation Framework for Helios</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_Toc235137313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4</w:t>
            </w:r>
            <w:r w:rsidRPr="0007743A">
              <w:rPr>
                <w:rFonts w:ascii="Arial" w:hAnsi="Arial" w:cs="Arial"/>
                <w:noProof/>
                <w:webHidden/>
                <w:color w:val="000000" w:themeColor="text1"/>
                <w:sz w:val="24"/>
                <w:szCs w:val="24"/>
              </w:rPr>
              <w:fldChar w:fldCharType="end"/>
            </w:r>
          </w:hyperlink>
        </w:p>
        <w:p w14:paraId="3D7FB999" w14:textId="19C6CB50"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4" w:history="1">
            <w:r w:rsidRPr="0007743A">
              <w:rPr>
                <w:rStyle w:val="Hyperlink"/>
                <w:rFonts w:ascii="Arial" w:eastAsia="Arial" w:hAnsi="Arial" w:cs="Arial"/>
                <w:b/>
                <w:bCs/>
                <w:noProof/>
                <w:color w:val="000000" w:themeColor="text1"/>
                <w:sz w:val="24"/>
                <w:szCs w:val="24"/>
              </w:rPr>
              <w:t>1.4 Cultivating Identification, Ethical Professionalism and Business Activism</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_Toc235137314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5</w:t>
            </w:r>
            <w:r w:rsidRPr="0007743A">
              <w:rPr>
                <w:rFonts w:ascii="Arial" w:hAnsi="Arial" w:cs="Arial"/>
                <w:noProof/>
                <w:webHidden/>
                <w:color w:val="000000" w:themeColor="text1"/>
                <w:sz w:val="24"/>
                <w:szCs w:val="24"/>
              </w:rPr>
              <w:fldChar w:fldCharType="end"/>
            </w:r>
          </w:hyperlink>
        </w:p>
        <w:p w14:paraId="67FFFF1E" w14:textId="12A998C2"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5" w:history="1">
            <w:r w:rsidRPr="0007743A">
              <w:rPr>
                <w:rStyle w:val="Hyperlink"/>
                <w:rFonts w:ascii="Arial" w:eastAsia="Arial" w:hAnsi="Arial" w:cs="Arial"/>
                <w:b/>
                <w:bCs/>
                <w:noProof/>
                <w:color w:val="000000" w:themeColor="text1"/>
                <w:sz w:val="24"/>
                <w:szCs w:val="24"/>
              </w:rPr>
              <w:t>1.5 Limitations</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_Toc235137315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5</w:t>
            </w:r>
            <w:r w:rsidRPr="0007743A">
              <w:rPr>
                <w:rFonts w:ascii="Arial" w:hAnsi="Arial" w:cs="Arial"/>
                <w:noProof/>
                <w:webHidden/>
                <w:color w:val="000000" w:themeColor="text1"/>
                <w:sz w:val="24"/>
                <w:szCs w:val="24"/>
              </w:rPr>
              <w:fldChar w:fldCharType="end"/>
            </w:r>
          </w:hyperlink>
        </w:p>
        <w:p w14:paraId="62EB0840" w14:textId="7094CFF7" w:rsidR="00A508A4" w:rsidRPr="0007743A" w:rsidRDefault="00A508A4" w:rsidP="00740941">
          <w:pPr>
            <w:pStyle w:val="TOC1"/>
            <w:tabs>
              <w:tab w:val="right" w:leader="dot" w:pos="9350"/>
            </w:tabs>
            <w:spacing w:after="0" w:line="360" w:lineRule="auto"/>
            <w:jc w:val="both"/>
            <w:rPr>
              <w:rFonts w:ascii="Arial" w:hAnsi="Arial" w:cs="Arial"/>
              <w:noProof/>
              <w:color w:val="000000" w:themeColor="text1"/>
              <w:sz w:val="24"/>
              <w:szCs w:val="24"/>
            </w:rPr>
          </w:pPr>
          <w:hyperlink w:anchor="_Toc235137316" w:history="1">
            <w:r w:rsidRPr="0007743A">
              <w:rPr>
                <w:rStyle w:val="Hyperlink"/>
                <w:rFonts w:ascii="Arial" w:eastAsia="Arial" w:hAnsi="Arial" w:cs="Arial"/>
                <w:noProof/>
                <w:color w:val="000000" w:themeColor="text1"/>
                <w:sz w:val="24"/>
                <w:szCs w:val="24"/>
              </w:rPr>
              <w:t>Task B: Job Design</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_Toc235137316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6</w:t>
            </w:r>
            <w:r w:rsidRPr="0007743A">
              <w:rPr>
                <w:rFonts w:ascii="Arial" w:hAnsi="Arial" w:cs="Arial"/>
                <w:noProof/>
                <w:webHidden/>
                <w:color w:val="000000" w:themeColor="text1"/>
                <w:sz w:val="24"/>
                <w:szCs w:val="24"/>
              </w:rPr>
              <w:fldChar w:fldCharType="end"/>
            </w:r>
          </w:hyperlink>
        </w:p>
        <w:p w14:paraId="6DA85DBB" w14:textId="1AA28A25"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7" w:history="1">
            <w:r w:rsidRPr="0007743A">
              <w:rPr>
                <w:rStyle w:val="Hyperlink"/>
                <w:rFonts w:ascii="Arial" w:eastAsia="Arial" w:hAnsi="Arial" w:cs="Arial"/>
                <w:b/>
                <w:bCs/>
                <w:noProof/>
                <w:color w:val="000000" w:themeColor="text1"/>
                <w:sz w:val="24"/>
                <w:szCs w:val="24"/>
              </w:rPr>
              <w:t>2.1 Redesigning Jobs Around Motivation</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_Toc235137317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6</w:t>
            </w:r>
            <w:r w:rsidRPr="0007743A">
              <w:rPr>
                <w:rFonts w:ascii="Arial" w:hAnsi="Arial" w:cs="Arial"/>
                <w:noProof/>
                <w:webHidden/>
                <w:color w:val="000000" w:themeColor="text1"/>
                <w:sz w:val="24"/>
                <w:szCs w:val="24"/>
              </w:rPr>
              <w:fldChar w:fldCharType="end"/>
            </w:r>
          </w:hyperlink>
        </w:p>
        <w:p w14:paraId="6F20D102" w14:textId="06344128"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8" w:history="1">
            <w:r w:rsidRPr="0007743A">
              <w:rPr>
                <w:rStyle w:val="Hyperlink"/>
                <w:rFonts w:ascii="Arial" w:eastAsia="Arial" w:hAnsi="Arial" w:cs="Arial"/>
                <w:b/>
                <w:bCs/>
                <w:noProof/>
                <w:color w:val="000000" w:themeColor="text1"/>
                <w:sz w:val="24"/>
                <w:szCs w:val="24"/>
              </w:rPr>
              <w:t>2.2 A Critical Comparison of Job Design Perspectives</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_Toc235137318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6</w:t>
            </w:r>
            <w:r w:rsidRPr="0007743A">
              <w:rPr>
                <w:rFonts w:ascii="Arial" w:hAnsi="Arial" w:cs="Arial"/>
                <w:noProof/>
                <w:webHidden/>
                <w:color w:val="000000" w:themeColor="text1"/>
                <w:sz w:val="24"/>
                <w:szCs w:val="24"/>
              </w:rPr>
              <w:fldChar w:fldCharType="end"/>
            </w:r>
          </w:hyperlink>
        </w:p>
        <w:p w14:paraId="58FF2027" w14:textId="2BC8D48F"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19" w:history="1">
            <w:r w:rsidRPr="0007743A">
              <w:rPr>
                <w:rStyle w:val="Hyperlink"/>
                <w:rFonts w:ascii="Arial" w:eastAsia="Arial" w:hAnsi="Arial" w:cs="Arial"/>
                <w:b/>
                <w:bCs/>
                <w:noProof/>
                <w:color w:val="000000" w:themeColor="text1"/>
                <w:sz w:val="24"/>
                <w:szCs w:val="24"/>
              </w:rPr>
              <w:t>2.3 Job Crafting and a Skills Based Architecture</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_Toc235137319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7</w:t>
            </w:r>
            <w:r w:rsidRPr="0007743A">
              <w:rPr>
                <w:rFonts w:ascii="Arial" w:hAnsi="Arial" w:cs="Arial"/>
                <w:noProof/>
                <w:webHidden/>
                <w:color w:val="000000" w:themeColor="text1"/>
                <w:sz w:val="24"/>
                <w:szCs w:val="24"/>
              </w:rPr>
              <w:fldChar w:fldCharType="end"/>
            </w:r>
          </w:hyperlink>
        </w:p>
        <w:p w14:paraId="4E815DB2" w14:textId="5E8C33DB"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20" w:history="1">
            <w:r w:rsidRPr="0007743A">
              <w:rPr>
                <w:rStyle w:val="Hyperlink"/>
                <w:rFonts w:ascii="Arial" w:eastAsia="Arial" w:hAnsi="Arial" w:cs="Arial"/>
                <w:b/>
                <w:bCs/>
                <w:noProof/>
                <w:color w:val="000000" w:themeColor="text1"/>
                <w:sz w:val="24"/>
                <w:szCs w:val="24"/>
              </w:rPr>
              <w:t>2.4 Limitations</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_Toc235137320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8</w:t>
            </w:r>
            <w:r w:rsidRPr="0007743A">
              <w:rPr>
                <w:rFonts w:ascii="Arial" w:hAnsi="Arial" w:cs="Arial"/>
                <w:noProof/>
                <w:webHidden/>
                <w:color w:val="000000" w:themeColor="text1"/>
                <w:sz w:val="24"/>
                <w:szCs w:val="24"/>
              </w:rPr>
              <w:fldChar w:fldCharType="end"/>
            </w:r>
          </w:hyperlink>
        </w:p>
        <w:p w14:paraId="53F45439" w14:textId="0DBED9FF"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21" w:history="1">
            <w:r w:rsidRPr="0007743A">
              <w:rPr>
                <w:rStyle w:val="Hyperlink"/>
                <w:rFonts w:ascii="Arial" w:eastAsia="Arial" w:hAnsi="Arial" w:cs="Arial"/>
                <w:b/>
                <w:bCs/>
                <w:noProof/>
                <w:color w:val="000000" w:themeColor="text1"/>
                <w:sz w:val="24"/>
                <w:szCs w:val="24"/>
              </w:rPr>
              <w:t>2.5 Sequencing and Evaluation</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_Toc235137321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8</w:t>
            </w:r>
            <w:r w:rsidRPr="0007743A">
              <w:rPr>
                <w:rFonts w:ascii="Arial" w:hAnsi="Arial" w:cs="Arial"/>
                <w:noProof/>
                <w:webHidden/>
                <w:color w:val="000000" w:themeColor="text1"/>
                <w:sz w:val="24"/>
                <w:szCs w:val="24"/>
              </w:rPr>
              <w:fldChar w:fldCharType="end"/>
            </w:r>
          </w:hyperlink>
        </w:p>
        <w:p w14:paraId="5F4FF163" w14:textId="23C3E86D"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22" w:history="1">
            <w:r w:rsidRPr="0007743A">
              <w:rPr>
                <w:rStyle w:val="Hyperlink"/>
                <w:rFonts w:ascii="Arial" w:eastAsia="Arial" w:hAnsi="Arial" w:cs="Arial"/>
                <w:noProof/>
                <w:color w:val="000000" w:themeColor="text1"/>
                <w:sz w:val="24"/>
                <w:szCs w:val="24"/>
              </w:rPr>
              <w:t>2.6 Key Performance Indicators</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_Toc235137322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9</w:t>
            </w:r>
            <w:r w:rsidRPr="0007743A">
              <w:rPr>
                <w:rFonts w:ascii="Arial" w:hAnsi="Arial" w:cs="Arial"/>
                <w:noProof/>
                <w:webHidden/>
                <w:color w:val="000000" w:themeColor="text1"/>
                <w:sz w:val="24"/>
                <w:szCs w:val="24"/>
              </w:rPr>
              <w:fldChar w:fldCharType="end"/>
            </w:r>
          </w:hyperlink>
        </w:p>
        <w:p w14:paraId="18EC4546" w14:textId="1322168B"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23" w:history="1">
            <w:r w:rsidRPr="0007743A">
              <w:rPr>
                <w:rStyle w:val="Hyperlink"/>
                <w:rFonts w:ascii="Arial" w:eastAsia="Arial" w:hAnsi="Arial" w:cs="Arial"/>
                <w:noProof/>
                <w:color w:val="000000" w:themeColor="text1"/>
                <w:sz w:val="24"/>
                <w:szCs w:val="24"/>
              </w:rPr>
              <w:t>2.7 Implementation Roadmap</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_Toc235137323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9</w:t>
            </w:r>
            <w:r w:rsidRPr="0007743A">
              <w:rPr>
                <w:rFonts w:ascii="Arial" w:hAnsi="Arial" w:cs="Arial"/>
                <w:noProof/>
                <w:webHidden/>
                <w:color w:val="000000" w:themeColor="text1"/>
                <w:sz w:val="24"/>
                <w:szCs w:val="24"/>
              </w:rPr>
              <w:fldChar w:fldCharType="end"/>
            </w:r>
          </w:hyperlink>
        </w:p>
        <w:p w14:paraId="3B2A4DE5" w14:textId="0B292A99" w:rsidR="00A508A4" w:rsidRPr="0007743A" w:rsidRDefault="00A508A4" w:rsidP="00740941">
          <w:pPr>
            <w:pStyle w:val="TOC2"/>
            <w:tabs>
              <w:tab w:val="right" w:leader="dot" w:pos="9350"/>
            </w:tabs>
            <w:spacing w:after="0" w:line="360" w:lineRule="auto"/>
            <w:jc w:val="both"/>
            <w:rPr>
              <w:rFonts w:ascii="Arial" w:hAnsi="Arial" w:cs="Arial"/>
              <w:noProof/>
              <w:color w:val="000000" w:themeColor="text1"/>
              <w:sz w:val="24"/>
              <w:szCs w:val="24"/>
            </w:rPr>
          </w:pPr>
          <w:hyperlink w:anchor="_Toc235137324" w:history="1">
            <w:r w:rsidRPr="0007743A">
              <w:rPr>
                <w:rStyle w:val="Hyperlink"/>
                <w:rFonts w:ascii="Arial" w:hAnsi="Arial" w:cs="Arial"/>
                <w:noProof/>
                <w:color w:val="000000" w:themeColor="text1"/>
                <w:sz w:val="24"/>
                <w:szCs w:val="24"/>
              </w:rPr>
              <w:t>Task C: Reflective Report</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_Toc235137324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10</w:t>
            </w:r>
            <w:r w:rsidRPr="0007743A">
              <w:rPr>
                <w:rFonts w:ascii="Arial" w:hAnsi="Arial" w:cs="Arial"/>
                <w:noProof/>
                <w:webHidden/>
                <w:color w:val="000000" w:themeColor="text1"/>
                <w:sz w:val="24"/>
                <w:szCs w:val="24"/>
              </w:rPr>
              <w:fldChar w:fldCharType="end"/>
            </w:r>
          </w:hyperlink>
        </w:p>
        <w:p w14:paraId="60FB1E42" w14:textId="3DA50ED9" w:rsidR="00A508A4" w:rsidRPr="0007743A" w:rsidRDefault="00A508A4" w:rsidP="00740941">
          <w:pPr>
            <w:pStyle w:val="TOC3"/>
            <w:tabs>
              <w:tab w:val="right" w:leader="dot" w:pos="9350"/>
            </w:tabs>
            <w:spacing w:after="0" w:line="360" w:lineRule="auto"/>
            <w:jc w:val="both"/>
            <w:rPr>
              <w:rFonts w:ascii="Arial" w:hAnsi="Arial" w:cs="Arial"/>
              <w:noProof/>
              <w:color w:val="000000" w:themeColor="text1"/>
              <w:sz w:val="24"/>
              <w:szCs w:val="24"/>
            </w:rPr>
          </w:pPr>
          <w:hyperlink w:anchor="_Toc235137325" w:history="1">
            <w:r w:rsidRPr="0007743A">
              <w:rPr>
                <w:rStyle w:val="Hyperlink"/>
                <w:rFonts w:ascii="Arial" w:hAnsi="Arial" w:cs="Arial"/>
                <w:noProof/>
                <w:color w:val="000000" w:themeColor="text1"/>
                <w:sz w:val="24"/>
                <w:szCs w:val="24"/>
              </w:rPr>
              <w:t>Using AI as a Decision-Support Tool Without Eroding Critical Judgement</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_Toc235137325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10</w:t>
            </w:r>
            <w:r w:rsidRPr="0007743A">
              <w:rPr>
                <w:rFonts w:ascii="Arial" w:hAnsi="Arial" w:cs="Arial"/>
                <w:noProof/>
                <w:webHidden/>
                <w:color w:val="000000" w:themeColor="text1"/>
                <w:sz w:val="24"/>
                <w:szCs w:val="24"/>
              </w:rPr>
              <w:fldChar w:fldCharType="end"/>
            </w:r>
          </w:hyperlink>
        </w:p>
        <w:p w14:paraId="1CC4C28A" w14:textId="68111859" w:rsidR="00A508A4" w:rsidRPr="0007743A" w:rsidRDefault="00A508A4" w:rsidP="00740941">
          <w:pPr>
            <w:pStyle w:val="TOC3"/>
            <w:tabs>
              <w:tab w:val="right" w:leader="dot" w:pos="9350"/>
            </w:tabs>
            <w:spacing w:after="0" w:line="360" w:lineRule="auto"/>
            <w:jc w:val="both"/>
            <w:rPr>
              <w:rFonts w:ascii="Arial" w:hAnsi="Arial" w:cs="Arial"/>
              <w:noProof/>
              <w:color w:val="000000" w:themeColor="text1"/>
              <w:sz w:val="24"/>
              <w:szCs w:val="24"/>
            </w:rPr>
          </w:pPr>
          <w:hyperlink w:anchor="_Toc235137326" w:history="1">
            <w:r w:rsidRPr="0007743A">
              <w:rPr>
                <w:rStyle w:val="Hyperlink"/>
                <w:rFonts w:ascii="Arial" w:hAnsi="Arial" w:cs="Arial"/>
                <w:noProof/>
                <w:color w:val="000000" w:themeColor="text1"/>
                <w:sz w:val="24"/>
                <w:szCs w:val="24"/>
              </w:rPr>
              <w:t>Personal Capability Development Plan</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_Toc235137326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10</w:t>
            </w:r>
            <w:r w:rsidRPr="0007743A">
              <w:rPr>
                <w:rFonts w:ascii="Arial" w:hAnsi="Arial" w:cs="Arial"/>
                <w:noProof/>
                <w:webHidden/>
                <w:color w:val="000000" w:themeColor="text1"/>
                <w:sz w:val="24"/>
                <w:szCs w:val="24"/>
              </w:rPr>
              <w:fldChar w:fldCharType="end"/>
            </w:r>
          </w:hyperlink>
        </w:p>
        <w:p w14:paraId="4367E593" w14:textId="1530A525" w:rsidR="00A508A4" w:rsidRPr="0007743A" w:rsidRDefault="00A508A4" w:rsidP="00740941">
          <w:pPr>
            <w:pStyle w:val="TOC1"/>
            <w:tabs>
              <w:tab w:val="right" w:leader="dot" w:pos="9350"/>
            </w:tabs>
            <w:spacing w:after="0" w:line="360" w:lineRule="auto"/>
            <w:jc w:val="both"/>
            <w:rPr>
              <w:rFonts w:ascii="Arial" w:hAnsi="Arial" w:cs="Arial"/>
              <w:noProof/>
              <w:color w:val="000000" w:themeColor="text1"/>
              <w:sz w:val="24"/>
              <w:szCs w:val="24"/>
            </w:rPr>
          </w:pPr>
          <w:hyperlink w:anchor="_Toc235137327" w:history="1">
            <w:r w:rsidRPr="0007743A">
              <w:rPr>
                <w:rStyle w:val="Hyperlink"/>
                <w:rFonts w:ascii="Arial" w:eastAsia="Arial" w:hAnsi="Arial" w:cs="Arial"/>
                <w:b/>
                <w:bCs/>
                <w:noProof/>
                <w:color w:val="000000" w:themeColor="text1"/>
                <w:sz w:val="24"/>
                <w:szCs w:val="24"/>
              </w:rPr>
              <w:t>References</w:t>
            </w:r>
            <w:r w:rsidRPr="0007743A">
              <w:rPr>
                <w:rFonts w:ascii="Arial" w:hAnsi="Arial" w:cs="Arial"/>
                <w:noProof/>
                <w:webHidden/>
                <w:color w:val="000000" w:themeColor="text1"/>
                <w:sz w:val="24"/>
                <w:szCs w:val="24"/>
              </w:rPr>
              <w:tab/>
            </w:r>
            <w:r w:rsidRPr="0007743A">
              <w:rPr>
                <w:rFonts w:ascii="Arial" w:hAnsi="Arial" w:cs="Arial"/>
                <w:noProof/>
                <w:webHidden/>
                <w:color w:val="000000" w:themeColor="text1"/>
                <w:sz w:val="24"/>
                <w:szCs w:val="24"/>
              </w:rPr>
              <w:fldChar w:fldCharType="begin"/>
            </w:r>
            <w:r w:rsidRPr="0007743A">
              <w:rPr>
                <w:rFonts w:ascii="Arial" w:hAnsi="Arial" w:cs="Arial"/>
                <w:noProof/>
                <w:webHidden/>
                <w:color w:val="000000" w:themeColor="text1"/>
                <w:sz w:val="24"/>
                <w:szCs w:val="24"/>
              </w:rPr>
              <w:instrText xml:space="preserve"> PAGEREF _Toc235137327 \h </w:instrText>
            </w:r>
            <w:r w:rsidRPr="0007743A">
              <w:rPr>
                <w:rFonts w:ascii="Arial" w:hAnsi="Arial" w:cs="Arial"/>
                <w:noProof/>
                <w:webHidden/>
                <w:color w:val="000000" w:themeColor="text1"/>
                <w:sz w:val="24"/>
                <w:szCs w:val="24"/>
              </w:rPr>
            </w:r>
            <w:r w:rsidRPr="0007743A">
              <w:rPr>
                <w:rFonts w:ascii="Arial" w:hAnsi="Arial" w:cs="Arial"/>
                <w:noProof/>
                <w:webHidden/>
                <w:color w:val="000000" w:themeColor="text1"/>
                <w:sz w:val="24"/>
                <w:szCs w:val="24"/>
              </w:rPr>
              <w:fldChar w:fldCharType="separate"/>
            </w:r>
            <w:r w:rsidR="00867590">
              <w:rPr>
                <w:rFonts w:ascii="Arial" w:hAnsi="Arial" w:cs="Arial"/>
                <w:noProof/>
                <w:webHidden/>
                <w:color w:val="000000" w:themeColor="text1"/>
                <w:sz w:val="24"/>
                <w:szCs w:val="24"/>
              </w:rPr>
              <w:t>12</w:t>
            </w:r>
            <w:r w:rsidRPr="0007743A">
              <w:rPr>
                <w:rFonts w:ascii="Arial" w:hAnsi="Arial" w:cs="Arial"/>
                <w:noProof/>
                <w:webHidden/>
                <w:color w:val="000000" w:themeColor="text1"/>
                <w:sz w:val="24"/>
                <w:szCs w:val="24"/>
              </w:rPr>
              <w:fldChar w:fldCharType="end"/>
            </w:r>
          </w:hyperlink>
        </w:p>
        <w:p w14:paraId="4E0651C1" w14:textId="2CAEEB0B" w:rsidR="00A508A4" w:rsidRPr="0007743A" w:rsidRDefault="00A508A4" w:rsidP="00740941">
          <w:pPr>
            <w:spacing w:line="360" w:lineRule="auto"/>
            <w:jc w:val="both"/>
            <w:rPr>
              <w:rFonts w:ascii="Arial" w:hAnsi="Arial" w:cs="Arial"/>
              <w:color w:val="000000" w:themeColor="text1"/>
              <w:sz w:val="24"/>
              <w:szCs w:val="24"/>
            </w:rPr>
          </w:pPr>
          <w:r w:rsidRPr="0007743A">
            <w:rPr>
              <w:rFonts w:ascii="Arial" w:hAnsi="Arial" w:cs="Arial"/>
              <w:b/>
              <w:bCs/>
              <w:noProof/>
              <w:color w:val="000000" w:themeColor="text1"/>
              <w:sz w:val="24"/>
              <w:szCs w:val="24"/>
            </w:rPr>
            <w:fldChar w:fldCharType="end"/>
          </w:r>
        </w:p>
      </w:sdtContent>
    </w:sdt>
    <w:p w14:paraId="419F0966" w14:textId="77777777" w:rsidR="00A508A4" w:rsidRPr="0007743A" w:rsidRDefault="00A508A4" w:rsidP="00740941">
      <w:pPr>
        <w:spacing w:line="360" w:lineRule="auto"/>
        <w:jc w:val="both"/>
        <w:rPr>
          <w:rFonts w:ascii="Arial" w:hAnsi="Arial" w:cs="Arial"/>
          <w:color w:val="000000" w:themeColor="text1"/>
          <w:sz w:val="24"/>
          <w:szCs w:val="24"/>
        </w:rPr>
      </w:pPr>
    </w:p>
    <w:p w14:paraId="3F533CFB" w14:textId="77777777" w:rsidR="00A508A4" w:rsidRPr="0007743A" w:rsidRDefault="00A508A4" w:rsidP="00740941">
      <w:pPr>
        <w:spacing w:line="360" w:lineRule="auto"/>
        <w:jc w:val="both"/>
        <w:rPr>
          <w:rFonts w:ascii="Arial" w:hAnsi="Arial" w:cs="Arial"/>
          <w:color w:val="000000" w:themeColor="text1"/>
          <w:sz w:val="24"/>
          <w:szCs w:val="24"/>
        </w:rPr>
      </w:pPr>
    </w:p>
    <w:p w14:paraId="6A2EA94A" w14:textId="77777777" w:rsidR="00A508A4" w:rsidRPr="0007743A" w:rsidRDefault="00A508A4" w:rsidP="00740941">
      <w:pPr>
        <w:spacing w:line="360" w:lineRule="auto"/>
        <w:jc w:val="both"/>
        <w:rPr>
          <w:rFonts w:ascii="Arial" w:hAnsi="Arial" w:cs="Arial"/>
          <w:color w:val="000000" w:themeColor="text1"/>
          <w:sz w:val="24"/>
          <w:szCs w:val="24"/>
        </w:rPr>
      </w:pPr>
    </w:p>
    <w:p w14:paraId="2EEAF6D1" w14:textId="77777777" w:rsidR="00A508A4" w:rsidRPr="0007743A" w:rsidRDefault="00A508A4" w:rsidP="00740941">
      <w:pPr>
        <w:spacing w:line="360" w:lineRule="auto"/>
        <w:jc w:val="both"/>
        <w:rPr>
          <w:rFonts w:ascii="Arial" w:hAnsi="Arial" w:cs="Arial"/>
          <w:color w:val="000000" w:themeColor="text1"/>
          <w:sz w:val="24"/>
          <w:szCs w:val="24"/>
        </w:rPr>
      </w:pPr>
    </w:p>
    <w:p w14:paraId="16E37B58" w14:textId="77777777" w:rsidR="00A508A4" w:rsidRPr="0007743A" w:rsidRDefault="00A508A4" w:rsidP="00740941">
      <w:pPr>
        <w:spacing w:line="360" w:lineRule="auto"/>
        <w:jc w:val="both"/>
        <w:rPr>
          <w:rFonts w:ascii="Arial" w:hAnsi="Arial" w:cs="Arial"/>
          <w:color w:val="000000" w:themeColor="text1"/>
          <w:sz w:val="24"/>
          <w:szCs w:val="24"/>
        </w:rPr>
      </w:pPr>
    </w:p>
    <w:p w14:paraId="24BE222B" w14:textId="77777777" w:rsidR="00A508A4" w:rsidRPr="0007743A" w:rsidRDefault="00A508A4" w:rsidP="00740941">
      <w:pPr>
        <w:spacing w:line="360" w:lineRule="auto"/>
        <w:jc w:val="both"/>
        <w:rPr>
          <w:rFonts w:ascii="Arial" w:hAnsi="Arial" w:cs="Arial"/>
          <w:color w:val="000000" w:themeColor="text1"/>
          <w:sz w:val="24"/>
          <w:szCs w:val="24"/>
        </w:rPr>
      </w:pPr>
    </w:p>
    <w:p w14:paraId="1737D1D7" w14:textId="77777777" w:rsidR="00A508A4" w:rsidRPr="0007743A" w:rsidRDefault="00A508A4" w:rsidP="00740941">
      <w:pPr>
        <w:spacing w:line="360" w:lineRule="auto"/>
        <w:jc w:val="both"/>
        <w:rPr>
          <w:rFonts w:ascii="Arial" w:hAnsi="Arial" w:cs="Arial"/>
          <w:color w:val="000000" w:themeColor="text1"/>
          <w:sz w:val="24"/>
          <w:szCs w:val="24"/>
        </w:rPr>
      </w:pPr>
    </w:p>
    <w:p w14:paraId="30D69736" w14:textId="77777777" w:rsidR="00A508A4" w:rsidRPr="0007743A" w:rsidRDefault="00A508A4" w:rsidP="00740941">
      <w:pPr>
        <w:spacing w:line="360" w:lineRule="auto"/>
        <w:jc w:val="both"/>
        <w:rPr>
          <w:rFonts w:ascii="Arial" w:hAnsi="Arial" w:cs="Arial"/>
          <w:color w:val="000000" w:themeColor="text1"/>
          <w:sz w:val="24"/>
          <w:szCs w:val="24"/>
        </w:rPr>
      </w:pPr>
    </w:p>
    <w:p w14:paraId="115AA31C" w14:textId="77777777" w:rsidR="00A508A4" w:rsidRPr="0007743A" w:rsidRDefault="00A508A4" w:rsidP="00740941">
      <w:pPr>
        <w:spacing w:line="360" w:lineRule="auto"/>
        <w:jc w:val="both"/>
        <w:rPr>
          <w:rFonts w:ascii="Arial" w:hAnsi="Arial" w:cs="Arial"/>
          <w:color w:val="000000" w:themeColor="text1"/>
          <w:sz w:val="24"/>
          <w:szCs w:val="24"/>
        </w:rPr>
      </w:pPr>
    </w:p>
    <w:p w14:paraId="002506B7" w14:textId="77777777" w:rsidR="00923009" w:rsidRPr="0007743A" w:rsidRDefault="00923009" w:rsidP="00740941">
      <w:pPr>
        <w:spacing w:line="360" w:lineRule="auto"/>
        <w:jc w:val="both"/>
        <w:rPr>
          <w:rFonts w:ascii="Arial" w:hAnsi="Arial" w:cs="Arial"/>
          <w:color w:val="000000" w:themeColor="text1"/>
          <w:sz w:val="24"/>
          <w:szCs w:val="24"/>
        </w:rPr>
      </w:pPr>
    </w:p>
    <w:p w14:paraId="760C1DD0" w14:textId="77777777" w:rsidR="004F4A16" w:rsidRPr="0007743A" w:rsidRDefault="00000000" w:rsidP="00740941">
      <w:pPr>
        <w:pStyle w:val="Heading1"/>
        <w:spacing w:line="360" w:lineRule="auto"/>
        <w:jc w:val="both"/>
        <w:rPr>
          <w:rFonts w:ascii="Arial" w:hAnsi="Arial" w:cs="Arial"/>
          <w:color w:val="000000" w:themeColor="text1"/>
          <w:sz w:val="24"/>
          <w:szCs w:val="24"/>
        </w:rPr>
      </w:pPr>
      <w:bookmarkStart w:id="0" w:name="_Toc235137309"/>
      <w:r w:rsidRPr="0007743A">
        <w:rPr>
          <w:rFonts w:ascii="Arial" w:eastAsia="Arial" w:hAnsi="Arial" w:cs="Arial"/>
          <w:b/>
          <w:bCs/>
          <w:color w:val="000000" w:themeColor="text1"/>
          <w:sz w:val="24"/>
          <w:szCs w:val="24"/>
        </w:rPr>
        <w:lastRenderedPageBreak/>
        <w:t>Introduction</w:t>
      </w:r>
      <w:bookmarkEnd w:id="0"/>
    </w:p>
    <w:p w14:paraId="4FBBD6E7" w14:textId="53F150A3" w:rsidR="00AC7AF2" w:rsidRPr="0007743A" w:rsidRDefault="00AC7AF2" w:rsidP="00740941">
      <w:pPr>
        <w:spacing w:line="360" w:lineRule="auto"/>
        <w:jc w:val="both"/>
        <w:rPr>
          <w:rFonts w:ascii="Arial" w:hAnsi="Arial" w:cs="Arial"/>
          <w:color w:val="000000" w:themeColor="text1"/>
          <w:sz w:val="24"/>
          <w:szCs w:val="24"/>
        </w:rPr>
      </w:pPr>
      <w:r w:rsidRPr="0007743A">
        <w:rPr>
          <w:rFonts w:ascii="Arial" w:hAnsi="Arial" w:cs="Arial"/>
          <w:color w:val="000000" w:themeColor="text1"/>
          <w:sz w:val="24"/>
          <w:szCs w:val="24"/>
        </w:rPr>
        <w:t xml:space="preserve">In five years, Helios Urban Mobility has expanded its workforce from a small founding team to 450 employees in London, Berlin and Singapore – and its people systems are not keeping up. One gap is indicated by an eight month ramp up time, a 54 percent engagement score and disproportionate graduate attrition. This report tackles two related challenges: Task A focuses on designing a </w:t>
      </w:r>
      <w:proofErr w:type="spellStart"/>
      <w:r w:rsidRPr="0007743A">
        <w:rPr>
          <w:rFonts w:ascii="Arial" w:hAnsi="Arial" w:cs="Arial"/>
          <w:color w:val="000000" w:themeColor="text1"/>
          <w:sz w:val="24"/>
          <w:szCs w:val="24"/>
        </w:rPr>
        <w:t>socialisation</w:t>
      </w:r>
      <w:proofErr w:type="spellEnd"/>
      <w:r w:rsidRPr="0007743A">
        <w:rPr>
          <w:rFonts w:ascii="Arial" w:hAnsi="Arial" w:cs="Arial"/>
          <w:color w:val="000000" w:themeColor="text1"/>
          <w:sz w:val="24"/>
          <w:szCs w:val="24"/>
        </w:rPr>
        <w:t xml:space="preserve"> architecture building committed, activist minded employees, while Task B aims to redesign jobs to increase motivation and innovation, based on critically evaluated evidence.</w:t>
      </w:r>
    </w:p>
    <w:p w14:paraId="20CE9D65" w14:textId="320BFD48" w:rsidR="004F4A16" w:rsidRPr="0007743A" w:rsidRDefault="00000000" w:rsidP="00740941">
      <w:pPr>
        <w:pStyle w:val="Heading1"/>
        <w:spacing w:line="360" w:lineRule="auto"/>
        <w:jc w:val="both"/>
        <w:rPr>
          <w:rFonts w:ascii="Arial" w:hAnsi="Arial" w:cs="Arial"/>
          <w:b/>
          <w:bCs/>
          <w:color w:val="000000" w:themeColor="text1"/>
          <w:sz w:val="24"/>
          <w:szCs w:val="24"/>
        </w:rPr>
      </w:pPr>
      <w:bookmarkStart w:id="1" w:name="_Toc235137310"/>
      <w:r w:rsidRPr="0007743A">
        <w:rPr>
          <w:rFonts w:ascii="Arial" w:eastAsia="Arial" w:hAnsi="Arial" w:cs="Arial"/>
          <w:b/>
          <w:bCs/>
          <w:color w:val="000000" w:themeColor="text1"/>
          <w:sz w:val="24"/>
          <w:szCs w:val="24"/>
        </w:rPr>
        <w:t xml:space="preserve">Task A: </w:t>
      </w:r>
      <w:proofErr w:type="spellStart"/>
      <w:r w:rsidRPr="0007743A">
        <w:rPr>
          <w:rFonts w:ascii="Arial" w:eastAsia="Arial" w:hAnsi="Arial" w:cs="Arial"/>
          <w:b/>
          <w:bCs/>
          <w:color w:val="000000" w:themeColor="text1"/>
          <w:sz w:val="24"/>
          <w:szCs w:val="24"/>
        </w:rPr>
        <w:t>Socialisation</w:t>
      </w:r>
      <w:proofErr w:type="spellEnd"/>
      <w:r w:rsidRPr="0007743A">
        <w:rPr>
          <w:rFonts w:ascii="Arial" w:eastAsia="Arial" w:hAnsi="Arial" w:cs="Arial"/>
          <w:b/>
          <w:bCs/>
          <w:color w:val="000000" w:themeColor="text1"/>
          <w:sz w:val="24"/>
          <w:szCs w:val="24"/>
        </w:rPr>
        <w:t>, Identity and Business Activism</w:t>
      </w:r>
      <w:bookmarkEnd w:id="1"/>
    </w:p>
    <w:p w14:paraId="3178EF81" w14:textId="1C97FC3D" w:rsidR="004F4A16" w:rsidRPr="0007743A" w:rsidRDefault="005809ED" w:rsidP="00740941">
      <w:pPr>
        <w:pStyle w:val="Heading2"/>
        <w:spacing w:line="360" w:lineRule="auto"/>
        <w:jc w:val="both"/>
        <w:rPr>
          <w:rFonts w:ascii="Arial" w:hAnsi="Arial" w:cs="Arial"/>
          <w:color w:val="000000" w:themeColor="text1"/>
          <w:sz w:val="24"/>
          <w:szCs w:val="24"/>
        </w:rPr>
      </w:pPr>
      <w:bookmarkStart w:id="2" w:name="_Toc235137311"/>
      <w:r w:rsidRPr="0007743A">
        <w:rPr>
          <w:rFonts w:ascii="Arial" w:eastAsia="Arial" w:hAnsi="Arial" w:cs="Arial"/>
          <w:b/>
          <w:bCs/>
          <w:color w:val="000000" w:themeColor="text1"/>
          <w:sz w:val="24"/>
          <w:szCs w:val="24"/>
        </w:rPr>
        <w:t xml:space="preserve">1.1 From Onboarding to Strategic </w:t>
      </w:r>
      <w:proofErr w:type="spellStart"/>
      <w:r w:rsidRPr="0007743A">
        <w:rPr>
          <w:rFonts w:ascii="Arial" w:eastAsia="Arial" w:hAnsi="Arial" w:cs="Arial"/>
          <w:b/>
          <w:bCs/>
          <w:color w:val="000000" w:themeColor="text1"/>
          <w:sz w:val="24"/>
          <w:szCs w:val="24"/>
        </w:rPr>
        <w:t>Socialisation</w:t>
      </w:r>
      <w:bookmarkEnd w:id="2"/>
      <w:proofErr w:type="spellEnd"/>
    </w:p>
    <w:p w14:paraId="466A0084" w14:textId="0A9F1F2F" w:rsidR="00AC7AF2" w:rsidRPr="0007743A" w:rsidRDefault="00AC7AF2" w:rsidP="00740941">
      <w:pPr>
        <w:spacing w:line="360" w:lineRule="auto"/>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Traditional onboarding sees the first few weeks of a new employee's life as an event in which contracts are signed, equipment is issued, and then the new employee is expected to start working. This is rephrased as </w:t>
      </w:r>
      <w:proofErr w:type="spellStart"/>
      <w:r w:rsidRPr="0007743A">
        <w:rPr>
          <w:rFonts w:ascii="Arial" w:eastAsia="Arial" w:hAnsi="Arial" w:cs="Arial"/>
          <w:color w:val="000000" w:themeColor="text1"/>
          <w:sz w:val="24"/>
          <w:szCs w:val="24"/>
        </w:rPr>
        <w:t>organisational</w:t>
      </w:r>
      <w:proofErr w:type="spellEnd"/>
      <w:r w:rsidRPr="0007743A">
        <w:rPr>
          <w:rFonts w:ascii="Arial" w:eastAsia="Arial" w:hAnsi="Arial" w:cs="Arial"/>
          <w:color w:val="000000" w:themeColor="text1"/>
          <w:sz w:val="24"/>
          <w:szCs w:val="24"/>
        </w:rPr>
        <w:t xml:space="preserve"> </w:t>
      </w:r>
      <w:proofErr w:type="spellStart"/>
      <w:r w:rsidRPr="0007743A">
        <w:rPr>
          <w:rFonts w:ascii="Arial" w:eastAsia="Arial" w:hAnsi="Arial" w:cs="Arial"/>
          <w:color w:val="000000" w:themeColor="text1"/>
          <w:sz w:val="24"/>
          <w:szCs w:val="24"/>
        </w:rPr>
        <w:t>socialisation</w:t>
      </w:r>
      <w:proofErr w:type="spellEnd"/>
      <w:r w:rsidRPr="0007743A">
        <w:rPr>
          <w:rFonts w:ascii="Arial" w:eastAsia="Arial" w:hAnsi="Arial" w:cs="Arial"/>
          <w:color w:val="000000" w:themeColor="text1"/>
          <w:sz w:val="24"/>
          <w:szCs w:val="24"/>
        </w:rPr>
        <w:t xml:space="preserve"> theory (Van Maanen and Schein, 1979), which sees it as deliberate practices, which can differ across six dimensions: collective versus individual; formal versus informal; sequential versus random; fixed versus variable; serial versus disjunctive; and investiture versus divestiture. Where onboarding is a checklist, </w:t>
      </w:r>
      <w:proofErr w:type="spellStart"/>
      <w:r w:rsidRPr="0007743A">
        <w:rPr>
          <w:rFonts w:ascii="Arial" w:eastAsia="Arial" w:hAnsi="Arial" w:cs="Arial"/>
          <w:color w:val="000000" w:themeColor="text1"/>
          <w:sz w:val="24"/>
          <w:szCs w:val="24"/>
        </w:rPr>
        <w:t>socialisation</w:t>
      </w:r>
      <w:proofErr w:type="spellEnd"/>
      <w:r w:rsidRPr="0007743A">
        <w:rPr>
          <w:rFonts w:ascii="Arial" w:eastAsia="Arial" w:hAnsi="Arial" w:cs="Arial"/>
          <w:color w:val="000000" w:themeColor="text1"/>
          <w:sz w:val="24"/>
          <w:szCs w:val="24"/>
        </w:rPr>
        <w:t xml:space="preserve"> is a strategy; and this is important for Helios since an eight-month ramp up is the signature of an individual, informal, disjunctive process, where each hire builds their own path, little shared structure. A complementary perspective is provided by psychological contract theory, which considers adjustment as an implicit reciprocal belief, not just an observable tactic.</w:t>
      </w:r>
    </w:p>
    <w:p w14:paraId="2A89B0CD" w14:textId="3682C36D" w:rsidR="004F4A16" w:rsidRPr="0007743A" w:rsidRDefault="005809ED" w:rsidP="00740941">
      <w:pPr>
        <w:pStyle w:val="Heading2"/>
        <w:spacing w:line="360" w:lineRule="auto"/>
        <w:jc w:val="both"/>
        <w:rPr>
          <w:rFonts w:ascii="Arial" w:hAnsi="Arial" w:cs="Arial"/>
          <w:color w:val="000000" w:themeColor="text1"/>
          <w:sz w:val="24"/>
          <w:szCs w:val="24"/>
        </w:rPr>
      </w:pPr>
      <w:bookmarkStart w:id="3" w:name="_Toc235137312"/>
      <w:r w:rsidRPr="0007743A">
        <w:rPr>
          <w:rFonts w:ascii="Arial" w:eastAsia="Arial" w:hAnsi="Arial" w:cs="Arial"/>
          <w:b/>
          <w:bCs/>
          <w:color w:val="000000" w:themeColor="text1"/>
          <w:sz w:val="24"/>
          <w:szCs w:val="24"/>
        </w:rPr>
        <w:t xml:space="preserve">1.2 A Critical Comparison of </w:t>
      </w:r>
      <w:proofErr w:type="spellStart"/>
      <w:r w:rsidRPr="0007743A">
        <w:rPr>
          <w:rFonts w:ascii="Arial" w:eastAsia="Arial" w:hAnsi="Arial" w:cs="Arial"/>
          <w:b/>
          <w:bCs/>
          <w:color w:val="000000" w:themeColor="text1"/>
          <w:sz w:val="24"/>
          <w:szCs w:val="24"/>
        </w:rPr>
        <w:t>Socialisation</w:t>
      </w:r>
      <w:proofErr w:type="spellEnd"/>
      <w:r w:rsidRPr="0007743A">
        <w:rPr>
          <w:rFonts w:ascii="Arial" w:eastAsia="Arial" w:hAnsi="Arial" w:cs="Arial"/>
          <w:b/>
          <w:bCs/>
          <w:color w:val="000000" w:themeColor="text1"/>
          <w:sz w:val="24"/>
          <w:szCs w:val="24"/>
        </w:rPr>
        <w:t xml:space="preserve"> and Identification Theory</w:t>
      </w:r>
      <w:bookmarkEnd w:id="3"/>
    </w:p>
    <w:p w14:paraId="52573640" w14:textId="2C781D53" w:rsidR="000E0B72" w:rsidRPr="0007743A" w:rsidRDefault="000E0B72" w:rsidP="00740941">
      <w:pPr>
        <w:spacing w:line="360" w:lineRule="auto"/>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These traditions are not as harmonious as they are sometimes made out to be. Van Maanen and Schein take the </w:t>
      </w:r>
      <w:proofErr w:type="spellStart"/>
      <w:r w:rsidRPr="0007743A">
        <w:rPr>
          <w:rFonts w:ascii="Arial" w:eastAsia="Arial" w:hAnsi="Arial" w:cs="Arial"/>
          <w:color w:val="000000" w:themeColor="text1"/>
          <w:sz w:val="24"/>
          <w:szCs w:val="24"/>
        </w:rPr>
        <w:t>socialisation</w:t>
      </w:r>
      <w:proofErr w:type="spellEnd"/>
      <w:r w:rsidRPr="0007743A">
        <w:rPr>
          <w:rFonts w:ascii="Arial" w:eastAsia="Arial" w:hAnsi="Arial" w:cs="Arial"/>
          <w:color w:val="000000" w:themeColor="text1"/>
          <w:sz w:val="24"/>
          <w:szCs w:val="24"/>
        </w:rPr>
        <w:t xml:space="preserve"> as an activity that an </w:t>
      </w:r>
      <w:proofErr w:type="spellStart"/>
      <w:r w:rsidRPr="0007743A">
        <w:rPr>
          <w:rFonts w:ascii="Arial" w:eastAsia="Arial" w:hAnsi="Arial" w:cs="Arial"/>
          <w:color w:val="000000" w:themeColor="text1"/>
          <w:sz w:val="24"/>
          <w:szCs w:val="24"/>
        </w:rPr>
        <w:t>organisation</w:t>
      </w:r>
      <w:proofErr w:type="spellEnd"/>
      <w:r w:rsidRPr="0007743A">
        <w:rPr>
          <w:rFonts w:ascii="Arial" w:eastAsia="Arial" w:hAnsi="Arial" w:cs="Arial"/>
          <w:color w:val="000000" w:themeColor="text1"/>
          <w:sz w:val="24"/>
          <w:szCs w:val="24"/>
        </w:rPr>
        <w:t xml:space="preserve"> does to a newcomer, and they adopt a </w:t>
      </w:r>
      <w:proofErr w:type="gramStart"/>
      <w:r w:rsidRPr="0007743A">
        <w:rPr>
          <w:rFonts w:ascii="Arial" w:eastAsia="Arial" w:hAnsi="Arial" w:cs="Arial"/>
          <w:color w:val="000000" w:themeColor="text1"/>
          <w:sz w:val="24"/>
          <w:szCs w:val="24"/>
        </w:rPr>
        <w:t>top down</w:t>
      </w:r>
      <w:proofErr w:type="gramEnd"/>
      <w:r w:rsidRPr="0007743A">
        <w:rPr>
          <w:rFonts w:ascii="Arial" w:eastAsia="Arial" w:hAnsi="Arial" w:cs="Arial"/>
          <w:color w:val="000000" w:themeColor="text1"/>
          <w:sz w:val="24"/>
          <w:szCs w:val="24"/>
        </w:rPr>
        <w:t xml:space="preserve"> perspective of the structure of </w:t>
      </w:r>
      <w:proofErr w:type="spellStart"/>
      <w:r w:rsidRPr="0007743A">
        <w:rPr>
          <w:rFonts w:ascii="Arial" w:eastAsia="Arial" w:hAnsi="Arial" w:cs="Arial"/>
          <w:color w:val="000000" w:themeColor="text1"/>
          <w:sz w:val="24"/>
          <w:szCs w:val="24"/>
        </w:rPr>
        <w:t>socialisation</w:t>
      </w:r>
      <w:proofErr w:type="spellEnd"/>
      <w:r w:rsidRPr="0007743A">
        <w:rPr>
          <w:rFonts w:ascii="Arial" w:eastAsia="Arial" w:hAnsi="Arial" w:cs="Arial"/>
          <w:color w:val="000000" w:themeColor="text1"/>
          <w:sz w:val="24"/>
          <w:szCs w:val="24"/>
        </w:rPr>
        <w:t xml:space="preserve">. Decades later, Bauer et al. (2025) complicate this, suggesting that adjustment is more about being accepted socially and the proactive </w:t>
      </w:r>
      <w:proofErr w:type="spellStart"/>
      <w:r w:rsidRPr="0007743A">
        <w:rPr>
          <w:rFonts w:ascii="Arial" w:eastAsia="Arial" w:hAnsi="Arial" w:cs="Arial"/>
          <w:color w:val="000000" w:themeColor="text1"/>
          <w:sz w:val="24"/>
          <w:szCs w:val="24"/>
        </w:rPr>
        <w:t>behaviour</w:t>
      </w:r>
      <w:proofErr w:type="spellEnd"/>
      <w:r w:rsidRPr="0007743A">
        <w:rPr>
          <w:rFonts w:ascii="Arial" w:eastAsia="Arial" w:hAnsi="Arial" w:cs="Arial"/>
          <w:color w:val="000000" w:themeColor="text1"/>
          <w:sz w:val="24"/>
          <w:szCs w:val="24"/>
        </w:rPr>
        <w:t xml:space="preserve"> of the newcomer than formal tactics, which is more of a </w:t>
      </w:r>
      <w:proofErr w:type="gramStart"/>
      <w:r w:rsidRPr="0007743A">
        <w:rPr>
          <w:rFonts w:ascii="Arial" w:eastAsia="Arial" w:hAnsi="Arial" w:cs="Arial"/>
          <w:color w:val="000000" w:themeColor="text1"/>
          <w:sz w:val="24"/>
          <w:szCs w:val="24"/>
        </w:rPr>
        <w:t>bottom up</w:t>
      </w:r>
      <w:proofErr w:type="gramEnd"/>
      <w:r w:rsidRPr="0007743A">
        <w:rPr>
          <w:rFonts w:ascii="Arial" w:eastAsia="Arial" w:hAnsi="Arial" w:cs="Arial"/>
          <w:color w:val="000000" w:themeColor="text1"/>
          <w:sz w:val="24"/>
          <w:szCs w:val="24"/>
        </w:rPr>
        <w:t xml:space="preserve"> process than the classical </w:t>
      </w:r>
      <w:proofErr w:type="spellStart"/>
      <w:r w:rsidRPr="0007743A">
        <w:rPr>
          <w:rFonts w:ascii="Arial" w:eastAsia="Arial" w:hAnsi="Arial" w:cs="Arial"/>
          <w:color w:val="000000" w:themeColor="text1"/>
          <w:sz w:val="24"/>
          <w:szCs w:val="24"/>
        </w:rPr>
        <w:t>socialisation</w:t>
      </w:r>
      <w:proofErr w:type="spellEnd"/>
      <w:r w:rsidRPr="0007743A">
        <w:rPr>
          <w:rFonts w:ascii="Arial" w:eastAsia="Arial" w:hAnsi="Arial" w:cs="Arial"/>
          <w:color w:val="000000" w:themeColor="text1"/>
          <w:sz w:val="24"/>
          <w:szCs w:val="24"/>
        </w:rPr>
        <w:t xml:space="preserve">. A second tension is between Jiang et al. (2022) who model contract breach at the individual dyad and Divya and Christopher (2024) who treat identification as cumulative and collective. A dyadic gap can be resolved with one competent manager, but a collective gap, which is </w:t>
      </w:r>
      <w:r w:rsidRPr="0007743A">
        <w:rPr>
          <w:rFonts w:ascii="Arial" w:eastAsia="Arial" w:hAnsi="Arial" w:cs="Arial"/>
          <w:color w:val="000000" w:themeColor="text1"/>
          <w:sz w:val="24"/>
          <w:szCs w:val="24"/>
        </w:rPr>
        <w:lastRenderedPageBreak/>
        <w:t>apparent in a level engagement score of 54 percent in three countries, cannot. Helios requires interventions at both levels – a named buddy for dyadic contract management and a cohort level narrative for collective identification – not one onboarding fix.</w:t>
      </w:r>
    </w:p>
    <w:p w14:paraId="4DA4343E" w14:textId="3398FF67" w:rsidR="004F4A16" w:rsidRPr="0007743A" w:rsidRDefault="005809ED" w:rsidP="00740941">
      <w:pPr>
        <w:pStyle w:val="Heading2"/>
        <w:spacing w:line="360" w:lineRule="auto"/>
        <w:jc w:val="both"/>
        <w:rPr>
          <w:rFonts w:ascii="Arial" w:hAnsi="Arial" w:cs="Arial"/>
          <w:color w:val="000000" w:themeColor="text1"/>
          <w:sz w:val="24"/>
          <w:szCs w:val="24"/>
        </w:rPr>
      </w:pPr>
      <w:bookmarkStart w:id="4" w:name="_Toc235137313"/>
      <w:r w:rsidRPr="0007743A">
        <w:rPr>
          <w:rFonts w:ascii="Arial" w:eastAsia="Arial" w:hAnsi="Arial" w:cs="Arial"/>
          <w:b/>
          <w:bCs/>
          <w:color w:val="000000" w:themeColor="text1"/>
          <w:sz w:val="24"/>
          <w:szCs w:val="24"/>
        </w:rPr>
        <w:t xml:space="preserve">1.3 A Structured </w:t>
      </w:r>
      <w:proofErr w:type="spellStart"/>
      <w:r w:rsidRPr="0007743A">
        <w:rPr>
          <w:rFonts w:ascii="Arial" w:eastAsia="Arial" w:hAnsi="Arial" w:cs="Arial"/>
          <w:b/>
          <w:bCs/>
          <w:color w:val="000000" w:themeColor="text1"/>
          <w:sz w:val="24"/>
          <w:szCs w:val="24"/>
        </w:rPr>
        <w:t>Socialisation</w:t>
      </w:r>
      <w:proofErr w:type="spellEnd"/>
      <w:r w:rsidRPr="0007743A">
        <w:rPr>
          <w:rFonts w:ascii="Arial" w:eastAsia="Arial" w:hAnsi="Arial" w:cs="Arial"/>
          <w:b/>
          <w:bCs/>
          <w:color w:val="000000" w:themeColor="text1"/>
          <w:sz w:val="24"/>
          <w:szCs w:val="24"/>
        </w:rPr>
        <w:t xml:space="preserve"> Framework for Helios</w:t>
      </w:r>
      <w:bookmarkEnd w:id="4"/>
    </w:p>
    <w:p w14:paraId="4AEDF15D" w14:textId="5C3CC813" w:rsidR="00962E71" w:rsidRPr="0007743A" w:rsidRDefault="00962E71" w:rsidP="00740941">
      <w:pPr>
        <w:spacing w:line="360" w:lineRule="auto"/>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This is translated in Figure 1 and Table 1 into a </w:t>
      </w:r>
      <w:proofErr w:type="gramStart"/>
      <w:r w:rsidRPr="0007743A">
        <w:rPr>
          <w:rFonts w:ascii="Arial" w:eastAsia="Arial" w:hAnsi="Arial" w:cs="Arial"/>
          <w:color w:val="000000" w:themeColor="text1"/>
          <w:sz w:val="24"/>
          <w:szCs w:val="24"/>
        </w:rPr>
        <w:t>three phase</w:t>
      </w:r>
      <w:proofErr w:type="gramEnd"/>
      <w:r w:rsidRPr="0007743A">
        <w:rPr>
          <w:rFonts w:ascii="Arial" w:eastAsia="Arial" w:hAnsi="Arial" w:cs="Arial"/>
          <w:color w:val="000000" w:themeColor="text1"/>
          <w:sz w:val="24"/>
          <w:szCs w:val="24"/>
        </w:rPr>
        <w:t xml:space="preserve"> architecture, </w:t>
      </w:r>
      <w:proofErr w:type="gramStart"/>
      <w:r w:rsidRPr="0007743A">
        <w:rPr>
          <w:rFonts w:ascii="Arial" w:eastAsia="Arial" w:hAnsi="Arial" w:cs="Arial"/>
          <w:color w:val="000000" w:themeColor="text1"/>
          <w:sz w:val="24"/>
          <w:szCs w:val="24"/>
        </w:rPr>
        <w:t>pre boarding</w:t>
      </w:r>
      <w:proofErr w:type="gramEnd"/>
      <w:r w:rsidRPr="0007743A">
        <w:rPr>
          <w:rFonts w:ascii="Arial" w:eastAsia="Arial" w:hAnsi="Arial" w:cs="Arial"/>
          <w:color w:val="000000" w:themeColor="text1"/>
          <w:sz w:val="24"/>
          <w:szCs w:val="24"/>
        </w:rPr>
        <w:t xml:space="preserve">, the first 90 days and year one, moving intentionally towards individual and informal, then formal and collective, and finally relaxing towards investiture when identity has been achieved. The design directly addresses Helios's figures, a realistic job preview at </w:t>
      </w:r>
      <w:proofErr w:type="gramStart"/>
      <w:r w:rsidRPr="0007743A">
        <w:rPr>
          <w:rFonts w:ascii="Arial" w:eastAsia="Arial" w:hAnsi="Arial" w:cs="Arial"/>
          <w:color w:val="000000" w:themeColor="text1"/>
          <w:sz w:val="24"/>
          <w:szCs w:val="24"/>
        </w:rPr>
        <w:t>pre boarding</w:t>
      </w:r>
      <w:proofErr w:type="gramEnd"/>
      <w:r w:rsidRPr="0007743A">
        <w:rPr>
          <w:rFonts w:ascii="Arial" w:eastAsia="Arial" w:hAnsi="Arial" w:cs="Arial"/>
          <w:color w:val="000000" w:themeColor="text1"/>
          <w:sz w:val="24"/>
          <w:szCs w:val="24"/>
        </w:rPr>
        <w:t xml:space="preserve"> is designed to reduce the extent of the contract inflation that is likely to contribute to the </w:t>
      </w:r>
      <w:proofErr w:type="gramStart"/>
      <w:r w:rsidRPr="0007743A">
        <w:rPr>
          <w:rFonts w:ascii="Arial" w:eastAsia="Arial" w:hAnsi="Arial" w:cs="Arial"/>
          <w:color w:val="000000" w:themeColor="text1"/>
          <w:sz w:val="24"/>
          <w:szCs w:val="24"/>
        </w:rPr>
        <w:t>eight month</w:t>
      </w:r>
      <w:proofErr w:type="gramEnd"/>
      <w:r w:rsidRPr="0007743A">
        <w:rPr>
          <w:rFonts w:ascii="Arial" w:eastAsia="Arial" w:hAnsi="Arial" w:cs="Arial"/>
          <w:color w:val="000000" w:themeColor="text1"/>
          <w:sz w:val="24"/>
          <w:szCs w:val="24"/>
        </w:rPr>
        <w:t xml:space="preserve"> ramp up, and the civic sponsor mechanism in the first 90 days will ensure that every hire has a stakeholder facing task within the time window when Bauer et al. (2025) find proactive </w:t>
      </w:r>
      <w:proofErr w:type="spellStart"/>
      <w:r w:rsidRPr="0007743A">
        <w:rPr>
          <w:rFonts w:ascii="Arial" w:eastAsia="Arial" w:hAnsi="Arial" w:cs="Arial"/>
          <w:color w:val="000000" w:themeColor="text1"/>
          <w:sz w:val="24"/>
          <w:szCs w:val="24"/>
        </w:rPr>
        <w:t>behaviour</w:t>
      </w:r>
      <w:proofErr w:type="spellEnd"/>
      <w:r w:rsidRPr="0007743A">
        <w:rPr>
          <w:rFonts w:ascii="Arial" w:eastAsia="Arial" w:hAnsi="Arial" w:cs="Arial"/>
          <w:color w:val="000000" w:themeColor="text1"/>
          <w:sz w:val="24"/>
          <w:szCs w:val="24"/>
        </w:rPr>
        <w:t xml:space="preserve"> most consequential.</w:t>
      </w:r>
    </w:p>
    <w:p w14:paraId="3AF944FD" w14:textId="1709C236" w:rsidR="004F4A16" w:rsidRPr="0007743A" w:rsidRDefault="00EF1AA3" w:rsidP="001C5185">
      <w:pPr>
        <w:spacing w:line="360" w:lineRule="auto"/>
        <w:jc w:val="center"/>
        <w:rPr>
          <w:rFonts w:ascii="Arial" w:hAnsi="Arial" w:cs="Arial"/>
          <w:color w:val="000000" w:themeColor="text1"/>
          <w:sz w:val="24"/>
          <w:szCs w:val="24"/>
        </w:rPr>
      </w:pPr>
      <w:r w:rsidRPr="0007743A">
        <w:rPr>
          <w:rFonts w:ascii="Arial" w:hAnsi="Arial" w:cs="Arial"/>
          <w:noProof/>
          <w:color w:val="000000" w:themeColor="text1"/>
          <w:sz w:val="24"/>
          <w:szCs w:val="24"/>
        </w:rPr>
        <w:drawing>
          <wp:inline distT="0" distB="0" distL="0" distR="0" wp14:anchorId="543559FB" wp14:editId="2C6EC272">
            <wp:extent cx="5518150" cy="309511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cstate="print">
                      <a:extLst>
                        <a:ext uri="{28A0092B-C50C-407E-A947-70E740481C1C}">
                          <a14:useLocalDpi xmlns:a14="http://schemas.microsoft.com/office/drawing/2010/main" val="0"/>
                        </a:ext>
                      </a:extLst>
                    </a:blip>
                    <a:srcRect t="9936" b="5929"/>
                    <a:stretch/>
                  </pic:blipFill>
                  <pic:spPr bwMode="auto">
                    <a:xfrm>
                      <a:off x="0" y="0"/>
                      <a:ext cx="5519166" cy="3095686"/>
                    </a:xfrm>
                    <a:prstGeom prst="rect">
                      <a:avLst/>
                    </a:prstGeom>
                    <a:ln>
                      <a:noFill/>
                    </a:ln>
                    <a:extLst>
                      <a:ext uri="{53640926-AAD7-44D8-BBD7-CCE9431645EC}">
                        <a14:shadowObscured xmlns:a14="http://schemas.microsoft.com/office/drawing/2010/main"/>
                      </a:ext>
                    </a:extLst>
                  </pic:spPr>
                </pic:pic>
              </a:graphicData>
            </a:graphic>
          </wp:inline>
        </w:drawing>
      </w:r>
    </w:p>
    <w:p w14:paraId="07D86C10" w14:textId="77777777" w:rsidR="004F4A16" w:rsidRPr="0007743A" w:rsidRDefault="00000000" w:rsidP="00740941">
      <w:pPr>
        <w:spacing w:line="360" w:lineRule="auto"/>
        <w:jc w:val="both"/>
        <w:rPr>
          <w:rFonts w:ascii="Arial" w:eastAsia="Arial" w:hAnsi="Arial" w:cs="Arial"/>
          <w:i/>
          <w:iCs/>
          <w:color w:val="000000" w:themeColor="text1"/>
          <w:sz w:val="24"/>
          <w:szCs w:val="24"/>
        </w:rPr>
      </w:pPr>
      <w:r w:rsidRPr="0007743A">
        <w:rPr>
          <w:rFonts w:ascii="Arial" w:eastAsia="Arial" w:hAnsi="Arial" w:cs="Arial"/>
          <w:i/>
          <w:iCs/>
          <w:color w:val="000000" w:themeColor="text1"/>
          <w:sz w:val="24"/>
          <w:szCs w:val="24"/>
        </w:rPr>
        <w:t xml:space="preserve">Figure 1: Helios </w:t>
      </w:r>
      <w:proofErr w:type="spellStart"/>
      <w:r w:rsidRPr="0007743A">
        <w:rPr>
          <w:rFonts w:ascii="Arial" w:eastAsia="Arial" w:hAnsi="Arial" w:cs="Arial"/>
          <w:i/>
          <w:iCs/>
          <w:color w:val="000000" w:themeColor="text1"/>
          <w:sz w:val="24"/>
          <w:szCs w:val="24"/>
        </w:rPr>
        <w:t>socialisation</w:t>
      </w:r>
      <w:proofErr w:type="spellEnd"/>
      <w:r w:rsidRPr="0007743A">
        <w:rPr>
          <w:rFonts w:ascii="Arial" w:eastAsia="Arial" w:hAnsi="Arial" w:cs="Arial"/>
          <w:i/>
          <w:iCs/>
          <w:color w:val="000000" w:themeColor="text1"/>
          <w:sz w:val="24"/>
          <w:szCs w:val="24"/>
        </w:rPr>
        <w:t xml:space="preserve"> process, </w:t>
      </w:r>
      <w:proofErr w:type="gramStart"/>
      <w:r w:rsidRPr="0007743A">
        <w:rPr>
          <w:rFonts w:ascii="Arial" w:eastAsia="Arial" w:hAnsi="Arial" w:cs="Arial"/>
          <w:i/>
          <w:iCs/>
          <w:color w:val="000000" w:themeColor="text1"/>
          <w:sz w:val="24"/>
          <w:szCs w:val="24"/>
        </w:rPr>
        <w:t>pre boarding</w:t>
      </w:r>
      <w:proofErr w:type="gramEnd"/>
      <w:r w:rsidRPr="0007743A">
        <w:rPr>
          <w:rFonts w:ascii="Arial" w:eastAsia="Arial" w:hAnsi="Arial" w:cs="Arial"/>
          <w:i/>
          <w:iCs/>
          <w:color w:val="000000" w:themeColor="text1"/>
          <w:sz w:val="24"/>
          <w:szCs w:val="24"/>
        </w:rPr>
        <w:t xml:space="preserve"> to identity and mobility.</w:t>
      </w:r>
    </w:p>
    <w:p w14:paraId="6AFD483E" w14:textId="739A30E9" w:rsidR="001C5185" w:rsidRPr="0007743A" w:rsidRDefault="001C5185" w:rsidP="00740941">
      <w:pPr>
        <w:spacing w:line="360" w:lineRule="auto"/>
        <w:jc w:val="both"/>
        <w:rPr>
          <w:rFonts w:ascii="Arial" w:hAnsi="Arial" w:cs="Arial"/>
          <w:color w:val="000000" w:themeColor="text1"/>
          <w:sz w:val="24"/>
          <w:szCs w:val="24"/>
        </w:rPr>
      </w:pPr>
      <w:r w:rsidRPr="0007743A">
        <w:rPr>
          <w:rFonts w:ascii="Arial" w:eastAsia="Arial" w:hAnsi="Arial" w:cs="Arial"/>
          <w:i/>
          <w:iCs/>
          <w:color w:val="000000" w:themeColor="text1"/>
          <w:sz w:val="24"/>
          <w:szCs w:val="24"/>
        </w:rPr>
        <w:t xml:space="preserve">Table 1: Structured </w:t>
      </w:r>
      <w:proofErr w:type="spellStart"/>
      <w:r w:rsidRPr="0007743A">
        <w:rPr>
          <w:rFonts w:ascii="Arial" w:eastAsia="Arial" w:hAnsi="Arial" w:cs="Arial"/>
          <w:i/>
          <w:iCs/>
          <w:color w:val="000000" w:themeColor="text1"/>
          <w:sz w:val="24"/>
          <w:szCs w:val="24"/>
        </w:rPr>
        <w:t>socialisation</w:t>
      </w:r>
      <w:proofErr w:type="spellEnd"/>
      <w:r w:rsidRPr="0007743A">
        <w:rPr>
          <w:rFonts w:ascii="Arial" w:eastAsia="Arial" w:hAnsi="Arial" w:cs="Arial"/>
          <w:i/>
          <w:iCs/>
          <w:color w:val="000000" w:themeColor="text1"/>
          <w:sz w:val="24"/>
          <w:szCs w:val="24"/>
        </w:rPr>
        <w:t xml:space="preserve"> framework for Helios Urban Mobility.</w:t>
      </w:r>
    </w:p>
    <w:tbl>
      <w:tblPr>
        <w:tblStyle w:val="TableGrid"/>
        <w:tblW w:w="9500" w:type="dxa"/>
        <w:tblLook w:val="04A0" w:firstRow="1" w:lastRow="0" w:firstColumn="1" w:lastColumn="0" w:noHBand="0" w:noVBand="1"/>
      </w:tblPr>
      <w:tblGrid>
        <w:gridCol w:w="1700"/>
        <w:gridCol w:w="3400"/>
        <w:gridCol w:w="3200"/>
        <w:gridCol w:w="1200"/>
      </w:tblGrid>
      <w:tr w:rsidR="00740941" w:rsidRPr="0007743A" w14:paraId="1EE30C5A" w14:textId="77777777" w:rsidTr="001C5185">
        <w:tc>
          <w:tcPr>
            <w:tcW w:w="1700" w:type="dxa"/>
          </w:tcPr>
          <w:p w14:paraId="14B6669A"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Phase</w:t>
            </w:r>
          </w:p>
        </w:tc>
        <w:tc>
          <w:tcPr>
            <w:tcW w:w="3400" w:type="dxa"/>
          </w:tcPr>
          <w:p w14:paraId="348ACBAE"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Objective</w:t>
            </w:r>
          </w:p>
        </w:tc>
        <w:tc>
          <w:tcPr>
            <w:tcW w:w="3200" w:type="dxa"/>
          </w:tcPr>
          <w:p w14:paraId="4BB4B2B8"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Core Mechanisms</w:t>
            </w:r>
          </w:p>
        </w:tc>
        <w:tc>
          <w:tcPr>
            <w:tcW w:w="1200" w:type="dxa"/>
          </w:tcPr>
          <w:p w14:paraId="6E3914E2"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Primary Owner</w:t>
            </w:r>
          </w:p>
        </w:tc>
      </w:tr>
      <w:tr w:rsidR="00740941" w:rsidRPr="0007743A" w14:paraId="120F1A5F" w14:textId="77777777" w:rsidTr="001C5185">
        <w:tc>
          <w:tcPr>
            <w:tcW w:w="1700" w:type="dxa"/>
          </w:tcPr>
          <w:p w14:paraId="075DA20E" w14:textId="77777777" w:rsidR="004F4A16" w:rsidRPr="0007743A" w:rsidRDefault="00000000" w:rsidP="001C5185">
            <w:pPr>
              <w:contextualSpacing/>
              <w:jc w:val="both"/>
              <w:rPr>
                <w:rFonts w:ascii="Arial" w:hAnsi="Arial" w:cs="Arial"/>
                <w:color w:val="000000" w:themeColor="text1"/>
                <w:sz w:val="24"/>
                <w:szCs w:val="24"/>
              </w:rPr>
            </w:pPr>
            <w:proofErr w:type="gramStart"/>
            <w:r w:rsidRPr="0007743A">
              <w:rPr>
                <w:rFonts w:ascii="Arial" w:eastAsia="Arial" w:hAnsi="Arial" w:cs="Arial"/>
                <w:color w:val="000000" w:themeColor="text1"/>
                <w:sz w:val="24"/>
                <w:szCs w:val="24"/>
              </w:rPr>
              <w:t>Pre boarding</w:t>
            </w:r>
            <w:proofErr w:type="gramEnd"/>
            <w:r w:rsidRPr="0007743A">
              <w:rPr>
                <w:rFonts w:ascii="Arial" w:eastAsia="Arial" w:hAnsi="Arial" w:cs="Arial"/>
                <w:color w:val="000000" w:themeColor="text1"/>
                <w:sz w:val="24"/>
                <w:szCs w:val="24"/>
              </w:rPr>
              <w:t xml:space="preserve"> (offer to day one)</w:t>
            </w:r>
          </w:p>
        </w:tc>
        <w:tc>
          <w:tcPr>
            <w:tcW w:w="3400" w:type="dxa"/>
          </w:tcPr>
          <w:p w14:paraId="2E1E9FE5"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Prime a realistic and honest psychological contract before the employee arrives, so early expectations are accurate rather than inflated.</w:t>
            </w:r>
          </w:p>
        </w:tc>
        <w:tc>
          <w:tcPr>
            <w:tcW w:w="3200" w:type="dxa"/>
          </w:tcPr>
          <w:p w14:paraId="67E8DF7E"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Realistic job preview video from the hiring manager, digital access and equipment shipped in advance, a named peer </w:t>
            </w:r>
            <w:r w:rsidRPr="0007743A">
              <w:rPr>
                <w:rFonts w:ascii="Arial" w:eastAsia="Arial" w:hAnsi="Arial" w:cs="Arial"/>
                <w:color w:val="000000" w:themeColor="text1"/>
                <w:sz w:val="24"/>
                <w:szCs w:val="24"/>
              </w:rPr>
              <w:lastRenderedPageBreak/>
              <w:t>buddy assigned, an informal welcome call.</w:t>
            </w:r>
          </w:p>
        </w:tc>
        <w:tc>
          <w:tcPr>
            <w:tcW w:w="1200" w:type="dxa"/>
          </w:tcPr>
          <w:p w14:paraId="6BD2D3AA"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lastRenderedPageBreak/>
              <w:t>Line manager and People team</w:t>
            </w:r>
          </w:p>
        </w:tc>
      </w:tr>
      <w:tr w:rsidR="00740941" w:rsidRPr="0007743A" w14:paraId="323FF85A" w14:textId="77777777" w:rsidTr="001C5185">
        <w:tc>
          <w:tcPr>
            <w:tcW w:w="1700" w:type="dxa"/>
          </w:tcPr>
          <w:p w14:paraId="68735A7E"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First 90 days</w:t>
            </w:r>
          </w:p>
        </w:tc>
        <w:tc>
          <w:tcPr>
            <w:tcW w:w="3400" w:type="dxa"/>
          </w:tcPr>
          <w:p w14:paraId="2C638584"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Convert formal, sequential, collective tactics (Van Maanen and Schein, 1979) into measurable skill and relationship milestones, closing the ramp up gap.</w:t>
            </w:r>
          </w:p>
        </w:tc>
        <w:tc>
          <w:tcPr>
            <w:tcW w:w="3200" w:type="dxa"/>
          </w:tcPr>
          <w:p w14:paraId="0105E875"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Weekly milestone certification, cross site shadowing across London, Berlin and Singapore, a named civic sponsor for one stakeholder facing task, fortnightly psychological contract </w:t>
            </w:r>
            <w:proofErr w:type="gramStart"/>
            <w:r w:rsidRPr="0007743A">
              <w:rPr>
                <w:rFonts w:ascii="Arial" w:eastAsia="Arial" w:hAnsi="Arial" w:cs="Arial"/>
                <w:color w:val="000000" w:themeColor="text1"/>
                <w:sz w:val="24"/>
                <w:szCs w:val="24"/>
              </w:rPr>
              <w:t>check</w:t>
            </w:r>
            <w:proofErr w:type="gramEnd"/>
            <w:r w:rsidRPr="0007743A">
              <w:rPr>
                <w:rFonts w:ascii="Arial" w:eastAsia="Arial" w:hAnsi="Arial" w:cs="Arial"/>
                <w:color w:val="000000" w:themeColor="text1"/>
                <w:sz w:val="24"/>
                <w:szCs w:val="24"/>
              </w:rPr>
              <w:t xml:space="preserve"> ins.</w:t>
            </w:r>
          </w:p>
        </w:tc>
        <w:tc>
          <w:tcPr>
            <w:tcW w:w="1200" w:type="dxa"/>
          </w:tcPr>
          <w:p w14:paraId="5AB37943"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Function lead and buddy</w:t>
            </w:r>
          </w:p>
        </w:tc>
      </w:tr>
      <w:tr w:rsidR="00740941" w:rsidRPr="0007743A" w14:paraId="2D873D21" w14:textId="77777777" w:rsidTr="001C5185">
        <w:tc>
          <w:tcPr>
            <w:tcW w:w="1700" w:type="dxa"/>
          </w:tcPr>
          <w:p w14:paraId="5B27610C"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Year one</w:t>
            </w:r>
          </w:p>
        </w:tc>
        <w:tc>
          <w:tcPr>
            <w:tcW w:w="3400" w:type="dxa"/>
          </w:tcPr>
          <w:p w14:paraId="10C2E6B9"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Shift from investiture support toward identity affirmation and internal mobility, converting </w:t>
            </w:r>
            <w:proofErr w:type="spellStart"/>
            <w:r w:rsidRPr="0007743A">
              <w:rPr>
                <w:rFonts w:ascii="Arial" w:eastAsia="Arial" w:hAnsi="Arial" w:cs="Arial"/>
                <w:color w:val="000000" w:themeColor="text1"/>
                <w:sz w:val="24"/>
                <w:szCs w:val="24"/>
              </w:rPr>
              <w:t>socialisation</w:t>
            </w:r>
            <w:proofErr w:type="spellEnd"/>
            <w:r w:rsidRPr="0007743A">
              <w:rPr>
                <w:rFonts w:ascii="Arial" w:eastAsia="Arial" w:hAnsi="Arial" w:cs="Arial"/>
                <w:color w:val="000000" w:themeColor="text1"/>
                <w:sz w:val="24"/>
                <w:szCs w:val="24"/>
              </w:rPr>
              <w:t xml:space="preserve"> gains into lasting identification.</w:t>
            </w:r>
          </w:p>
        </w:tc>
        <w:tc>
          <w:tcPr>
            <w:tcW w:w="3200" w:type="dxa"/>
          </w:tcPr>
          <w:p w14:paraId="201A0720"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Skills passport review, entry to the internal talent marketplace, a personal contribution story shared at </w:t>
            </w:r>
            <w:proofErr w:type="gramStart"/>
            <w:r w:rsidRPr="0007743A">
              <w:rPr>
                <w:rFonts w:ascii="Arial" w:eastAsia="Arial" w:hAnsi="Arial" w:cs="Arial"/>
                <w:color w:val="000000" w:themeColor="text1"/>
                <w:sz w:val="24"/>
                <w:szCs w:val="24"/>
              </w:rPr>
              <w:t>the all</w:t>
            </w:r>
            <w:proofErr w:type="gramEnd"/>
            <w:r w:rsidRPr="0007743A">
              <w:rPr>
                <w:rFonts w:ascii="Arial" w:eastAsia="Arial" w:hAnsi="Arial" w:cs="Arial"/>
                <w:color w:val="000000" w:themeColor="text1"/>
                <w:sz w:val="24"/>
                <w:szCs w:val="24"/>
              </w:rPr>
              <w:t xml:space="preserve"> company forum, a stakeholder impact retrospective.</w:t>
            </w:r>
          </w:p>
        </w:tc>
        <w:tc>
          <w:tcPr>
            <w:tcW w:w="1200" w:type="dxa"/>
          </w:tcPr>
          <w:p w14:paraId="219007C8"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People team and talent board</w:t>
            </w:r>
          </w:p>
        </w:tc>
      </w:tr>
    </w:tbl>
    <w:p w14:paraId="2B1207D3" w14:textId="182AB35D" w:rsidR="004F4A16" w:rsidRPr="0007743A" w:rsidRDefault="005809ED" w:rsidP="00740941">
      <w:pPr>
        <w:pStyle w:val="Heading2"/>
        <w:spacing w:line="360" w:lineRule="auto"/>
        <w:jc w:val="both"/>
        <w:rPr>
          <w:rFonts w:ascii="Arial" w:hAnsi="Arial" w:cs="Arial"/>
          <w:color w:val="000000" w:themeColor="text1"/>
          <w:sz w:val="24"/>
          <w:szCs w:val="24"/>
        </w:rPr>
      </w:pPr>
      <w:bookmarkStart w:id="5" w:name="_Toc235137314"/>
      <w:r w:rsidRPr="0007743A">
        <w:rPr>
          <w:rFonts w:ascii="Arial" w:eastAsia="Arial" w:hAnsi="Arial" w:cs="Arial"/>
          <w:b/>
          <w:bCs/>
          <w:color w:val="000000" w:themeColor="text1"/>
          <w:sz w:val="24"/>
          <w:szCs w:val="24"/>
        </w:rPr>
        <w:t>1.4 Cultivating Identification, Ethical Professionalism and Business Activism</w:t>
      </w:r>
      <w:bookmarkEnd w:id="5"/>
    </w:p>
    <w:p w14:paraId="6EA64FAB" w14:textId="35B65F12" w:rsidR="00962E71" w:rsidRPr="0007743A" w:rsidRDefault="00962E71" w:rsidP="00740941">
      <w:pPr>
        <w:spacing w:line="360" w:lineRule="auto"/>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There are three processes that make this into committed citizenship. Identification should be constructed in mission linked stories within the </w:t>
      </w:r>
      <w:proofErr w:type="gramStart"/>
      <w:r w:rsidRPr="0007743A">
        <w:rPr>
          <w:rFonts w:ascii="Arial" w:eastAsia="Arial" w:hAnsi="Arial" w:cs="Arial"/>
          <w:color w:val="000000" w:themeColor="text1"/>
          <w:sz w:val="24"/>
          <w:szCs w:val="24"/>
        </w:rPr>
        <w:t>90 day</w:t>
      </w:r>
      <w:proofErr w:type="gramEnd"/>
      <w:r w:rsidRPr="0007743A">
        <w:rPr>
          <w:rFonts w:ascii="Arial" w:eastAsia="Arial" w:hAnsi="Arial" w:cs="Arial"/>
          <w:color w:val="000000" w:themeColor="text1"/>
          <w:sz w:val="24"/>
          <w:szCs w:val="24"/>
        </w:rPr>
        <w:t xml:space="preserve"> milestones because Divya and Christopher (2024) demonstrate that identification can be created through multiple and contextual experiences. </w:t>
      </w:r>
      <w:proofErr w:type="spellStart"/>
      <w:r w:rsidRPr="0007743A">
        <w:rPr>
          <w:rFonts w:ascii="Arial" w:eastAsia="Arial" w:hAnsi="Arial" w:cs="Arial"/>
          <w:color w:val="000000" w:themeColor="text1"/>
          <w:sz w:val="24"/>
          <w:szCs w:val="24"/>
        </w:rPr>
        <w:t>Socialisation</w:t>
      </w:r>
      <w:proofErr w:type="spellEnd"/>
      <w:r w:rsidRPr="0007743A">
        <w:rPr>
          <w:rFonts w:ascii="Arial" w:eastAsia="Arial" w:hAnsi="Arial" w:cs="Arial"/>
          <w:color w:val="000000" w:themeColor="text1"/>
          <w:sz w:val="24"/>
          <w:szCs w:val="24"/>
        </w:rPr>
        <w:t xml:space="preserve"> of ethical professionalism should not be in a policy document but through civic sponsor relationship as per stakeholder theory. Most importantly, Helios will need to </w:t>
      </w:r>
      <w:proofErr w:type="spellStart"/>
      <w:r w:rsidRPr="0007743A">
        <w:rPr>
          <w:rFonts w:ascii="Arial" w:eastAsia="Arial" w:hAnsi="Arial" w:cs="Arial"/>
          <w:color w:val="000000" w:themeColor="text1"/>
          <w:sz w:val="24"/>
          <w:szCs w:val="24"/>
        </w:rPr>
        <w:t>socialise</w:t>
      </w:r>
      <w:proofErr w:type="spellEnd"/>
      <w:r w:rsidRPr="0007743A">
        <w:rPr>
          <w:rFonts w:ascii="Arial" w:eastAsia="Arial" w:hAnsi="Arial" w:cs="Arial"/>
          <w:color w:val="000000" w:themeColor="text1"/>
          <w:sz w:val="24"/>
          <w:szCs w:val="24"/>
        </w:rPr>
        <w:t xml:space="preserve"> all hires into a mindset of business </w:t>
      </w:r>
      <w:proofErr w:type="gramStart"/>
      <w:r w:rsidRPr="0007743A">
        <w:rPr>
          <w:rFonts w:ascii="Arial" w:eastAsia="Arial" w:hAnsi="Arial" w:cs="Arial"/>
          <w:color w:val="000000" w:themeColor="text1"/>
          <w:sz w:val="24"/>
          <w:szCs w:val="24"/>
        </w:rPr>
        <w:t>activist</w:t>
      </w:r>
      <w:proofErr w:type="gramEnd"/>
      <w:r w:rsidRPr="0007743A">
        <w:rPr>
          <w:rFonts w:ascii="Arial" w:eastAsia="Arial" w:hAnsi="Arial" w:cs="Arial"/>
          <w:color w:val="000000" w:themeColor="text1"/>
          <w:sz w:val="24"/>
          <w:szCs w:val="24"/>
        </w:rPr>
        <w:t xml:space="preserve">, as Ulrich has evolved HR from an administrative function to a viable activist function outside of HR. Meanwhile, strategic and operational HR roles together contribute to improved performance when distributed throughout the business (Wach, Wehner and </w:t>
      </w:r>
      <w:proofErr w:type="spellStart"/>
      <w:r w:rsidRPr="0007743A">
        <w:rPr>
          <w:rFonts w:ascii="Arial" w:eastAsia="Arial" w:hAnsi="Arial" w:cs="Arial"/>
          <w:color w:val="000000" w:themeColor="text1"/>
          <w:sz w:val="24"/>
          <w:szCs w:val="24"/>
        </w:rPr>
        <w:t>Kabst</w:t>
      </w:r>
      <w:proofErr w:type="spellEnd"/>
      <w:r w:rsidRPr="0007743A">
        <w:rPr>
          <w:rFonts w:ascii="Arial" w:eastAsia="Arial" w:hAnsi="Arial" w:cs="Arial"/>
          <w:color w:val="000000" w:themeColor="text1"/>
          <w:sz w:val="24"/>
          <w:szCs w:val="24"/>
        </w:rPr>
        <w:t xml:space="preserve"> 2022); SHRM needs to expand its focus of stakeholders beyond shareholders (Wright and Steinbach 2022); and HR business partners are more likely to have an internal CSR remit (</w:t>
      </w:r>
      <w:proofErr w:type="spellStart"/>
      <w:r w:rsidRPr="0007743A">
        <w:rPr>
          <w:rFonts w:ascii="Arial" w:eastAsia="Arial" w:hAnsi="Arial" w:cs="Arial"/>
          <w:color w:val="000000" w:themeColor="text1"/>
          <w:sz w:val="24"/>
          <w:szCs w:val="24"/>
        </w:rPr>
        <w:t>Stankevičiūtė</w:t>
      </w:r>
      <w:proofErr w:type="spellEnd"/>
      <w:r w:rsidRPr="0007743A">
        <w:rPr>
          <w:rFonts w:ascii="Arial" w:eastAsia="Arial" w:hAnsi="Arial" w:cs="Arial"/>
          <w:color w:val="000000" w:themeColor="text1"/>
          <w:sz w:val="24"/>
          <w:szCs w:val="24"/>
        </w:rPr>
        <w:t xml:space="preserve"> and Kalvaitienė 2024). A city partner, resident group or regulator should then be an ownership stakeholder of one new hire's </w:t>
      </w:r>
      <w:proofErr w:type="gramStart"/>
      <w:r w:rsidRPr="0007743A">
        <w:rPr>
          <w:rFonts w:ascii="Arial" w:eastAsia="Arial" w:hAnsi="Arial" w:cs="Arial"/>
          <w:color w:val="000000" w:themeColor="text1"/>
          <w:sz w:val="24"/>
          <w:szCs w:val="24"/>
        </w:rPr>
        <w:t>90 day</w:t>
      </w:r>
      <w:proofErr w:type="gramEnd"/>
      <w:r w:rsidRPr="0007743A">
        <w:rPr>
          <w:rFonts w:ascii="Arial" w:eastAsia="Arial" w:hAnsi="Arial" w:cs="Arial"/>
          <w:color w:val="000000" w:themeColor="text1"/>
          <w:sz w:val="24"/>
          <w:szCs w:val="24"/>
        </w:rPr>
        <w:t xml:space="preserve"> plan to ensure that activism starts from day one.</w:t>
      </w:r>
    </w:p>
    <w:p w14:paraId="6A6A4CF9" w14:textId="4A139932" w:rsidR="004F4A16" w:rsidRPr="0007743A" w:rsidRDefault="005809ED" w:rsidP="00740941">
      <w:pPr>
        <w:pStyle w:val="Heading2"/>
        <w:spacing w:line="360" w:lineRule="auto"/>
        <w:jc w:val="both"/>
        <w:rPr>
          <w:rFonts w:ascii="Arial" w:hAnsi="Arial" w:cs="Arial"/>
          <w:color w:val="000000" w:themeColor="text1"/>
          <w:sz w:val="24"/>
          <w:szCs w:val="24"/>
        </w:rPr>
      </w:pPr>
      <w:bookmarkStart w:id="6" w:name="_Toc235137315"/>
      <w:r w:rsidRPr="0007743A">
        <w:rPr>
          <w:rFonts w:ascii="Arial" w:eastAsia="Arial" w:hAnsi="Arial" w:cs="Arial"/>
          <w:b/>
          <w:bCs/>
          <w:color w:val="000000" w:themeColor="text1"/>
          <w:sz w:val="24"/>
          <w:szCs w:val="24"/>
        </w:rPr>
        <w:t>1.5 Limitations</w:t>
      </w:r>
      <w:bookmarkEnd w:id="6"/>
    </w:p>
    <w:p w14:paraId="648E86C8" w14:textId="5E3CE63A" w:rsidR="00962E71" w:rsidRPr="0007743A" w:rsidRDefault="00962E71" w:rsidP="00740941">
      <w:pPr>
        <w:spacing w:line="360" w:lineRule="auto"/>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This design has some constraints that should be tempered by expectations. Van Maanen and Schein's tactics are from single country </w:t>
      </w:r>
      <w:proofErr w:type="spellStart"/>
      <w:r w:rsidRPr="0007743A">
        <w:rPr>
          <w:rFonts w:ascii="Arial" w:eastAsia="Arial" w:hAnsi="Arial" w:cs="Arial"/>
          <w:color w:val="000000" w:themeColor="text1"/>
          <w:sz w:val="24"/>
          <w:szCs w:val="24"/>
        </w:rPr>
        <w:t>organisations</w:t>
      </w:r>
      <w:proofErr w:type="spellEnd"/>
      <w:r w:rsidRPr="0007743A">
        <w:rPr>
          <w:rFonts w:ascii="Arial" w:eastAsia="Arial" w:hAnsi="Arial" w:cs="Arial"/>
          <w:color w:val="000000" w:themeColor="text1"/>
          <w:sz w:val="24"/>
          <w:szCs w:val="24"/>
        </w:rPr>
        <w:t xml:space="preserve"> and Wach, Wehner and </w:t>
      </w:r>
      <w:proofErr w:type="spellStart"/>
      <w:r w:rsidRPr="0007743A">
        <w:rPr>
          <w:rFonts w:ascii="Arial" w:eastAsia="Arial" w:hAnsi="Arial" w:cs="Arial"/>
          <w:color w:val="000000" w:themeColor="text1"/>
          <w:sz w:val="24"/>
          <w:szCs w:val="24"/>
        </w:rPr>
        <w:t>Kabst</w:t>
      </w:r>
      <w:proofErr w:type="spellEnd"/>
      <w:r w:rsidRPr="0007743A">
        <w:rPr>
          <w:rFonts w:ascii="Arial" w:eastAsia="Arial" w:hAnsi="Arial" w:cs="Arial"/>
          <w:color w:val="000000" w:themeColor="text1"/>
          <w:sz w:val="24"/>
          <w:szCs w:val="24"/>
        </w:rPr>
        <w:t xml:space="preserve"> (2022) have found that HR structures differ between Germany and Britain, so that one structure does not transfer identically across London, Berlin and Singapore without </w:t>
      </w:r>
      <w:r w:rsidRPr="0007743A">
        <w:rPr>
          <w:rFonts w:ascii="Arial" w:eastAsia="Arial" w:hAnsi="Arial" w:cs="Arial"/>
          <w:color w:val="000000" w:themeColor="text1"/>
          <w:sz w:val="24"/>
          <w:szCs w:val="24"/>
        </w:rPr>
        <w:lastRenderedPageBreak/>
        <w:t xml:space="preserve">adaptation. There is a strong correlational and self-reported component to the evidence for adjustment and identification, and no definitive causal claim can be made that this approach alone will reduce ramp up. Other roles, such as buddy and sponsor, also take up manager time, and a lean, three site </w:t>
      </w:r>
      <w:proofErr w:type="spellStart"/>
      <w:proofErr w:type="gramStart"/>
      <w:r w:rsidRPr="0007743A">
        <w:rPr>
          <w:rFonts w:ascii="Arial" w:eastAsia="Arial" w:hAnsi="Arial" w:cs="Arial"/>
          <w:color w:val="000000" w:themeColor="text1"/>
          <w:sz w:val="24"/>
          <w:szCs w:val="24"/>
        </w:rPr>
        <w:t>organisation</w:t>
      </w:r>
      <w:proofErr w:type="spellEnd"/>
      <w:proofErr w:type="gramEnd"/>
      <w:r w:rsidRPr="0007743A">
        <w:rPr>
          <w:rFonts w:ascii="Arial" w:eastAsia="Arial" w:hAnsi="Arial" w:cs="Arial"/>
          <w:color w:val="000000" w:themeColor="text1"/>
          <w:sz w:val="24"/>
          <w:szCs w:val="24"/>
        </w:rPr>
        <w:t xml:space="preserve"> with 450 employees, and without a functioning people function may not be able to afford them without recognition or capacity planning. Lastly, the 54 percent engagement rate is an average of the entire group, and that engagement rate may vary by site; a first step in the process should be to determine if the issue is widespread or is limited to a few sites before implementing one intervention across all sites.</w:t>
      </w:r>
    </w:p>
    <w:p w14:paraId="7D056A6A" w14:textId="77777777" w:rsidR="00962E71" w:rsidRPr="0007743A" w:rsidRDefault="00962E71" w:rsidP="00740941">
      <w:pPr>
        <w:spacing w:line="360" w:lineRule="auto"/>
        <w:jc w:val="both"/>
        <w:rPr>
          <w:rFonts w:ascii="Arial" w:eastAsia="Arial" w:hAnsi="Arial" w:cs="Arial"/>
          <w:color w:val="000000" w:themeColor="text1"/>
          <w:sz w:val="24"/>
          <w:szCs w:val="24"/>
        </w:rPr>
      </w:pPr>
    </w:p>
    <w:p w14:paraId="3637A4EF" w14:textId="53BC97FD" w:rsidR="004F4A16" w:rsidRPr="0007743A" w:rsidRDefault="00000000" w:rsidP="00740941">
      <w:pPr>
        <w:pStyle w:val="Heading1"/>
        <w:spacing w:line="360" w:lineRule="auto"/>
        <w:jc w:val="both"/>
        <w:rPr>
          <w:rFonts w:ascii="Arial" w:hAnsi="Arial" w:cs="Arial"/>
          <w:b/>
          <w:bCs/>
          <w:color w:val="000000" w:themeColor="text1"/>
          <w:sz w:val="24"/>
          <w:szCs w:val="24"/>
        </w:rPr>
      </w:pPr>
      <w:bookmarkStart w:id="7" w:name="_Toc235137316"/>
      <w:r w:rsidRPr="0007743A">
        <w:rPr>
          <w:rFonts w:ascii="Arial" w:eastAsia="Arial" w:hAnsi="Arial" w:cs="Arial"/>
          <w:b/>
          <w:bCs/>
          <w:color w:val="000000" w:themeColor="text1"/>
          <w:sz w:val="24"/>
          <w:szCs w:val="24"/>
        </w:rPr>
        <w:t>Task B: Job Design</w:t>
      </w:r>
      <w:bookmarkEnd w:id="7"/>
    </w:p>
    <w:p w14:paraId="0FBF40D7" w14:textId="36A70AB4" w:rsidR="004F4A16" w:rsidRPr="0007743A" w:rsidRDefault="005809ED" w:rsidP="00740941">
      <w:pPr>
        <w:pStyle w:val="Heading2"/>
        <w:spacing w:line="360" w:lineRule="auto"/>
        <w:jc w:val="both"/>
        <w:rPr>
          <w:rFonts w:ascii="Arial" w:hAnsi="Arial" w:cs="Arial"/>
          <w:color w:val="000000" w:themeColor="text1"/>
          <w:sz w:val="24"/>
          <w:szCs w:val="24"/>
        </w:rPr>
      </w:pPr>
      <w:bookmarkStart w:id="8" w:name="_Toc235137317"/>
      <w:r w:rsidRPr="0007743A">
        <w:rPr>
          <w:rFonts w:ascii="Arial" w:eastAsia="Arial" w:hAnsi="Arial" w:cs="Arial"/>
          <w:b/>
          <w:bCs/>
          <w:color w:val="000000" w:themeColor="text1"/>
          <w:sz w:val="24"/>
          <w:szCs w:val="24"/>
        </w:rPr>
        <w:t>2.1 Redesigning Jobs Around Motivation</w:t>
      </w:r>
      <w:bookmarkEnd w:id="8"/>
    </w:p>
    <w:p w14:paraId="50DF3691" w14:textId="3EC5299A" w:rsidR="0047010B" w:rsidRPr="0007743A" w:rsidRDefault="0047010B" w:rsidP="00740941">
      <w:pPr>
        <w:spacing w:line="360" w:lineRule="auto"/>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The Job Characteristics Model suggests five dimensions: skill variety, task identity, task significance, autonomy and feedback, that lead to psychological states that result in a score of motivating potential, which in turn leads to intrinsic motivation. The roles scored low on </w:t>
      </w:r>
      <w:proofErr w:type="gramStart"/>
      <w:r w:rsidRPr="0007743A">
        <w:rPr>
          <w:rFonts w:ascii="Arial" w:eastAsia="Arial" w:hAnsi="Arial" w:cs="Arial"/>
          <w:color w:val="000000" w:themeColor="text1"/>
          <w:sz w:val="24"/>
          <w:szCs w:val="24"/>
        </w:rPr>
        <w:t>a number of</w:t>
      </w:r>
      <w:proofErr w:type="gramEnd"/>
      <w:r w:rsidRPr="0007743A">
        <w:rPr>
          <w:rFonts w:ascii="Arial" w:eastAsia="Arial" w:hAnsi="Arial" w:cs="Arial"/>
          <w:color w:val="000000" w:themeColor="text1"/>
          <w:sz w:val="24"/>
          <w:szCs w:val="24"/>
        </w:rPr>
        <w:t xml:space="preserve"> dimensions because of the way Helios grew. Fast growth led to roles that were narrow and siloed, three countries reporting in a matrix created delays in feedback, and task identity was lost as employees interacted with only a small part of any city partner project. A further complication – and opportunity – is that Helios is itself an AI enabled business, and Parker and Grote (2022) suggest that algorithms are not neutral when it comes to the nature of autonomy, they can either take it away or give it back as a decision support. In general, Wang et al. (2021) conclude that if distributed arrangements can facilitate adjustment, social support and monitoring intensity are virtual work factors, as are likely delayed feedback and thin social contact given three time zones, 54 percent of the engagement figure is plausible but unmeasured. If left unmanaged, Helios is tempted to optimize the work of its employees as it optimizes its own mobility algorithms, for measurable efficiency instead of for motivating potential employees, which can exacerbate the engagement issue.</w:t>
      </w:r>
    </w:p>
    <w:p w14:paraId="7510412D" w14:textId="42C525A2" w:rsidR="004F4A16" w:rsidRPr="0007743A" w:rsidRDefault="005809ED" w:rsidP="00740941">
      <w:pPr>
        <w:pStyle w:val="Heading2"/>
        <w:spacing w:line="360" w:lineRule="auto"/>
        <w:jc w:val="both"/>
        <w:rPr>
          <w:rFonts w:ascii="Arial" w:hAnsi="Arial" w:cs="Arial"/>
          <w:color w:val="000000" w:themeColor="text1"/>
          <w:sz w:val="24"/>
          <w:szCs w:val="24"/>
        </w:rPr>
      </w:pPr>
      <w:bookmarkStart w:id="9" w:name="_Toc235137318"/>
      <w:r w:rsidRPr="0007743A">
        <w:rPr>
          <w:rFonts w:ascii="Arial" w:eastAsia="Arial" w:hAnsi="Arial" w:cs="Arial"/>
          <w:b/>
          <w:bCs/>
          <w:color w:val="000000" w:themeColor="text1"/>
          <w:sz w:val="24"/>
          <w:szCs w:val="24"/>
        </w:rPr>
        <w:t>2.2 A Critical Comparison of Job Design Perspectives</w:t>
      </w:r>
      <w:bookmarkEnd w:id="9"/>
    </w:p>
    <w:p w14:paraId="0F23427F" w14:textId="19388010" w:rsidR="0073462C" w:rsidRPr="0007743A" w:rsidRDefault="0073462C" w:rsidP="00740941">
      <w:pPr>
        <w:spacing w:line="360" w:lineRule="auto"/>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The three pairs of authors are in productive tension, not agreement. This is a top down versus </w:t>
      </w:r>
      <w:proofErr w:type="gramStart"/>
      <w:r w:rsidRPr="0007743A">
        <w:rPr>
          <w:rFonts w:ascii="Arial" w:eastAsia="Arial" w:hAnsi="Arial" w:cs="Arial"/>
          <w:color w:val="000000" w:themeColor="text1"/>
          <w:sz w:val="24"/>
          <w:szCs w:val="24"/>
        </w:rPr>
        <w:t>bottom up</w:t>
      </w:r>
      <w:proofErr w:type="gramEnd"/>
      <w:r w:rsidRPr="0007743A">
        <w:rPr>
          <w:rFonts w:ascii="Arial" w:eastAsia="Arial" w:hAnsi="Arial" w:cs="Arial"/>
          <w:color w:val="000000" w:themeColor="text1"/>
          <w:sz w:val="24"/>
          <w:szCs w:val="24"/>
        </w:rPr>
        <w:t xml:space="preserve"> debate on the source of motivation, as Hackman and Oldham assume </w:t>
      </w:r>
      <w:r w:rsidRPr="0007743A">
        <w:rPr>
          <w:rFonts w:ascii="Arial" w:eastAsia="Arial" w:hAnsi="Arial" w:cs="Arial"/>
          <w:color w:val="000000" w:themeColor="text1"/>
          <w:sz w:val="24"/>
          <w:szCs w:val="24"/>
        </w:rPr>
        <w:lastRenderedPageBreak/>
        <w:t xml:space="preserve">that jobs are designed once and remain stable, while the job crafting theory developed by </w:t>
      </w:r>
      <w:proofErr w:type="spellStart"/>
      <w:r w:rsidRPr="0007743A">
        <w:rPr>
          <w:rFonts w:ascii="Arial" w:eastAsia="Arial" w:hAnsi="Arial" w:cs="Arial"/>
          <w:color w:val="000000" w:themeColor="text1"/>
          <w:sz w:val="24"/>
          <w:szCs w:val="24"/>
        </w:rPr>
        <w:t>Wrzesniewski</w:t>
      </w:r>
      <w:proofErr w:type="spellEnd"/>
      <w:r w:rsidRPr="0007743A">
        <w:rPr>
          <w:rFonts w:ascii="Arial" w:eastAsia="Arial" w:hAnsi="Arial" w:cs="Arial"/>
          <w:color w:val="000000" w:themeColor="text1"/>
          <w:sz w:val="24"/>
          <w:szCs w:val="24"/>
        </w:rPr>
        <w:t xml:space="preserve"> and Dutton (2001) suggests that employees continually redefine task, relational and cognitive boundaries (Chen et al., 2022). Tims, Twemlow and Fong (2022) take an intermediate stance, believing that crafting should be used in conjunction with but not as a replacement for good initial design, and that for Helios, protected craft time cannot compensate for a role with a low motivating potential score, so it is necessary that the roles are designed together with crafting. There is a second tension between the largely conceptual claims of Parker and Grote (2022) and the real but modest and heterogeneous effect sizes of the empirical </w:t>
      </w:r>
      <w:proofErr w:type="gramStart"/>
      <w:r w:rsidRPr="0007743A">
        <w:rPr>
          <w:rFonts w:ascii="Arial" w:eastAsia="Arial" w:hAnsi="Arial" w:cs="Arial"/>
          <w:color w:val="000000" w:themeColor="text1"/>
          <w:sz w:val="24"/>
          <w:szCs w:val="24"/>
        </w:rPr>
        <w:t>meta analyses</w:t>
      </w:r>
      <w:proofErr w:type="gramEnd"/>
      <w:r w:rsidRPr="0007743A">
        <w:rPr>
          <w:rFonts w:ascii="Arial" w:eastAsia="Arial" w:hAnsi="Arial" w:cs="Arial"/>
          <w:color w:val="000000" w:themeColor="text1"/>
          <w:sz w:val="24"/>
          <w:szCs w:val="24"/>
        </w:rPr>
        <w:t xml:space="preserve"> of Wang et al. (2021) and Gajendran et al. (2024) – both of which are dominated by Western and single country samples, a genuine limitation given Helios's three site, three culture model.</w:t>
      </w:r>
    </w:p>
    <w:p w14:paraId="638C51C9" w14:textId="0A6FFC26" w:rsidR="00D70B45" w:rsidRPr="0007743A" w:rsidRDefault="00D70B45" w:rsidP="00740941">
      <w:pPr>
        <w:spacing w:line="360" w:lineRule="auto"/>
        <w:jc w:val="both"/>
        <w:rPr>
          <w:rFonts w:ascii="Arial" w:hAnsi="Arial" w:cs="Arial"/>
          <w:color w:val="000000" w:themeColor="text1"/>
          <w:sz w:val="24"/>
          <w:szCs w:val="24"/>
        </w:rPr>
      </w:pPr>
      <w:r w:rsidRPr="0007743A">
        <w:rPr>
          <w:rFonts w:ascii="Arial" w:hAnsi="Arial" w:cs="Arial"/>
          <w:noProof/>
          <w:color w:val="000000" w:themeColor="text1"/>
          <w:sz w:val="24"/>
          <w:szCs w:val="24"/>
        </w:rPr>
        <w:drawing>
          <wp:inline distT="0" distB="0" distL="0" distR="0" wp14:anchorId="0528FBED" wp14:editId="25B98549">
            <wp:extent cx="5943600" cy="35750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cstate="print">
                      <a:extLst>
                        <a:ext uri="{28A0092B-C50C-407E-A947-70E740481C1C}">
                          <a14:useLocalDpi xmlns:a14="http://schemas.microsoft.com/office/drawing/2010/main" val="0"/>
                        </a:ext>
                      </a:extLst>
                    </a:blip>
                    <a:srcRect t="9775"/>
                    <a:stretch/>
                  </pic:blipFill>
                  <pic:spPr bwMode="auto">
                    <a:xfrm>
                      <a:off x="0" y="0"/>
                      <a:ext cx="5943600" cy="3575050"/>
                    </a:xfrm>
                    <a:prstGeom prst="rect">
                      <a:avLst/>
                    </a:prstGeom>
                    <a:ln>
                      <a:noFill/>
                    </a:ln>
                    <a:extLst>
                      <a:ext uri="{53640926-AAD7-44D8-BBD7-CCE9431645EC}">
                        <a14:shadowObscured xmlns:a14="http://schemas.microsoft.com/office/drawing/2010/main"/>
                      </a:ext>
                    </a:extLst>
                  </pic:spPr>
                </pic:pic>
              </a:graphicData>
            </a:graphic>
          </wp:inline>
        </w:drawing>
      </w:r>
    </w:p>
    <w:p w14:paraId="5892448B" w14:textId="77777777" w:rsidR="004F4A16" w:rsidRPr="0007743A" w:rsidRDefault="00000000" w:rsidP="00740941">
      <w:pPr>
        <w:spacing w:line="360" w:lineRule="auto"/>
        <w:jc w:val="both"/>
        <w:rPr>
          <w:rFonts w:ascii="Arial" w:hAnsi="Arial" w:cs="Arial"/>
          <w:color w:val="000000" w:themeColor="text1"/>
          <w:sz w:val="24"/>
          <w:szCs w:val="24"/>
        </w:rPr>
      </w:pPr>
      <w:r w:rsidRPr="0007743A">
        <w:rPr>
          <w:rFonts w:ascii="Arial" w:eastAsia="Arial" w:hAnsi="Arial" w:cs="Arial"/>
          <w:i/>
          <w:iCs/>
          <w:color w:val="000000" w:themeColor="text1"/>
          <w:sz w:val="24"/>
          <w:szCs w:val="24"/>
        </w:rPr>
        <w:t>Figure 2: The Helios job design system, three levers converging on one outcome set.</w:t>
      </w:r>
    </w:p>
    <w:p w14:paraId="7E5C7537" w14:textId="01C368EC" w:rsidR="004F4A16" w:rsidRPr="0007743A" w:rsidRDefault="005809ED" w:rsidP="00740941">
      <w:pPr>
        <w:pStyle w:val="Heading2"/>
        <w:spacing w:line="360" w:lineRule="auto"/>
        <w:jc w:val="both"/>
        <w:rPr>
          <w:rFonts w:ascii="Arial" w:hAnsi="Arial" w:cs="Arial"/>
          <w:color w:val="000000" w:themeColor="text1"/>
          <w:sz w:val="24"/>
          <w:szCs w:val="24"/>
        </w:rPr>
      </w:pPr>
      <w:bookmarkStart w:id="10" w:name="_Toc235137319"/>
      <w:r w:rsidRPr="0007743A">
        <w:rPr>
          <w:rFonts w:ascii="Arial" w:eastAsia="Arial" w:hAnsi="Arial" w:cs="Arial"/>
          <w:b/>
          <w:bCs/>
          <w:color w:val="000000" w:themeColor="text1"/>
          <w:sz w:val="24"/>
          <w:szCs w:val="24"/>
        </w:rPr>
        <w:t xml:space="preserve">2.3 Job Crafting and </w:t>
      </w:r>
      <w:proofErr w:type="gramStart"/>
      <w:r w:rsidRPr="0007743A">
        <w:rPr>
          <w:rFonts w:ascii="Arial" w:eastAsia="Arial" w:hAnsi="Arial" w:cs="Arial"/>
          <w:b/>
          <w:bCs/>
          <w:color w:val="000000" w:themeColor="text1"/>
          <w:sz w:val="24"/>
          <w:szCs w:val="24"/>
        </w:rPr>
        <w:t>a Skills</w:t>
      </w:r>
      <w:proofErr w:type="gramEnd"/>
      <w:r w:rsidRPr="0007743A">
        <w:rPr>
          <w:rFonts w:ascii="Arial" w:eastAsia="Arial" w:hAnsi="Arial" w:cs="Arial"/>
          <w:b/>
          <w:bCs/>
          <w:color w:val="000000" w:themeColor="text1"/>
          <w:sz w:val="24"/>
          <w:szCs w:val="24"/>
        </w:rPr>
        <w:t xml:space="preserve"> Based Architecture</w:t>
      </w:r>
      <w:bookmarkEnd w:id="10"/>
    </w:p>
    <w:p w14:paraId="29C1EB19" w14:textId="6354DBAF" w:rsidR="0073462C" w:rsidRPr="0007743A" w:rsidRDefault="0073462C" w:rsidP="00740941">
      <w:pPr>
        <w:spacing w:line="360" w:lineRule="auto"/>
        <w:jc w:val="both"/>
        <w:rPr>
          <w:rFonts w:ascii="Arial" w:hAnsi="Arial" w:cs="Arial"/>
          <w:color w:val="000000" w:themeColor="text1"/>
          <w:sz w:val="24"/>
          <w:szCs w:val="24"/>
        </w:rPr>
      </w:pPr>
      <w:r w:rsidRPr="0007743A">
        <w:rPr>
          <w:rFonts w:ascii="Arial" w:hAnsi="Arial" w:cs="Arial"/>
          <w:color w:val="000000" w:themeColor="text1"/>
          <w:sz w:val="24"/>
          <w:szCs w:val="24"/>
        </w:rPr>
        <w:t xml:space="preserve">Helios should seek to integrate formal job redesign with a structural avenue for workers to redesign their own jobs, and Table 2 shows how each of the dimensions of job design is related to a specific intervention. This </w:t>
      </w:r>
      <w:proofErr w:type="gramStart"/>
      <w:r w:rsidRPr="0007743A">
        <w:rPr>
          <w:rFonts w:ascii="Arial" w:hAnsi="Arial" w:cs="Arial"/>
          <w:color w:val="000000" w:themeColor="text1"/>
          <w:sz w:val="24"/>
          <w:szCs w:val="24"/>
        </w:rPr>
        <w:t>bottom up</w:t>
      </w:r>
      <w:proofErr w:type="gramEnd"/>
      <w:r w:rsidRPr="0007743A">
        <w:rPr>
          <w:rFonts w:ascii="Arial" w:hAnsi="Arial" w:cs="Arial"/>
          <w:color w:val="000000" w:themeColor="text1"/>
          <w:sz w:val="24"/>
          <w:szCs w:val="24"/>
        </w:rPr>
        <w:t xml:space="preserve"> mechanism is different from a job title structure and should be embedded within a </w:t>
      </w:r>
      <w:proofErr w:type="gramStart"/>
      <w:r w:rsidRPr="0007743A">
        <w:rPr>
          <w:rFonts w:ascii="Arial" w:hAnsi="Arial" w:cs="Arial"/>
          <w:color w:val="000000" w:themeColor="text1"/>
          <w:sz w:val="24"/>
          <w:szCs w:val="24"/>
        </w:rPr>
        <w:t>skills based</w:t>
      </w:r>
      <w:proofErr w:type="gramEnd"/>
      <w:r w:rsidRPr="0007743A">
        <w:rPr>
          <w:rFonts w:ascii="Arial" w:hAnsi="Arial" w:cs="Arial"/>
          <w:color w:val="000000" w:themeColor="text1"/>
          <w:sz w:val="24"/>
          <w:szCs w:val="24"/>
        </w:rPr>
        <w:t xml:space="preserve"> architecture. Both Jooss et al. </w:t>
      </w:r>
      <w:r w:rsidRPr="0007743A">
        <w:rPr>
          <w:rFonts w:ascii="Arial" w:hAnsi="Arial" w:cs="Arial"/>
          <w:color w:val="000000" w:themeColor="text1"/>
          <w:sz w:val="24"/>
          <w:szCs w:val="24"/>
        </w:rPr>
        <w:lastRenderedPageBreak/>
        <w:t xml:space="preserve">(2024) and Harney and Gubbins (2024) cite a skills matching approach that </w:t>
      </w:r>
      <w:proofErr w:type="spellStart"/>
      <w:r w:rsidRPr="0007743A">
        <w:rPr>
          <w:rFonts w:ascii="Arial" w:hAnsi="Arial" w:cs="Arial"/>
          <w:color w:val="000000" w:themeColor="text1"/>
          <w:sz w:val="24"/>
          <w:szCs w:val="24"/>
        </w:rPr>
        <w:t>centres</w:t>
      </w:r>
      <w:proofErr w:type="spellEnd"/>
      <w:r w:rsidRPr="0007743A">
        <w:rPr>
          <w:rFonts w:ascii="Arial" w:hAnsi="Arial" w:cs="Arial"/>
          <w:color w:val="000000" w:themeColor="text1"/>
          <w:sz w:val="24"/>
          <w:szCs w:val="24"/>
        </w:rPr>
        <w:t xml:space="preserve"> on an internal talent marketplace as a way to increase strategic agility by allocating people flexibly, providing transparency and continuous learning, and directly relevant to high potential attrition, as a graduate can see an internal path to variety rather than resigning to get there.</w:t>
      </w:r>
    </w:p>
    <w:p w14:paraId="492D4B1F" w14:textId="637F79C1" w:rsidR="001C5185" w:rsidRPr="0007743A" w:rsidRDefault="001C5185" w:rsidP="00740941">
      <w:pPr>
        <w:spacing w:line="360" w:lineRule="auto"/>
        <w:jc w:val="both"/>
        <w:rPr>
          <w:rFonts w:ascii="Arial" w:hAnsi="Arial" w:cs="Arial"/>
          <w:color w:val="000000" w:themeColor="text1"/>
          <w:sz w:val="24"/>
          <w:szCs w:val="24"/>
        </w:rPr>
      </w:pPr>
      <w:r w:rsidRPr="0007743A">
        <w:rPr>
          <w:rFonts w:ascii="Arial" w:eastAsia="Arial" w:hAnsi="Arial" w:cs="Arial"/>
          <w:i/>
          <w:iCs/>
          <w:color w:val="000000" w:themeColor="text1"/>
          <w:sz w:val="24"/>
          <w:szCs w:val="24"/>
        </w:rPr>
        <w:t>Table 2: Job Characteristics Model dimensions mapped to Helios redesign interventions.</w:t>
      </w:r>
    </w:p>
    <w:tbl>
      <w:tblPr>
        <w:tblStyle w:val="TableGrid"/>
        <w:tblW w:w="9500" w:type="dxa"/>
        <w:tblLook w:val="04A0" w:firstRow="1" w:lastRow="0" w:firstColumn="1" w:lastColumn="0" w:noHBand="0" w:noVBand="1"/>
      </w:tblPr>
      <w:tblGrid>
        <w:gridCol w:w="1800"/>
        <w:gridCol w:w="3850"/>
        <w:gridCol w:w="3850"/>
      </w:tblGrid>
      <w:tr w:rsidR="00740941" w:rsidRPr="0007743A" w14:paraId="28D0A374" w14:textId="77777777" w:rsidTr="001C5185">
        <w:tc>
          <w:tcPr>
            <w:tcW w:w="1800" w:type="dxa"/>
          </w:tcPr>
          <w:p w14:paraId="5A717CFE"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JCM Core Dimension</w:t>
            </w:r>
          </w:p>
        </w:tc>
        <w:tc>
          <w:tcPr>
            <w:tcW w:w="3850" w:type="dxa"/>
          </w:tcPr>
          <w:p w14:paraId="4ED50A1E"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Current State at Helios</w:t>
            </w:r>
          </w:p>
        </w:tc>
        <w:tc>
          <w:tcPr>
            <w:tcW w:w="3850" w:type="dxa"/>
          </w:tcPr>
          <w:p w14:paraId="5DF205AD"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Proposed Redesign Lever</w:t>
            </w:r>
          </w:p>
        </w:tc>
      </w:tr>
      <w:tr w:rsidR="00740941" w:rsidRPr="0007743A" w14:paraId="3E4C0A51" w14:textId="77777777" w:rsidTr="001C5185">
        <w:tc>
          <w:tcPr>
            <w:tcW w:w="1800" w:type="dxa"/>
          </w:tcPr>
          <w:p w14:paraId="671B584E"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Skill variety</w:t>
            </w:r>
          </w:p>
        </w:tc>
        <w:tc>
          <w:tcPr>
            <w:tcW w:w="3850" w:type="dxa"/>
          </w:tcPr>
          <w:p w14:paraId="1F1786E6" w14:textId="32B60B94"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Narrow, function siloed roles inherited from rapid </w:t>
            </w:r>
            <w:proofErr w:type="gramStart"/>
            <w:r w:rsidRPr="0007743A">
              <w:rPr>
                <w:rFonts w:ascii="Arial" w:eastAsia="Arial" w:hAnsi="Arial" w:cs="Arial"/>
                <w:color w:val="000000" w:themeColor="text1"/>
                <w:sz w:val="24"/>
                <w:szCs w:val="24"/>
              </w:rPr>
              <w:t>five</w:t>
            </w:r>
            <w:r w:rsidR="009C549F">
              <w:rPr>
                <w:rFonts w:ascii="Arial" w:eastAsia="Arial" w:hAnsi="Arial" w:cs="Arial"/>
                <w:color w:val="000000" w:themeColor="text1"/>
                <w:sz w:val="24"/>
                <w:szCs w:val="24"/>
              </w:rPr>
              <w:t xml:space="preserve"> </w:t>
            </w:r>
            <w:r w:rsidRPr="0007743A">
              <w:rPr>
                <w:rFonts w:ascii="Arial" w:eastAsia="Arial" w:hAnsi="Arial" w:cs="Arial"/>
                <w:color w:val="000000" w:themeColor="text1"/>
                <w:sz w:val="24"/>
                <w:szCs w:val="24"/>
              </w:rPr>
              <w:t>year</w:t>
            </w:r>
            <w:proofErr w:type="gramEnd"/>
            <w:r w:rsidRPr="0007743A">
              <w:rPr>
                <w:rFonts w:ascii="Arial" w:eastAsia="Arial" w:hAnsi="Arial" w:cs="Arial"/>
                <w:color w:val="000000" w:themeColor="text1"/>
                <w:sz w:val="24"/>
                <w:szCs w:val="24"/>
              </w:rPr>
              <w:t xml:space="preserve"> scaling.</w:t>
            </w:r>
          </w:p>
        </w:tc>
        <w:tc>
          <w:tcPr>
            <w:tcW w:w="3850" w:type="dxa"/>
          </w:tcPr>
          <w:p w14:paraId="649EE1DF"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Cross site project rotation across London, Berlin and Singapore through the internal talent marketplace.</w:t>
            </w:r>
          </w:p>
        </w:tc>
      </w:tr>
      <w:tr w:rsidR="00740941" w:rsidRPr="0007743A" w14:paraId="165F9860" w14:textId="77777777" w:rsidTr="001C5185">
        <w:tc>
          <w:tcPr>
            <w:tcW w:w="1800" w:type="dxa"/>
          </w:tcPr>
          <w:p w14:paraId="0634AB42"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Task identity</w:t>
            </w:r>
          </w:p>
        </w:tc>
        <w:tc>
          <w:tcPr>
            <w:tcW w:w="3850" w:type="dxa"/>
          </w:tcPr>
          <w:p w14:paraId="2D9AB0AF"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Work fragmented across matrixed teams, so few employees see a project end to end.</w:t>
            </w:r>
          </w:p>
        </w:tc>
        <w:tc>
          <w:tcPr>
            <w:tcW w:w="3850" w:type="dxa"/>
          </w:tcPr>
          <w:p w14:paraId="2278FBC6" w14:textId="77777777" w:rsidR="004F4A16" w:rsidRPr="0007743A" w:rsidRDefault="00000000" w:rsidP="001C5185">
            <w:pPr>
              <w:contextualSpacing/>
              <w:jc w:val="both"/>
              <w:rPr>
                <w:rFonts w:ascii="Arial" w:hAnsi="Arial" w:cs="Arial"/>
                <w:color w:val="000000" w:themeColor="text1"/>
                <w:sz w:val="24"/>
                <w:szCs w:val="24"/>
              </w:rPr>
            </w:pPr>
            <w:proofErr w:type="gramStart"/>
            <w:r w:rsidRPr="0007743A">
              <w:rPr>
                <w:rFonts w:ascii="Arial" w:eastAsia="Arial" w:hAnsi="Arial" w:cs="Arial"/>
                <w:color w:val="000000" w:themeColor="text1"/>
                <w:sz w:val="24"/>
                <w:szCs w:val="24"/>
              </w:rPr>
              <w:t>End to end</w:t>
            </w:r>
            <w:proofErr w:type="gramEnd"/>
            <w:r w:rsidRPr="0007743A">
              <w:rPr>
                <w:rFonts w:ascii="Arial" w:eastAsia="Arial" w:hAnsi="Arial" w:cs="Arial"/>
                <w:color w:val="000000" w:themeColor="text1"/>
                <w:sz w:val="24"/>
                <w:szCs w:val="24"/>
              </w:rPr>
              <w:t xml:space="preserve"> ownership pods, each responsible for a full city partner deliverable.</w:t>
            </w:r>
          </w:p>
        </w:tc>
      </w:tr>
      <w:tr w:rsidR="00740941" w:rsidRPr="0007743A" w14:paraId="09390D6D" w14:textId="77777777" w:rsidTr="001C5185">
        <w:tc>
          <w:tcPr>
            <w:tcW w:w="1800" w:type="dxa"/>
          </w:tcPr>
          <w:p w14:paraId="6C654C40"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Task significance</w:t>
            </w:r>
          </w:p>
        </w:tc>
        <w:tc>
          <w:tcPr>
            <w:tcW w:w="3850" w:type="dxa"/>
          </w:tcPr>
          <w:p w14:paraId="052B27FE"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Impact on city partners and residents is visible to leadership but not to junior staff.</w:t>
            </w:r>
          </w:p>
        </w:tc>
        <w:tc>
          <w:tcPr>
            <w:tcW w:w="3850" w:type="dxa"/>
          </w:tcPr>
          <w:p w14:paraId="63A9EEBF"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Direct city partner exposure and a quarterly impact showcase for all delivery staff.</w:t>
            </w:r>
          </w:p>
        </w:tc>
      </w:tr>
      <w:tr w:rsidR="00740941" w:rsidRPr="0007743A" w14:paraId="7382FCC0" w14:textId="77777777" w:rsidTr="001C5185">
        <w:tc>
          <w:tcPr>
            <w:tcW w:w="1800" w:type="dxa"/>
          </w:tcPr>
          <w:p w14:paraId="6CC4C19F"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Autonomy</w:t>
            </w:r>
          </w:p>
        </w:tc>
        <w:tc>
          <w:tcPr>
            <w:tcW w:w="3850" w:type="dxa"/>
          </w:tcPr>
          <w:p w14:paraId="5344E559"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Algorithmic monitoring tools, introduced for efficiency, are narrowing discretion (Parker and Grote, 2022).</w:t>
            </w:r>
          </w:p>
        </w:tc>
        <w:tc>
          <w:tcPr>
            <w:tcW w:w="3850" w:type="dxa"/>
          </w:tcPr>
          <w:p w14:paraId="151F7973"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Protected craft windows for </w:t>
            </w:r>
            <w:proofErr w:type="spellStart"/>
            <w:proofErr w:type="gramStart"/>
            <w:r w:rsidRPr="0007743A">
              <w:rPr>
                <w:rFonts w:ascii="Arial" w:eastAsia="Arial" w:hAnsi="Arial" w:cs="Arial"/>
                <w:color w:val="000000" w:themeColor="text1"/>
                <w:sz w:val="24"/>
                <w:szCs w:val="24"/>
              </w:rPr>
              <w:t>self initiated</w:t>
            </w:r>
            <w:proofErr w:type="spellEnd"/>
            <w:proofErr w:type="gramEnd"/>
            <w:r w:rsidRPr="0007743A">
              <w:rPr>
                <w:rFonts w:ascii="Arial" w:eastAsia="Arial" w:hAnsi="Arial" w:cs="Arial"/>
                <w:color w:val="000000" w:themeColor="text1"/>
                <w:sz w:val="24"/>
                <w:szCs w:val="24"/>
              </w:rPr>
              <w:t xml:space="preserve"> projects, plus manager trained crafting conversations.</w:t>
            </w:r>
          </w:p>
        </w:tc>
      </w:tr>
      <w:tr w:rsidR="00740941" w:rsidRPr="0007743A" w14:paraId="3E606952" w14:textId="77777777" w:rsidTr="001C5185">
        <w:tc>
          <w:tcPr>
            <w:tcW w:w="1800" w:type="dxa"/>
          </w:tcPr>
          <w:p w14:paraId="03275900"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Feedback</w:t>
            </w:r>
          </w:p>
        </w:tc>
        <w:tc>
          <w:tcPr>
            <w:tcW w:w="3850" w:type="dxa"/>
          </w:tcPr>
          <w:p w14:paraId="178E033C"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Feedback is delayed by time zone gaps and annual review cycles.</w:t>
            </w:r>
          </w:p>
        </w:tc>
        <w:tc>
          <w:tcPr>
            <w:tcW w:w="3850" w:type="dxa"/>
          </w:tcPr>
          <w:p w14:paraId="3E1ECB0C" w14:textId="77777777" w:rsidR="004F4A16" w:rsidRPr="0007743A" w:rsidRDefault="00000000" w:rsidP="001C5185">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Continuous peer feedback supported by AI assisted performance dashboards, used to inform rather than police.</w:t>
            </w:r>
          </w:p>
        </w:tc>
      </w:tr>
    </w:tbl>
    <w:p w14:paraId="2B6868E8" w14:textId="1268204C" w:rsidR="004F4A16" w:rsidRPr="0007743A" w:rsidRDefault="005809ED" w:rsidP="00740941">
      <w:pPr>
        <w:pStyle w:val="Heading2"/>
        <w:spacing w:line="360" w:lineRule="auto"/>
        <w:jc w:val="both"/>
        <w:rPr>
          <w:rFonts w:ascii="Arial" w:hAnsi="Arial" w:cs="Arial"/>
          <w:color w:val="000000" w:themeColor="text1"/>
          <w:sz w:val="24"/>
          <w:szCs w:val="24"/>
        </w:rPr>
      </w:pPr>
      <w:bookmarkStart w:id="11" w:name="_Toc235137320"/>
      <w:r w:rsidRPr="0007743A">
        <w:rPr>
          <w:rFonts w:ascii="Arial" w:eastAsia="Arial" w:hAnsi="Arial" w:cs="Arial"/>
          <w:b/>
          <w:bCs/>
          <w:color w:val="000000" w:themeColor="text1"/>
          <w:sz w:val="24"/>
          <w:szCs w:val="24"/>
        </w:rPr>
        <w:t>2.4 Limitations</w:t>
      </w:r>
      <w:bookmarkEnd w:id="11"/>
    </w:p>
    <w:p w14:paraId="0760A837" w14:textId="303A4A47" w:rsidR="0073462C" w:rsidRPr="0007743A" w:rsidRDefault="0073462C" w:rsidP="00740941">
      <w:pPr>
        <w:spacing w:line="360" w:lineRule="auto"/>
        <w:jc w:val="both"/>
        <w:rPr>
          <w:rFonts w:ascii="Arial" w:hAnsi="Arial" w:cs="Arial"/>
          <w:color w:val="000000" w:themeColor="text1"/>
          <w:sz w:val="24"/>
          <w:szCs w:val="24"/>
        </w:rPr>
      </w:pPr>
      <w:r w:rsidRPr="0007743A">
        <w:rPr>
          <w:rFonts w:ascii="Arial" w:hAnsi="Arial" w:cs="Arial"/>
          <w:color w:val="000000" w:themeColor="text1"/>
          <w:sz w:val="24"/>
          <w:szCs w:val="24"/>
        </w:rPr>
        <w:t xml:space="preserve">This design comes at a price, and there are three restrictions that should be clearly stated. Many </w:t>
      </w:r>
      <w:proofErr w:type="spellStart"/>
      <w:r w:rsidRPr="0007743A">
        <w:rPr>
          <w:rFonts w:ascii="Arial" w:hAnsi="Arial" w:cs="Arial"/>
          <w:color w:val="000000" w:themeColor="text1"/>
          <w:sz w:val="24"/>
          <w:szCs w:val="24"/>
        </w:rPr>
        <w:t>organisations</w:t>
      </w:r>
      <w:proofErr w:type="spellEnd"/>
      <w:r w:rsidRPr="0007743A">
        <w:rPr>
          <w:rFonts w:ascii="Arial" w:hAnsi="Arial" w:cs="Arial"/>
          <w:color w:val="000000" w:themeColor="text1"/>
          <w:sz w:val="24"/>
          <w:szCs w:val="24"/>
        </w:rPr>
        <w:t xml:space="preserve"> who are trying to make a </w:t>
      </w:r>
      <w:proofErr w:type="gramStart"/>
      <w:r w:rsidRPr="0007743A">
        <w:rPr>
          <w:rFonts w:ascii="Arial" w:hAnsi="Arial" w:cs="Arial"/>
          <w:color w:val="000000" w:themeColor="text1"/>
          <w:sz w:val="24"/>
          <w:szCs w:val="24"/>
        </w:rPr>
        <w:t>skills based</w:t>
      </w:r>
      <w:proofErr w:type="gramEnd"/>
      <w:r w:rsidRPr="0007743A">
        <w:rPr>
          <w:rFonts w:ascii="Arial" w:hAnsi="Arial" w:cs="Arial"/>
          <w:color w:val="000000" w:themeColor="text1"/>
          <w:sz w:val="24"/>
          <w:szCs w:val="24"/>
        </w:rPr>
        <w:t xml:space="preserve"> transition, as confirmed by Deloitte's applied research (Cantrell et al., 2022; Deloitte, 2026), are not delivering any measurable value – and Helios shouldn't expect to see a quick win this year because of the attrition. Protected craft time is fragile in the face of delivery pressure – the first commitment that's made when deadlines slip when no one's responsible for the manager. </w:t>
      </w:r>
      <w:proofErr w:type="gramStart"/>
      <w:r w:rsidRPr="0007743A">
        <w:rPr>
          <w:rFonts w:ascii="Arial" w:hAnsi="Arial" w:cs="Arial"/>
          <w:color w:val="000000" w:themeColor="text1"/>
          <w:sz w:val="24"/>
          <w:szCs w:val="24"/>
        </w:rPr>
        <w:t>Last but not least</w:t>
      </w:r>
      <w:proofErr w:type="gramEnd"/>
      <w:r w:rsidRPr="0007743A">
        <w:rPr>
          <w:rFonts w:ascii="Arial" w:hAnsi="Arial" w:cs="Arial"/>
          <w:color w:val="000000" w:themeColor="text1"/>
          <w:sz w:val="24"/>
          <w:szCs w:val="24"/>
        </w:rPr>
        <w:t>, an internal marketplace can bring more visible competition across London, Berlin and Singapore and, crucially, if allocations aren't perceived to be fair, it can end up undermining the trust that it is supposed to foster.</w:t>
      </w:r>
    </w:p>
    <w:p w14:paraId="4A2CB7A1" w14:textId="789A1414" w:rsidR="004F4A16" w:rsidRPr="0007743A" w:rsidRDefault="005809ED" w:rsidP="00740941">
      <w:pPr>
        <w:pStyle w:val="Heading2"/>
        <w:spacing w:line="360" w:lineRule="auto"/>
        <w:jc w:val="both"/>
        <w:rPr>
          <w:rFonts w:ascii="Arial" w:hAnsi="Arial" w:cs="Arial"/>
          <w:color w:val="000000" w:themeColor="text1"/>
          <w:sz w:val="24"/>
          <w:szCs w:val="24"/>
        </w:rPr>
      </w:pPr>
      <w:bookmarkStart w:id="12" w:name="_Toc235137321"/>
      <w:r w:rsidRPr="0007743A">
        <w:rPr>
          <w:rFonts w:ascii="Arial" w:eastAsia="Arial" w:hAnsi="Arial" w:cs="Arial"/>
          <w:b/>
          <w:bCs/>
          <w:color w:val="000000" w:themeColor="text1"/>
          <w:sz w:val="24"/>
          <w:szCs w:val="24"/>
        </w:rPr>
        <w:t>2.5 Sequencing and Evaluation</w:t>
      </w:r>
      <w:bookmarkEnd w:id="12"/>
    </w:p>
    <w:p w14:paraId="71DAF87A" w14:textId="2B1DE8EA" w:rsidR="0073462C" w:rsidRPr="0007743A" w:rsidRDefault="0073462C" w:rsidP="00740941">
      <w:pPr>
        <w:spacing w:line="360" w:lineRule="auto"/>
        <w:jc w:val="both"/>
        <w:rPr>
          <w:rFonts w:ascii="Arial" w:hAnsi="Arial" w:cs="Arial"/>
          <w:color w:val="000000" w:themeColor="text1"/>
          <w:sz w:val="24"/>
          <w:szCs w:val="24"/>
        </w:rPr>
      </w:pPr>
      <w:r w:rsidRPr="0007743A">
        <w:rPr>
          <w:rFonts w:ascii="Arial" w:hAnsi="Arial" w:cs="Arial"/>
          <w:color w:val="000000" w:themeColor="text1"/>
          <w:sz w:val="24"/>
          <w:szCs w:val="24"/>
        </w:rPr>
        <w:lastRenderedPageBreak/>
        <w:t xml:space="preserve">None of this is an excuse for doing nothing, but success is not guaranteed. The evidence suggests that, by managing the core dimensions listed in Table 2 directly, and having protected craft time second, and </w:t>
      </w:r>
      <w:proofErr w:type="gramStart"/>
      <w:r w:rsidRPr="0007743A">
        <w:rPr>
          <w:rFonts w:ascii="Arial" w:hAnsi="Arial" w:cs="Arial"/>
          <w:color w:val="000000" w:themeColor="text1"/>
          <w:sz w:val="24"/>
          <w:szCs w:val="24"/>
        </w:rPr>
        <w:t>skills based</w:t>
      </w:r>
      <w:proofErr w:type="gramEnd"/>
      <w:r w:rsidRPr="0007743A">
        <w:rPr>
          <w:rFonts w:ascii="Arial" w:hAnsi="Arial" w:cs="Arial"/>
          <w:color w:val="000000" w:themeColor="text1"/>
          <w:sz w:val="24"/>
          <w:szCs w:val="24"/>
        </w:rPr>
        <w:t xml:space="preserve"> marketplace last and pilot in one site, the sequence of redesigning the core dimensions makes sense. This is a series of dependencies that are only as effective as the ability of the managers and the amount of investment that is put into them, and Helios should consider the roadmap a test to see if these assumptions are true, not a guarantee.</w:t>
      </w:r>
    </w:p>
    <w:p w14:paraId="0A595026" w14:textId="1B604023" w:rsidR="004F4A16" w:rsidRPr="0007743A" w:rsidRDefault="00CB050A" w:rsidP="00740941">
      <w:pPr>
        <w:pStyle w:val="Heading1"/>
        <w:spacing w:line="360" w:lineRule="auto"/>
        <w:jc w:val="both"/>
        <w:rPr>
          <w:rFonts w:ascii="Arial" w:hAnsi="Arial" w:cs="Arial"/>
          <w:b/>
          <w:bCs/>
          <w:color w:val="000000" w:themeColor="text1"/>
          <w:sz w:val="24"/>
          <w:szCs w:val="24"/>
        </w:rPr>
      </w:pPr>
      <w:bookmarkStart w:id="13" w:name="_Toc235137322"/>
      <w:r w:rsidRPr="0007743A">
        <w:rPr>
          <w:rFonts w:ascii="Arial" w:eastAsia="Arial" w:hAnsi="Arial" w:cs="Arial"/>
          <w:b/>
          <w:bCs/>
          <w:color w:val="000000" w:themeColor="text1"/>
          <w:sz w:val="24"/>
          <w:szCs w:val="24"/>
        </w:rPr>
        <w:t>3. Key Performance Indicators</w:t>
      </w:r>
      <w:bookmarkEnd w:id="13"/>
    </w:p>
    <w:p w14:paraId="08DABC4E" w14:textId="0BC01AC8" w:rsidR="0073462C" w:rsidRPr="0007743A" w:rsidRDefault="0073462C" w:rsidP="00740941">
      <w:pPr>
        <w:spacing w:line="360" w:lineRule="auto"/>
        <w:jc w:val="both"/>
        <w:rPr>
          <w:rFonts w:ascii="Arial" w:hAnsi="Arial" w:cs="Arial"/>
          <w:color w:val="000000" w:themeColor="text1"/>
          <w:sz w:val="24"/>
          <w:szCs w:val="24"/>
        </w:rPr>
      </w:pPr>
      <w:r w:rsidRPr="0007743A">
        <w:rPr>
          <w:rFonts w:ascii="Arial" w:hAnsi="Arial" w:cs="Arial"/>
          <w:color w:val="000000" w:themeColor="text1"/>
          <w:sz w:val="24"/>
          <w:szCs w:val="24"/>
        </w:rPr>
        <w:t xml:space="preserve">Progress can be reviewed as one </w:t>
      </w:r>
      <w:proofErr w:type="gramStart"/>
      <w:r w:rsidRPr="0007743A">
        <w:rPr>
          <w:rFonts w:ascii="Arial" w:hAnsi="Arial" w:cs="Arial"/>
          <w:color w:val="000000" w:themeColor="text1"/>
          <w:sz w:val="24"/>
          <w:szCs w:val="24"/>
        </w:rPr>
        <w:t>people</w:t>
      </w:r>
      <w:proofErr w:type="gramEnd"/>
      <w:r w:rsidRPr="0007743A">
        <w:rPr>
          <w:rFonts w:ascii="Arial" w:hAnsi="Arial" w:cs="Arial"/>
          <w:color w:val="000000" w:themeColor="text1"/>
          <w:sz w:val="24"/>
          <w:szCs w:val="24"/>
        </w:rPr>
        <w:t xml:space="preserve"> plan as the indicators below are both related to </w:t>
      </w:r>
      <w:proofErr w:type="spellStart"/>
      <w:r w:rsidRPr="0007743A">
        <w:rPr>
          <w:rFonts w:ascii="Arial" w:hAnsi="Arial" w:cs="Arial"/>
          <w:color w:val="000000" w:themeColor="text1"/>
          <w:sz w:val="24"/>
          <w:szCs w:val="24"/>
        </w:rPr>
        <w:t>socialisation</w:t>
      </w:r>
      <w:proofErr w:type="spellEnd"/>
      <w:r w:rsidRPr="0007743A">
        <w:rPr>
          <w:rFonts w:ascii="Arial" w:hAnsi="Arial" w:cs="Arial"/>
          <w:color w:val="000000" w:themeColor="text1"/>
          <w:sz w:val="24"/>
          <w:szCs w:val="24"/>
        </w:rPr>
        <w:t xml:space="preserve"> outcomes and to job design outcomes.</w:t>
      </w:r>
    </w:p>
    <w:p w14:paraId="08113CA5" w14:textId="56140DEF" w:rsidR="000D4E84" w:rsidRPr="0007743A" w:rsidRDefault="000D4E84" w:rsidP="00740941">
      <w:pPr>
        <w:spacing w:line="360" w:lineRule="auto"/>
        <w:jc w:val="both"/>
        <w:rPr>
          <w:rFonts w:ascii="Arial" w:hAnsi="Arial" w:cs="Arial"/>
          <w:color w:val="000000" w:themeColor="text1"/>
          <w:sz w:val="24"/>
          <w:szCs w:val="24"/>
        </w:rPr>
      </w:pPr>
      <w:r w:rsidRPr="0007743A">
        <w:rPr>
          <w:rFonts w:ascii="Arial" w:eastAsia="Arial" w:hAnsi="Arial" w:cs="Arial"/>
          <w:i/>
          <w:iCs/>
          <w:color w:val="000000" w:themeColor="text1"/>
          <w:sz w:val="24"/>
          <w:szCs w:val="24"/>
        </w:rPr>
        <w:t>Table 3: Combined key performance indicators for Task A and Task B.</w:t>
      </w:r>
    </w:p>
    <w:tbl>
      <w:tblPr>
        <w:tblStyle w:val="TableGrid"/>
        <w:tblW w:w="9500" w:type="dxa"/>
        <w:tblLook w:val="04A0" w:firstRow="1" w:lastRow="0" w:firstColumn="1" w:lastColumn="0" w:noHBand="0" w:noVBand="1"/>
      </w:tblPr>
      <w:tblGrid>
        <w:gridCol w:w="941"/>
        <w:gridCol w:w="2046"/>
        <w:gridCol w:w="1977"/>
        <w:gridCol w:w="1410"/>
        <w:gridCol w:w="1394"/>
        <w:gridCol w:w="1732"/>
      </w:tblGrid>
      <w:tr w:rsidR="00740941" w:rsidRPr="0007743A" w14:paraId="780E3B0B" w14:textId="77777777" w:rsidTr="000D4E84">
        <w:tc>
          <w:tcPr>
            <w:tcW w:w="1000" w:type="dxa"/>
          </w:tcPr>
          <w:p w14:paraId="6AEE8898"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Task</w:t>
            </w:r>
          </w:p>
        </w:tc>
        <w:tc>
          <w:tcPr>
            <w:tcW w:w="2200" w:type="dxa"/>
          </w:tcPr>
          <w:p w14:paraId="5BFB265A"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Metric</w:t>
            </w:r>
          </w:p>
        </w:tc>
        <w:tc>
          <w:tcPr>
            <w:tcW w:w="1500" w:type="dxa"/>
          </w:tcPr>
          <w:p w14:paraId="4CFB43B4"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Baseline</w:t>
            </w:r>
          </w:p>
        </w:tc>
        <w:tc>
          <w:tcPr>
            <w:tcW w:w="1500" w:type="dxa"/>
          </w:tcPr>
          <w:p w14:paraId="5E6137A4"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6 Months</w:t>
            </w:r>
          </w:p>
        </w:tc>
        <w:tc>
          <w:tcPr>
            <w:tcW w:w="1500" w:type="dxa"/>
          </w:tcPr>
          <w:p w14:paraId="52A073F5"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12 Months</w:t>
            </w:r>
          </w:p>
        </w:tc>
        <w:tc>
          <w:tcPr>
            <w:tcW w:w="1800" w:type="dxa"/>
          </w:tcPr>
          <w:p w14:paraId="708D4EA0"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Data Source</w:t>
            </w:r>
          </w:p>
        </w:tc>
      </w:tr>
      <w:tr w:rsidR="00740941" w:rsidRPr="0007743A" w14:paraId="39FDDD32" w14:textId="77777777" w:rsidTr="000D4E84">
        <w:tc>
          <w:tcPr>
            <w:tcW w:w="1000" w:type="dxa"/>
          </w:tcPr>
          <w:p w14:paraId="54FC1CFD"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A</w:t>
            </w:r>
          </w:p>
        </w:tc>
        <w:tc>
          <w:tcPr>
            <w:tcW w:w="2200" w:type="dxa"/>
          </w:tcPr>
          <w:p w14:paraId="66F109D2"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New hire ramp up time</w:t>
            </w:r>
          </w:p>
        </w:tc>
        <w:tc>
          <w:tcPr>
            <w:tcW w:w="1500" w:type="dxa"/>
          </w:tcPr>
          <w:p w14:paraId="4812BD6B"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8 months</w:t>
            </w:r>
          </w:p>
        </w:tc>
        <w:tc>
          <w:tcPr>
            <w:tcW w:w="1500" w:type="dxa"/>
          </w:tcPr>
          <w:p w14:paraId="11F97C94"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6 months</w:t>
            </w:r>
          </w:p>
        </w:tc>
        <w:tc>
          <w:tcPr>
            <w:tcW w:w="1500" w:type="dxa"/>
          </w:tcPr>
          <w:p w14:paraId="2B2CF0EA"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4 months</w:t>
            </w:r>
          </w:p>
        </w:tc>
        <w:tc>
          <w:tcPr>
            <w:tcW w:w="1800" w:type="dxa"/>
          </w:tcPr>
          <w:p w14:paraId="76230EDB"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Milestone certification log</w:t>
            </w:r>
          </w:p>
        </w:tc>
      </w:tr>
      <w:tr w:rsidR="00740941" w:rsidRPr="0007743A" w14:paraId="31509F8E" w14:textId="77777777" w:rsidTr="000D4E84">
        <w:tc>
          <w:tcPr>
            <w:tcW w:w="1000" w:type="dxa"/>
          </w:tcPr>
          <w:p w14:paraId="5B1BA7E5"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A</w:t>
            </w:r>
          </w:p>
        </w:tc>
        <w:tc>
          <w:tcPr>
            <w:tcW w:w="2200" w:type="dxa"/>
          </w:tcPr>
          <w:p w14:paraId="4F04E923"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Engagement score, by site</w:t>
            </w:r>
          </w:p>
        </w:tc>
        <w:tc>
          <w:tcPr>
            <w:tcW w:w="1500" w:type="dxa"/>
          </w:tcPr>
          <w:p w14:paraId="0A70C19B"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54 percent (global)</w:t>
            </w:r>
          </w:p>
        </w:tc>
        <w:tc>
          <w:tcPr>
            <w:tcW w:w="1500" w:type="dxa"/>
          </w:tcPr>
          <w:p w14:paraId="22BFFB47"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58 percent</w:t>
            </w:r>
          </w:p>
        </w:tc>
        <w:tc>
          <w:tcPr>
            <w:tcW w:w="1500" w:type="dxa"/>
          </w:tcPr>
          <w:p w14:paraId="3A178D76"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65 percent</w:t>
            </w:r>
          </w:p>
        </w:tc>
        <w:tc>
          <w:tcPr>
            <w:tcW w:w="1800" w:type="dxa"/>
          </w:tcPr>
          <w:p w14:paraId="349ACA53"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Quarterly pulse survey</w:t>
            </w:r>
          </w:p>
        </w:tc>
      </w:tr>
      <w:tr w:rsidR="00740941" w:rsidRPr="0007743A" w14:paraId="52186160" w14:textId="77777777" w:rsidTr="000D4E84">
        <w:tc>
          <w:tcPr>
            <w:tcW w:w="1000" w:type="dxa"/>
          </w:tcPr>
          <w:p w14:paraId="7D05D669"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A</w:t>
            </w:r>
          </w:p>
        </w:tc>
        <w:tc>
          <w:tcPr>
            <w:tcW w:w="2200" w:type="dxa"/>
          </w:tcPr>
          <w:p w14:paraId="63FF7374"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First year graduate exit rate</w:t>
            </w:r>
          </w:p>
        </w:tc>
        <w:tc>
          <w:tcPr>
            <w:tcW w:w="1500" w:type="dxa"/>
          </w:tcPr>
          <w:p w14:paraId="59FD05FA"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Disproportionate</w:t>
            </w:r>
          </w:p>
        </w:tc>
        <w:tc>
          <w:tcPr>
            <w:tcW w:w="1500" w:type="dxa"/>
          </w:tcPr>
          <w:p w14:paraId="5ADB23AE"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10 percent cut</w:t>
            </w:r>
          </w:p>
        </w:tc>
        <w:tc>
          <w:tcPr>
            <w:tcW w:w="1500" w:type="dxa"/>
          </w:tcPr>
          <w:p w14:paraId="23F4BE94"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25 percent cut</w:t>
            </w:r>
          </w:p>
        </w:tc>
        <w:tc>
          <w:tcPr>
            <w:tcW w:w="1800" w:type="dxa"/>
          </w:tcPr>
          <w:p w14:paraId="7F3FEA9C"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HRIS exit records</w:t>
            </w:r>
          </w:p>
        </w:tc>
      </w:tr>
      <w:tr w:rsidR="00740941" w:rsidRPr="0007743A" w14:paraId="0A4EA77A" w14:textId="77777777" w:rsidTr="000D4E84">
        <w:tc>
          <w:tcPr>
            <w:tcW w:w="1000" w:type="dxa"/>
          </w:tcPr>
          <w:p w14:paraId="0C5C7FB6"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B</w:t>
            </w:r>
          </w:p>
        </w:tc>
        <w:tc>
          <w:tcPr>
            <w:tcW w:w="2200" w:type="dxa"/>
          </w:tcPr>
          <w:p w14:paraId="539C28CE"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Motivating potential score</w:t>
            </w:r>
          </w:p>
        </w:tc>
        <w:tc>
          <w:tcPr>
            <w:tcW w:w="1500" w:type="dxa"/>
          </w:tcPr>
          <w:p w14:paraId="28D64FD0"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To be measured</w:t>
            </w:r>
          </w:p>
        </w:tc>
        <w:tc>
          <w:tcPr>
            <w:tcW w:w="1500" w:type="dxa"/>
          </w:tcPr>
          <w:p w14:paraId="40C0A465"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Baseline set</w:t>
            </w:r>
          </w:p>
        </w:tc>
        <w:tc>
          <w:tcPr>
            <w:tcW w:w="1500" w:type="dxa"/>
          </w:tcPr>
          <w:p w14:paraId="396F9B9F"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30 percent uplift</w:t>
            </w:r>
          </w:p>
        </w:tc>
        <w:tc>
          <w:tcPr>
            <w:tcW w:w="1800" w:type="dxa"/>
          </w:tcPr>
          <w:p w14:paraId="09B1EFF1"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Job Diagnostic Survey</w:t>
            </w:r>
          </w:p>
        </w:tc>
      </w:tr>
      <w:tr w:rsidR="00740941" w:rsidRPr="0007743A" w14:paraId="1652DD85" w14:textId="77777777" w:rsidTr="000D4E84">
        <w:tc>
          <w:tcPr>
            <w:tcW w:w="1000" w:type="dxa"/>
          </w:tcPr>
          <w:p w14:paraId="067BAC45"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B</w:t>
            </w:r>
          </w:p>
        </w:tc>
        <w:tc>
          <w:tcPr>
            <w:tcW w:w="2200" w:type="dxa"/>
          </w:tcPr>
          <w:p w14:paraId="518C8857"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Craft time </w:t>
            </w:r>
            <w:proofErr w:type="spellStart"/>
            <w:r w:rsidRPr="0007743A">
              <w:rPr>
                <w:rFonts w:ascii="Arial" w:eastAsia="Arial" w:hAnsi="Arial" w:cs="Arial"/>
                <w:color w:val="000000" w:themeColor="text1"/>
                <w:sz w:val="24"/>
                <w:szCs w:val="24"/>
              </w:rPr>
              <w:t>utilisation</w:t>
            </w:r>
            <w:proofErr w:type="spellEnd"/>
            <w:r w:rsidRPr="0007743A">
              <w:rPr>
                <w:rFonts w:ascii="Arial" w:eastAsia="Arial" w:hAnsi="Arial" w:cs="Arial"/>
                <w:color w:val="000000" w:themeColor="text1"/>
                <w:sz w:val="24"/>
                <w:szCs w:val="24"/>
              </w:rPr>
              <w:t xml:space="preserve"> rate</w:t>
            </w:r>
          </w:p>
        </w:tc>
        <w:tc>
          <w:tcPr>
            <w:tcW w:w="1500" w:type="dxa"/>
          </w:tcPr>
          <w:p w14:paraId="17575111"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0 percent</w:t>
            </w:r>
          </w:p>
        </w:tc>
        <w:tc>
          <w:tcPr>
            <w:tcW w:w="1500" w:type="dxa"/>
          </w:tcPr>
          <w:p w14:paraId="0BCDBC64"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50 percent</w:t>
            </w:r>
          </w:p>
        </w:tc>
        <w:tc>
          <w:tcPr>
            <w:tcW w:w="1500" w:type="dxa"/>
          </w:tcPr>
          <w:p w14:paraId="6EC0F92E"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80 percent</w:t>
            </w:r>
          </w:p>
        </w:tc>
        <w:tc>
          <w:tcPr>
            <w:tcW w:w="1800" w:type="dxa"/>
          </w:tcPr>
          <w:p w14:paraId="7C244408"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Manager time reporting</w:t>
            </w:r>
          </w:p>
        </w:tc>
      </w:tr>
      <w:tr w:rsidR="00740941" w:rsidRPr="0007743A" w14:paraId="414FF0A5" w14:textId="77777777" w:rsidTr="000D4E84">
        <w:tc>
          <w:tcPr>
            <w:tcW w:w="1000" w:type="dxa"/>
          </w:tcPr>
          <w:p w14:paraId="0408FF7A"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B</w:t>
            </w:r>
          </w:p>
        </w:tc>
        <w:tc>
          <w:tcPr>
            <w:tcW w:w="2200" w:type="dxa"/>
          </w:tcPr>
          <w:p w14:paraId="683D9BB9"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Internal mobility, marketplace fills</w:t>
            </w:r>
          </w:p>
        </w:tc>
        <w:tc>
          <w:tcPr>
            <w:tcW w:w="1500" w:type="dxa"/>
          </w:tcPr>
          <w:p w14:paraId="1E8BEF16"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Low, external led</w:t>
            </w:r>
          </w:p>
        </w:tc>
        <w:tc>
          <w:tcPr>
            <w:tcW w:w="1500" w:type="dxa"/>
          </w:tcPr>
          <w:p w14:paraId="795FE186"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Pilot, one site</w:t>
            </w:r>
          </w:p>
        </w:tc>
        <w:tc>
          <w:tcPr>
            <w:tcW w:w="1500" w:type="dxa"/>
          </w:tcPr>
          <w:p w14:paraId="6E5BDD45"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30 percent of roles</w:t>
            </w:r>
          </w:p>
        </w:tc>
        <w:tc>
          <w:tcPr>
            <w:tcW w:w="1800" w:type="dxa"/>
          </w:tcPr>
          <w:p w14:paraId="55448931" w14:textId="77777777" w:rsidR="004F4A16" w:rsidRPr="0007743A" w:rsidRDefault="00000000" w:rsidP="000D4E84">
            <w:pPr>
              <w:jc w:val="both"/>
              <w:rPr>
                <w:rFonts w:ascii="Arial" w:hAnsi="Arial" w:cs="Arial"/>
                <w:color w:val="000000" w:themeColor="text1"/>
                <w:sz w:val="24"/>
                <w:szCs w:val="24"/>
              </w:rPr>
            </w:pPr>
            <w:r w:rsidRPr="0007743A">
              <w:rPr>
                <w:rFonts w:ascii="Arial" w:eastAsia="Arial" w:hAnsi="Arial" w:cs="Arial"/>
                <w:color w:val="000000" w:themeColor="text1"/>
                <w:sz w:val="24"/>
                <w:szCs w:val="24"/>
              </w:rPr>
              <w:t>Marketplace platform data</w:t>
            </w:r>
          </w:p>
        </w:tc>
      </w:tr>
    </w:tbl>
    <w:p w14:paraId="690F3062" w14:textId="2BD6A0C1" w:rsidR="004F4A16" w:rsidRPr="0007743A" w:rsidRDefault="00CB050A" w:rsidP="00740941">
      <w:pPr>
        <w:pStyle w:val="Heading1"/>
        <w:spacing w:line="360" w:lineRule="auto"/>
        <w:jc w:val="both"/>
        <w:rPr>
          <w:rFonts w:ascii="Arial" w:hAnsi="Arial" w:cs="Arial"/>
          <w:b/>
          <w:bCs/>
          <w:color w:val="000000" w:themeColor="text1"/>
          <w:sz w:val="24"/>
          <w:szCs w:val="24"/>
        </w:rPr>
      </w:pPr>
      <w:bookmarkStart w:id="14" w:name="_Toc235137323"/>
      <w:r w:rsidRPr="0007743A">
        <w:rPr>
          <w:rFonts w:ascii="Arial" w:eastAsia="Arial" w:hAnsi="Arial" w:cs="Arial"/>
          <w:b/>
          <w:bCs/>
          <w:color w:val="000000" w:themeColor="text1"/>
          <w:sz w:val="24"/>
          <w:szCs w:val="24"/>
        </w:rPr>
        <w:t>4. Implementation Roadmap</w:t>
      </w:r>
      <w:bookmarkEnd w:id="14"/>
    </w:p>
    <w:p w14:paraId="69F49A02" w14:textId="02992066" w:rsidR="0073462C" w:rsidRPr="0007743A" w:rsidRDefault="0073462C" w:rsidP="00740941">
      <w:pPr>
        <w:spacing w:line="360" w:lineRule="auto"/>
        <w:jc w:val="both"/>
        <w:rPr>
          <w:rFonts w:ascii="Arial" w:hAnsi="Arial" w:cs="Arial"/>
          <w:color w:val="000000" w:themeColor="text1"/>
          <w:sz w:val="24"/>
          <w:szCs w:val="24"/>
        </w:rPr>
      </w:pPr>
      <w:r w:rsidRPr="0007743A">
        <w:rPr>
          <w:rFonts w:ascii="Arial" w:hAnsi="Arial" w:cs="Arial"/>
          <w:color w:val="000000" w:themeColor="text1"/>
          <w:sz w:val="24"/>
          <w:szCs w:val="24"/>
        </w:rPr>
        <w:t>The two workstreams are sequenced below together so that the delivery of the two workstreams can be coordinated by Helios People team and functional leaders, not as two projects competing for same management attention, as Task A and Task B.</w:t>
      </w:r>
    </w:p>
    <w:p w14:paraId="653AD334" w14:textId="5A97B858" w:rsidR="00FC6DA2" w:rsidRPr="0007743A" w:rsidRDefault="00FC6DA2" w:rsidP="00740941">
      <w:pPr>
        <w:spacing w:line="360" w:lineRule="auto"/>
        <w:jc w:val="both"/>
        <w:rPr>
          <w:rFonts w:ascii="Arial" w:eastAsia="Arial" w:hAnsi="Arial" w:cs="Arial"/>
          <w:i/>
          <w:iCs/>
          <w:color w:val="000000" w:themeColor="text1"/>
          <w:sz w:val="24"/>
          <w:szCs w:val="24"/>
        </w:rPr>
      </w:pPr>
      <w:r w:rsidRPr="0007743A">
        <w:rPr>
          <w:rFonts w:ascii="Arial" w:eastAsia="Arial" w:hAnsi="Arial" w:cs="Arial"/>
          <w:i/>
          <w:iCs/>
          <w:color w:val="000000" w:themeColor="text1"/>
          <w:sz w:val="24"/>
          <w:szCs w:val="24"/>
        </w:rPr>
        <w:t xml:space="preserve">Table 4: Combined </w:t>
      </w:r>
      <w:proofErr w:type="gramStart"/>
      <w:r w:rsidRPr="0007743A">
        <w:rPr>
          <w:rFonts w:ascii="Arial" w:eastAsia="Arial" w:hAnsi="Arial" w:cs="Arial"/>
          <w:i/>
          <w:iCs/>
          <w:color w:val="000000" w:themeColor="text1"/>
          <w:sz w:val="24"/>
          <w:szCs w:val="24"/>
        </w:rPr>
        <w:t>3, 6 and 12 month</w:t>
      </w:r>
      <w:proofErr w:type="gramEnd"/>
      <w:r w:rsidRPr="0007743A">
        <w:rPr>
          <w:rFonts w:ascii="Arial" w:eastAsia="Arial" w:hAnsi="Arial" w:cs="Arial"/>
          <w:i/>
          <w:iCs/>
          <w:color w:val="000000" w:themeColor="text1"/>
          <w:sz w:val="24"/>
          <w:szCs w:val="24"/>
        </w:rPr>
        <w:t xml:space="preserve"> implementation roadmap for Helios Urban Mobility.</w:t>
      </w:r>
    </w:p>
    <w:tbl>
      <w:tblPr>
        <w:tblStyle w:val="TableGrid"/>
        <w:tblW w:w="9500" w:type="dxa"/>
        <w:tblLook w:val="04A0" w:firstRow="1" w:lastRow="0" w:firstColumn="1" w:lastColumn="0" w:noHBand="0" w:noVBand="1"/>
      </w:tblPr>
      <w:tblGrid>
        <w:gridCol w:w="1400"/>
        <w:gridCol w:w="4050"/>
        <w:gridCol w:w="4050"/>
      </w:tblGrid>
      <w:tr w:rsidR="00740941" w:rsidRPr="0007743A" w14:paraId="03B5FB04" w14:textId="77777777" w:rsidTr="00FC6DA2">
        <w:tc>
          <w:tcPr>
            <w:tcW w:w="1400" w:type="dxa"/>
          </w:tcPr>
          <w:p w14:paraId="13155912"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Horizon</w:t>
            </w:r>
          </w:p>
        </w:tc>
        <w:tc>
          <w:tcPr>
            <w:tcW w:w="4050" w:type="dxa"/>
          </w:tcPr>
          <w:p w14:paraId="3506D252" w14:textId="77777777" w:rsidR="004F4A16" w:rsidRPr="0007743A" w:rsidRDefault="00000000" w:rsidP="00FC6DA2">
            <w:pPr>
              <w:contextualSpacing/>
              <w:jc w:val="both"/>
              <w:rPr>
                <w:rFonts w:ascii="Arial" w:hAnsi="Arial" w:cs="Arial"/>
                <w:color w:val="000000" w:themeColor="text1"/>
                <w:sz w:val="24"/>
                <w:szCs w:val="24"/>
              </w:rPr>
            </w:pPr>
            <w:proofErr w:type="spellStart"/>
            <w:r w:rsidRPr="0007743A">
              <w:rPr>
                <w:rFonts w:ascii="Arial" w:eastAsia="Arial" w:hAnsi="Arial" w:cs="Arial"/>
                <w:b/>
                <w:bCs/>
                <w:color w:val="000000" w:themeColor="text1"/>
                <w:sz w:val="24"/>
                <w:szCs w:val="24"/>
              </w:rPr>
              <w:t>Socialisation</w:t>
            </w:r>
            <w:proofErr w:type="spellEnd"/>
            <w:r w:rsidRPr="0007743A">
              <w:rPr>
                <w:rFonts w:ascii="Arial" w:eastAsia="Arial" w:hAnsi="Arial" w:cs="Arial"/>
                <w:b/>
                <w:bCs/>
                <w:color w:val="000000" w:themeColor="text1"/>
                <w:sz w:val="24"/>
                <w:szCs w:val="24"/>
              </w:rPr>
              <w:t xml:space="preserve"> Workstream (Task A)</w:t>
            </w:r>
          </w:p>
        </w:tc>
        <w:tc>
          <w:tcPr>
            <w:tcW w:w="4050" w:type="dxa"/>
          </w:tcPr>
          <w:p w14:paraId="61BF51E7"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Job Design Workstream (Task B)</w:t>
            </w:r>
          </w:p>
        </w:tc>
      </w:tr>
      <w:tr w:rsidR="00740941" w:rsidRPr="0007743A" w14:paraId="30BDBB7D" w14:textId="77777777" w:rsidTr="00FC6DA2">
        <w:tc>
          <w:tcPr>
            <w:tcW w:w="1400" w:type="dxa"/>
          </w:tcPr>
          <w:p w14:paraId="776B71BC"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3 Months</w:t>
            </w:r>
          </w:p>
        </w:tc>
        <w:tc>
          <w:tcPr>
            <w:tcW w:w="4050" w:type="dxa"/>
          </w:tcPr>
          <w:p w14:paraId="6FF73CB8"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Pilot </w:t>
            </w:r>
            <w:proofErr w:type="gramStart"/>
            <w:r w:rsidRPr="0007743A">
              <w:rPr>
                <w:rFonts w:ascii="Arial" w:eastAsia="Arial" w:hAnsi="Arial" w:cs="Arial"/>
                <w:color w:val="000000" w:themeColor="text1"/>
                <w:sz w:val="24"/>
                <w:szCs w:val="24"/>
              </w:rPr>
              <w:t>pre boarding</w:t>
            </w:r>
            <w:proofErr w:type="gramEnd"/>
            <w:r w:rsidRPr="0007743A">
              <w:rPr>
                <w:rFonts w:ascii="Arial" w:eastAsia="Arial" w:hAnsi="Arial" w:cs="Arial"/>
                <w:color w:val="000000" w:themeColor="text1"/>
                <w:sz w:val="24"/>
                <w:szCs w:val="24"/>
              </w:rPr>
              <w:t xml:space="preserve"> preview and buddy assignment in one site, diagnose engagement by location, </w:t>
            </w:r>
            <w:r w:rsidRPr="0007743A">
              <w:rPr>
                <w:rFonts w:ascii="Arial" w:eastAsia="Arial" w:hAnsi="Arial" w:cs="Arial"/>
                <w:color w:val="000000" w:themeColor="text1"/>
                <w:sz w:val="24"/>
                <w:szCs w:val="24"/>
              </w:rPr>
              <w:lastRenderedPageBreak/>
              <w:t>brief managers on civic sponsor role.</w:t>
            </w:r>
          </w:p>
        </w:tc>
        <w:tc>
          <w:tcPr>
            <w:tcW w:w="4050" w:type="dxa"/>
          </w:tcPr>
          <w:p w14:paraId="7AE14FC2"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lastRenderedPageBreak/>
              <w:t>Run Job Diagnostic Survey baseline, redesign one pilot team using Table 2 levers, train managers to coach crafting.</w:t>
            </w:r>
          </w:p>
        </w:tc>
      </w:tr>
      <w:tr w:rsidR="00740941" w:rsidRPr="0007743A" w14:paraId="206B5985" w14:textId="77777777" w:rsidTr="00FC6DA2">
        <w:tc>
          <w:tcPr>
            <w:tcW w:w="1400" w:type="dxa"/>
          </w:tcPr>
          <w:p w14:paraId="79CE878B"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6 Months</w:t>
            </w:r>
          </w:p>
        </w:tc>
        <w:tc>
          <w:tcPr>
            <w:tcW w:w="4050" w:type="dxa"/>
          </w:tcPr>
          <w:p w14:paraId="0332D73C"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Roll out the full </w:t>
            </w:r>
            <w:proofErr w:type="gramStart"/>
            <w:r w:rsidRPr="0007743A">
              <w:rPr>
                <w:rFonts w:ascii="Arial" w:eastAsia="Arial" w:hAnsi="Arial" w:cs="Arial"/>
                <w:color w:val="000000" w:themeColor="text1"/>
                <w:sz w:val="24"/>
                <w:szCs w:val="24"/>
              </w:rPr>
              <w:t>90 day</w:t>
            </w:r>
            <w:proofErr w:type="gramEnd"/>
            <w:r w:rsidRPr="0007743A">
              <w:rPr>
                <w:rFonts w:ascii="Arial" w:eastAsia="Arial" w:hAnsi="Arial" w:cs="Arial"/>
                <w:color w:val="000000" w:themeColor="text1"/>
                <w:sz w:val="24"/>
                <w:szCs w:val="24"/>
              </w:rPr>
              <w:t xml:space="preserve"> milestone framework across all three sites, launch fortnightly contract check ins.</w:t>
            </w:r>
          </w:p>
        </w:tc>
        <w:tc>
          <w:tcPr>
            <w:tcW w:w="4050" w:type="dxa"/>
          </w:tcPr>
          <w:p w14:paraId="5077D676"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Introduce protected craft windows company wide, pilot the internal talent marketplace in one site.</w:t>
            </w:r>
          </w:p>
        </w:tc>
      </w:tr>
      <w:tr w:rsidR="00740941" w:rsidRPr="0007743A" w14:paraId="5EB33355" w14:textId="77777777" w:rsidTr="00FC6DA2">
        <w:tc>
          <w:tcPr>
            <w:tcW w:w="1400" w:type="dxa"/>
          </w:tcPr>
          <w:p w14:paraId="5155F5F8"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b/>
                <w:bCs/>
                <w:color w:val="000000" w:themeColor="text1"/>
                <w:sz w:val="24"/>
                <w:szCs w:val="24"/>
              </w:rPr>
              <w:t>12 Months</w:t>
            </w:r>
          </w:p>
        </w:tc>
        <w:tc>
          <w:tcPr>
            <w:tcW w:w="4050" w:type="dxa"/>
          </w:tcPr>
          <w:p w14:paraId="69C9FCD7"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Embed the year one identity and mobility phase, review site level engagement and ramp up data against target.</w:t>
            </w:r>
          </w:p>
        </w:tc>
        <w:tc>
          <w:tcPr>
            <w:tcW w:w="4050" w:type="dxa"/>
          </w:tcPr>
          <w:p w14:paraId="04F5A478" w14:textId="77777777" w:rsidR="004F4A16" w:rsidRPr="0007743A" w:rsidRDefault="00000000" w:rsidP="00FC6DA2">
            <w:pPr>
              <w:contextualSpacing/>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Extend the </w:t>
            </w:r>
            <w:proofErr w:type="gramStart"/>
            <w:r w:rsidRPr="0007743A">
              <w:rPr>
                <w:rFonts w:ascii="Arial" w:eastAsia="Arial" w:hAnsi="Arial" w:cs="Arial"/>
                <w:color w:val="000000" w:themeColor="text1"/>
                <w:sz w:val="24"/>
                <w:szCs w:val="24"/>
              </w:rPr>
              <w:t>skills based</w:t>
            </w:r>
            <w:proofErr w:type="gramEnd"/>
            <w:r w:rsidRPr="0007743A">
              <w:rPr>
                <w:rFonts w:ascii="Arial" w:eastAsia="Arial" w:hAnsi="Arial" w:cs="Arial"/>
                <w:color w:val="000000" w:themeColor="text1"/>
                <w:sz w:val="24"/>
                <w:szCs w:val="24"/>
              </w:rPr>
              <w:t xml:space="preserve"> marketplace to all three sites, re measure the Job Diagnostic Survey against target.</w:t>
            </w:r>
          </w:p>
        </w:tc>
      </w:tr>
    </w:tbl>
    <w:p w14:paraId="6AC43BB5" w14:textId="77777777" w:rsidR="00FC6DA2" w:rsidRPr="0007743A" w:rsidRDefault="00FC6DA2" w:rsidP="00740941">
      <w:pPr>
        <w:pStyle w:val="Heading2"/>
        <w:spacing w:line="360" w:lineRule="auto"/>
        <w:jc w:val="both"/>
        <w:rPr>
          <w:rStyle w:val="Strong"/>
          <w:rFonts w:ascii="Arial" w:hAnsi="Arial" w:cs="Arial"/>
          <w:b w:val="0"/>
          <w:bCs w:val="0"/>
          <w:color w:val="000000" w:themeColor="text1"/>
          <w:sz w:val="24"/>
          <w:szCs w:val="24"/>
        </w:rPr>
      </w:pPr>
      <w:bookmarkStart w:id="15" w:name="_Toc235137324"/>
    </w:p>
    <w:p w14:paraId="714C4C45" w14:textId="3C141DB3" w:rsidR="005809ED" w:rsidRPr="0007743A" w:rsidRDefault="005809ED" w:rsidP="00740941">
      <w:pPr>
        <w:pStyle w:val="Heading2"/>
        <w:spacing w:line="360" w:lineRule="auto"/>
        <w:jc w:val="both"/>
        <w:rPr>
          <w:rFonts w:ascii="Arial" w:hAnsi="Arial" w:cs="Arial"/>
          <w:color w:val="000000" w:themeColor="text1"/>
          <w:sz w:val="24"/>
          <w:szCs w:val="24"/>
        </w:rPr>
      </w:pPr>
      <w:r w:rsidRPr="0007743A">
        <w:rPr>
          <w:rStyle w:val="Strong"/>
          <w:rFonts w:ascii="Arial" w:hAnsi="Arial" w:cs="Arial"/>
          <w:color w:val="000000" w:themeColor="text1"/>
          <w:sz w:val="24"/>
          <w:szCs w:val="24"/>
        </w:rPr>
        <w:t>Task C: Reflective Report</w:t>
      </w:r>
      <w:bookmarkEnd w:id="15"/>
    </w:p>
    <w:p w14:paraId="1716F119" w14:textId="1542D8EF" w:rsidR="005809ED" w:rsidRPr="0007743A" w:rsidRDefault="00CB050A" w:rsidP="00740941">
      <w:pPr>
        <w:pStyle w:val="Heading3"/>
        <w:spacing w:line="360" w:lineRule="auto"/>
        <w:jc w:val="both"/>
        <w:rPr>
          <w:rFonts w:ascii="Arial" w:hAnsi="Arial" w:cs="Arial"/>
          <w:color w:val="000000" w:themeColor="text1"/>
        </w:rPr>
      </w:pPr>
      <w:bookmarkStart w:id="16" w:name="_Toc235137325"/>
      <w:r w:rsidRPr="0007743A">
        <w:rPr>
          <w:rStyle w:val="Strong"/>
          <w:rFonts w:ascii="Arial" w:hAnsi="Arial" w:cs="Arial"/>
          <w:color w:val="000000" w:themeColor="text1"/>
        </w:rPr>
        <w:t xml:space="preserve">5.1 </w:t>
      </w:r>
      <w:r w:rsidR="005809ED" w:rsidRPr="0007743A">
        <w:rPr>
          <w:rStyle w:val="Strong"/>
          <w:rFonts w:ascii="Arial" w:hAnsi="Arial" w:cs="Arial"/>
          <w:color w:val="000000" w:themeColor="text1"/>
        </w:rPr>
        <w:t>Using AI as a Decision-Support Tool Without Eroding Critical Judgement</w:t>
      </w:r>
      <w:bookmarkEnd w:id="16"/>
    </w:p>
    <w:p w14:paraId="525E212C" w14:textId="05338D3D" w:rsidR="00740941" w:rsidRPr="0007743A" w:rsidRDefault="005809ED" w:rsidP="00740941">
      <w:pPr>
        <w:pStyle w:val="NormalWeb"/>
        <w:spacing w:before="0" w:beforeAutospacing="0" w:after="0" w:afterAutospacing="0" w:line="360" w:lineRule="auto"/>
        <w:jc w:val="both"/>
        <w:rPr>
          <w:rFonts w:ascii="Arial" w:hAnsi="Arial" w:cs="Arial"/>
          <w:color w:val="000000" w:themeColor="text1"/>
        </w:rPr>
      </w:pPr>
      <w:r w:rsidRPr="0007743A">
        <w:rPr>
          <w:rFonts w:ascii="Arial" w:hAnsi="Arial" w:cs="Arial"/>
          <w:color w:val="000000" w:themeColor="text1"/>
        </w:rPr>
        <w:t xml:space="preserve">Working through this assignment reinforced my view that artificial intelligence should support evidence gathering and analysis rather than replace professional judgement in HR decision-making. </w:t>
      </w:r>
      <w:r w:rsidR="00740941" w:rsidRPr="0007743A">
        <w:rPr>
          <w:rFonts w:ascii="Arial" w:hAnsi="Arial" w:cs="Arial"/>
          <w:color w:val="000000" w:themeColor="text1"/>
        </w:rPr>
        <w:t xml:space="preserve">The completion of this assignment solidified my belief that AI should be used to assist in the process of evidence collection and analysis, not to replace the human element in HR decisions. According to Parker and Grote (2022), algorithms can limit or augment human discretion, and I will use this in my future professional practice. I will apply AI tools to </w:t>
      </w:r>
      <w:proofErr w:type="spellStart"/>
      <w:r w:rsidR="00740941" w:rsidRPr="0007743A">
        <w:rPr>
          <w:rFonts w:ascii="Arial" w:hAnsi="Arial" w:cs="Arial"/>
          <w:color w:val="000000" w:themeColor="text1"/>
        </w:rPr>
        <w:t>recognise</w:t>
      </w:r>
      <w:proofErr w:type="spellEnd"/>
      <w:r w:rsidR="00740941" w:rsidRPr="0007743A">
        <w:rPr>
          <w:rFonts w:ascii="Arial" w:hAnsi="Arial" w:cs="Arial"/>
          <w:color w:val="000000" w:themeColor="text1"/>
        </w:rPr>
        <w:t xml:space="preserve"> patterns, to compare evidence, to </w:t>
      </w:r>
      <w:proofErr w:type="spellStart"/>
      <w:r w:rsidR="00740941" w:rsidRPr="0007743A">
        <w:rPr>
          <w:rFonts w:ascii="Arial" w:hAnsi="Arial" w:cs="Arial"/>
          <w:color w:val="000000" w:themeColor="text1"/>
        </w:rPr>
        <w:t>summarise</w:t>
      </w:r>
      <w:proofErr w:type="spellEnd"/>
      <w:r w:rsidR="00740941" w:rsidRPr="0007743A">
        <w:rPr>
          <w:rFonts w:ascii="Arial" w:hAnsi="Arial" w:cs="Arial"/>
          <w:color w:val="000000" w:themeColor="text1"/>
        </w:rPr>
        <w:t xml:space="preserve"> information, and make decisions on workforce, using AI as a source of evidence, not as a definitive. I will critically consider the data and its assumptions, </w:t>
      </w:r>
      <w:proofErr w:type="spellStart"/>
      <w:r w:rsidR="00740941" w:rsidRPr="0007743A">
        <w:rPr>
          <w:rFonts w:ascii="Arial" w:hAnsi="Arial" w:cs="Arial"/>
          <w:color w:val="000000" w:themeColor="text1"/>
        </w:rPr>
        <w:t>organisational</w:t>
      </w:r>
      <w:proofErr w:type="spellEnd"/>
      <w:r w:rsidR="00740941" w:rsidRPr="0007743A">
        <w:rPr>
          <w:rFonts w:ascii="Arial" w:hAnsi="Arial" w:cs="Arial"/>
          <w:color w:val="000000" w:themeColor="text1"/>
        </w:rPr>
        <w:t xml:space="preserve"> context, fairness considerations and strategic goals before </w:t>
      </w:r>
      <w:proofErr w:type="gramStart"/>
      <w:r w:rsidR="00740941" w:rsidRPr="0007743A">
        <w:rPr>
          <w:rFonts w:ascii="Arial" w:hAnsi="Arial" w:cs="Arial"/>
          <w:color w:val="000000" w:themeColor="text1"/>
        </w:rPr>
        <w:t>taking action</w:t>
      </w:r>
      <w:proofErr w:type="gramEnd"/>
      <w:r w:rsidR="00740941" w:rsidRPr="0007743A">
        <w:rPr>
          <w:rFonts w:ascii="Arial" w:hAnsi="Arial" w:cs="Arial"/>
          <w:color w:val="000000" w:themeColor="text1"/>
        </w:rPr>
        <w:t xml:space="preserve"> on AI-generated recommendations and ensure that when making important decisions, I will take informed human judgment into account. This will allow me to leverage AI tools and stay true to ethical standards and professional accountability. Helios Urban Mobility also pointed out that technological efficiency does not necessarily lead to improved people management. As mentioned in Task B, rather than eliminate the manager's judgment, the monitoring done by AI should support their autonomy. This further reinforced my thoughts that HR professionals should always challenge the outputs of AI and not take them on faith.</w:t>
      </w:r>
    </w:p>
    <w:p w14:paraId="43FA3FF6" w14:textId="1F456710" w:rsidR="005809ED" w:rsidRPr="0007743A" w:rsidRDefault="00CB050A" w:rsidP="00740941">
      <w:pPr>
        <w:pStyle w:val="Heading3"/>
        <w:spacing w:line="360" w:lineRule="auto"/>
        <w:jc w:val="both"/>
        <w:rPr>
          <w:rFonts w:ascii="Arial" w:hAnsi="Arial" w:cs="Arial"/>
          <w:color w:val="000000" w:themeColor="text1"/>
        </w:rPr>
      </w:pPr>
      <w:bookmarkStart w:id="17" w:name="_Toc235137326"/>
      <w:r w:rsidRPr="0007743A">
        <w:rPr>
          <w:rStyle w:val="Strong"/>
          <w:rFonts w:ascii="Arial" w:hAnsi="Arial" w:cs="Arial"/>
          <w:color w:val="000000" w:themeColor="text1"/>
        </w:rPr>
        <w:t xml:space="preserve">5.2 </w:t>
      </w:r>
      <w:r w:rsidR="005809ED" w:rsidRPr="0007743A">
        <w:rPr>
          <w:rStyle w:val="Strong"/>
          <w:rFonts w:ascii="Arial" w:hAnsi="Arial" w:cs="Arial"/>
          <w:color w:val="000000" w:themeColor="text1"/>
        </w:rPr>
        <w:t>Personal Capability Development Plan</w:t>
      </w:r>
      <w:bookmarkEnd w:id="17"/>
    </w:p>
    <w:p w14:paraId="06AEF569" w14:textId="6F244159" w:rsidR="00740941" w:rsidRPr="0007743A" w:rsidRDefault="00740941" w:rsidP="00740941">
      <w:pPr>
        <w:pStyle w:val="NormalWeb"/>
        <w:spacing w:before="0" w:beforeAutospacing="0" w:after="0" w:afterAutospacing="0" w:line="360" w:lineRule="auto"/>
        <w:jc w:val="both"/>
        <w:rPr>
          <w:rFonts w:ascii="Arial" w:hAnsi="Arial" w:cs="Arial"/>
          <w:color w:val="000000" w:themeColor="text1"/>
        </w:rPr>
      </w:pPr>
      <w:r w:rsidRPr="0007743A">
        <w:rPr>
          <w:rFonts w:ascii="Arial" w:hAnsi="Arial" w:cs="Arial"/>
          <w:color w:val="000000" w:themeColor="text1"/>
        </w:rPr>
        <w:t xml:space="preserve">This module has given me four priorities for my future professional development. First, I will enhance my data literacy by taking an accredited people analytics course in the next six months and building people workforce dashboards in Excel or Power BI to better understand how to critically interpret HR data. Second, I will build up the skills and </w:t>
      </w:r>
      <w:r w:rsidRPr="0007743A">
        <w:rPr>
          <w:rFonts w:ascii="Arial" w:hAnsi="Arial" w:cs="Arial"/>
          <w:color w:val="000000" w:themeColor="text1"/>
        </w:rPr>
        <w:lastRenderedPageBreak/>
        <w:t xml:space="preserve">knowledge of AI augmentation in HR through hands-on experience of HR technology and analytics projects and learning how to assess algorithmic bias, transparency and governance. These will also enhance evidence-based skills management and strategic workforce planning (Jooss et al., 2024). Third, I will develop my strategic influencing abilities, through formal presentations, regular feedback from academic and professional advisors, and enhance the ability to communicate evidence-based recommendations to stakeholders within the next 12 months. </w:t>
      </w:r>
      <w:proofErr w:type="gramStart"/>
      <w:r w:rsidRPr="0007743A">
        <w:rPr>
          <w:rFonts w:ascii="Arial" w:hAnsi="Arial" w:cs="Arial"/>
          <w:color w:val="000000" w:themeColor="text1"/>
        </w:rPr>
        <w:t>Last but not least</w:t>
      </w:r>
      <w:proofErr w:type="gramEnd"/>
      <w:r w:rsidRPr="0007743A">
        <w:rPr>
          <w:rFonts w:ascii="Arial" w:hAnsi="Arial" w:cs="Arial"/>
          <w:color w:val="000000" w:themeColor="text1"/>
        </w:rPr>
        <w:t>, I will build my mobility awareness around the world by joining projects that are spread across different countries, studying international working practices and gaining a better understanding of cultural and regulatory differences in the next two years. In general, I have come to see HR as a strategic business function, rather than something that is purely administrative, and that technology, evidence and human judgment all play a role. Overall, my future career objective is to be an HR practitioner with analytical skills, ethical decision making and strategic influence, who is constantly learning.</w:t>
      </w:r>
    </w:p>
    <w:p w14:paraId="613560D0" w14:textId="77777777" w:rsidR="00740941" w:rsidRPr="0007743A" w:rsidRDefault="00740941" w:rsidP="00740941">
      <w:pPr>
        <w:pStyle w:val="NormalWeb"/>
        <w:spacing w:before="0" w:beforeAutospacing="0" w:after="0" w:afterAutospacing="0" w:line="360" w:lineRule="auto"/>
        <w:jc w:val="both"/>
        <w:rPr>
          <w:rFonts w:ascii="Arial" w:hAnsi="Arial" w:cs="Arial"/>
          <w:color w:val="000000" w:themeColor="text1"/>
        </w:rPr>
      </w:pPr>
    </w:p>
    <w:p w14:paraId="07EFD3C3" w14:textId="77777777" w:rsidR="005809ED" w:rsidRPr="0007743A" w:rsidRDefault="005809ED" w:rsidP="00740941">
      <w:pPr>
        <w:spacing w:line="360" w:lineRule="auto"/>
        <w:jc w:val="both"/>
        <w:rPr>
          <w:rFonts w:ascii="Arial" w:hAnsi="Arial" w:cs="Arial"/>
          <w:color w:val="000000" w:themeColor="text1"/>
          <w:sz w:val="24"/>
          <w:szCs w:val="24"/>
        </w:rPr>
      </w:pPr>
    </w:p>
    <w:p w14:paraId="77C3A2F7" w14:textId="77777777" w:rsidR="004F4A16" w:rsidRPr="0007743A" w:rsidRDefault="00000000" w:rsidP="00740941">
      <w:pPr>
        <w:spacing w:line="360" w:lineRule="auto"/>
        <w:jc w:val="both"/>
        <w:rPr>
          <w:rFonts w:ascii="Arial" w:hAnsi="Arial" w:cs="Arial"/>
          <w:color w:val="000000" w:themeColor="text1"/>
          <w:sz w:val="24"/>
          <w:szCs w:val="24"/>
        </w:rPr>
      </w:pPr>
      <w:r w:rsidRPr="0007743A">
        <w:rPr>
          <w:rFonts w:ascii="Arial" w:hAnsi="Arial" w:cs="Arial"/>
          <w:color w:val="000000" w:themeColor="text1"/>
          <w:sz w:val="24"/>
          <w:szCs w:val="24"/>
        </w:rPr>
        <w:br w:type="page"/>
      </w:r>
    </w:p>
    <w:p w14:paraId="274FD05F" w14:textId="2B961269" w:rsidR="004F4A16" w:rsidRPr="0007743A" w:rsidRDefault="00000000" w:rsidP="00740941">
      <w:pPr>
        <w:pStyle w:val="Heading1"/>
        <w:spacing w:line="360" w:lineRule="auto"/>
        <w:jc w:val="both"/>
        <w:rPr>
          <w:rFonts w:ascii="Arial" w:hAnsi="Arial" w:cs="Arial"/>
          <w:color w:val="000000" w:themeColor="text1"/>
          <w:sz w:val="24"/>
          <w:szCs w:val="24"/>
        </w:rPr>
      </w:pPr>
      <w:bookmarkStart w:id="18" w:name="_Toc235137327"/>
      <w:r w:rsidRPr="0007743A">
        <w:rPr>
          <w:rFonts w:ascii="Arial" w:eastAsia="Arial" w:hAnsi="Arial" w:cs="Arial"/>
          <w:b/>
          <w:bCs/>
          <w:color w:val="000000" w:themeColor="text1"/>
          <w:sz w:val="24"/>
          <w:szCs w:val="24"/>
        </w:rPr>
        <w:lastRenderedPageBreak/>
        <w:t>Reference</w:t>
      </w:r>
      <w:r w:rsidR="00954211" w:rsidRPr="0007743A">
        <w:rPr>
          <w:rFonts w:ascii="Arial" w:eastAsia="Arial" w:hAnsi="Arial" w:cs="Arial"/>
          <w:b/>
          <w:bCs/>
          <w:color w:val="000000" w:themeColor="text1"/>
          <w:sz w:val="24"/>
          <w:szCs w:val="24"/>
        </w:rPr>
        <w:t>s</w:t>
      </w:r>
      <w:bookmarkEnd w:id="18"/>
    </w:p>
    <w:p w14:paraId="3BF9A30E" w14:textId="0B6914E8"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Bauer, T.N., Erdogan, B., Ellis, A.M., Truxillo, D.M., Brady, G.M. and Bodner, T. (2025). New horizons for newcomer organizational socialization: a review, </w:t>
      </w:r>
      <w:proofErr w:type="spellStart"/>
      <w:proofErr w:type="gramStart"/>
      <w:r w:rsidRPr="0007743A">
        <w:rPr>
          <w:rFonts w:ascii="Arial" w:eastAsia="Arial" w:hAnsi="Arial" w:cs="Arial"/>
          <w:color w:val="000000" w:themeColor="text1"/>
          <w:sz w:val="24"/>
          <w:szCs w:val="24"/>
        </w:rPr>
        <w:t>meta analysis</w:t>
      </w:r>
      <w:proofErr w:type="spellEnd"/>
      <w:proofErr w:type="gramEnd"/>
      <w:r w:rsidRPr="0007743A">
        <w:rPr>
          <w:rFonts w:ascii="Arial" w:eastAsia="Arial" w:hAnsi="Arial" w:cs="Arial"/>
          <w:color w:val="000000" w:themeColor="text1"/>
          <w:sz w:val="24"/>
          <w:szCs w:val="24"/>
        </w:rPr>
        <w:t>, and future research directions. Journal of Management. doi:10.1177/01492063241277168</w:t>
      </w:r>
    </w:p>
    <w:p w14:paraId="72F1220E" w14:textId="77777777"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Cantrell, S., Griffiths, M., Jones, R. and </w:t>
      </w:r>
      <w:proofErr w:type="spellStart"/>
      <w:r w:rsidRPr="0007743A">
        <w:rPr>
          <w:rFonts w:ascii="Arial" w:eastAsia="Arial" w:hAnsi="Arial" w:cs="Arial"/>
          <w:color w:val="000000" w:themeColor="text1"/>
          <w:sz w:val="24"/>
          <w:szCs w:val="24"/>
        </w:rPr>
        <w:t>Hiipakka</w:t>
      </w:r>
      <w:proofErr w:type="spellEnd"/>
      <w:r w:rsidRPr="0007743A">
        <w:rPr>
          <w:rFonts w:ascii="Arial" w:eastAsia="Arial" w:hAnsi="Arial" w:cs="Arial"/>
          <w:color w:val="000000" w:themeColor="text1"/>
          <w:sz w:val="24"/>
          <w:szCs w:val="24"/>
        </w:rPr>
        <w:t xml:space="preserve">, J. (2022). The </w:t>
      </w:r>
      <w:proofErr w:type="gramStart"/>
      <w:r w:rsidRPr="0007743A">
        <w:rPr>
          <w:rFonts w:ascii="Arial" w:eastAsia="Arial" w:hAnsi="Arial" w:cs="Arial"/>
          <w:color w:val="000000" w:themeColor="text1"/>
          <w:sz w:val="24"/>
          <w:szCs w:val="24"/>
        </w:rPr>
        <w:t>skills based</w:t>
      </w:r>
      <w:proofErr w:type="gramEnd"/>
      <w:r w:rsidRPr="0007743A">
        <w:rPr>
          <w:rFonts w:ascii="Arial" w:eastAsia="Arial" w:hAnsi="Arial" w:cs="Arial"/>
          <w:color w:val="000000" w:themeColor="text1"/>
          <w:sz w:val="24"/>
          <w:szCs w:val="24"/>
        </w:rPr>
        <w:t xml:space="preserve"> organization: a new operating model for work and the workforce. [online] Deloitte Insights. Available at: https://www.deloitte.com/us/en/insights/topics/talent/organizational-skill-based-hiring.html [Accessed 16 July 2026].</w:t>
      </w:r>
    </w:p>
    <w:p w14:paraId="0A73B1D0" w14:textId="77777777" w:rsidR="009A3405" w:rsidRPr="0007743A" w:rsidRDefault="009A3405" w:rsidP="00740941">
      <w:pPr>
        <w:spacing w:line="360" w:lineRule="auto"/>
        <w:ind w:left="431" w:hanging="431"/>
        <w:jc w:val="both"/>
        <w:rPr>
          <w:rFonts w:ascii="Arial" w:eastAsia="Arial" w:hAnsi="Arial" w:cs="Arial"/>
          <w:color w:val="000000" w:themeColor="text1"/>
          <w:sz w:val="24"/>
          <w:szCs w:val="24"/>
        </w:rPr>
      </w:pPr>
      <w:r w:rsidRPr="0007743A">
        <w:rPr>
          <w:rFonts w:ascii="Arial" w:eastAsia="Arial" w:hAnsi="Arial" w:cs="Arial"/>
          <w:color w:val="000000" w:themeColor="text1"/>
          <w:sz w:val="24"/>
          <w:szCs w:val="24"/>
        </w:rPr>
        <w:t xml:space="preserve">Chen, S., van der </w:t>
      </w:r>
      <w:proofErr w:type="spellStart"/>
      <w:r w:rsidRPr="0007743A">
        <w:rPr>
          <w:rFonts w:ascii="Arial" w:eastAsia="Arial" w:hAnsi="Arial" w:cs="Arial"/>
          <w:color w:val="000000" w:themeColor="text1"/>
          <w:sz w:val="24"/>
          <w:szCs w:val="24"/>
        </w:rPr>
        <w:t>Meij</w:t>
      </w:r>
      <w:proofErr w:type="spellEnd"/>
      <w:r w:rsidRPr="0007743A">
        <w:rPr>
          <w:rFonts w:ascii="Arial" w:eastAsia="Arial" w:hAnsi="Arial" w:cs="Arial"/>
          <w:color w:val="000000" w:themeColor="text1"/>
          <w:sz w:val="24"/>
          <w:szCs w:val="24"/>
        </w:rPr>
        <w:t>, L., van Zyl, L.E. and Demerouti, E. (2022). The Life Crafting Scale: Development and Validation of a Multi-Dimensional Meaning-Making Measure. Frontiers in Psychology, 13(22). doi:10.3389/fpsyg.2022.795686.</w:t>
      </w:r>
    </w:p>
    <w:p w14:paraId="27B4685A" w14:textId="20482301"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Clinton, M.E., Bindl, U.K., Frasca, K.J. and </w:t>
      </w:r>
      <w:proofErr w:type="spellStart"/>
      <w:r w:rsidRPr="0007743A">
        <w:rPr>
          <w:rFonts w:ascii="Arial" w:eastAsia="Arial" w:hAnsi="Arial" w:cs="Arial"/>
          <w:color w:val="000000" w:themeColor="text1"/>
          <w:sz w:val="24"/>
          <w:szCs w:val="24"/>
        </w:rPr>
        <w:t>Martinescu</w:t>
      </w:r>
      <w:proofErr w:type="spellEnd"/>
      <w:r w:rsidRPr="0007743A">
        <w:rPr>
          <w:rFonts w:ascii="Arial" w:eastAsia="Arial" w:hAnsi="Arial" w:cs="Arial"/>
          <w:color w:val="000000" w:themeColor="text1"/>
          <w:sz w:val="24"/>
          <w:szCs w:val="24"/>
        </w:rPr>
        <w:t xml:space="preserve">, E. (2025). Once a job crafter, always a job crafter? Investigating job crafting in organizations as a reciprocal </w:t>
      </w:r>
      <w:proofErr w:type="spellStart"/>
      <w:r w:rsidRPr="0007743A">
        <w:rPr>
          <w:rFonts w:ascii="Arial" w:eastAsia="Arial" w:hAnsi="Arial" w:cs="Arial"/>
          <w:color w:val="000000" w:themeColor="text1"/>
          <w:sz w:val="24"/>
          <w:szCs w:val="24"/>
        </w:rPr>
        <w:t>self concordant</w:t>
      </w:r>
      <w:proofErr w:type="spellEnd"/>
      <w:r w:rsidRPr="0007743A">
        <w:rPr>
          <w:rFonts w:ascii="Arial" w:eastAsia="Arial" w:hAnsi="Arial" w:cs="Arial"/>
          <w:color w:val="000000" w:themeColor="text1"/>
          <w:sz w:val="24"/>
          <w:szCs w:val="24"/>
        </w:rPr>
        <w:t xml:space="preserve"> process across time. Human Relations. doi:10.1177/00187267241228997</w:t>
      </w:r>
    </w:p>
    <w:p w14:paraId="4F140283" w14:textId="24F39610"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Collings, D.G., McMackin, J., Nyberg, A.J. and Wright, P.M. (2021). Strategic human resource management and COVID 19: emerging challenges and research opportunities. Journal of Management Studies, 58(5), pp.1378–1382. doi:10.1111/joms.12695</w:t>
      </w:r>
    </w:p>
    <w:p w14:paraId="4DB12FCF" w14:textId="77777777"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Deloitte (2026). Rethinking </w:t>
      </w:r>
      <w:proofErr w:type="gramStart"/>
      <w:r w:rsidRPr="0007743A">
        <w:rPr>
          <w:rFonts w:ascii="Arial" w:eastAsia="Arial" w:hAnsi="Arial" w:cs="Arial"/>
          <w:color w:val="000000" w:themeColor="text1"/>
          <w:sz w:val="24"/>
          <w:szCs w:val="24"/>
        </w:rPr>
        <w:t>skills based</w:t>
      </w:r>
      <w:proofErr w:type="gramEnd"/>
      <w:r w:rsidRPr="0007743A">
        <w:rPr>
          <w:rFonts w:ascii="Arial" w:eastAsia="Arial" w:hAnsi="Arial" w:cs="Arial"/>
          <w:color w:val="000000" w:themeColor="text1"/>
          <w:sz w:val="24"/>
          <w:szCs w:val="24"/>
        </w:rPr>
        <w:t xml:space="preserve"> talent models: 4 paths to business value. [online] Deloitte Insights. Available at: https://www.deloitte.com/us/en/insights/topics/talent/creating-value-with-skills.html [Accessed 16 July 2026].</w:t>
      </w:r>
    </w:p>
    <w:p w14:paraId="2183F856" w14:textId="34E3DE9D"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Divya, S. and Christopher, B.P. (2024). A decadal review of organizational identification: insights from bibliometric analysis and content analysis. Humanities and Social Sciences Communications, 11, article 1483. doi:10.1057/s41599-024-03990-7</w:t>
      </w:r>
    </w:p>
    <w:p w14:paraId="5EDAB071" w14:textId="499FD06F"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Gajendran, R.S., </w:t>
      </w:r>
      <w:proofErr w:type="spellStart"/>
      <w:r w:rsidRPr="0007743A">
        <w:rPr>
          <w:rFonts w:ascii="Arial" w:eastAsia="Arial" w:hAnsi="Arial" w:cs="Arial"/>
          <w:color w:val="000000" w:themeColor="text1"/>
          <w:sz w:val="24"/>
          <w:szCs w:val="24"/>
        </w:rPr>
        <w:t>Ponnapalli</w:t>
      </w:r>
      <w:proofErr w:type="spellEnd"/>
      <w:r w:rsidRPr="0007743A">
        <w:rPr>
          <w:rFonts w:ascii="Arial" w:eastAsia="Arial" w:hAnsi="Arial" w:cs="Arial"/>
          <w:color w:val="000000" w:themeColor="text1"/>
          <w:sz w:val="24"/>
          <w:szCs w:val="24"/>
        </w:rPr>
        <w:t xml:space="preserve">, A.R., Wang, C. and </w:t>
      </w:r>
      <w:proofErr w:type="spellStart"/>
      <w:r w:rsidRPr="0007743A">
        <w:rPr>
          <w:rFonts w:ascii="Arial" w:eastAsia="Arial" w:hAnsi="Arial" w:cs="Arial"/>
          <w:color w:val="000000" w:themeColor="text1"/>
          <w:sz w:val="24"/>
          <w:szCs w:val="24"/>
        </w:rPr>
        <w:t>Javalagi</w:t>
      </w:r>
      <w:proofErr w:type="spellEnd"/>
      <w:r w:rsidRPr="0007743A">
        <w:rPr>
          <w:rFonts w:ascii="Arial" w:eastAsia="Arial" w:hAnsi="Arial" w:cs="Arial"/>
          <w:color w:val="000000" w:themeColor="text1"/>
          <w:sz w:val="24"/>
          <w:szCs w:val="24"/>
        </w:rPr>
        <w:t xml:space="preserve">, A.A. (2024). A dual pathway model of remote work intensity: a </w:t>
      </w:r>
      <w:proofErr w:type="spellStart"/>
      <w:proofErr w:type="gramStart"/>
      <w:r w:rsidRPr="0007743A">
        <w:rPr>
          <w:rFonts w:ascii="Arial" w:eastAsia="Arial" w:hAnsi="Arial" w:cs="Arial"/>
          <w:color w:val="000000" w:themeColor="text1"/>
          <w:sz w:val="24"/>
          <w:szCs w:val="24"/>
        </w:rPr>
        <w:t>meta analysis</w:t>
      </w:r>
      <w:proofErr w:type="spellEnd"/>
      <w:proofErr w:type="gramEnd"/>
      <w:r w:rsidRPr="0007743A">
        <w:rPr>
          <w:rFonts w:ascii="Arial" w:eastAsia="Arial" w:hAnsi="Arial" w:cs="Arial"/>
          <w:color w:val="000000" w:themeColor="text1"/>
          <w:sz w:val="24"/>
          <w:szCs w:val="24"/>
        </w:rPr>
        <w:t xml:space="preserve"> of its simultaneous positive and negative effects. Personnel Psychology, 77(4), pp.1351–1386. doi:10.1111/peps.12641</w:t>
      </w:r>
    </w:p>
    <w:p w14:paraId="06AFB78B" w14:textId="77777777"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lastRenderedPageBreak/>
        <w:t>Gallup (2024). State of the Global Workplace: 2024 Report. [online] Washington, DC: Gallup Inc. Available at: https://www.gallup.com/workplace/349484/state-of-the-global-workplace.aspx [Accessed 16 July 2026].</w:t>
      </w:r>
    </w:p>
    <w:p w14:paraId="767599DB" w14:textId="048A14AC"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Harney, B. and Gubbins, C. (2024). Human resource development (HRD) meets human resource management (HRM): a </w:t>
      </w:r>
      <w:proofErr w:type="gramStart"/>
      <w:r w:rsidRPr="0007743A">
        <w:rPr>
          <w:rFonts w:ascii="Arial" w:eastAsia="Arial" w:hAnsi="Arial" w:cs="Arial"/>
          <w:color w:val="000000" w:themeColor="text1"/>
          <w:sz w:val="24"/>
          <w:szCs w:val="24"/>
        </w:rPr>
        <w:t>skills based</w:t>
      </w:r>
      <w:proofErr w:type="gramEnd"/>
      <w:r w:rsidRPr="0007743A">
        <w:rPr>
          <w:rFonts w:ascii="Arial" w:eastAsia="Arial" w:hAnsi="Arial" w:cs="Arial"/>
          <w:color w:val="000000" w:themeColor="text1"/>
          <w:sz w:val="24"/>
          <w:szCs w:val="24"/>
        </w:rPr>
        <w:t xml:space="preserve"> agenda for a fragile world order. Human Resource Development Quarterly. doi:10.1177/15234223241267922</w:t>
      </w:r>
    </w:p>
    <w:p w14:paraId="189C5468" w14:textId="2F21B39F"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Jiang, B., Kumar, T., Rehman, N., Hameed, R., </w:t>
      </w:r>
      <w:proofErr w:type="spellStart"/>
      <w:r w:rsidRPr="0007743A">
        <w:rPr>
          <w:rFonts w:ascii="Arial" w:eastAsia="Arial" w:hAnsi="Arial" w:cs="Arial"/>
          <w:color w:val="000000" w:themeColor="text1"/>
          <w:sz w:val="24"/>
          <w:szCs w:val="24"/>
        </w:rPr>
        <w:t>Kiziloglu</w:t>
      </w:r>
      <w:proofErr w:type="spellEnd"/>
      <w:r w:rsidRPr="0007743A">
        <w:rPr>
          <w:rFonts w:ascii="Arial" w:eastAsia="Arial" w:hAnsi="Arial" w:cs="Arial"/>
          <w:color w:val="000000" w:themeColor="text1"/>
          <w:sz w:val="24"/>
          <w:szCs w:val="24"/>
        </w:rPr>
        <w:t xml:space="preserve">, M. and Israr, A. (2022). Role of psychological contracts in enhancing employee creativity through knowledge sharing: do boundary conditions of organization's socialization and </w:t>
      </w:r>
      <w:proofErr w:type="gramStart"/>
      <w:r w:rsidRPr="0007743A">
        <w:rPr>
          <w:rFonts w:ascii="Arial" w:eastAsia="Arial" w:hAnsi="Arial" w:cs="Arial"/>
          <w:color w:val="000000" w:themeColor="text1"/>
          <w:sz w:val="24"/>
          <w:szCs w:val="24"/>
        </w:rPr>
        <w:t>work related</w:t>
      </w:r>
      <w:proofErr w:type="gramEnd"/>
      <w:r w:rsidRPr="0007743A">
        <w:rPr>
          <w:rFonts w:ascii="Arial" w:eastAsia="Arial" w:hAnsi="Arial" w:cs="Arial"/>
          <w:color w:val="000000" w:themeColor="text1"/>
          <w:sz w:val="24"/>
          <w:szCs w:val="24"/>
        </w:rPr>
        <w:t xml:space="preserve"> curiosity matter? Frontiers in Psychology, 13, 834041. doi:10.3389/fpsyg.2022.834041</w:t>
      </w:r>
    </w:p>
    <w:p w14:paraId="405ED859" w14:textId="64A36211"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Jooss, S., Collings, D.G., McMackin, J. and Dickmann, M. (2024). A skills matching perspective on talent management: developing strategic agility. Human Resource Management, 63(1), pp.141–157. doi:10.1002/hrm.22192</w:t>
      </w:r>
    </w:p>
    <w:p w14:paraId="119E9B83" w14:textId="1B3743FE"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Parker, S.K. and Grote, G. (2022). Automation, algorithms, and beyond: why work design matters more than ever in a digital world. Applied Psychology, 71(4), pp.1171–1204. doi:10.1111/apps.12241</w:t>
      </w:r>
    </w:p>
    <w:p w14:paraId="55E72BE6" w14:textId="46A0B321" w:rsidR="004F4A16" w:rsidRPr="0007743A" w:rsidRDefault="00000000" w:rsidP="00740941">
      <w:pPr>
        <w:spacing w:line="360" w:lineRule="auto"/>
        <w:ind w:left="431" w:hanging="431"/>
        <w:jc w:val="both"/>
        <w:rPr>
          <w:rFonts w:ascii="Arial" w:hAnsi="Arial" w:cs="Arial"/>
          <w:color w:val="000000" w:themeColor="text1"/>
          <w:sz w:val="24"/>
          <w:szCs w:val="24"/>
        </w:rPr>
      </w:pPr>
      <w:proofErr w:type="spellStart"/>
      <w:r w:rsidRPr="0007743A">
        <w:rPr>
          <w:rFonts w:ascii="Arial" w:eastAsia="Arial" w:hAnsi="Arial" w:cs="Arial"/>
          <w:color w:val="000000" w:themeColor="text1"/>
          <w:sz w:val="24"/>
          <w:szCs w:val="24"/>
        </w:rPr>
        <w:t>Stankevičiūtė</w:t>
      </w:r>
      <w:proofErr w:type="spellEnd"/>
      <w:r w:rsidRPr="0007743A">
        <w:rPr>
          <w:rFonts w:ascii="Arial" w:eastAsia="Arial" w:hAnsi="Arial" w:cs="Arial"/>
          <w:color w:val="000000" w:themeColor="text1"/>
          <w:sz w:val="24"/>
          <w:szCs w:val="24"/>
        </w:rPr>
        <w:t>, Ž. and Kalvaitienė, J. (2024). Human resource business partner role in respect to internal corporate social responsibility: the case of the banking sector. Human Systems Management. doi:10.3233/HSM-230113</w:t>
      </w:r>
    </w:p>
    <w:p w14:paraId="208BF232" w14:textId="7F8FE90F" w:rsidR="004F4A16" w:rsidRPr="0007743A" w:rsidRDefault="00000000" w:rsidP="00740941">
      <w:pPr>
        <w:spacing w:line="360" w:lineRule="auto"/>
        <w:ind w:left="431" w:hanging="431"/>
        <w:jc w:val="both"/>
        <w:rPr>
          <w:rFonts w:ascii="Arial" w:hAnsi="Arial" w:cs="Arial"/>
          <w:color w:val="000000" w:themeColor="text1"/>
          <w:sz w:val="24"/>
          <w:szCs w:val="24"/>
        </w:rPr>
      </w:pPr>
      <w:proofErr w:type="spellStart"/>
      <w:r w:rsidRPr="0007743A">
        <w:rPr>
          <w:rFonts w:ascii="Arial" w:eastAsia="Arial" w:hAnsi="Arial" w:cs="Arial"/>
          <w:color w:val="000000" w:themeColor="text1"/>
          <w:sz w:val="24"/>
          <w:szCs w:val="24"/>
        </w:rPr>
        <w:t>Svicher</w:t>
      </w:r>
      <w:proofErr w:type="spellEnd"/>
      <w:r w:rsidRPr="0007743A">
        <w:rPr>
          <w:rFonts w:ascii="Arial" w:eastAsia="Arial" w:hAnsi="Arial" w:cs="Arial"/>
          <w:color w:val="000000" w:themeColor="text1"/>
          <w:sz w:val="24"/>
          <w:szCs w:val="24"/>
        </w:rPr>
        <w:t>, A. and Di Fabio, A. (2021). Job crafting: a challenge to promote decent work for vulnerable workers. Frontiers in Psychology, 12, 681022. doi:10.3389/fpsyg.2021.681022</w:t>
      </w:r>
    </w:p>
    <w:p w14:paraId="33D72143" w14:textId="0729023D"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Tims, M., Twemlow, M. and Fong, C.Y.M. (2022). A </w:t>
      </w:r>
      <w:proofErr w:type="gramStart"/>
      <w:r w:rsidRPr="0007743A">
        <w:rPr>
          <w:rFonts w:ascii="Arial" w:eastAsia="Arial" w:hAnsi="Arial" w:cs="Arial"/>
          <w:color w:val="000000" w:themeColor="text1"/>
          <w:sz w:val="24"/>
          <w:szCs w:val="24"/>
        </w:rPr>
        <w:t>state of the art</w:t>
      </w:r>
      <w:proofErr w:type="gramEnd"/>
      <w:r w:rsidRPr="0007743A">
        <w:rPr>
          <w:rFonts w:ascii="Arial" w:eastAsia="Arial" w:hAnsi="Arial" w:cs="Arial"/>
          <w:color w:val="000000" w:themeColor="text1"/>
          <w:sz w:val="24"/>
          <w:szCs w:val="24"/>
        </w:rPr>
        <w:t xml:space="preserve"> overview of job crafting research: current trends and future research directions. Career Development International, 27(1), pp.54–78. doi:10.1108/CDI-08-2021-0216</w:t>
      </w:r>
    </w:p>
    <w:p w14:paraId="7B1E5A70" w14:textId="77777777"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Van Maanen, J. and Schein, E.H. (1979). Toward a theory of organizational socialization. Research in Organizational Behavior, 1, pp.209–264.</w:t>
      </w:r>
    </w:p>
    <w:p w14:paraId="56806502" w14:textId="199146F5"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 xml:space="preserve">Wach, B.A., Wehner, M.C. and </w:t>
      </w:r>
      <w:proofErr w:type="spellStart"/>
      <w:r w:rsidRPr="0007743A">
        <w:rPr>
          <w:rFonts w:ascii="Arial" w:eastAsia="Arial" w:hAnsi="Arial" w:cs="Arial"/>
          <w:color w:val="000000" w:themeColor="text1"/>
          <w:sz w:val="24"/>
          <w:szCs w:val="24"/>
        </w:rPr>
        <w:t>Kabst</w:t>
      </w:r>
      <w:proofErr w:type="spellEnd"/>
      <w:r w:rsidRPr="0007743A">
        <w:rPr>
          <w:rFonts w:ascii="Arial" w:eastAsia="Arial" w:hAnsi="Arial" w:cs="Arial"/>
          <w:color w:val="000000" w:themeColor="text1"/>
          <w:sz w:val="24"/>
          <w:szCs w:val="24"/>
        </w:rPr>
        <w:t xml:space="preserve">, R. (2022). Performance implications of the HR business partner model and the mediating role of internal efficiency: a comparison between Germany and the United Kingdom. The International Journal of Human </w:t>
      </w:r>
      <w:r w:rsidRPr="0007743A">
        <w:rPr>
          <w:rFonts w:ascii="Arial" w:eastAsia="Arial" w:hAnsi="Arial" w:cs="Arial"/>
          <w:color w:val="000000" w:themeColor="text1"/>
          <w:sz w:val="24"/>
          <w:szCs w:val="24"/>
        </w:rPr>
        <w:lastRenderedPageBreak/>
        <w:t>Resource Management, 33(20), pp.4113–4150. doi:10.1080/09585192.2021.1943490</w:t>
      </w:r>
    </w:p>
    <w:p w14:paraId="16AFF457" w14:textId="1D84AA70" w:rsidR="004F4A16" w:rsidRPr="0007743A"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Wang, B., Liu, Y., Qian, J. and Parker, S.K. (2021). Achieving effective remote working during the COVID 19 pandemic: a work design perspective. Applied Psychology, 70(1), pp.16–59. doi:10.1111/apps.12290</w:t>
      </w:r>
    </w:p>
    <w:p w14:paraId="773D75AF" w14:textId="053F768C" w:rsidR="004F4A16" w:rsidRPr="00740941" w:rsidRDefault="00000000" w:rsidP="00740941">
      <w:pPr>
        <w:spacing w:line="360" w:lineRule="auto"/>
        <w:ind w:left="431" w:hanging="431"/>
        <w:jc w:val="both"/>
        <w:rPr>
          <w:rFonts w:ascii="Arial" w:hAnsi="Arial" w:cs="Arial"/>
          <w:color w:val="000000" w:themeColor="text1"/>
          <w:sz w:val="24"/>
          <w:szCs w:val="24"/>
        </w:rPr>
      </w:pPr>
      <w:r w:rsidRPr="0007743A">
        <w:rPr>
          <w:rFonts w:ascii="Arial" w:eastAsia="Arial" w:hAnsi="Arial" w:cs="Arial"/>
          <w:color w:val="000000" w:themeColor="text1"/>
          <w:sz w:val="24"/>
          <w:szCs w:val="24"/>
        </w:rPr>
        <w:t>Wright, P.M. and Steinbach, A.L. (2022). Pivoting after almost 50 years of SHRM research: toward a stakeholder view. Asia Pacific Journal of Human Resources, 60(1), pp.22–40. doi:10.1111/1744-7941.12308</w:t>
      </w:r>
    </w:p>
    <w:sectPr w:rsidR="004F4A16" w:rsidRPr="00740941">
      <w:footerReference w:type="default" r:id="rId11"/>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40839" w14:textId="77777777" w:rsidR="00234279" w:rsidRDefault="00234279">
      <w:r>
        <w:separator/>
      </w:r>
    </w:p>
  </w:endnote>
  <w:endnote w:type="continuationSeparator" w:id="0">
    <w:p w14:paraId="32336EEE" w14:textId="77777777" w:rsidR="00234279" w:rsidRDefault="00234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5006406"/>
      <w:docPartObj>
        <w:docPartGallery w:val="Page Numbers (Bottom of Page)"/>
        <w:docPartUnique/>
      </w:docPartObj>
    </w:sdtPr>
    <w:sdtEndPr>
      <w:rPr>
        <w:noProof/>
      </w:rPr>
    </w:sdtEndPr>
    <w:sdtContent>
      <w:p w14:paraId="6A02A0C7" w14:textId="2D1A5CE4" w:rsidR="005809ED" w:rsidRDefault="005809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951418" w14:textId="260C60F0" w:rsidR="004F4A16" w:rsidRDefault="004F4A16">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31BAF" w14:textId="77777777" w:rsidR="00234279" w:rsidRDefault="00234279">
      <w:r>
        <w:separator/>
      </w:r>
    </w:p>
  </w:footnote>
  <w:footnote w:type="continuationSeparator" w:id="0">
    <w:p w14:paraId="50E4E62E" w14:textId="77777777" w:rsidR="00234279" w:rsidRDefault="002342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0B7323"/>
    <w:multiLevelType w:val="hybridMultilevel"/>
    <w:tmpl w:val="B49E92AE"/>
    <w:lvl w:ilvl="0" w:tplc="85EACF76">
      <w:start w:val="1"/>
      <w:numFmt w:val="bullet"/>
      <w:lvlText w:val="●"/>
      <w:lvlJc w:val="left"/>
      <w:pPr>
        <w:ind w:left="720" w:hanging="360"/>
      </w:pPr>
    </w:lvl>
    <w:lvl w:ilvl="1" w:tplc="75A250BA">
      <w:start w:val="1"/>
      <w:numFmt w:val="bullet"/>
      <w:lvlText w:val="○"/>
      <w:lvlJc w:val="left"/>
      <w:pPr>
        <w:ind w:left="1440" w:hanging="360"/>
      </w:pPr>
    </w:lvl>
    <w:lvl w:ilvl="2" w:tplc="58EA6884">
      <w:start w:val="1"/>
      <w:numFmt w:val="bullet"/>
      <w:lvlText w:val="■"/>
      <w:lvlJc w:val="left"/>
      <w:pPr>
        <w:ind w:left="2160" w:hanging="360"/>
      </w:pPr>
    </w:lvl>
    <w:lvl w:ilvl="3" w:tplc="ECA4099A">
      <w:start w:val="1"/>
      <w:numFmt w:val="bullet"/>
      <w:lvlText w:val="●"/>
      <w:lvlJc w:val="left"/>
      <w:pPr>
        <w:ind w:left="2880" w:hanging="360"/>
      </w:pPr>
    </w:lvl>
    <w:lvl w:ilvl="4" w:tplc="A84E58EA">
      <w:start w:val="1"/>
      <w:numFmt w:val="bullet"/>
      <w:lvlText w:val="○"/>
      <w:lvlJc w:val="left"/>
      <w:pPr>
        <w:ind w:left="3600" w:hanging="360"/>
      </w:pPr>
    </w:lvl>
    <w:lvl w:ilvl="5" w:tplc="918E6786">
      <w:start w:val="1"/>
      <w:numFmt w:val="bullet"/>
      <w:lvlText w:val="■"/>
      <w:lvlJc w:val="left"/>
      <w:pPr>
        <w:ind w:left="4320" w:hanging="360"/>
      </w:pPr>
    </w:lvl>
    <w:lvl w:ilvl="6" w:tplc="E12C0C70">
      <w:start w:val="1"/>
      <w:numFmt w:val="bullet"/>
      <w:lvlText w:val="●"/>
      <w:lvlJc w:val="left"/>
      <w:pPr>
        <w:ind w:left="5040" w:hanging="360"/>
      </w:pPr>
    </w:lvl>
    <w:lvl w:ilvl="7" w:tplc="A96CFD5A">
      <w:start w:val="1"/>
      <w:numFmt w:val="bullet"/>
      <w:lvlText w:val="●"/>
      <w:lvlJc w:val="left"/>
      <w:pPr>
        <w:ind w:left="5760" w:hanging="360"/>
      </w:pPr>
    </w:lvl>
    <w:lvl w:ilvl="8" w:tplc="013EED74">
      <w:start w:val="1"/>
      <w:numFmt w:val="bullet"/>
      <w:lvlText w:val="●"/>
      <w:lvlJc w:val="left"/>
      <w:pPr>
        <w:ind w:left="6480" w:hanging="360"/>
      </w:pPr>
    </w:lvl>
  </w:abstractNum>
  <w:num w:numId="1" w16cid:durableId="65734329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A16"/>
    <w:rsid w:val="0007743A"/>
    <w:rsid w:val="000A12F6"/>
    <w:rsid w:val="000C6B68"/>
    <w:rsid w:val="000D4E84"/>
    <w:rsid w:val="000E0B72"/>
    <w:rsid w:val="00104F8D"/>
    <w:rsid w:val="00136F38"/>
    <w:rsid w:val="001C5185"/>
    <w:rsid w:val="00234279"/>
    <w:rsid w:val="00286ADF"/>
    <w:rsid w:val="002B03E9"/>
    <w:rsid w:val="002B3EAC"/>
    <w:rsid w:val="00396E8E"/>
    <w:rsid w:val="003D1AFB"/>
    <w:rsid w:val="00442BDA"/>
    <w:rsid w:val="0047010B"/>
    <w:rsid w:val="004F4A16"/>
    <w:rsid w:val="005809ED"/>
    <w:rsid w:val="005B200E"/>
    <w:rsid w:val="0066746F"/>
    <w:rsid w:val="006B0CFC"/>
    <w:rsid w:val="0073462C"/>
    <w:rsid w:val="00740941"/>
    <w:rsid w:val="00750AD8"/>
    <w:rsid w:val="007D3217"/>
    <w:rsid w:val="00867590"/>
    <w:rsid w:val="008C56E9"/>
    <w:rsid w:val="00923009"/>
    <w:rsid w:val="00954211"/>
    <w:rsid w:val="00962E71"/>
    <w:rsid w:val="00963BC4"/>
    <w:rsid w:val="009A3405"/>
    <w:rsid w:val="009C549F"/>
    <w:rsid w:val="009D2171"/>
    <w:rsid w:val="009D68FA"/>
    <w:rsid w:val="00A508A4"/>
    <w:rsid w:val="00A55861"/>
    <w:rsid w:val="00AA6AAD"/>
    <w:rsid w:val="00AB1148"/>
    <w:rsid w:val="00AC7AF2"/>
    <w:rsid w:val="00AE2139"/>
    <w:rsid w:val="00B113D5"/>
    <w:rsid w:val="00BA7052"/>
    <w:rsid w:val="00C247D7"/>
    <w:rsid w:val="00C64429"/>
    <w:rsid w:val="00C9735F"/>
    <w:rsid w:val="00CB050A"/>
    <w:rsid w:val="00D42336"/>
    <w:rsid w:val="00D64146"/>
    <w:rsid w:val="00D70B45"/>
    <w:rsid w:val="00E82ECB"/>
    <w:rsid w:val="00EF1AA3"/>
    <w:rsid w:val="00F828BD"/>
    <w:rsid w:val="00FC6D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C9D79"/>
  <w15:docId w15:val="{1F01CB65-F8EB-491A-8209-F27D955E7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63BC4"/>
    <w:pPr>
      <w:tabs>
        <w:tab w:val="center" w:pos="4680"/>
        <w:tab w:val="right" w:pos="9360"/>
      </w:tabs>
    </w:pPr>
  </w:style>
  <w:style w:type="character" w:customStyle="1" w:styleId="HeaderChar">
    <w:name w:val="Header Char"/>
    <w:basedOn w:val="DefaultParagraphFont"/>
    <w:link w:val="Header"/>
    <w:uiPriority w:val="99"/>
    <w:rsid w:val="00963BC4"/>
  </w:style>
  <w:style w:type="paragraph" w:styleId="Footer">
    <w:name w:val="footer"/>
    <w:basedOn w:val="Normal"/>
    <w:link w:val="FooterChar"/>
    <w:uiPriority w:val="99"/>
    <w:unhideWhenUsed/>
    <w:rsid w:val="00963BC4"/>
    <w:pPr>
      <w:tabs>
        <w:tab w:val="center" w:pos="4680"/>
        <w:tab w:val="right" w:pos="9360"/>
      </w:tabs>
    </w:pPr>
  </w:style>
  <w:style w:type="character" w:customStyle="1" w:styleId="FooterChar">
    <w:name w:val="Footer Char"/>
    <w:basedOn w:val="DefaultParagraphFont"/>
    <w:link w:val="Footer"/>
    <w:uiPriority w:val="99"/>
    <w:rsid w:val="00963BC4"/>
  </w:style>
  <w:style w:type="character" w:styleId="Strong">
    <w:name w:val="Strong"/>
    <w:basedOn w:val="DefaultParagraphFont"/>
    <w:uiPriority w:val="22"/>
    <w:qFormat/>
    <w:rsid w:val="005809ED"/>
    <w:rPr>
      <w:b/>
      <w:bCs/>
    </w:rPr>
  </w:style>
  <w:style w:type="paragraph" w:styleId="NormalWeb">
    <w:name w:val="Normal (Web)"/>
    <w:basedOn w:val="Normal"/>
    <w:uiPriority w:val="99"/>
    <w:semiHidden/>
    <w:unhideWhenUsed/>
    <w:rsid w:val="005809ED"/>
    <w:pPr>
      <w:spacing w:before="100" w:beforeAutospacing="1" w:after="100" w:afterAutospacing="1"/>
    </w:pPr>
    <w:rPr>
      <w:sz w:val="24"/>
      <w:szCs w:val="24"/>
    </w:rPr>
  </w:style>
  <w:style w:type="paragraph" w:styleId="TOCHeading">
    <w:name w:val="TOC Heading"/>
    <w:basedOn w:val="Heading1"/>
    <w:next w:val="Normal"/>
    <w:uiPriority w:val="39"/>
    <w:unhideWhenUsed/>
    <w:qFormat/>
    <w:rsid w:val="00A508A4"/>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A508A4"/>
    <w:pPr>
      <w:spacing w:after="100"/>
    </w:pPr>
  </w:style>
  <w:style w:type="paragraph" w:styleId="TOC2">
    <w:name w:val="toc 2"/>
    <w:basedOn w:val="Normal"/>
    <w:next w:val="Normal"/>
    <w:autoRedefine/>
    <w:uiPriority w:val="39"/>
    <w:unhideWhenUsed/>
    <w:rsid w:val="00A508A4"/>
    <w:pPr>
      <w:spacing w:after="100"/>
      <w:ind w:left="200"/>
    </w:pPr>
  </w:style>
  <w:style w:type="paragraph" w:styleId="TOC3">
    <w:name w:val="toc 3"/>
    <w:basedOn w:val="Normal"/>
    <w:next w:val="Normal"/>
    <w:autoRedefine/>
    <w:uiPriority w:val="39"/>
    <w:unhideWhenUsed/>
    <w:rsid w:val="00A508A4"/>
    <w:pPr>
      <w:spacing w:after="100"/>
      <w:ind w:left="400"/>
    </w:pPr>
  </w:style>
  <w:style w:type="table" w:styleId="TableGrid">
    <w:name w:val="Table Grid"/>
    <w:basedOn w:val="TableNormal"/>
    <w:uiPriority w:val="39"/>
    <w:rsid w:val="001C51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21430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3B5B9-C3C1-4287-8CC0-3604EF95C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3775</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jay.jagdish.sanghani</cp:lastModifiedBy>
  <cp:revision>4</cp:revision>
  <dcterms:created xsi:type="dcterms:W3CDTF">2026-07-16T18:56:00Z</dcterms:created>
  <dcterms:modified xsi:type="dcterms:W3CDTF">2026-07-17T01:08:00Z</dcterms:modified>
</cp:coreProperties>
</file>