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9372E2C" w14:textId="0F4A756B" w:rsidR="00EC3D2F" w:rsidRDefault="00EC3D2F" w:rsidP="00EC3D2F">
      <w:pPr>
        <w:pStyle w:val="Title"/>
        <w:spacing w:line="360" w:lineRule="auto"/>
        <w:jc w:val="center"/>
        <w:rPr>
          <w:b/>
        </w:rPr>
      </w:pPr>
      <w:bookmarkStart w:id="0" w:name="_heading=h.hmbifj3fjx6" w:colFirst="0" w:colLast="0"/>
      <w:bookmarkEnd w:id="0"/>
      <w:r>
        <w:rPr>
          <w:b/>
        </w:rPr>
        <w:t>How to engage</w:t>
      </w:r>
    </w:p>
    <w:p w14:paraId="103F2B14" w14:textId="77777777" w:rsidR="00EC3D2F" w:rsidRPr="00EC3D2F" w:rsidRDefault="00EC3D2F" w:rsidP="00EC3D2F"/>
    <w:p w14:paraId="00000001" w14:textId="7CE79566" w:rsidR="00B96ED8" w:rsidRDefault="00EF53B5">
      <w:pPr>
        <w:pStyle w:val="Title"/>
        <w:spacing w:line="360" w:lineRule="auto"/>
        <w:jc w:val="center"/>
        <w:rPr>
          <w:b/>
        </w:rPr>
      </w:pPr>
      <w:r>
        <w:rPr>
          <w:b/>
        </w:rPr>
        <w:t>employees throughout the employee lifecycle</w:t>
      </w:r>
      <w:r w:rsidR="00EC3D2F">
        <w:rPr>
          <w:b/>
        </w:rPr>
        <w:t>.</w:t>
      </w:r>
    </w:p>
    <w:p w14:paraId="5B5B5C78" w14:textId="5AF74F85" w:rsidR="00EC3D2F" w:rsidRDefault="00EC3D2F" w:rsidP="00EC3D2F"/>
    <w:p w14:paraId="5CB278AE" w14:textId="2CFF1B61" w:rsidR="00EC3D2F" w:rsidRDefault="00EC3D2F" w:rsidP="00EC3D2F"/>
    <w:p w14:paraId="51CA269D" w14:textId="53382EB9" w:rsidR="00EC3D2F" w:rsidRDefault="00EC3D2F" w:rsidP="00EC3D2F"/>
    <w:p w14:paraId="2D65594F" w14:textId="241FE6F8" w:rsidR="00EC3D2F" w:rsidRDefault="00EC3D2F" w:rsidP="00EC3D2F"/>
    <w:p w14:paraId="76EC8591" w14:textId="6ACD04D5" w:rsidR="00EC3D2F" w:rsidRDefault="00EC3D2F" w:rsidP="00EC3D2F"/>
    <w:p w14:paraId="563F54A4" w14:textId="569EFBC2" w:rsidR="00EC3D2F" w:rsidRDefault="00EC3D2F" w:rsidP="00EC3D2F"/>
    <w:p w14:paraId="2C2D15B3" w14:textId="58A62DCC" w:rsidR="00EC3D2F" w:rsidRDefault="00EC3D2F" w:rsidP="00EC3D2F"/>
    <w:p w14:paraId="7A37C6AB" w14:textId="48CD8CF9" w:rsidR="00EC3D2F" w:rsidRDefault="00EC3D2F" w:rsidP="00EC3D2F"/>
    <w:p w14:paraId="10A61A3B" w14:textId="4F4900E1" w:rsidR="00EC3D2F" w:rsidRDefault="00EC3D2F" w:rsidP="00EC3D2F"/>
    <w:p w14:paraId="3EB3A176" w14:textId="0C461106" w:rsidR="00EC3D2F" w:rsidRDefault="00EC3D2F" w:rsidP="00EC3D2F"/>
    <w:p w14:paraId="7707CEE5" w14:textId="01991E7B" w:rsidR="00EC3D2F" w:rsidRDefault="00EC3D2F" w:rsidP="00EC3D2F"/>
    <w:p w14:paraId="6A330EC0" w14:textId="43C9D330" w:rsidR="00EC3D2F" w:rsidRDefault="00EC3D2F" w:rsidP="00EC3D2F"/>
    <w:p w14:paraId="30B7ABE9" w14:textId="114ACA76" w:rsidR="00EC3D2F" w:rsidRDefault="00EC3D2F" w:rsidP="00EC3D2F"/>
    <w:p w14:paraId="7D45C8E9" w14:textId="79398DC0" w:rsidR="00EC3D2F" w:rsidRDefault="00EC3D2F" w:rsidP="00EC3D2F"/>
    <w:p w14:paraId="2FFFE960" w14:textId="77777777" w:rsidR="00EC3D2F" w:rsidRDefault="00EC3D2F" w:rsidP="00EC3D2F"/>
    <w:p w14:paraId="56A820E3" w14:textId="0B028CB2" w:rsidR="00EC3D2F" w:rsidRDefault="00EC3D2F" w:rsidP="00EC3D2F"/>
    <w:p w14:paraId="7BDC2F2D" w14:textId="490AB920" w:rsidR="00EC3D2F" w:rsidRDefault="00EC3D2F" w:rsidP="00EC3D2F"/>
    <w:p w14:paraId="5E710B4E" w14:textId="77777777" w:rsidR="00EC3D2F" w:rsidRDefault="00EC3D2F" w:rsidP="00EC3D2F">
      <w:pPr>
        <w:rPr>
          <w:sz w:val="24"/>
          <w:szCs w:val="24"/>
        </w:rPr>
      </w:pPr>
    </w:p>
    <w:p w14:paraId="6CEF2041" w14:textId="77777777" w:rsidR="00EC3D2F" w:rsidRDefault="00EC3D2F" w:rsidP="00EC3D2F">
      <w:pPr>
        <w:rPr>
          <w:sz w:val="24"/>
          <w:szCs w:val="24"/>
        </w:rPr>
      </w:pPr>
    </w:p>
    <w:p w14:paraId="4008E448" w14:textId="77777777" w:rsidR="00EC3D2F" w:rsidRDefault="00EC3D2F" w:rsidP="00EC3D2F">
      <w:pPr>
        <w:rPr>
          <w:sz w:val="24"/>
          <w:szCs w:val="24"/>
        </w:rPr>
      </w:pPr>
    </w:p>
    <w:p w14:paraId="6A5E0B62" w14:textId="77777777" w:rsidR="00EC3D2F" w:rsidRDefault="00EC3D2F" w:rsidP="00EC3D2F">
      <w:pPr>
        <w:rPr>
          <w:sz w:val="24"/>
          <w:szCs w:val="24"/>
        </w:rPr>
      </w:pPr>
    </w:p>
    <w:p w14:paraId="3213C118" w14:textId="77777777" w:rsidR="00EC3D2F" w:rsidRDefault="00EC3D2F" w:rsidP="00EC3D2F">
      <w:pPr>
        <w:rPr>
          <w:sz w:val="24"/>
          <w:szCs w:val="24"/>
        </w:rPr>
      </w:pPr>
    </w:p>
    <w:p w14:paraId="4504A9C5" w14:textId="77777777" w:rsidR="00EC3D2F" w:rsidRDefault="00EC3D2F" w:rsidP="00EC3D2F">
      <w:pPr>
        <w:rPr>
          <w:sz w:val="24"/>
          <w:szCs w:val="24"/>
        </w:rPr>
      </w:pPr>
    </w:p>
    <w:p w14:paraId="7D47AD18" w14:textId="77777777" w:rsidR="00EC3D2F" w:rsidRDefault="00EC3D2F" w:rsidP="00EC3D2F">
      <w:pPr>
        <w:rPr>
          <w:sz w:val="24"/>
          <w:szCs w:val="24"/>
        </w:rPr>
      </w:pPr>
    </w:p>
    <w:p w14:paraId="42261823" w14:textId="77777777" w:rsidR="00EC3D2F" w:rsidRDefault="00EC3D2F" w:rsidP="00EC3D2F">
      <w:pPr>
        <w:rPr>
          <w:sz w:val="24"/>
          <w:szCs w:val="24"/>
        </w:rPr>
      </w:pPr>
    </w:p>
    <w:p w14:paraId="1A722BE7" w14:textId="77777777" w:rsidR="00EC3D2F" w:rsidRDefault="00EC3D2F" w:rsidP="00EC3D2F">
      <w:pPr>
        <w:rPr>
          <w:sz w:val="24"/>
          <w:szCs w:val="24"/>
        </w:rPr>
      </w:pPr>
    </w:p>
    <w:p w14:paraId="272D5C67" w14:textId="77777777" w:rsidR="00EC3D2F" w:rsidRDefault="00EC3D2F" w:rsidP="00EC3D2F">
      <w:pPr>
        <w:rPr>
          <w:sz w:val="24"/>
          <w:szCs w:val="24"/>
        </w:rPr>
      </w:pPr>
    </w:p>
    <w:p w14:paraId="098EA43B" w14:textId="77777777" w:rsidR="00EC3D2F" w:rsidRDefault="00EC3D2F" w:rsidP="00EC3D2F">
      <w:pPr>
        <w:rPr>
          <w:sz w:val="24"/>
          <w:szCs w:val="24"/>
        </w:rPr>
      </w:pPr>
    </w:p>
    <w:p w14:paraId="3B6CCA21" w14:textId="57B4AA75" w:rsidR="00EC3D2F" w:rsidRPr="00EC3D2F" w:rsidRDefault="00EC3D2F" w:rsidP="00EC3D2F">
      <w:pPr>
        <w:rPr>
          <w:sz w:val="24"/>
          <w:szCs w:val="24"/>
        </w:rPr>
      </w:pPr>
      <w:r w:rsidRPr="00EC3D2F">
        <w:rPr>
          <w:sz w:val="24"/>
          <w:szCs w:val="24"/>
        </w:rPr>
        <w:t>Candelaria Stevenson</w:t>
      </w:r>
    </w:p>
    <w:p w14:paraId="357BB150" w14:textId="7FB379C3" w:rsidR="00EC3D2F" w:rsidRPr="00EC3D2F" w:rsidRDefault="00EC3D2F" w:rsidP="00EC3D2F">
      <w:pPr>
        <w:rPr>
          <w:sz w:val="24"/>
          <w:szCs w:val="24"/>
        </w:rPr>
      </w:pPr>
      <w:r w:rsidRPr="00EC3D2F">
        <w:rPr>
          <w:sz w:val="24"/>
          <w:szCs w:val="24"/>
        </w:rPr>
        <w:t>Personnel Resourcing and Development</w:t>
      </w:r>
    </w:p>
    <w:p w14:paraId="23531DDC" w14:textId="17264A3C" w:rsidR="00EC3D2F" w:rsidRPr="00EC3D2F" w:rsidRDefault="00EC3D2F" w:rsidP="00EC3D2F">
      <w:pPr>
        <w:rPr>
          <w:sz w:val="24"/>
          <w:szCs w:val="24"/>
        </w:rPr>
      </w:pPr>
      <w:r w:rsidRPr="00EC3D2F">
        <w:rPr>
          <w:sz w:val="24"/>
          <w:szCs w:val="24"/>
        </w:rPr>
        <w:t>BMIH5005</w:t>
      </w:r>
    </w:p>
    <w:p w14:paraId="1EABF246" w14:textId="77777777" w:rsidR="00EC3D2F" w:rsidRDefault="00EC3D2F" w:rsidP="00EC3D2F">
      <w:pPr>
        <w:rPr>
          <w:sz w:val="24"/>
          <w:szCs w:val="24"/>
        </w:rPr>
      </w:pPr>
      <w:r w:rsidRPr="00EC3D2F">
        <w:rPr>
          <w:sz w:val="24"/>
          <w:szCs w:val="24"/>
        </w:rPr>
        <w:t>Emma Roberts</w:t>
      </w:r>
      <w:bookmarkStart w:id="1" w:name="_heading=h.9c69r6cbozp0" w:colFirst="0" w:colLast="0"/>
      <w:bookmarkEnd w:id="1"/>
    </w:p>
    <w:p w14:paraId="00000006" w14:textId="745FEA49" w:rsidR="00B96ED8" w:rsidRDefault="00EF53B5" w:rsidP="00996F6B">
      <w:pPr>
        <w:spacing w:line="360" w:lineRule="auto"/>
        <w:rPr>
          <w:sz w:val="24"/>
          <w:szCs w:val="24"/>
        </w:rPr>
      </w:pPr>
      <w:r>
        <w:rPr>
          <w:sz w:val="24"/>
          <w:szCs w:val="24"/>
        </w:rPr>
        <w:lastRenderedPageBreak/>
        <w:t xml:space="preserve">On all levels, in enhancing the effects of employee engagement, HR plays a very crucial role. Although there are specific duties and activities related to employee engagement, employee engagement is something that everyone in HR should take into account. There are many potential solutions to the question of what drives employee engagement at work. These include fun jobs, great managers, career opportunities, training, competitive pay and benefits, and alignment with company goals. Simply put, if employers want to achieve high levels of employee engagement, they need to master all the basics of HR </w:t>
      </w:r>
      <w:r>
        <w:rPr>
          <w:sz w:val="24"/>
          <w:szCs w:val="24"/>
          <w:highlight w:val="white"/>
        </w:rPr>
        <w:t>(Thurlow et al., 2020)</w:t>
      </w:r>
      <w:r>
        <w:rPr>
          <w:sz w:val="24"/>
          <w:szCs w:val="24"/>
        </w:rPr>
        <w:t>. Employee engagement is a more challenging subject than it first appears to be because it touches all facets of HR.</w:t>
      </w:r>
    </w:p>
    <w:p w14:paraId="00000007" w14:textId="77777777" w:rsidR="00B96ED8" w:rsidRDefault="00EF53B5" w:rsidP="00996F6B">
      <w:pPr>
        <w:spacing w:line="360" w:lineRule="auto"/>
        <w:jc w:val="both"/>
        <w:rPr>
          <w:sz w:val="24"/>
          <w:szCs w:val="24"/>
        </w:rPr>
      </w:pPr>
      <w:r>
        <w:rPr>
          <w:sz w:val="24"/>
          <w:szCs w:val="24"/>
        </w:rPr>
        <w:t xml:space="preserve">There is good news if anyone left thinking about how to inspire a team at work. There are many ways to increase your team's motivation at work, and many of these strategies are simple to implement into regular business operations (Musselman &amp; Jackson, 2019). If employees fail to communicate critical corporate information, whether on purpose or by accident, it will help the staff to come to their conclusion. </w:t>
      </w:r>
    </w:p>
    <w:p w14:paraId="00000008" w14:textId="6E764FC5" w:rsidR="00B96ED8" w:rsidRDefault="00EF53B5" w:rsidP="00996F6B">
      <w:pPr>
        <w:spacing w:line="360" w:lineRule="auto"/>
        <w:jc w:val="both"/>
        <w:rPr>
          <w:sz w:val="24"/>
          <w:szCs w:val="24"/>
        </w:rPr>
      </w:pPr>
      <w:r>
        <w:rPr>
          <w:sz w:val="24"/>
          <w:szCs w:val="24"/>
        </w:rPr>
        <w:t xml:space="preserve">Providing the employees with updated financial positions along with long-term and short-term goals of the company, also helps the employees to stay on track. In cases, this strategy also helps to find out the gaps in goal achievement and make the process of employee appraisal easier. The team will feel more ownership if you keep them informed. When they are unsure of their responsibilities, employees find it difficult to become enthusiastic about a project. Make sure to be as specific as you can be when an employer offers a position to a candidate, and double-check your guidelines and goals. Last but not least, encourage them to ask questions if they want more details. Inform the support staff that having new ideas and acting on them is acceptable and even encouraged (Steen et al., 2019). Teams will realise that managers appreciate their feedback. If there are some issues with employee engagement, see it as an opportunity to teach, and encourage the teams to use what they discover to succeed in their upcoming assignments. Care and sensitivity should be used when telling employees that their work is subpar. Never insult a worker in front of their </w:t>
      </w:r>
      <w:r w:rsidR="009F0786">
        <w:rPr>
          <w:sz w:val="24"/>
          <w:szCs w:val="24"/>
        </w:rPr>
        <w:t>co-workers</w:t>
      </w:r>
      <w:r>
        <w:rPr>
          <w:sz w:val="24"/>
          <w:szCs w:val="24"/>
        </w:rPr>
        <w:t xml:space="preserve">. Don't talk about the performer; instead, concentrate on the act. Professionals are more eager to enter a workplace that is cosy, spotless, and equipped with everything they need to do their jobs well. In addition, if the management cares about the employees and values their opinions with constructive criticism, </w:t>
      </w:r>
      <w:r>
        <w:rPr>
          <w:sz w:val="24"/>
          <w:szCs w:val="24"/>
        </w:rPr>
        <w:lastRenderedPageBreak/>
        <w:t xml:space="preserve">employees take it in a more positive </w:t>
      </w:r>
      <w:r w:rsidR="009F0786">
        <w:rPr>
          <w:sz w:val="24"/>
          <w:szCs w:val="24"/>
        </w:rPr>
        <w:t>way,</w:t>
      </w:r>
      <w:r>
        <w:rPr>
          <w:sz w:val="24"/>
          <w:szCs w:val="24"/>
        </w:rPr>
        <w:t xml:space="preserve"> and it also creates a healthy working environment. </w:t>
      </w:r>
    </w:p>
    <w:p w14:paraId="00000009" w14:textId="77777777" w:rsidR="00B96ED8" w:rsidRDefault="00EF53B5" w:rsidP="00996F6B">
      <w:pPr>
        <w:spacing w:line="360" w:lineRule="auto"/>
        <w:jc w:val="both"/>
        <w:rPr>
          <w:sz w:val="24"/>
          <w:szCs w:val="24"/>
        </w:rPr>
      </w:pPr>
      <w:r>
        <w:rPr>
          <w:sz w:val="24"/>
          <w:szCs w:val="24"/>
        </w:rPr>
        <w:t>The mapping of customer journeys served as the basis for the employee lifecycle model (ELM). How effective would such mapping be for employees if businesses could track and evaluate insights, impacts, concerns, opportunities, and innovation for customers (Maritz et al., 2021). After all, both customer and employee experience are valuable. The ELM is a visualisation technique used to monitor how a worker interacts with their company at specific points during their employment.</w:t>
      </w:r>
    </w:p>
    <w:p w14:paraId="0000000A" w14:textId="4BDF39E4" w:rsidR="00B96ED8" w:rsidRDefault="00EF53B5" w:rsidP="00996F6B">
      <w:pPr>
        <w:spacing w:line="360" w:lineRule="auto"/>
        <w:jc w:val="both"/>
        <w:rPr>
          <w:sz w:val="24"/>
          <w:szCs w:val="24"/>
        </w:rPr>
      </w:pPr>
      <w:r>
        <w:rPr>
          <w:sz w:val="24"/>
          <w:szCs w:val="24"/>
        </w:rPr>
        <w:t>The employee lifecycle's initial phase is brand attraction. A company needs to have a strategy for attracting talent. Before you can understand how your organisation attracts talent, you must first set goals for what you want people to know and how you want to differentiate yourself from your competitors. Brand awareness, company culture, rewards and perks are some of the variables that influence a company's attractiveness. Your marketing team can have a big impact during the attraction phase of the hiring cycle. HR departments should emphasise these characteristics when describing the company to potential employees (Riley, 2018). Attractiveness can be measured by counting the number of views of an article, the number of social media likes, or the number of leads a job ad generates. The second stage of the employee life cycle is recruitment. This phase aims to attract talent to the enterprise. After luring people to your business, a corporation needs to have a plan for hiring new employees. Both the people they want to hire and the hiring procedure must be taken into account. In the end, hiring should be a top priority for a business because it draws in more talent and employees. Referrals from current workers are preferred. Giving current employees a referral bonus can promote this. A company should research the best places to find candidates. HR needs to develop a strategy for hiring, involve their staff, and then keep an eye on the results (</w:t>
      </w:r>
      <w:proofErr w:type="spellStart"/>
      <w:r>
        <w:rPr>
          <w:sz w:val="24"/>
          <w:szCs w:val="24"/>
        </w:rPr>
        <w:t>Hitt</w:t>
      </w:r>
      <w:proofErr w:type="spellEnd"/>
      <w:r>
        <w:rPr>
          <w:sz w:val="24"/>
          <w:szCs w:val="24"/>
        </w:rPr>
        <w:t>, 2021). The quantity of applications received, the quantity of interviews conducted, the quantity of job offers extended, and the quantity of job offers accepted are just a few examples of these metrics.</w:t>
      </w:r>
    </w:p>
    <w:p w14:paraId="0000000B" w14:textId="6C08055E" w:rsidR="00B96ED8" w:rsidRDefault="00EF53B5" w:rsidP="00996F6B">
      <w:pPr>
        <w:spacing w:line="360" w:lineRule="auto"/>
        <w:jc w:val="both"/>
        <w:rPr>
          <w:sz w:val="24"/>
          <w:szCs w:val="24"/>
        </w:rPr>
      </w:pPr>
      <w:r>
        <w:rPr>
          <w:sz w:val="24"/>
          <w:szCs w:val="24"/>
        </w:rPr>
        <w:t xml:space="preserve">The HR team is responsible for making the onboarding process as simple as possible for new hires. Newly hired employees should be informed of their hire date, what to expect for the day and week, what type of training they can expect, their responsibilities, and the </w:t>
      </w:r>
      <w:r>
        <w:rPr>
          <w:sz w:val="24"/>
          <w:szCs w:val="24"/>
        </w:rPr>
        <w:lastRenderedPageBreak/>
        <w:t xml:space="preserve">paperwork they need to complete before starting work. Surprisingly, 60% of her employees choose to stay with the company after joining. New hires should discuss job expectations, job descriptions, the organisation's mission, and its core values ​​with the HR team on their first day. The HR team also needs to make sure the new hire's desk and tools are all set up to avoid problems on the first day (Shuck, 2020). Once a new employee starts working, </w:t>
      </w:r>
      <w:r w:rsidR="008125D0">
        <w:rPr>
          <w:sz w:val="24"/>
          <w:szCs w:val="24"/>
        </w:rPr>
        <w:t>plan</w:t>
      </w:r>
      <w:r>
        <w:rPr>
          <w:sz w:val="24"/>
          <w:szCs w:val="24"/>
        </w:rPr>
        <w:t xml:space="preserve"> to check in with them to see if they're enjoying it. A survey administered during onboarding can help the HR team achieve this.</w:t>
      </w:r>
    </w:p>
    <w:p w14:paraId="0000000C" w14:textId="341C6B9D" w:rsidR="00B96ED8" w:rsidRDefault="00EF53B5" w:rsidP="00996F6B">
      <w:pPr>
        <w:spacing w:line="360" w:lineRule="auto"/>
        <w:jc w:val="both"/>
        <w:rPr>
          <w:sz w:val="24"/>
          <w:szCs w:val="24"/>
        </w:rPr>
      </w:pPr>
      <w:r>
        <w:rPr>
          <w:sz w:val="24"/>
          <w:szCs w:val="24"/>
        </w:rPr>
        <w:t xml:space="preserve">Many job seekers cite development and advancement as one of the most desired qualities in their next role. Employees are looking for challenges and opportunities to advance their careers. Employers are required to provide detailed descriptions of their employees' career development. Employee self-motivation can contribute to some growth, but companies need to offer promotion opportunities. Development opportunities can take the form of a company paying for ongoing education, providing professional development courses, or designing a career path for a new hire. There may not always be a set path for advancement in a job, depending on the position and industry (RAVN, 2022). Give a worker a path toward career options instead, </w:t>
      </w:r>
      <w:r w:rsidR="00473E8D">
        <w:rPr>
          <w:sz w:val="24"/>
          <w:szCs w:val="24"/>
        </w:rPr>
        <w:t>if possible</w:t>
      </w:r>
      <w:r>
        <w:rPr>
          <w:sz w:val="24"/>
          <w:szCs w:val="24"/>
        </w:rPr>
        <w:t>. It will also help a worker advance professionally if they are encouraged to develop through projects and assignments.</w:t>
      </w:r>
    </w:p>
    <w:p w14:paraId="0000000D" w14:textId="77777777" w:rsidR="00B96ED8" w:rsidRDefault="00EF53B5" w:rsidP="00996F6B">
      <w:pPr>
        <w:spacing w:line="360" w:lineRule="auto"/>
        <w:jc w:val="both"/>
        <w:rPr>
          <w:sz w:val="24"/>
          <w:szCs w:val="24"/>
        </w:rPr>
      </w:pPr>
      <w:r>
        <w:rPr>
          <w:sz w:val="24"/>
          <w:szCs w:val="24"/>
        </w:rPr>
        <w:t>The purpose of employee retention is to connect employees to the company. As you can see, his four-step effort so far has paid off. Companies that excel at talent acquisition, recruitment, onboarding, and development are more likely to retain their employees. It's important to understand what prevents employees from leaving early. In this regard, every employee is unique, so companies should take the time to learn what is important to them. You can get input on this in surveys or in private conversations with the boss (Burrow, 2021). Salary, benefits, company culture, career opportunities, and team morale are some of the factors that contribute to employee retention. Hear from former and current employees what they are doing well to retain talent and what they need to change to keep employees from leaving.</w:t>
      </w:r>
    </w:p>
    <w:p w14:paraId="0000000E" w14:textId="6880B63B" w:rsidR="00B96ED8" w:rsidRDefault="00EF53B5" w:rsidP="00996F6B">
      <w:pPr>
        <w:spacing w:line="360" w:lineRule="auto"/>
        <w:jc w:val="both"/>
        <w:rPr>
          <w:sz w:val="24"/>
          <w:szCs w:val="24"/>
        </w:rPr>
      </w:pPr>
      <w:r>
        <w:rPr>
          <w:sz w:val="24"/>
          <w:szCs w:val="24"/>
        </w:rPr>
        <w:t xml:space="preserve">The isolation phase of the employee lifecycle is its conclusion. Everyone who works for a company faces it at some point. There comes a time when an employee </w:t>
      </w:r>
      <w:r w:rsidR="000827F4">
        <w:rPr>
          <w:sz w:val="24"/>
          <w:szCs w:val="24"/>
        </w:rPr>
        <w:t>must</w:t>
      </w:r>
      <w:r>
        <w:rPr>
          <w:sz w:val="24"/>
          <w:szCs w:val="24"/>
        </w:rPr>
        <w:t xml:space="preserve"> leave the company despite all the precautions taken so far. However, not all splits are bad. Some </w:t>
      </w:r>
      <w:r>
        <w:rPr>
          <w:sz w:val="24"/>
          <w:szCs w:val="24"/>
        </w:rPr>
        <w:lastRenderedPageBreak/>
        <w:t>staff might leave their jobs in order to look for work in a different sector. Others may quit looking for a job that more closely matches their values or a higher-paying position that your company is not currently able to offer. In any case, the HR team plays a crucial role in ensuring that every individual departs without any major hiccups. Successful separations occur when the employee and the company part ways amicably, the employee keeps praising the business, and the employee is appreciative of their time spent there (Clifford, 2022). Even though it's not always simple, you can usually pull it off. Stay positive and ask others for feedback as you focus on understanding the reason for the dismissal. If the departure is voluntary, a member of Human Resources should conduct an exit interview at this time. If the resignation is not voluntary, the HR team must inform the manager how to proceed and be present at the exit.</w:t>
      </w:r>
    </w:p>
    <w:p w14:paraId="0000000F" w14:textId="186740E0" w:rsidR="00B96ED8" w:rsidRDefault="00EF53B5" w:rsidP="00996F6B">
      <w:pPr>
        <w:spacing w:line="360" w:lineRule="auto"/>
        <w:jc w:val="both"/>
        <w:rPr>
          <w:sz w:val="24"/>
          <w:szCs w:val="24"/>
        </w:rPr>
      </w:pPr>
      <w:r>
        <w:rPr>
          <w:sz w:val="24"/>
          <w:szCs w:val="24"/>
        </w:rPr>
        <w:t xml:space="preserve">Employees can continue to be very valuable ambassadors for the employer brand even after they leave a company. If employees have a positive experience at a company, </w:t>
      </w:r>
      <w:r w:rsidR="00473E8D">
        <w:rPr>
          <w:sz w:val="24"/>
          <w:szCs w:val="24"/>
        </w:rPr>
        <w:t>especially</w:t>
      </w:r>
      <w:r>
        <w:rPr>
          <w:sz w:val="24"/>
          <w:szCs w:val="24"/>
        </w:rPr>
        <w:t xml:space="preserve"> at retirement, they are more likely to recommend you to friends and acquaintances who are job hunting. On the other hand, a suboptimal employee vacation experience can hurt your brand and hurt future recruiting efforts (Ang, 2018). When encouraging employee representation, ensure that employees can leave without problems. If you're interested in filling a vacancy, keep in touch and ask former employees for recommendations. They must be thrilled to show you their extraordinary talent.</w:t>
      </w:r>
    </w:p>
    <w:p w14:paraId="00000010" w14:textId="021F0BA5" w:rsidR="00B96ED8" w:rsidRDefault="00EF53B5" w:rsidP="00996F6B">
      <w:pPr>
        <w:spacing w:line="360" w:lineRule="auto"/>
        <w:jc w:val="both"/>
        <w:rPr>
          <w:sz w:val="24"/>
          <w:szCs w:val="24"/>
        </w:rPr>
      </w:pPr>
      <w:r>
        <w:rPr>
          <w:sz w:val="24"/>
          <w:szCs w:val="24"/>
        </w:rPr>
        <w:t xml:space="preserve">Among some fascinating concepts and statistics. The 12 Key Elements of Employee Engagement were outlined by Gallup as statements that every employee should concur with. If almost all of them are accepted, your workplace is in a strong position. However, if they disagree with the majority of them, you have a lot of work ahead of others. </w:t>
      </w:r>
      <w:r w:rsidR="00473E8D">
        <w:rPr>
          <w:sz w:val="24"/>
          <w:szCs w:val="24"/>
        </w:rPr>
        <w:t>One must</w:t>
      </w:r>
      <w:r>
        <w:rPr>
          <w:sz w:val="24"/>
          <w:szCs w:val="24"/>
        </w:rPr>
        <w:t xml:space="preserve"> master the art of goal setting and communication if you want your team to understand what is expected of them. Naturally, employee engagement cannot exist without the tools required for employment. However, in these situations, it's not the carpenters or instructors who are short on tools that they need to do their jobs, like hammers or chalkboards. Every individual possesses a skill or talent that they utilised to land their current job (</w:t>
      </w:r>
      <w:proofErr w:type="spellStart"/>
      <w:r>
        <w:rPr>
          <w:sz w:val="24"/>
          <w:szCs w:val="24"/>
        </w:rPr>
        <w:t>Federman</w:t>
      </w:r>
      <w:proofErr w:type="spellEnd"/>
      <w:r>
        <w:rPr>
          <w:sz w:val="24"/>
          <w:szCs w:val="24"/>
        </w:rPr>
        <w:t xml:space="preserve">, 2020). Their obligations frequently diverge from their abilities and capabilities, which is a concern. Without rewards and recognition, employers simply cannot have high employee engagement. It's one of the biggest inducers of </w:t>
      </w:r>
      <w:r>
        <w:rPr>
          <w:sz w:val="24"/>
          <w:szCs w:val="24"/>
        </w:rPr>
        <w:lastRenderedPageBreak/>
        <w:t>motivation and fulfilment and has the power to fundamentally alter the culture of your workplace.</w:t>
      </w:r>
    </w:p>
    <w:p w14:paraId="00000011" w14:textId="2D445A4D" w:rsidR="00B96ED8" w:rsidRDefault="00EF53B5" w:rsidP="00996F6B">
      <w:pPr>
        <w:spacing w:line="360" w:lineRule="auto"/>
        <w:jc w:val="both"/>
        <w:rPr>
          <w:sz w:val="24"/>
          <w:szCs w:val="24"/>
        </w:rPr>
      </w:pPr>
      <w:r>
        <w:rPr>
          <w:sz w:val="24"/>
          <w:szCs w:val="24"/>
        </w:rPr>
        <w:t xml:space="preserve">Employee engagement has a huge number of benefits. It improves staff loyalty and retention. It raises productivity and performance to provide one a competitive advantage over others. It increases employee morale while reducing employee turnover. It increases organisational profitability and delivers customer happiness. In the end, it raises shareholder value (Reeves et al., 2021). Senior executives and CEOs must therefore adhere to the maxim "employee first, customer second, shareholder third." The benefits of employee engagement are as follows, according to Jim Harter, Chief Scientist at Gallup: engaged employees are more alert and vigilant; they watch out for the needs of their </w:t>
      </w:r>
      <w:r w:rsidR="00473E8D">
        <w:rPr>
          <w:sz w:val="24"/>
          <w:szCs w:val="24"/>
        </w:rPr>
        <w:t>co-workers</w:t>
      </w:r>
      <w:r>
        <w:rPr>
          <w:sz w:val="24"/>
          <w:szCs w:val="24"/>
        </w:rPr>
        <w:t xml:space="preserve"> and the entire enterprise; they personally "own" the outcome of their work and that of the organisation; they recreate jobs so that each person has a chance to do what they do best; and they assist people in making the connection between their daily work and the bigger purpose or mission.</w:t>
      </w:r>
    </w:p>
    <w:p w14:paraId="602905BB" w14:textId="59DD39CA" w:rsidR="00473E8D" w:rsidRDefault="00EF53B5" w:rsidP="00996F6B">
      <w:pPr>
        <w:spacing w:line="360" w:lineRule="auto"/>
        <w:jc w:val="both"/>
        <w:rPr>
          <w:sz w:val="24"/>
          <w:szCs w:val="24"/>
        </w:rPr>
      </w:pPr>
      <w:r>
        <w:rPr>
          <w:sz w:val="24"/>
          <w:szCs w:val="24"/>
        </w:rPr>
        <w:t xml:space="preserve">Employee engagement is an important topic in management theory as well as in practice. However, there is still no reliable benchmark, and there are still significant differences between the idea, theory, influencing factors, and outcomes of employee engagement. This essay attempts to analyse and compile data from earlier investigations into employee engagement. A motivated workforce is aware of their duties. Along with the goals of the organisation, they are also working toward their own goals. Managers and leaders cannot be disregarded or forgotten by HR. By fostering their continued motivation at work, managers and executives can motivate those who report to them. Management engagement is a significant issue, according to research by Towards Maturity. In other words, motivated workers are those who feel their careers are taking off, are working in positions that are suitable for them, are making use of the right skills, and are surrounded by competent managers and </w:t>
      </w:r>
      <w:r w:rsidR="00DD56EA">
        <w:rPr>
          <w:sz w:val="24"/>
          <w:szCs w:val="24"/>
        </w:rPr>
        <w:t>co-workers</w:t>
      </w:r>
      <w:r>
        <w:rPr>
          <w:sz w:val="24"/>
          <w:szCs w:val="24"/>
        </w:rPr>
        <w:t>. HR needs a thorough understanding of the employer-employee contract to ensure high employee engagement. The responsibility for ensuring that employees have the knowledge, tools, and working conditions necessary to carry out their tasks as effectively as possible falls on HR. If HR wants to maintain high levels of engagement, it must also continue funding employee development. It is important to offer employees a clear path to career advancement.</w:t>
      </w:r>
    </w:p>
    <w:p w14:paraId="00000017" w14:textId="6E020FE7" w:rsidR="00B96ED8" w:rsidRPr="00473E8D" w:rsidRDefault="00EF53B5" w:rsidP="00996F6B">
      <w:pPr>
        <w:spacing w:line="360" w:lineRule="auto"/>
        <w:jc w:val="both"/>
        <w:rPr>
          <w:sz w:val="24"/>
          <w:szCs w:val="24"/>
        </w:rPr>
      </w:pPr>
      <w:r>
        <w:rPr>
          <w:b/>
          <w:sz w:val="26"/>
          <w:szCs w:val="26"/>
        </w:rPr>
        <w:lastRenderedPageBreak/>
        <w:t>Reference</w:t>
      </w:r>
    </w:p>
    <w:p w14:paraId="00000018" w14:textId="77777777" w:rsidR="00B96ED8" w:rsidRDefault="00EF53B5" w:rsidP="00996F6B">
      <w:pPr>
        <w:spacing w:line="360" w:lineRule="auto"/>
        <w:jc w:val="both"/>
        <w:rPr>
          <w:sz w:val="24"/>
          <w:szCs w:val="24"/>
        </w:rPr>
      </w:pPr>
      <w:r>
        <w:rPr>
          <w:sz w:val="24"/>
          <w:szCs w:val="24"/>
        </w:rPr>
        <w:t xml:space="preserve">Ang, H.B. (2018) Business management. 4th </w:t>
      </w:r>
      <w:proofErr w:type="spellStart"/>
      <w:r>
        <w:rPr>
          <w:sz w:val="24"/>
          <w:szCs w:val="24"/>
        </w:rPr>
        <w:t>edn</w:t>
      </w:r>
      <w:proofErr w:type="spellEnd"/>
      <w:r>
        <w:rPr>
          <w:sz w:val="24"/>
          <w:szCs w:val="24"/>
        </w:rPr>
        <w:t xml:space="preserve">. Shah </w:t>
      </w:r>
      <w:proofErr w:type="spellStart"/>
      <w:r>
        <w:rPr>
          <w:sz w:val="24"/>
          <w:szCs w:val="24"/>
        </w:rPr>
        <w:t>Alam</w:t>
      </w:r>
      <w:proofErr w:type="spellEnd"/>
      <w:r>
        <w:rPr>
          <w:sz w:val="24"/>
          <w:szCs w:val="24"/>
        </w:rPr>
        <w:t xml:space="preserve">, Selangor </w:t>
      </w:r>
      <w:proofErr w:type="spellStart"/>
      <w:r>
        <w:rPr>
          <w:sz w:val="24"/>
          <w:szCs w:val="24"/>
        </w:rPr>
        <w:t>Darul</w:t>
      </w:r>
      <w:proofErr w:type="spellEnd"/>
      <w:r>
        <w:rPr>
          <w:sz w:val="24"/>
          <w:szCs w:val="24"/>
        </w:rPr>
        <w:t xml:space="preserve"> Ehsan: Oxford </w:t>
      </w:r>
      <w:proofErr w:type="spellStart"/>
      <w:r>
        <w:rPr>
          <w:sz w:val="24"/>
          <w:szCs w:val="24"/>
        </w:rPr>
        <w:t>Fajar</w:t>
      </w:r>
      <w:proofErr w:type="spellEnd"/>
      <w:r>
        <w:rPr>
          <w:sz w:val="24"/>
          <w:szCs w:val="24"/>
        </w:rPr>
        <w:t xml:space="preserve">. </w:t>
      </w:r>
    </w:p>
    <w:p w14:paraId="00000019" w14:textId="77777777" w:rsidR="00B96ED8" w:rsidRDefault="00EF53B5" w:rsidP="00996F6B">
      <w:pPr>
        <w:spacing w:line="360" w:lineRule="auto"/>
        <w:jc w:val="both"/>
        <w:rPr>
          <w:sz w:val="24"/>
          <w:szCs w:val="24"/>
        </w:rPr>
      </w:pPr>
      <w:r>
        <w:rPr>
          <w:sz w:val="24"/>
          <w:szCs w:val="24"/>
        </w:rPr>
        <w:t xml:space="preserve">Burrow, J. (2021) Business management. 5th </w:t>
      </w:r>
      <w:proofErr w:type="spellStart"/>
      <w:r>
        <w:rPr>
          <w:sz w:val="24"/>
          <w:szCs w:val="24"/>
        </w:rPr>
        <w:t>edn</w:t>
      </w:r>
      <w:proofErr w:type="spellEnd"/>
      <w:r>
        <w:rPr>
          <w:sz w:val="24"/>
          <w:szCs w:val="24"/>
        </w:rPr>
        <w:t xml:space="preserve">. Cincinnati: South-Western. </w:t>
      </w:r>
    </w:p>
    <w:p w14:paraId="0000001A" w14:textId="77777777" w:rsidR="00B96ED8" w:rsidRDefault="00EF53B5" w:rsidP="00996F6B">
      <w:pPr>
        <w:spacing w:line="360" w:lineRule="auto"/>
        <w:jc w:val="both"/>
        <w:rPr>
          <w:sz w:val="24"/>
          <w:szCs w:val="24"/>
        </w:rPr>
      </w:pPr>
      <w:r>
        <w:rPr>
          <w:sz w:val="24"/>
          <w:szCs w:val="24"/>
        </w:rPr>
        <w:t xml:space="preserve">Business culture: (intermediate). 1st </w:t>
      </w:r>
      <w:proofErr w:type="spellStart"/>
      <w:r>
        <w:rPr>
          <w:sz w:val="24"/>
          <w:szCs w:val="24"/>
        </w:rPr>
        <w:t>edn</w:t>
      </w:r>
      <w:proofErr w:type="spellEnd"/>
      <w:r>
        <w:rPr>
          <w:sz w:val="24"/>
          <w:szCs w:val="24"/>
        </w:rPr>
        <w:t xml:space="preserve"> (2020) </w:t>
      </w:r>
      <w:proofErr w:type="spellStart"/>
      <w:r>
        <w:rPr>
          <w:sz w:val="24"/>
          <w:szCs w:val="24"/>
        </w:rPr>
        <w:t>edn</w:t>
      </w:r>
      <w:proofErr w:type="spellEnd"/>
      <w:r>
        <w:rPr>
          <w:sz w:val="24"/>
          <w:szCs w:val="24"/>
        </w:rPr>
        <w:t xml:space="preserve">. Beijing: Foreign language teaching and research Press. </w:t>
      </w:r>
    </w:p>
    <w:p w14:paraId="0000001B" w14:textId="77777777" w:rsidR="00B96ED8" w:rsidRDefault="00EF53B5" w:rsidP="00996F6B">
      <w:pPr>
        <w:spacing w:line="360" w:lineRule="auto"/>
        <w:jc w:val="both"/>
        <w:rPr>
          <w:sz w:val="24"/>
          <w:szCs w:val="24"/>
        </w:rPr>
      </w:pPr>
      <w:r>
        <w:rPr>
          <w:sz w:val="24"/>
          <w:szCs w:val="24"/>
        </w:rPr>
        <w:t xml:space="preserve">Clifford, M.K. (2022) Employee engagement: Antecedents and consequences. 4th </w:t>
      </w:r>
      <w:proofErr w:type="spellStart"/>
      <w:r>
        <w:rPr>
          <w:sz w:val="24"/>
          <w:szCs w:val="24"/>
        </w:rPr>
        <w:t>edn</w:t>
      </w:r>
      <w:proofErr w:type="spellEnd"/>
      <w:r>
        <w:rPr>
          <w:sz w:val="24"/>
          <w:szCs w:val="24"/>
        </w:rPr>
        <w:t xml:space="preserve">. London : Pearson . </w:t>
      </w:r>
    </w:p>
    <w:p w14:paraId="0000001C" w14:textId="77777777" w:rsidR="00B96ED8" w:rsidRDefault="00EF53B5" w:rsidP="00996F6B">
      <w:pPr>
        <w:spacing w:line="360" w:lineRule="auto"/>
        <w:jc w:val="both"/>
        <w:rPr>
          <w:sz w:val="24"/>
          <w:szCs w:val="24"/>
        </w:rPr>
      </w:pPr>
      <w:r>
        <w:rPr>
          <w:sz w:val="24"/>
          <w:szCs w:val="24"/>
        </w:rPr>
        <w:t xml:space="preserve">Employee engagement v2.0. 1st </w:t>
      </w:r>
      <w:proofErr w:type="spellStart"/>
      <w:r>
        <w:rPr>
          <w:sz w:val="24"/>
          <w:szCs w:val="24"/>
        </w:rPr>
        <w:t>edn</w:t>
      </w:r>
      <w:proofErr w:type="spellEnd"/>
      <w:r>
        <w:rPr>
          <w:sz w:val="24"/>
          <w:szCs w:val="24"/>
        </w:rPr>
        <w:t xml:space="preserve"> (2019) </w:t>
      </w:r>
      <w:proofErr w:type="spellStart"/>
      <w:r>
        <w:rPr>
          <w:sz w:val="24"/>
          <w:szCs w:val="24"/>
        </w:rPr>
        <w:t>edn</w:t>
      </w:r>
      <w:proofErr w:type="spellEnd"/>
      <w:r>
        <w:rPr>
          <w:sz w:val="24"/>
          <w:szCs w:val="24"/>
        </w:rPr>
        <w:t xml:space="preserve">. Ottawa: The Conference Board of Canada. </w:t>
      </w:r>
    </w:p>
    <w:p w14:paraId="0000001D" w14:textId="77777777" w:rsidR="00B96ED8" w:rsidRDefault="00EF53B5" w:rsidP="00996F6B">
      <w:pPr>
        <w:spacing w:line="360" w:lineRule="auto"/>
        <w:jc w:val="both"/>
        <w:rPr>
          <w:sz w:val="24"/>
          <w:szCs w:val="24"/>
        </w:rPr>
      </w:pPr>
      <w:r>
        <w:rPr>
          <w:sz w:val="24"/>
          <w:szCs w:val="24"/>
        </w:rPr>
        <w:t xml:space="preserve">Employees: How to find and pay them. 5th </w:t>
      </w:r>
      <w:proofErr w:type="spellStart"/>
      <w:r>
        <w:rPr>
          <w:sz w:val="24"/>
          <w:szCs w:val="24"/>
        </w:rPr>
        <w:t>edn</w:t>
      </w:r>
      <w:proofErr w:type="spellEnd"/>
      <w:r>
        <w:rPr>
          <w:sz w:val="24"/>
          <w:szCs w:val="24"/>
        </w:rPr>
        <w:t xml:space="preserve"> (2019) </w:t>
      </w:r>
      <w:proofErr w:type="spellStart"/>
      <w:r>
        <w:rPr>
          <w:sz w:val="24"/>
          <w:szCs w:val="24"/>
        </w:rPr>
        <w:t>edn</w:t>
      </w:r>
      <w:proofErr w:type="spellEnd"/>
      <w:r>
        <w:rPr>
          <w:sz w:val="24"/>
          <w:szCs w:val="24"/>
        </w:rPr>
        <w:t xml:space="preserve">. Washington, D.C.?: U.S. Small Business Administration, Office of Business Development. </w:t>
      </w:r>
    </w:p>
    <w:p w14:paraId="0000001E" w14:textId="77777777" w:rsidR="00B96ED8" w:rsidRDefault="00EF53B5" w:rsidP="00996F6B">
      <w:pPr>
        <w:spacing w:line="360" w:lineRule="auto"/>
        <w:jc w:val="both"/>
        <w:rPr>
          <w:sz w:val="24"/>
          <w:szCs w:val="24"/>
        </w:rPr>
      </w:pPr>
      <w:proofErr w:type="spellStart"/>
      <w:r>
        <w:rPr>
          <w:sz w:val="24"/>
          <w:szCs w:val="24"/>
        </w:rPr>
        <w:t>Federman</w:t>
      </w:r>
      <w:proofErr w:type="spellEnd"/>
      <w:r>
        <w:rPr>
          <w:sz w:val="24"/>
          <w:szCs w:val="24"/>
        </w:rPr>
        <w:t xml:space="preserve">, B. (2020) Employee engagement: A roadmap for creating profits, optimizing performance, and increasing loyalty. 2nd </w:t>
      </w:r>
      <w:proofErr w:type="spellStart"/>
      <w:r>
        <w:rPr>
          <w:sz w:val="24"/>
          <w:szCs w:val="24"/>
        </w:rPr>
        <w:t>edn</w:t>
      </w:r>
      <w:proofErr w:type="spellEnd"/>
      <w:r>
        <w:rPr>
          <w:sz w:val="24"/>
          <w:szCs w:val="24"/>
        </w:rPr>
        <w:t xml:space="preserve">. Hoboken: John Wiley &amp;amp; Sons. </w:t>
      </w:r>
    </w:p>
    <w:p w14:paraId="0000001F" w14:textId="77777777" w:rsidR="00B96ED8" w:rsidRDefault="00EF53B5" w:rsidP="00996F6B">
      <w:pPr>
        <w:spacing w:line="360" w:lineRule="auto"/>
        <w:jc w:val="both"/>
        <w:rPr>
          <w:sz w:val="24"/>
          <w:szCs w:val="24"/>
        </w:rPr>
      </w:pPr>
      <w:r>
        <w:rPr>
          <w:sz w:val="24"/>
          <w:szCs w:val="24"/>
        </w:rPr>
        <w:t xml:space="preserve">Grant, P.C. (2018) Employee motivation: Principles and practices. 5th </w:t>
      </w:r>
      <w:proofErr w:type="spellStart"/>
      <w:r>
        <w:rPr>
          <w:sz w:val="24"/>
          <w:szCs w:val="24"/>
        </w:rPr>
        <w:t>edn</w:t>
      </w:r>
      <w:proofErr w:type="spellEnd"/>
      <w:r>
        <w:rPr>
          <w:sz w:val="24"/>
          <w:szCs w:val="24"/>
        </w:rPr>
        <w:t xml:space="preserve">. New York: Vantage Press. </w:t>
      </w:r>
    </w:p>
    <w:p w14:paraId="00000020" w14:textId="77777777" w:rsidR="00B96ED8" w:rsidRDefault="00EF53B5" w:rsidP="00996F6B">
      <w:pPr>
        <w:spacing w:line="360" w:lineRule="auto"/>
        <w:jc w:val="both"/>
        <w:rPr>
          <w:sz w:val="24"/>
          <w:szCs w:val="24"/>
        </w:rPr>
      </w:pPr>
      <w:proofErr w:type="spellStart"/>
      <w:r>
        <w:rPr>
          <w:sz w:val="24"/>
          <w:szCs w:val="24"/>
        </w:rPr>
        <w:t>Hitt</w:t>
      </w:r>
      <w:proofErr w:type="spellEnd"/>
      <w:r>
        <w:rPr>
          <w:sz w:val="24"/>
          <w:szCs w:val="24"/>
        </w:rPr>
        <w:t xml:space="preserve">, W.D. (2021) Employee motivation. 2nd </w:t>
      </w:r>
      <w:proofErr w:type="spellStart"/>
      <w:r>
        <w:rPr>
          <w:sz w:val="24"/>
          <w:szCs w:val="24"/>
        </w:rPr>
        <w:t>edn</w:t>
      </w:r>
      <w:proofErr w:type="spellEnd"/>
      <w:r>
        <w:rPr>
          <w:sz w:val="24"/>
          <w:szCs w:val="24"/>
        </w:rPr>
        <w:t xml:space="preserve">. Columbus, OH: Battelle Columbus Laboratories. </w:t>
      </w:r>
    </w:p>
    <w:p w14:paraId="00000021" w14:textId="77777777" w:rsidR="00B96ED8" w:rsidRDefault="00EF53B5" w:rsidP="00996F6B">
      <w:pPr>
        <w:spacing w:line="360" w:lineRule="auto"/>
        <w:jc w:val="both"/>
        <w:rPr>
          <w:sz w:val="24"/>
          <w:szCs w:val="24"/>
        </w:rPr>
      </w:pPr>
      <w:r>
        <w:rPr>
          <w:sz w:val="24"/>
          <w:szCs w:val="24"/>
        </w:rPr>
        <w:t xml:space="preserve">Maritz, C.J., Duke, L.L. and Maritz, C.J. (2021) Business management. 1st </w:t>
      </w:r>
      <w:proofErr w:type="spellStart"/>
      <w:r>
        <w:rPr>
          <w:sz w:val="24"/>
          <w:szCs w:val="24"/>
        </w:rPr>
        <w:t>edn</w:t>
      </w:r>
      <w:proofErr w:type="spellEnd"/>
      <w:r>
        <w:rPr>
          <w:sz w:val="24"/>
          <w:szCs w:val="24"/>
        </w:rPr>
        <w:t xml:space="preserve">. Cape Town, South Africa: EDGE Education. </w:t>
      </w:r>
    </w:p>
    <w:p w14:paraId="00000022" w14:textId="77777777" w:rsidR="00B96ED8" w:rsidRDefault="00EF53B5" w:rsidP="00996F6B">
      <w:pPr>
        <w:spacing w:line="360" w:lineRule="auto"/>
        <w:jc w:val="both"/>
        <w:rPr>
          <w:sz w:val="24"/>
          <w:szCs w:val="24"/>
        </w:rPr>
      </w:pPr>
      <w:r>
        <w:rPr>
          <w:sz w:val="24"/>
          <w:szCs w:val="24"/>
        </w:rPr>
        <w:t xml:space="preserve">Modern business before you begin. how to use the modern business course and Service. 5th </w:t>
      </w:r>
      <w:proofErr w:type="spellStart"/>
      <w:r>
        <w:rPr>
          <w:sz w:val="24"/>
          <w:szCs w:val="24"/>
        </w:rPr>
        <w:t>edn</w:t>
      </w:r>
      <w:proofErr w:type="spellEnd"/>
      <w:r>
        <w:rPr>
          <w:sz w:val="24"/>
          <w:szCs w:val="24"/>
        </w:rPr>
        <w:t xml:space="preserve"> (2018) </w:t>
      </w:r>
      <w:proofErr w:type="spellStart"/>
      <w:r>
        <w:rPr>
          <w:sz w:val="24"/>
          <w:szCs w:val="24"/>
        </w:rPr>
        <w:t>edn</w:t>
      </w:r>
      <w:proofErr w:type="spellEnd"/>
      <w:r>
        <w:rPr>
          <w:sz w:val="24"/>
          <w:szCs w:val="24"/>
        </w:rPr>
        <w:t xml:space="preserve">. New York: Alexander Hamilton Institute. </w:t>
      </w:r>
    </w:p>
    <w:p w14:paraId="00000023" w14:textId="77777777" w:rsidR="00B96ED8" w:rsidRDefault="00EF53B5" w:rsidP="00996F6B">
      <w:pPr>
        <w:spacing w:line="360" w:lineRule="auto"/>
        <w:jc w:val="both"/>
        <w:rPr>
          <w:sz w:val="24"/>
          <w:szCs w:val="24"/>
        </w:rPr>
      </w:pPr>
      <w:r>
        <w:rPr>
          <w:sz w:val="24"/>
          <w:szCs w:val="24"/>
        </w:rPr>
        <w:t xml:space="preserve">Musselman, V.A. and Jackson, J.H. (2019) Introduction to modern business. 4th </w:t>
      </w:r>
      <w:proofErr w:type="spellStart"/>
      <w:r>
        <w:rPr>
          <w:sz w:val="24"/>
          <w:szCs w:val="24"/>
        </w:rPr>
        <w:t>edn</w:t>
      </w:r>
      <w:proofErr w:type="spellEnd"/>
      <w:r>
        <w:rPr>
          <w:sz w:val="24"/>
          <w:szCs w:val="24"/>
        </w:rPr>
        <w:t xml:space="preserve">. Englewood Cliffs, NJ: Prentice-Hall. </w:t>
      </w:r>
    </w:p>
    <w:p w14:paraId="00000024" w14:textId="77777777" w:rsidR="00B96ED8" w:rsidRDefault="00EF53B5" w:rsidP="00996F6B">
      <w:pPr>
        <w:spacing w:line="360" w:lineRule="auto"/>
        <w:jc w:val="both"/>
        <w:rPr>
          <w:sz w:val="24"/>
          <w:szCs w:val="24"/>
        </w:rPr>
      </w:pPr>
      <w:proofErr w:type="spellStart"/>
      <w:r>
        <w:rPr>
          <w:sz w:val="24"/>
          <w:szCs w:val="24"/>
        </w:rPr>
        <w:t>Müller</w:t>
      </w:r>
      <w:proofErr w:type="spellEnd"/>
      <w:r>
        <w:rPr>
          <w:sz w:val="24"/>
          <w:szCs w:val="24"/>
        </w:rPr>
        <w:t xml:space="preserve"> Yvonne (2019) Business culture implications for business and Education. 2nd </w:t>
      </w:r>
      <w:proofErr w:type="spellStart"/>
      <w:r>
        <w:rPr>
          <w:sz w:val="24"/>
          <w:szCs w:val="24"/>
        </w:rPr>
        <w:t>edn</w:t>
      </w:r>
      <w:proofErr w:type="spellEnd"/>
      <w:r>
        <w:rPr>
          <w:sz w:val="24"/>
          <w:szCs w:val="24"/>
        </w:rPr>
        <w:t xml:space="preserve">. Berlin: </w:t>
      </w:r>
      <w:proofErr w:type="spellStart"/>
      <w:r>
        <w:rPr>
          <w:sz w:val="24"/>
          <w:szCs w:val="24"/>
        </w:rPr>
        <w:t>wvb</w:t>
      </w:r>
      <w:proofErr w:type="spellEnd"/>
      <w:r>
        <w:rPr>
          <w:sz w:val="24"/>
          <w:szCs w:val="24"/>
        </w:rPr>
        <w:t xml:space="preserve">, </w:t>
      </w:r>
      <w:proofErr w:type="spellStart"/>
      <w:r>
        <w:rPr>
          <w:sz w:val="24"/>
          <w:szCs w:val="24"/>
        </w:rPr>
        <w:t>Wiss</w:t>
      </w:r>
      <w:proofErr w:type="spellEnd"/>
      <w:r>
        <w:rPr>
          <w:sz w:val="24"/>
          <w:szCs w:val="24"/>
        </w:rPr>
        <w:t xml:space="preserve">. </w:t>
      </w:r>
      <w:proofErr w:type="spellStart"/>
      <w:r>
        <w:rPr>
          <w:sz w:val="24"/>
          <w:szCs w:val="24"/>
        </w:rPr>
        <w:t>Verl</w:t>
      </w:r>
      <w:proofErr w:type="spellEnd"/>
      <w:r>
        <w:rPr>
          <w:sz w:val="24"/>
          <w:szCs w:val="24"/>
        </w:rPr>
        <w:t xml:space="preserve">. </w:t>
      </w:r>
    </w:p>
    <w:p w14:paraId="00000025" w14:textId="77777777" w:rsidR="00B96ED8" w:rsidRDefault="00EF53B5" w:rsidP="00996F6B">
      <w:pPr>
        <w:spacing w:line="360" w:lineRule="auto"/>
        <w:jc w:val="both"/>
        <w:rPr>
          <w:sz w:val="24"/>
          <w:szCs w:val="24"/>
        </w:rPr>
      </w:pPr>
      <w:r>
        <w:rPr>
          <w:sz w:val="24"/>
          <w:szCs w:val="24"/>
        </w:rPr>
        <w:t xml:space="preserve">Thurlow, M., Moss, P. and Forster, R. (2020) Workplace. 3rd </w:t>
      </w:r>
      <w:proofErr w:type="spellStart"/>
      <w:r>
        <w:rPr>
          <w:sz w:val="24"/>
          <w:szCs w:val="24"/>
        </w:rPr>
        <w:t>edn</w:t>
      </w:r>
      <w:proofErr w:type="spellEnd"/>
      <w:r>
        <w:rPr>
          <w:sz w:val="24"/>
          <w:szCs w:val="24"/>
        </w:rPr>
        <w:t>. Sunderland: Art Editions North.</w:t>
      </w:r>
    </w:p>
    <w:p w14:paraId="00000026" w14:textId="77777777" w:rsidR="00B96ED8" w:rsidRDefault="00EF53B5" w:rsidP="00996F6B">
      <w:pPr>
        <w:spacing w:line="360" w:lineRule="auto"/>
        <w:jc w:val="both"/>
        <w:rPr>
          <w:sz w:val="24"/>
          <w:szCs w:val="24"/>
        </w:rPr>
      </w:pPr>
      <w:r>
        <w:rPr>
          <w:sz w:val="24"/>
          <w:szCs w:val="24"/>
        </w:rPr>
        <w:t xml:space="preserve">RAVN, O.L.G.A. (2022) Employees: A workplace novel of the 22nd Century. 1st </w:t>
      </w:r>
      <w:proofErr w:type="spellStart"/>
      <w:r>
        <w:rPr>
          <w:sz w:val="24"/>
          <w:szCs w:val="24"/>
        </w:rPr>
        <w:t>edn</w:t>
      </w:r>
      <w:proofErr w:type="spellEnd"/>
      <w:r>
        <w:rPr>
          <w:sz w:val="24"/>
          <w:szCs w:val="24"/>
        </w:rPr>
        <w:t xml:space="preserve">. </w:t>
      </w:r>
      <w:proofErr w:type="spellStart"/>
      <w:r>
        <w:rPr>
          <w:sz w:val="24"/>
          <w:szCs w:val="24"/>
        </w:rPr>
        <w:t>S.l.</w:t>
      </w:r>
      <w:proofErr w:type="spellEnd"/>
      <w:r>
        <w:rPr>
          <w:sz w:val="24"/>
          <w:szCs w:val="24"/>
        </w:rPr>
        <w:t xml:space="preserve">: NEW DIRECTIONS PUB CO. </w:t>
      </w:r>
    </w:p>
    <w:p w14:paraId="00000027" w14:textId="77777777" w:rsidR="00B96ED8" w:rsidRDefault="00EF53B5" w:rsidP="00996F6B">
      <w:pPr>
        <w:spacing w:line="360" w:lineRule="auto"/>
        <w:jc w:val="both"/>
        <w:rPr>
          <w:sz w:val="24"/>
          <w:szCs w:val="24"/>
        </w:rPr>
      </w:pPr>
      <w:r>
        <w:rPr>
          <w:sz w:val="24"/>
          <w:szCs w:val="24"/>
        </w:rPr>
        <w:lastRenderedPageBreak/>
        <w:t xml:space="preserve">Reeves, D.L., Hansen, C. and Bennett, R. (2021) Teamwork. 5th </w:t>
      </w:r>
      <w:proofErr w:type="spellStart"/>
      <w:r>
        <w:rPr>
          <w:sz w:val="24"/>
          <w:szCs w:val="24"/>
        </w:rPr>
        <w:t>edn</w:t>
      </w:r>
      <w:proofErr w:type="spellEnd"/>
      <w:r>
        <w:rPr>
          <w:sz w:val="24"/>
          <w:szCs w:val="24"/>
        </w:rPr>
        <w:t xml:space="preserve">. Ann Arbor, MI: Cherry Lake Publishing Group. </w:t>
      </w:r>
    </w:p>
    <w:p w14:paraId="00000028" w14:textId="77777777" w:rsidR="00B96ED8" w:rsidRDefault="00EF53B5" w:rsidP="00996F6B">
      <w:pPr>
        <w:spacing w:line="360" w:lineRule="auto"/>
        <w:jc w:val="both"/>
        <w:rPr>
          <w:sz w:val="24"/>
          <w:szCs w:val="24"/>
        </w:rPr>
      </w:pPr>
      <w:r>
        <w:rPr>
          <w:sz w:val="24"/>
          <w:szCs w:val="24"/>
        </w:rPr>
        <w:t xml:space="preserve">Riley , J. (2018) Employee engagement. 4th </w:t>
      </w:r>
      <w:proofErr w:type="spellStart"/>
      <w:r>
        <w:rPr>
          <w:sz w:val="24"/>
          <w:szCs w:val="24"/>
        </w:rPr>
        <w:t>edn</w:t>
      </w:r>
      <w:proofErr w:type="spellEnd"/>
      <w:r>
        <w:rPr>
          <w:sz w:val="24"/>
          <w:szCs w:val="24"/>
        </w:rPr>
        <w:t xml:space="preserve">. New York, NY: 3G E-Learning LLC. </w:t>
      </w:r>
    </w:p>
    <w:p w14:paraId="00000029" w14:textId="77777777" w:rsidR="00B96ED8" w:rsidRDefault="00EF53B5" w:rsidP="00996F6B">
      <w:pPr>
        <w:spacing w:line="360" w:lineRule="auto"/>
        <w:jc w:val="both"/>
        <w:rPr>
          <w:sz w:val="24"/>
          <w:szCs w:val="24"/>
        </w:rPr>
      </w:pPr>
      <w:r>
        <w:rPr>
          <w:sz w:val="24"/>
          <w:szCs w:val="24"/>
        </w:rPr>
        <w:t xml:space="preserve">Shuck, B. (2020) Employee engagement: A research overview. 1st </w:t>
      </w:r>
      <w:proofErr w:type="spellStart"/>
      <w:r>
        <w:rPr>
          <w:sz w:val="24"/>
          <w:szCs w:val="24"/>
        </w:rPr>
        <w:t>edn</w:t>
      </w:r>
      <w:proofErr w:type="spellEnd"/>
      <w:r>
        <w:rPr>
          <w:sz w:val="24"/>
          <w:szCs w:val="24"/>
        </w:rPr>
        <w:t xml:space="preserve">. Abingdon, Oxon: Routledge, Taylor &amp;amp; Francis Group. </w:t>
      </w:r>
    </w:p>
    <w:p w14:paraId="0000002A" w14:textId="77777777" w:rsidR="00B96ED8" w:rsidRDefault="00EF53B5" w:rsidP="00996F6B">
      <w:pPr>
        <w:spacing w:line="360" w:lineRule="auto"/>
        <w:jc w:val="both"/>
        <w:rPr>
          <w:sz w:val="24"/>
          <w:szCs w:val="24"/>
        </w:rPr>
      </w:pPr>
      <w:r>
        <w:rPr>
          <w:sz w:val="24"/>
          <w:szCs w:val="24"/>
        </w:rPr>
        <w:t xml:space="preserve">Steen, S.L. et al. (2019) HRM. 2nd </w:t>
      </w:r>
      <w:proofErr w:type="spellStart"/>
      <w:r>
        <w:rPr>
          <w:sz w:val="24"/>
          <w:szCs w:val="24"/>
        </w:rPr>
        <w:t>edn</w:t>
      </w:r>
      <w:proofErr w:type="spellEnd"/>
      <w:r>
        <w:rPr>
          <w:sz w:val="24"/>
          <w:szCs w:val="24"/>
        </w:rPr>
        <w:t xml:space="preserve">. Toronto: McGraw-Hill Education. </w:t>
      </w:r>
    </w:p>
    <w:p w14:paraId="0000002B" w14:textId="77777777" w:rsidR="00B96ED8" w:rsidRDefault="00EF53B5" w:rsidP="00996F6B">
      <w:pPr>
        <w:spacing w:line="360" w:lineRule="auto"/>
        <w:jc w:val="both"/>
        <w:rPr>
          <w:sz w:val="24"/>
          <w:szCs w:val="24"/>
        </w:rPr>
      </w:pPr>
      <w:r>
        <w:rPr>
          <w:sz w:val="24"/>
          <w:szCs w:val="24"/>
        </w:rPr>
        <w:t xml:space="preserve">Walton, R. (2020) HRM: Trends and challenges. 5th </w:t>
      </w:r>
      <w:proofErr w:type="spellStart"/>
      <w:r>
        <w:rPr>
          <w:sz w:val="24"/>
          <w:szCs w:val="24"/>
        </w:rPr>
        <w:t>edn</w:t>
      </w:r>
      <w:proofErr w:type="spellEnd"/>
      <w:r>
        <w:rPr>
          <w:sz w:val="24"/>
          <w:szCs w:val="24"/>
        </w:rPr>
        <w:t>. HARVARD BUS. SC. 85.</w:t>
      </w:r>
    </w:p>
    <w:p w14:paraId="0000002C" w14:textId="77777777" w:rsidR="00B96ED8" w:rsidRDefault="00B96ED8" w:rsidP="00996F6B">
      <w:pPr>
        <w:spacing w:line="360" w:lineRule="auto"/>
        <w:jc w:val="both"/>
        <w:rPr>
          <w:sz w:val="24"/>
          <w:szCs w:val="24"/>
        </w:rPr>
      </w:pPr>
    </w:p>
    <w:p w14:paraId="0000002D" w14:textId="77777777" w:rsidR="00B96ED8" w:rsidRDefault="00B96ED8" w:rsidP="00996F6B">
      <w:pPr>
        <w:spacing w:line="360" w:lineRule="auto"/>
        <w:jc w:val="both"/>
        <w:rPr>
          <w:sz w:val="24"/>
          <w:szCs w:val="24"/>
        </w:rPr>
      </w:pPr>
    </w:p>
    <w:p w14:paraId="0000002E" w14:textId="77777777" w:rsidR="00B96ED8" w:rsidRDefault="00B96ED8" w:rsidP="00996F6B">
      <w:pPr>
        <w:spacing w:line="360" w:lineRule="auto"/>
        <w:jc w:val="both"/>
        <w:rPr>
          <w:sz w:val="24"/>
          <w:szCs w:val="24"/>
        </w:rPr>
      </w:pPr>
    </w:p>
    <w:p w14:paraId="0000002F" w14:textId="77777777" w:rsidR="00B96ED8" w:rsidRDefault="00B96ED8" w:rsidP="00996F6B">
      <w:pPr>
        <w:spacing w:line="360" w:lineRule="auto"/>
        <w:jc w:val="both"/>
        <w:rPr>
          <w:sz w:val="24"/>
          <w:szCs w:val="24"/>
        </w:rPr>
      </w:pPr>
    </w:p>
    <w:p w14:paraId="00000030" w14:textId="77777777" w:rsidR="00B96ED8" w:rsidRDefault="00B96ED8" w:rsidP="00996F6B">
      <w:pPr>
        <w:spacing w:line="360" w:lineRule="auto"/>
        <w:jc w:val="both"/>
        <w:rPr>
          <w:sz w:val="24"/>
          <w:szCs w:val="24"/>
        </w:rPr>
      </w:pPr>
    </w:p>
    <w:sectPr w:rsidR="00B96ED8">
      <w:pgSz w:w="12240" w:h="15840"/>
      <w:pgMar w:top="1440" w:right="1440" w:bottom="1440" w:left="1440" w:header="720" w:footer="720" w:gutter="0"/>
      <w:pgNumType w:start="1"/>
      <w:cols w:space="72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Vrinda">
    <w:panose1 w:val="00000400000000000000"/>
    <w:charset w:val="00"/>
    <w:family w:val="swiss"/>
    <w:pitch w:val="variable"/>
    <w:sig w:usb0="00010003" w:usb1="00000000" w:usb2="00000000" w:usb3="00000000" w:csb0="00000001" w:csb1="00000000"/>
  </w:font>
  <w:font w:name="Cambria">
    <w:panose1 w:val="02040503050406030204"/>
    <w:charset w:val="00"/>
    <w:family w:val="roman"/>
    <w:pitch w:val="variable"/>
    <w:sig w:usb0="E00006FF" w:usb1="420024FF" w:usb2="02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B96ED8"/>
    <w:rsid w:val="000827F4"/>
    <w:rsid w:val="001859A0"/>
    <w:rsid w:val="00204084"/>
    <w:rsid w:val="00473E8D"/>
    <w:rsid w:val="008125D0"/>
    <w:rsid w:val="00996F6B"/>
    <w:rsid w:val="009F0786"/>
    <w:rsid w:val="00B96ED8"/>
    <w:rsid w:val="00DD56EA"/>
    <w:rsid w:val="00E013FA"/>
    <w:rsid w:val="00EC3D2F"/>
    <w:rsid w:val="00EF53B5"/>
  </w:rsids>
  <m:mathPr>
    <m:mathFont m:val="Cambria Math"/>
    <m:brkBin m:val="before"/>
    <m:brkBinSub m:val="--"/>
    <m:smallFrac m:val="0"/>
    <m:dispDef/>
    <m:lMargin m:val="0"/>
    <m:rMargin m:val="0"/>
    <m:defJc m:val="centerGroup"/>
    <m:wrapIndent m:val="1440"/>
    <m:intLim m:val="subSup"/>
    <m:naryLim m:val="undOvr"/>
  </m:mathPr>
  <w:themeFontLang w:val="en-GB" w:bidi="b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F4E7B31"/>
  <w15:docId w15:val="{2DC16FA0-F784-4DD6-B082-C21C6221621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Arial" w:hAnsi="Arial" w:cs="Arial"/>
        <w:sz w:val="22"/>
        <w:szCs w:val="22"/>
        <w:lang w:val="en-GB" w:eastAsia="en-GB" w:bidi="bn-IN"/>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style>
  <w:style w:type="paragraph" w:styleId="Heading1">
    <w:name w:val="heading 1"/>
    <w:basedOn w:val="Normal"/>
    <w:next w:val="Normal"/>
    <w:pPr>
      <w:keepNext/>
      <w:keepLines/>
      <w:spacing w:before="400" w:after="120"/>
      <w:outlineLvl w:val="0"/>
    </w:pPr>
    <w:rPr>
      <w:sz w:val="40"/>
      <w:szCs w:val="40"/>
    </w:rPr>
  </w:style>
  <w:style w:type="paragraph" w:styleId="Heading2">
    <w:name w:val="heading 2"/>
    <w:basedOn w:val="Normal"/>
    <w:next w:val="Normal"/>
    <w:pPr>
      <w:keepNext/>
      <w:keepLines/>
      <w:spacing w:before="360" w:after="120"/>
      <w:outlineLvl w:val="1"/>
    </w:pPr>
    <w:rPr>
      <w:sz w:val="32"/>
      <w:szCs w:val="32"/>
    </w:rPr>
  </w:style>
  <w:style w:type="paragraph" w:styleId="Heading3">
    <w:name w:val="heading 3"/>
    <w:basedOn w:val="Normal"/>
    <w:next w:val="Normal"/>
    <w:pPr>
      <w:keepNext/>
      <w:keepLines/>
      <w:spacing w:before="320" w:after="80"/>
      <w:outlineLvl w:val="2"/>
    </w:pPr>
    <w:rPr>
      <w:color w:val="434343"/>
      <w:sz w:val="28"/>
      <w:szCs w:val="28"/>
    </w:rPr>
  </w:style>
  <w:style w:type="paragraph" w:styleId="Heading4">
    <w:name w:val="heading 4"/>
    <w:basedOn w:val="Normal"/>
    <w:next w:val="Normal"/>
    <w:pPr>
      <w:keepNext/>
      <w:keepLines/>
      <w:spacing w:before="280" w:after="80"/>
      <w:outlineLvl w:val="3"/>
    </w:pPr>
    <w:rPr>
      <w:color w:val="666666"/>
      <w:sz w:val="24"/>
      <w:szCs w:val="24"/>
    </w:rPr>
  </w:style>
  <w:style w:type="paragraph" w:styleId="Heading5">
    <w:name w:val="heading 5"/>
    <w:basedOn w:val="Normal"/>
    <w:next w:val="Normal"/>
    <w:pPr>
      <w:keepNext/>
      <w:keepLines/>
      <w:spacing w:before="240" w:after="80"/>
      <w:outlineLvl w:val="4"/>
    </w:pPr>
    <w:rPr>
      <w:color w:val="666666"/>
    </w:rPr>
  </w:style>
  <w:style w:type="paragraph" w:styleId="Heading6">
    <w:name w:val="heading 6"/>
    <w:basedOn w:val="Normal"/>
    <w:next w:val="Normal"/>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pPr>
      <w:keepNext/>
      <w:keepLines/>
      <w:spacing w:after="60"/>
    </w:pPr>
    <w:rPr>
      <w:sz w:val="52"/>
      <w:szCs w:val="52"/>
    </w:rPr>
  </w:style>
  <w:style w:type="paragraph" w:styleId="Subtitle">
    <w:name w:val="Subtitle"/>
    <w:basedOn w:val="Normal"/>
    <w:next w:val="Normal"/>
    <w:pPr>
      <w:keepNext/>
      <w:keepLines/>
      <w:spacing w:after="320"/>
    </w:pPr>
    <w:rPr>
      <w:color w:val="666666"/>
      <w:sz w:val="30"/>
      <w:szCs w:val="3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go:gDocsCustomXmlDataStorage xmlns:go="http://customooxmlschemas.google.com/" xmlns:r="http://schemas.openxmlformats.org/officeDocument/2006/relationships" uri="GoogleDocsCustomDataVersion1">
  <go:docsCustomData xmlns:go="http://customooxmlschemas.google.com/" roundtripDataSignature="AMtx7mjphwDKXYuzoKQ9ldNnJsOsPW8RaA==">AMUW2mXk/Q6iJD588mOY432wPTMLcQ1/YhFKxaS7dSW4vJKNSNqhS1DfNrCMDeccmy3cpp48KzdcHp8bcpRN9EWqrGw8gtzd5fixCsN9ASnsj6DvfIqDrA+u0UJpSPenUMIBZnSzTSpY4+QwpIg5K8kNYGf6aBteYQ==</go:docsCustomData>
</go:gDocsCustomXmlDataStorage>
</file>

<file path=customXml/itemProps1.xml><?xml version="1.0" encoding="utf-8"?>
<ds:datastoreItem xmlns:ds="http://schemas.openxmlformats.org/officeDocument/2006/customXml" ds:itemID="{11111111-1234-1234-1234-123412341234}">
  <ds:schemaRefs>
    <ds:schemaRef ds:uri="http://customooxmlschemas.google.com/"/>
    <ds:schemaRef ds:uri="http://schemas.openxmlformats.org/officeDocument/2006/relationships"/>
  </ds:schemaRefs>
</ds:datastoreItem>
</file>

<file path=docProps/app.xml><?xml version="1.0" encoding="utf-8"?>
<Properties xmlns="http://schemas.openxmlformats.org/officeDocument/2006/extended-properties" xmlns:vt="http://schemas.openxmlformats.org/officeDocument/2006/docPropsVTypes">
  <Template>Normal</Template>
  <TotalTime>31</TotalTime>
  <Pages>8</Pages>
  <Words>2266</Words>
  <Characters>12917</Characters>
  <Application>Microsoft Office Word</Application>
  <DocSecurity>0</DocSecurity>
  <Lines>107</Lines>
  <Paragraphs>30</Paragraphs>
  <ScaleCrop>false</ScaleCrop>
  <Company/>
  <LinksUpToDate>false</LinksUpToDate>
  <CharactersWithSpaces>15153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C S</dc:creator>
  <cp:lastModifiedBy>Candelaria Nicole Stevenson (2123564)</cp:lastModifiedBy>
  <cp:revision>11</cp:revision>
  <dcterms:created xsi:type="dcterms:W3CDTF">2023-02-07T11:36:00Z</dcterms:created>
  <dcterms:modified xsi:type="dcterms:W3CDTF">2023-02-07T12:06:00Z</dcterms:modified>
</cp:coreProperties>
</file>