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DEEEFF" w14:textId="69E81C4E" w:rsidR="00C2363B" w:rsidRPr="003D5263" w:rsidRDefault="00065432" w:rsidP="00D05848">
      <w:pPr>
        <w:jc w:val="center"/>
        <w:rPr>
          <w:b/>
          <w:i/>
          <w:u w:val="single"/>
        </w:rPr>
      </w:pPr>
      <w:r>
        <w:rPr>
          <w:b/>
          <w:i/>
          <w:u w:val="single"/>
        </w:rPr>
        <w:t xml:space="preserve">A Critical Review of </w:t>
      </w:r>
      <w:r w:rsidRPr="003D5263">
        <w:rPr>
          <w:b/>
          <w:i/>
          <w:u w:val="single"/>
        </w:rPr>
        <w:t xml:space="preserve">Sabine Dabringhaus, ‘The Monarch and Inner-Outer Court Dualism In Late Imperial China' in </w:t>
      </w:r>
      <w:r w:rsidRPr="003D5263">
        <w:rPr>
          <w:rFonts w:cstheme="minorHAnsi"/>
          <w:b/>
          <w:bCs/>
          <w:i/>
          <w:u w:val="single"/>
        </w:rPr>
        <w:t xml:space="preserve">Royal Courts in Dynastic States and Empires: A Global Perspective, ed. by </w:t>
      </w:r>
      <w:hyperlink r:id="rId7" w:history="1">
        <w:r w:rsidRPr="003D5263">
          <w:rPr>
            <w:rStyle w:val="Hyperlink"/>
            <w:rFonts w:cstheme="minorHAnsi"/>
            <w:b/>
            <w:bCs/>
            <w:i/>
            <w:color w:val="auto"/>
          </w:rPr>
          <w:t>Jeroen Duindam</w:t>
        </w:r>
      </w:hyperlink>
      <w:r w:rsidRPr="003D5263">
        <w:rPr>
          <w:rFonts w:cstheme="minorHAnsi"/>
          <w:b/>
          <w:bCs/>
          <w:i/>
          <w:u w:val="single"/>
        </w:rPr>
        <w:t xml:space="preserve">, </w:t>
      </w:r>
      <w:hyperlink r:id="rId8" w:history="1">
        <w:r w:rsidRPr="003D5263">
          <w:rPr>
            <w:rStyle w:val="Hyperlink"/>
            <w:rFonts w:cstheme="minorHAnsi"/>
            <w:b/>
            <w:bCs/>
            <w:i/>
            <w:color w:val="auto"/>
          </w:rPr>
          <w:t>Tülay Artan</w:t>
        </w:r>
      </w:hyperlink>
      <w:r w:rsidRPr="003D5263">
        <w:rPr>
          <w:rFonts w:cstheme="minorHAnsi"/>
          <w:b/>
          <w:bCs/>
          <w:i/>
          <w:u w:val="single"/>
        </w:rPr>
        <w:t xml:space="preserve"> and </w:t>
      </w:r>
      <w:hyperlink r:id="rId9" w:history="1">
        <w:r w:rsidRPr="003D5263">
          <w:rPr>
            <w:rStyle w:val="Hyperlink"/>
            <w:rFonts w:cstheme="minorHAnsi"/>
            <w:b/>
            <w:bCs/>
            <w:i/>
            <w:color w:val="auto"/>
          </w:rPr>
          <w:t>Metin Kunt</w:t>
        </w:r>
      </w:hyperlink>
      <w:r w:rsidRPr="003D5263">
        <w:rPr>
          <w:rFonts w:cstheme="minorHAnsi"/>
          <w:b/>
          <w:bCs/>
          <w:i/>
          <w:u w:val="single"/>
        </w:rPr>
        <w:t xml:space="preserve"> (Leiden: Brill, 2011), pp. 265-287.</w:t>
      </w:r>
    </w:p>
    <w:p w14:paraId="07622D31" w14:textId="5C6C6506" w:rsidR="00C2363B" w:rsidRDefault="00C2363B" w:rsidP="00C2363B">
      <w:pPr>
        <w:jc w:val="center"/>
        <w:rPr>
          <w:b/>
          <w:u w:val="single"/>
        </w:rPr>
      </w:pPr>
      <w:bookmarkStart w:id="0" w:name="_Hlk531781983"/>
    </w:p>
    <w:bookmarkEnd w:id="0"/>
    <w:p w14:paraId="7C0D5ADD" w14:textId="0EE7D967" w:rsidR="00F45A56" w:rsidRDefault="00065432" w:rsidP="00F45A56">
      <w:pPr>
        <w:rPr>
          <w:rFonts w:cstheme="minorHAnsi"/>
          <w:bCs/>
        </w:rPr>
      </w:pPr>
      <w:r>
        <w:rPr>
          <w:rFonts w:cstheme="minorHAnsi"/>
        </w:rPr>
        <w:t xml:space="preserve">This article written by </w:t>
      </w:r>
      <w:r w:rsidRPr="00F45A56">
        <w:rPr>
          <w:rFonts w:cstheme="minorHAnsi"/>
          <w:bCs/>
        </w:rPr>
        <w:t>Sabine Dabringhaus</w:t>
      </w:r>
      <w:r>
        <w:rPr>
          <w:rFonts w:cstheme="minorHAnsi"/>
          <w:bCs/>
        </w:rPr>
        <w:t xml:space="preserve"> focusses specifically on the state of Imperial Rule through the systems of the Inner and Outer Courts</w:t>
      </w:r>
      <w:r>
        <w:rPr>
          <w:rStyle w:val="FootnoteReference"/>
          <w:rFonts w:cstheme="minorHAnsi"/>
          <w:bCs/>
        </w:rPr>
        <w:footnoteReference w:id="1"/>
      </w:r>
      <w:r>
        <w:rPr>
          <w:rFonts w:cstheme="minorHAnsi"/>
          <w:bCs/>
        </w:rPr>
        <w:t xml:space="preserve">. This article is an entry in an edited book entitled </w:t>
      </w:r>
      <w:r w:rsidRPr="00F45A56">
        <w:rPr>
          <w:rFonts w:cstheme="minorHAnsi"/>
          <w:bCs/>
          <w:i/>
        </w:rPr>
        <w:t>Royal Courts in Dynastic States and Empires: A Global Perspective</w:t>
      </w:r>
      <w:r>
        <w:rPr>
          <w:rStyle w:val="FootnoteReference"/>
          <w:rFonts w:cstheme="minorHAnsi"/>
          <w:bCs/>
          <w:i/>
        </w:rPr>
        <w:footnoteReference w:id="2"/>
      </w:r>
      <w:r>
        <w:rPr>
          <w:rFonts w:cstheme="minorHAnsi"/>
          <w:bCs/>
        </w:rPr>
        <w:t>. The aim of this publication is exploring the functions and governance of Royal Courts, and these courts centred around the Monarch governed their respective states</w:t>
      </w:r>
      <w:r>
        <w:rPr>
          <w:rStyle w:val="FootnoteReference"/>
          <w:rFonts w:cstheme="minorHAnsi"/>
          <w:bCs/>
        </w:rPr>
        <w:footnoteReference w:id="3"/>
      </w:r>
      <w:r>
        <w:rPr>
          <w:rFonts w:cstheme="minorHAnsi"/>
          <w:bCs/>
        </w:rPr>
        <w:t xml:space="preserve">. All entries have been written from an Empirical </w:t>
      </w:r>
      <w:bookmarkStart w:id="9" w:name="_GoBack"/>
      <w:bookmarkEnd w:id="9"/>
      <w:r>
        <w:rPr>
          <w:rFonts w:cstheme="minorHAnsi"/>
          <w:bCs/>
        </w:rPr>
        <w:t>point of view</w:t>
      </w:r>
      <w:r w:rsidR="00DD1240">
        <w:rPr>
          <w:rFonts w:cstheme="minorHAnsi"/>
          <w:bCs/>
        </w:rPr>
        <w:t>, a</w:t>
      </w:r>
      <w:r>
        <w:rPr>
          <w:rFonts w:cstheme="minorHAnsi"/>
          <w:bCs/>
        </w:rPr>
        <w:t>ll opinions and conclusions have been deduced based on primary and secondary sources</w:t>
      </w:r>
      <w:r>
        <w:rPr>
          <w:rStyle w:val="FootnoteReference"/>
          <w:rFonts w:cstheme="minorHAnsi"/>
          <w:bCs/>
        </w:rPr>
        <w:footnoteReference w:id="4"/>
      </w:r>
      <w:r>
        <w:rPr>
          <w:rFonts w:cstheme="minorHAnsi"/>
          <w:bCs/>
        </w:rPr>
        <w:t xml:space="preserve">. As empiricism deals with rationality the all authors primarily discuss physical institutions </w:t>
      </w:r>
      <w:r w:rsidR="00A43A84">
        <w:rPr>
          <w:rFonts w:cstheme="minorHAnsi"/>
          <w:bCs/>
        </w:rPr>
        <w:t>and theoretical politics, they forgo religion</w:t>
      </w:r>
      <w:r w:rsidR="00D83999">
        <w:rPr>
          <w:rFonts w:cstheme="minorHAnsi"/>
          <w:bCs/>
        </w:rPr>
        <w:t>, at least from the point of view of this publication</w:t>
      </w:r>
      <w:r>
        <w:rPr>
          <w:rStyle w:val="FootnoteReference"/>
          <w:rFonts w:cstheme="minorHAnsi"/>
          <w:bCs/>
        </w:rPr>
        <w:footnoteReference w:id="5"/>
      </w:r>
      <w:r w:rsidR="00A43A84">
        <w:rPr>
          <w:rFonts w:cstheme="minorHAnsi"/>
          <w:bCs/>
        </w:rPr>
        <w:t xml:space="preserve">. </w:t>
      </w:r>
    </w:p>
    <w:p w14:paraId="5FFB1544" w14:textId="65B4AE23" w:rsidR="00F45A56" w:rsidRDefault="00065432" w:rsidP="00F45A56">
      <w:pPr>
        <w:rPr>
          <w:rFonts w:cstheme="minorHAnsi"/>
          <w:bCs/>
        </w:rPr>
      </w:pPr>
      <w:r>
        <w:rPr>
          <w:rFonts w:cstheme="minorHAnsi"/>
          <w:bCs/>
        </w:rPr>
        <w:t>Dabringhaus starts off this piece with a general view of how the court system came into being</w:t>
      </w:r>
      <w:r>
        <w:rPr>
          <w:rStyle w:val="FootnoteReference"/>
          <w:rFonts w:cstheme="minorHAnsi"/>
          <w:bCs/>
        </w:rPr>
        <w:footnoteReference w:id="6"/>
      </w:r>
      <w:r>
        <w:rPr>
          <w:rFonts w:cstheme="minorHAnsi"/>
          <w:bCs/>
        </w:rPr>
        <w:t>. From the founding of the of the Empire by the first Qin Emperor, the monarchs only acted as head of the government with at the prime minister wielding the true power</w:t>
      </w:r>
      <w:r>
        <w:rPr>
          <w:rStyle w:val="FootnoteReference"/>
          <w:rFonts w:cstheme="minorHAnsi"/>
          <w:bCs/>
        </w:rPr>
        <w:footnoteReference w:id="7"/>
      </w:r>
      <w:r>
        <w:rPr>
          <w:rFonts w:cstheme="minorHAnsi"/>
          <w:bCs/>
        </w:rPr>
        <w:t>.</w:t>
      </w:r>
      <w:r w:rsidR="00F1544B">
        <w:rPr>
          <w:rFonts w:cstheme="minorHAnsi"/>
          <w:bCs/>
        </w:rPr>
        <w:t xml:space="preserve"> The Han Dynasty then created a court System with two entities</w:t>
      </w:r>
      <w:r w:rsidR="009523AD">
        <w:rPr>
          <w:rFonts w:cstheme="minorHAnsi"/>
          <w:bCs/>
        </w:rPr>
        <w:t>;</w:t>
      </w:r>
      <w:r w:rsidR="00F1544B">
        <w:rPr>
          <w:rFonts w:cstheme="minorHAnsi"/>
          <w:bCs/>
        </w:rPr>
        <w:t xml:space="preserve"> The Outer Court and the Inner</w:t>
      </w:r>
      <w:r w:rsidR="009523AD">
        <w:rPr>
          <w:rFonts w:cstheme="minorHAnsi"/>
          <w:bCs/>
        </w:rPr>
        <w:t xml:space="preserve"> Court</w:t>
      </w:r>
      <w:r>
        <w:rPr>
          <w:rStyle w:val="FootnoteReference"/>
          <w:rFonts w:cstheme="minorHAnsi"/>
          <w:bCs/>
        </w:rPr>
        <w:footnoteReference w:id="8"/>
      </w:r>
      <w:r w:rsidR="00F1544B">
        <w:rPr>
          <w:rFonts w:cstheme="minorHAnsi"/>
          <w:bCs/>
        </w:rPr>
        <w:t>. The Inner Containing the Imperial Household</w:t>
      </w:r>
      <w:r w:rsidR="009523AD">
        <w:rPr>
          <w:rFonts w:cstheme="minorHAnsi"/>
          <w:bCs/>
        </w:rPr>
        <w:t>,</w:t>
      </w:r>
      <w:r w:rsidR="00F1544B">
        <w:rPr>
          <w:rFonts w:cstheme="minorHAnsi"/>
          <w:bCs/>
        </w:rPr>
        <w:t xml:space="preserve"> </w:t>
      </w:r>
      <w:r w:rsidR="009523AD">
        <w:rPr>
          <w:rFonts w:cstheme="minorHAnsi"/>
          <w:bCs/>
        </w:rPr>
        <w:t>t</w:t>
      </w:r>
      <w:r w:rsidR="00F1544B">
        <w:rPr>
          <w:rFonts w:cstheme="minorHAnsi"/>
          <w:bCs/>
        </w:rPr>
        <w:t>he Outer controlling the functions of the government</w:t>
      </w:r>
      <w:r>
        <w:rPr>
          <w:rStyle w:val="FootnoteReference"/>
          <w:rFonts w:cstheme="minorHAnsi"/>
          <w:bCs/>
        </w:rPr>
        <w:footnoteReference w:id="9"/>
      </w:r>
      <w:r w:rsidR="00F1544B">
        <w:rPr>
          <w:rFonts w:cstheme="minorHAnsi"/>
          <w:bCs/>
        </w:rPr>
        <w:t xml:space="preserve">. </w:t>
      </w:r>
      <w:r>
        <w:rPr>
          <w:rFonts w:cstheme="minorHAnsi"/>
          <w:bCs/>
        </w:rPr>
        <w:t xml:space="preserve"> However, on the ascendance of the Emperor of the Ming Dynasty, the position was abolished and replaced by the Emperor</w:t>
      </w:r>
      <w:r w:rsidR="00F1544B">
        <w:rPr>
          <w:rFonts w:cstheme="minorHAnsi"/>
          <w:bCs/>
        </w:rPr>
        <w:t xml:space="preserve"> himself</w:t>
      </w:r>
      <w:r>
        <w:rPr>
          <w:rStyle w:val="FootnoteReference"/>
          <w:rFonts w:cstheme="minorHAnsi"/>
          <w:bCs/>
        </w:rPr>
        <w:footnoteReference w:id="10"/>
      </w:r>
      <w:r>
        <w:rPr>
          <w:rFonts w:cstheme="minorHAnsi"/>
          <w:bCs/>
        </w:rPr>
        <w:t xml:space="preserve">. </w:t>
      </w:r>
    </w:p>
    <w:p w14:paraId="3707FB53" w14:textId="440649BC" w:rsidR="00F1544B" w:rsidRDefault="00065432" w:rsidP="00F45A56">
      <w:pPr>
        <w:rPr>
          <w:rFonts w:cstheme="minorHAnsi"/>
          <w:bCs/>
        </w:rPr>
      </w:pPr>
      <w:r>
        <w:rPr>
          <w:rFonts w:cstheme="minorHAnsi"/>
          <w:bCs/>
        </w:rPr>
        <w:t>What is created as a result is a system unlike anything in the west</w:t>
      </w:r>
      <w:r>
        <w:rPr>
          <w:rStyle w:val="FootnoteReference"/>
          <w:rFonts w:cstheme="minorHAnsi"/>
          <w:bCs/>
        </w:rPr>
        <w:footnoteReference w:id="11"/>
      </w:r>
      <w:r>
        <w:rPr>
          <w:rFonts w:cstheme="minorHAnsi"/>
          <w:bCs/>
        </w:rPr>
        <w:t>. The monarch who holds supreme power has been separated from the administrative organs of the state. The emperor reigned f</w:t>
      </w:r>
      <w:r w:rsidR="00D33414">
        <w:rPr>
          <w:rFonts w:cstheme="minorHAnsi"/>
          <w:bCs/>
        </w:rPr>
        <w:t>ro</w:t>
      </w:r>
      <w:r>
        <w:rPr>
          <w:rFonts w:cstheme="minorHAnsi"/>
          <w:bCs/>
        </w:rPr>
        <w:t>m the Inner Court and his household, the outer court carried out the Imperial Decrees</w:t>
      </w:r>
      <w:r w:rsidR="00D83999">
        <w:rPr>
          <w:rFonts w:cstheme="minorHAnsi"/>
          <w:bCs/>
        </w:rPr>
        <w:t>;</w:t>
      </w:r>
      <w:r>
        <w:rPr>
          <w:rFonts w:cstheme="minorHAnsi"/>
          <w:bCs/>
        </w:rPr>
        <w:t xml:space="preserve"> </w:t>
      </w:r>
      <w:r w:rsidR="00D83999">
        <w:rPr>
          <w:rFonts w:cstheme="minorHAnsi"/>
          <w:bCs/>
        </w:rPr>
        <w:t>t</w:t>
      </w:r>
      <w:r>
        <w:rPr>
          <w:rFonts w:cstheme="minorHAnsi"/>
          <w:bCs/>
        </w:rPr>
        <w:t>he creation of a dual system of power</w:t>
      </w:r>
      <w:r>
        <w:rPr>
          <w:rStyle w:val="FootnoteReference"/>
          <w:rFonts w:cstheme="minorHAnsi"/>
          <w:bCs/>
        </w:rPr>
        <w:footnoteReference w:id="12"/>
      </w:r>
      <w:r>
        <w:rPr>
          <w:rFonts w:cstheme="minorHAnsi"/>
          <w:bCs/>
        </w:rPr>
        <w:t>. Dabringhaus contends that in order to understand how this system affected Late Imperial China we must look at the methods employed, by both Ming and Later Ching Dynasties</w:t>
      </w:r>
      <w:r>
        <w:rPr>
          <w:rStyle w:val="FootnoteReference"/>
          <w:rFonts w:cstheme="minorHAnsi"/>
          <w:bCs/>
        </w:rPr>
        <w:footnoteReference w:id="13"/>
      </w:r>
      <w:r>
        <w:rPr>
          <w:rFonts w:cstheme="minorHAnsi"/>
          <w:bCs/>
        </w:rPr>
        <w:t xml:space="preserve">.  </w:t>
      </w:r>
    </w:p>
    <w:p w14:paraId="2D9B2632" w14:textId="65DCA0B9" w:rsidR="00F4641F" w:rsidRDefault="00065432" w:rsidP="00C2363B">
      <w:pPr>
        <w:rPr>
          <w:rFonts w:cstheme="minorHAnsi"/>
          <w:bCs/>
        </w:rPr>
      </w:pPr>
      <w:r>
        <w:rPr>
          <w:rFonts w:cstheme="minorHAnsi"/>
          <w:bCs/>
        </w:rPr>
        <w:t xml:space="preserve">In doing so the next section focuses on the varying </w:t>
      </w:r>
      <w:r w:rsidR="004003FD">
        <w:rPr>
          <w:rFonts w:cstheme="minorHAnsi"/>
          <w:bCs/>
        </w:rPr>
        <w:t>approaches made by both Ming and Ching Emperors. The first user is the Ming Emperor Taizu</w:t>
      </w:r>
      <w:r w:rsidR="00D83999">
        <w:rPr>
          <w:rFonts w:cstheme="minorHAnsi"/>
          <w:bCs/>
        </w:rPr>
        <w:t xml:space="preserve"> who </w:t>
      </w:r>
      <w:r w:rsidR="004003FD">
        <w:rPr>
          <w:rFonts w:cstheme="minorHAnsi"/>
          <w:bCs/>
        </w:rPr>
        <w:t>as Emperor abolished the Grand Council which acted as a cabinet of ministers</w:t>
      </w:r>
      <w:r>
        <w:rPr>
          <w:rStyle w:val="FootnoteReference"/>
          <w:rFonts w:cstheme="minorHAnsi"/>
          <w:bCs/>
        </w:rPr>
        <w:footnoteReference w:id="14"/>
      </w:r>
      <w:r w:rsidR="004003FD">
        <w:rPr>
          <w:rFonts w:cstheme="minorHAnsi"/>
          <w:bCs/>
        </w:rPr>
        <w:t xml:space="preserve">. Through the abolition the six ministries of the state where </w:t>
      </w:r>
      <w:r w:rsidR="004003FD">
        <w:rPr>
          <w:rFonts w:cstheme="minorHAnsi"/>
          <w:bCs/>
        </w:rPr>
        <w:lastRenderedPageBreak/>
        <w:t>brought directly under his supervision</w:t>
      </w:r>
      <w:r>
        <w:rPr>
          <w:rStyle w:val="FootnoteReference"/>
          <w:rFonts w:cstheme="minorHAnsi"/>
          <w:bCs/>
        </w:rPr>
        <w:footnoteReference w:id="15"/>
      </w:r>
      <w:r w:rsidR="004003FD">
        <w:rPr>
          <w:rFonts w:cstheme="minorHAnsi"/>
          <w:bCs/>
        </w:rPr>
        <w:t>. This allowed Taizu to control all aspects of the state</w:t>
      </w:r>
      <w:r w:rsidR="005B2529">
        <w:rPr>
          <w:rFonts w:cstheme="minorHAnsi"/>
          <w:bCs/>
        </w:rPr>
        <w:t xml:space="preserve"> who believed that an Emperor must rule in order to avoid disaster</w:t>
      </w:r>
      <w:r>
        <w:rPr>
          <w:rStyle w:val="FootnoteReference"/>
          <w:rFonts w:cstheme="minorHAnsi"/>
          <w:bCs/>
        </w:rPr>
        <w:footnoteReference w:id="16"/>
      </w:r>
      <w:r w:rsidR="004003FD">
        <w:rPr>
          <w:rFonts w:cstheme="minorHAnsi"/>
          <w:bCs/>
        </w:rPr>
        <w:t>. Decrees where made in the Inner Court, the Outer Court was relegated to mere functionaries who implemented these decrees</w:t>
      </w:r>
      <w:r>
        <w:rPr>
          <w:rStyle w:val="FootnoteReference"/>
          <w:rFonts w:cstheme="minorHAnsi"/>
          <w:bCs/>
        </w:rPr>
        <w:footnoteReference w:id="17"/>
      </w:r>
      <w:r w:rsidR="004003FD">
        <w:rPr>
          <w:rFonts w:cstheme="minorHAnsi"/>
          <w:bCs/>
        </w:rPr>
        <w:t xml:space="preserve">.  On the other hand, Chengzu, the third Ming Emperor created the </w:t>
      </w:r>
      <w:r w:rsidR="004003FD" w:rsidRPr="004003FD">
        <w:rPr>
          <w:rFonts w:cstheme="minorHAnsi"/>
          <w:bCs/>
          <w:i/>
        </w:rPr>
        <w:t>Neike</w:t>
      </w:r>
      <w:r w:rsidR="004003FD">
        <w:rPr>
          <w:rFonts w:cstheme="minorHAnsi"/>
          <w:bCs/>
        </w:rPr>
        <w:t>, an Inner cabinet that took power away from the Emper</w:t>
      </w:r>
      <w:r w:rsidR="00CA7761">
        <w:rPr>
          <w:rFonts w:cstheme="minorHAnsi"/>
          <w:bCs/>
        </w:rPr>
        <w:t xml:space="preserve">or </w:t>
      </w:r>
      <w:r w:rsidR="00BB3FAD">
        <w:rPr>
          <w:rFonts w:cstheme="minorHAnsi"/>
          <w:bCs/>
        </w:rPr>
        <w:t xml:space="preserve">and transferred </w:t>
      </w:r>
      <w:r w:rsidR="004003FD">
        <w:rPr>
          <w:rFonts w:cstheme="minorHAnsi"/>
          <w:bCs/>
        </w:rPr>
        <w:t xml:space="preserve">to The Outer Court to ease </w:t>
      </w:r>
      <w:r w:rsidR="00BB3FAD">
        <w:rPr>
          <w:rFonts w:cstheme="minorHAnsi"/>
          <w:bCs/>
        </w:rPr>
        <w:t xml:space="preserve">the </w:t>
      </w:r>
      <w:r w:rsidR="004003FD">
        <w:rPr>
          <w:rFonts w:cstheme="minorHAnsi"/>
          <w:bCs/>
        </w:rPr>
        <w:t>administrative burdens</w:t>
      </w:r>
      <w:r>
        <w:rPr>
          <w:rStyle w:val="FootnoteReference"/>
          <w:rFonts w:cstheme="minorHAnsi"/>
          <w:bCs/>
        </w:rPr>
        <w:footnoteReference w:id="18"/>
      </w:r>
      <w:r w:rsidR="004003FD">
        <w:rPr>
          <w:rFonts w:cstheme="minorHAnsi"/>
          <w:bCs/>
        </w:rPr>
        <w:t xml:space="preserve">.   </w:t>
      </w:r>
    </w:p>
    <w:p w14:paraId="25F0AD79" w14:textId="20DEA907" w:rsidR="00916AFE" w:rsidRDefault="00065432" w:rsidP="00C2363B">
      <w:pPr>
        <w:rPr>
          <w:rFonts w:cstheme="minorHAnsi"/>
          <w:bCs/>
        </w:rPr>
      </w:pPr>
      <w:r>
        <w:rPr>
          <w:rFonts w:cstheme="minorHAnsi"/>
          <w:bCs/>
        </w:rPr>
        <w:t xml:space="preserve">One of the questions that Dabringhaus seeks to address </w:t>
      </w:r>
      <w:r w:rsidR="0067701C">
        <w:rPr>
          <w:rFonts w:cstheme="minorHAnsi"/>
          <w:bCs/>
        </w:rPr>
        <w:t xml:space="preserve">based on the previous observation </w:t>
      </w:r>
      <w:r>
        <w:rPr>
          <w:rFonts w:cstheme="minorHAnsi"/>
          <w:bCs/>
        </w:rPr>
        <w:t>is if the court changed after the fall of the Ming and the rise of the Ching?</w:t>
      </w:r>
      <w:r>
        <w:rPr>
          <w:rStyle w:val="FootnoteReference"/>
          <w:rFonts w:cstheme="minorHAnsi"/>
          <w:bCs/>
        </w:rPr>
        <w:footnoteReference w:id="19"/>
      </w:r>
      <w:r>
        <w:rPr>
          <w:rFonts w:cstheme="minorHAnsi"/>
          <w:bCs/>
        </w:rPr>
        <w:t xml:space="preserve"> The answer is mixed. The start the section that covers the topic very much that the assimilation of the court provided an opportunity for the Ching to redefine themselves as Chinese</w:t>
      </w:r>
      <w:r>
        <w:rPr>
          <w:rStyle w:val="FootnoteReference"/>
          <w:rFonts w:cstheme="minorHAnsi"/>
          <w:bCs/>
        </w:rPr>
        <w:footnoteReference w:id="20"/>
      </w:r>
      <w:r>
        <w:rPr>
          <w:rFonts w:cstheme="minorHAnsi"/>
          <w:bCs/>
        </w:rPr>
        <w:t>. By assimilating the already established court the Ching could claim the continuation of the Chinese state rather than being a foreign conquering power</w:t>
      </w:r>
      <w:r>
        <w:rPr>
          <w:rStyle w:val="FootnoteReference"/>
          <w:rFonts w:cstheme="minorHAnsi"/>
          <w:bCs/>
        </w:rPr>
        <w:footnoteReference w:id="21"/>
      </w:r>
      <w:r>
        <w:rPr>
          <w:rFonts w:cstheme="minorHAnsi"/>
          <w:bCs/>
        </w:rPr>
        <w:t xml:space="preserve">. </w:t>
      </w:r>
      <w:r w:rsidR="005B2529">
        <w:rPr>
          <w:rFonts w:cstheme="minorHAnsi"/>
          <w:bCs/>
        </w:rPr>
        <w:t>However,</w:t>
      </w:r>
      <w:r>
        <w:rPr>
          <w:rFonts w:cstheme="minorHAnsi"/>
          <w:bCs/>
        </w:rPr>
        <w:t xml:space="preserve"> they did implement their institutions such as the banner system to maintain the Manchu Identity</w:t>
      </w:r>
      <w:r>
        <w:rPr>
          <w:rStyle w:val="FootnoteReference"/>
          <w:rFonts w:cstheme="minorHAnsi"/>
          <w:bCs/>
        </w:rPr>
        <w:footnoteReference w:id="22"/>
      </w:r>
      <w:r>
        <w:rPr>
          <w:rFonts w:cstheme="minorHAnsi"/>
          <w:bCs/>
        </w:rPr>
        <w:t xml:space="preserve">. </w:t>
      </w:r>
    </w:p>
    <w:p w14:paraId="5FB393D5" w14:textId="68B62B97" w:rsidR="005B2529" w:rsidRDefault="00065432" w:rsidP="00C2363B">
      <w:pPr>
        <w:rPr>
          <w:rFonts w:cstheme="minorHAnsi"/>
          <w:bCs/>
        </w:rPr>
      </w:pPr>
      <w:r>
        <w:rPr>
          <w:rFonts w:cstheme="minorHAnsi"/>
          <w:bCs/>
        </w:rPr>
        <w:t>The method of analysing general concepts of the court rather than a specific element has permitted Dabringhaus to convey different perspectives of the Dual Court System.  These do include the argument stated above but also mechanisms deployed by the Qing that existed outside the court but reinforced the Imperial dominance with the institution</w:t>
      </w:r>
      <w:r>
        <w:rPr>
          <w:rStyle w:val="FootnoteReference"/>
          <w:rFonts w:cstheme="minorHAnsi"/>
          <w:bCs/>
        </w:rPr>
        <w:footnoteReference w:id="23"/>
      </w:r>
      <w:r>
        <w:rPr>
          <w:rFonts w:cstheme="minorHAnsi"/>
          <w:bCs/>
        </w:rPr>
        <w:t>. The piece uses many primary accounts to justify its argument, primarily from the Ming including the accounts of Emperor Taizu and his views on government</w:t>
      </w:r>
      <w:r>
        <w:rPr>
          <w:rStyle w:val="FootnoteReference"/>
          <w:rFonts w:cstheme="minorHAnsi"/>
          <w:bCs/>
        </w:rPr>
        <w:footnoteReference w:id="24"/>
      </w:r>
      <w:r>
        <w:rPr>
          <w:rFonts w:cstheme="minorHAnsi"/>
          <w:bCs/>
        </w:rPr>
        <w:t>. It demonstrates how the Court, on one hand, was used as a system of government, but also that there are other issues worth researching in the own right.</w:t>
      </w:r>
    </w:p>
    <w:p w14:paraId="064BF372" w14:textId="68BCD79E" w:rsidR="005B5DCC" w:rsidRDefault="00065432" w:rsidP="00C2363B">
      <w:pPr>
        <w:rPr>
          <w:rFonts w:cstheme="minorHAnsi"/>
          <w:bCs/>
        </w:rPr>
      </w:pPr>
      <w:r>
        <w:rPr>
          <w:rFonts w:cstheme="minorHAnsi"/>
          <w:bCs/>
        </w:rPr>
        <w:t xml:space="preserve">Where this piece struggles, however, is that there is a lack of mention of other contemporary scholarship. There is one attempt by Dabringhaus to just this by using </w:t>
      </w:r>
      <w:r w:rsidRPr="005B2529">
        <w:rPr>
          <w:rFonts w:cstheme="minorHAnsi"/>
          <w:bCs/>
        </w:rPr>
        <w:t>Charles O. Hucker</w:t>
      </w:r>
      <w:r>
        <w:rPr>
          <w:rFonts w:cstheme="minorHAnsi"/>
          <w:bCs/>
        </w:rPr>
        <w:t xml:space="preserve"> to describe the reforms of Taizu as ‘the beginning of the Ming Tyranny’</w:t>
      </w:r>
      <w:r>
        <w:rPr>
          <w:rStyle w:val="FootnoteReference"/>
          <w:rFonts w:cstheme="minorHAnsi"/>
          <w:bCs/>
        </w:rPr>
        <w:footnoteReference w:id="25"/>
      </w:r>
      <w:r>
        <w:rPr>
          <w:rFonts w:cstheme="minorHAnsi"/>
          <w:bCs/>
        </w:rPr>
        <w:t>. Other than this there is no direct mention of other historical opinions by scholars. The only reference to modern scholars is the generic footnotes as is expected in an academic piece. Yet this essay, however, is part of an edited book and as such must conform to the expectations of the editor</w:t>
      </w:r>
      <w:r>
        <w:rPr>
          <w:rStyle w:val="FootnoteReference"/>
          <w:rFonts w:cstheme="minorHAnsi"/>
          <w:bCs/>
        </w:rPr>
        <w:footnoteReference w:id="26"/>
      </w:r>
      <w:r>
        <w:rPr>
          <w:rFonts w:cstheme="minorHAnsi"/>
          <w:bCs/>
        </w:rPr>
        <w:t xml:space="preserve">. It may very well be that this has been written as a narrative history, rather than a work for historical debate.   </w:t>
      </w:r>
    </w:p>
    <w:p w14:paraId="44D665EE" w14:textId="1E01F2D5" w:rsidR="005B2529" w:rsidRDefault="00065432" w:rsidP="00C2363B">
      <w:pPr>
        <w:rPr>
          <w:rFonts w:cstheme="minorHAnsi"/>
          <w:bCs/>
        </w:rPr>
      </w:pPr>
      <w:r>
        <w:rPr>
          <w:rFonts w:cstheme="minorHAnsi"/>
          <w:bCs/>
        </w:rPr>
        <w:t xml:space="preserve">In terms of argument and conclusion, Dabringhaus does not make a definitive argument all the way through. Rather several possible topics are discussed but never adopted as the basis for the whole article. Again, it appears that the article is to inform not debate. The conclusion is rather simple. The role of the court changed depended on who was on the throne, depending if the Emperor was </w:t>
      </w:r>
      <w:r>
        <w:rPr>
          <w:rFonts w:cstheme="minorHAnsi"/>
          <w:bCs/>
        </w:rPr>
        <w:lastRenderedPageBreak/>
        <w:t>interested in running the nation or no</w:t>
      </w:r>
      <w:r w:rsidR="00555D1F">
        <w:rPr>
          <w:rFonts w:cstheme="minorHAnsi"/>
          <w:bCs/>
        </w:rPr>
        <w:t>t</w:t>
      </w:r>
      <w:r>
        <w:rPr>
          <w:rStyle w:val="FootnoteReference"/>
          <w:rFonts w:cstheme="minorHAnsi"/>
          <w:bCs/>
        </w:rPr>
        <w:footnoteReference w:id="27"/>
      </w:r>
      <w:r>
        <w:rPr>
          <w:rFonts w:cstheme="minorHAnsi"/>
          <w:bCs/>
        </w:rPr>
        <w:t xml:space="preserve">.  </w:t>
      </w:r>
      <w:r w:rsidR="00DB76E3">
        <w:rPr>
          <w:rFonts w:cstheme="minorHAnsi"/>
          <w:bCs/>
        </w:rPr>
        <w:t>As an informative piece this article is great, but for historical debate, the reader may wish to look someplace else.</w:t>
      </w:r>
    </w:p>
    <w:p w14:paraId="45C8EBEB" w14:textId="122904A0" w:rsidR="001F5376" w:rsidRDefault="00065432" w:rsidP="00C2363B">
      <w:pPr>
        <w:rPr>
          <w:rFonts w:cstheme="minorHAnsi"/>
          <w:b/>
          <w:bCs/>
          <w:u w:val="single"/>
        </w:rPr>
      </w:pPr>
      <w:r w:rsidRPr="001F5376">
        <w:rPr>
          <w:rFonts w:cstheme="minorHAnsi"/>
          <w:b/>
          <w:bCs/>
          <w:u w:val="single"/>
        </w:rPr>
        <w:t xml:space="preserve">Bibliography </w:t>
      </w:r>
    </w:p>
    <w:p w14:paraId="4AA3178F" w14:textId="6BFF7360" w:rsidR="001F5376" w:rsidRDefault="00065432" w:rsidP="00C2363B">
      <w:pPr>
        <w:rPr>
          <w:rFonts w:cstheme="minorHAnsi"/>
          <w:bCs/>
          <w:i/>
        </w:rPr>
      </w:pPr>
      <w:r>
        <w:rPr>
          <w:rFonts w:cstheme="minorHAnsi"/>
          <w:bCs/>
          <w:i/>
        </w:rPr>
        <w:t xml:space="preserve">Secondary Sources: </w:t>
      </w:r>
    </w:p>
    <w:p w14:paraId="41FA237C" w14:textId="713578CE" w:rsidR="00555D1F" w:rsidRDefault="00065432" w:rsidP="00C2363B">
      <w:pPr>
        <w:rPr>
          <w:rFonts w:cstheme="minorHAnsi"/>
        </w:rPr>
      </w:pPr>
      <w:r>
        <w:rPr>
          <w:rFonts w:cstheme="minorHAnsi"/>
        </w:rPr>
        <w:t>Brill</w:t>
      </w:r>
      <w:r w:rsidRPr="00DD1240">
        <w:rPr>
          <w:rFonts w:cstheme="minorHAnsi"/>
        </w:rPr>
        <w:t>, ‘</w:t>
      </w:r>
      <w:r w:rsidRPr="00E5052C">
        <w:rPr>
          <w:i/>
        </w:rPr>
        <w:t>T</w:t>
      </w:r>
      <w:r>
        <w:rPr>
          <w:i/>
        </w:rPr>
        <w:t>he</w:t>
      </w:r>
      <w:r w:rsidRPr="00E5052C">
        <w:rPr>
          <w:i/>
        </w:rPr>
        <w:t xml:space="preserve"> M</w:t>
      </w:r>
      <w:r>
        <w:rPr>
          <w:i/>
        </w:rPr>
        <w:t>onarch</w:t>
      </w:r>
      <w:r w:rsidRPr="00E5052C">
        <w:rPr>
          <w:i/>
        </w:rPr>
        <w:t xml:space="preserve"> </w:t>
      </w:r>
      <w:r>
        <w:rPr>
          <w:i/>
        </w:rPr>
        <w:t>and</w:t>
      </w:r>
      <w:r w:rsidRPr="00E5052C">
        <w:rPr>
          <w:i/>
        </w:rPr>
        <w:t xml:space="preserve"> I</w:t>
      </w:r>
      <w:r>
        <w:rPr>
          <w:i/>
        </w:rPr>
        <w:t>nner</w:t>
      </w:r>
      <w:r w:rsidRPr="00E5052C">
        <w:rPr>
          <w:i/>
        </w:rPr>
        <w:t>-O</w:t>
      </w:r>
      <w:r>
        <w:rPr>
          <w:i/>
        </w:rPr>
        <w:t>uter</w:t>
      </w:r>
      <w:r w:rsidRPr="00E5052C">
        <w:rPr>
          <w:i/>
        </w:rPr>
        <w:t xml:space="preserve"> C</w:t>
      </w:r>
      <w:r>
        <w:rPr>
          <w:i/>
        </w:rPr>
        <w:t>ourt</w:t>
      </w:r>
      <w:r w:rsidRPr="00E5052C">
        <w:rPr>
          <w:i/>
        </w:rPr>
        <w:t xml:space="preserve"> D</w:t>
      </w:r>
      <w:r>
        <w:rPr>
          <w:i/>
        </w:rPr>
        <w:t>ualism</w:t>
      </w:r>
      <w:r w:rsidRPr="00E5052C">
        <w:rPr>
          <w:i/>
        </w:rPr>
        <w:t xml:space="preserve"> in L</w:t>
      </w:r>
      <w:r>
        <w:rPr>
          <w:i/>
        </w:rPr>
        <w:t>ate</w:t>
      </w:r>
      <w:r w:rsidRPr="00E5052C">
        <w:rPr>
          <w:i/>
        </w:rPr>
        <w:t xml:space="preserve"> I</w:t>
      </w:r>
      <w:r>
        <w:rPr>
          <w:i/>
        </w:rPr>
        <w:t>mperial</w:t>
      </w:r>
      <w:r w:rsidRPr="00E5052C">
        <w:rPr>
          <w:i/>
        </w:rPr>
        <w:t xml:space="preserve"> C</w:t>
      </w:r>
      <w:r>
        <w:rPr>
          <w:i/>
        </w:rPr>
        <w:t>hina</w:t>
      </w:r>
      <w:r w:rsidRPr="00DD1240">
        <w:rPr>
          <w:rFonts w:cstheme="minorHAnsi"/>
          <w:i/>
        </w:rPr>
        <w:t>’</w:t>
      </w:r>
      <w:r w:rsidRPr="00DD1240">
        <w:rPr>
          <w:rFonts w:cstheme="minorHAnsi"/>
        </w:rPr>
        <w:t xml:space="preserve"> (20</w:t>
      </w:r>
      <w:r>
        <w:rPr>
          <w:rFonts w:cstheme="minorHAnsi"/>
        </w:rPr>
        <w:t>18</w:t>
      </w:r>
      <w:r w:rsidRPr="00DD1240">
        <w:rPr>
          <w:rFonts w:cstheme="minorHAnsi"/>
        </w:rPr>
        <w:t>),</w:t>
      </w:r>
      <w:r>
        <w:t xml:space="preserve"> </w:t>
      </w:r>
      <w:hyperlink r:id="rId10" w:history="1">
        <w:r w:rsidRPr="00A43A84">
          <w:rPr>
            <w:rStyle w:val="Hyperlink"/>
            <w:rFonts w:cstheme="minorHAnsi"/>
            <w:color w:val="auto"/>
            <w:u w:val="none"/>
          </w:rPr>
          <w:t>https://brill.com/view/title/15386</w:t>
        </w:r>
      </w:hyperlink>
      <w:r>
        <w:rPr>
          <w:rFonts w:cstheme="minorHAnsi"/>
        </w:rPr>
        <w:t xml:space="preserve"> </w:t>
      </w:r>
      <w:r w:rsidRPr="00DD1240">
        <w:rPr>
          <w:rFonts w:cstheme="minorHAnsi"/>
        </w:rPr>
        <w:t xml:space="preserve">(accessed </w:t>
      </w:r>
      <w:r>
        <w:rPr>
          <w:rFonts w:cstheme="minorHAnsi"/>
        </w:rPr>
        <w:t>5</w:t>
      </w:r>
      <w:r w:rsidRPr="00DD1240">
        <w:rPr>
          <w:rFonts w:cstheme="minorHAnsi"/>
          <w:vertAlign w:val="superscript"/>
        </w:rPr>
        <w:t>th</w:t>
      </w:r>
      <w:r w:rsidRPr="00DD1240">
        <w:rPr>
          <w:rFonts w:cstheme="minorHAnsi"/>
        </w:rPr>
        <w:t xml:space="preserve"> </w:t>
      </w:r>
      <w:r>
        <w:rPr>
          <w:rFonts w:cstheme="minorHAnsi"/>
        </w:rPr>
        <w:t>December</w:t>
      </w:r>
      <w:r w:rsidRPr="00DD1240">
        <w:rPr>
          <w:rFonts w:cstheme="minorHAnsi"/>
        </w:rPr>
        <w:t xml:space="preserve"> 201</w:t>
      </w:r>
      <w:r>
        <w:rPr>
          <w:rFonts w:cstheme="minorHAnsi"/>
        </w:rPr>
        <w:t xml:space="preserve">8) </w:t>
      </w:r>
    </w:p>
    <w:p w14:paraId="2B687B63" w14:textId="4131EE22" w:rsidR="00390FCF" w:rsidRDefault="00065432" w:rsidP="00C2363B">
      <w:pPr>
        <w:rPr>
          <w:rFonts w:cstheme="minorHAnsi"/>
        </w:rPr>
      </w:pPr>
      <w:r w:rsidRPr="00390FCF">
        <w:rPr>
          <w:rFonts w:cstheme="minorHAnsi"/>
        </w:rPr>
        <w:t xml:space="preserve">Sabine Dabringhaus, </w:t>
      </w:r>
      <w:r w:rsidRPr="00390FCF">
        <w:rPr>
          <w:rFonts w:cstheme="minorHAnsi"/>
          <w:i/>
        </w:rPr>
        <w:t xml:space="preserve">‘The Monarch and Inner-Outer Court Dualism In Late Imperial China' </w:t>
      </w:r>
      <w:r w:rsidRPr="00390FCF">
        <w:rPr>
          <w:rFonts w:cstheme="minorHAnsi"/>
        </w:rPr>
        <w:t xml:space="preserve">in </w:t>
      </w:r>
      <w:r w:rsidRPr="00390FCF">
        <w:rPr>
          <w:rFonts w:cstheme="minorHAnsi"/>
          <w:bCs/>
          <w:i/>
        </w:rPr>
        <w:t>Royal Courts in Dynastic States and Empires: A Global Perspective</w:t>
      </w:r>
      <w:r w:rsidRPr="00390FCF">
        <w:rPr>
          <w:rFonts w:cstheme="minorHAnsi"/>
          <w:bCs/>
        </w:rPr>
        <w:t xml:space="preserve">, ed. by </w:t>
      </w:r>
      <w:hyperlink r:id="rId11" w:history="1">
        <w:r w:rsidRPr="00390FCF">
          <w:rPr>
            <w:rStyle w:val="Hyperlink"/>
            <w:rFonts w:cstheme="minorHAnsi"/>
            <w:bCs/>
            <w:color w:val="auto"/>
            <w:u w:val="none"/>
          </w:rPr>
          <w:t>Jeroen Duindam</w:t>
        </w:r>
      </w:hyperlink>
      <w:r w:rsidRPr="00390FCF">
        <w:rPr>
          <w:rFonts w:cstheme="minorHAnsi"/>
          <w:bCs/>
        </w:rPr>
        <w:t xml:space="preserve">, </w:t>
      </w:r>
      <w:hyperlink r:id="rId12" w:history="1">
        <w:r w:rsidRPr="00390FCF">
          <w:rPr>
            <w:rStyle w:val="Hyperlink"/>
            <w:rFonts w:cstheme="minorHAnsi"/>
            <w:bCs/>
            <w:color w:val="auto"/>
            <w:u w:val="none"/>
          </w:rPr>
          <w:t>Tülay Artan</w:t>
        </w:r>
      </w:hyperlink>
      <w:r w:rsidRPr="00390FCF">
        <w:rPr>
          <w:rFonts w:cstheme="minorHAnsi"/>
          <w:bCs/>
        </w:rPr>
        <w:t xml:space="preserve"> and </w:t>
      </w:r>
      <w:hyperlink r:id="rId13" w:history="1">
        <w:r w:rsidRPr="00390FCF">
          <w:rPr>
            <w:rStyle w:val="Hyperlink"/>
            <w:rFonts w:cstheme="minorHAnsi"/>
            <w:bCs/>
            <w:color w:val="auto"/>
            <w:u w:val="none"/>
          </w:rPr>
          <w:t>Metin Kunt</w:t>
        </w:r>
      </w:hyperlink>
      <w:r w:rsidRPr="00390FCF">
        <w:rPr>
          <w:rFonts w:cstheme="minorHAnsi"/>
          <w:bCs/>
        </w:rPr>
        <w:t xml:space="preserve"> (Leiden: Brill, 2011), pp. 265-287</w:t>
      </w:r>
      <w:r>
        <w:rPr>
          <w:rFonts w:cstheme="minorHAnsi"/>
          <w:bCs/>
        </w:rPr>
        <w:t xml:space="preserve">. </w:t>
      </w:r>
    </w:p>
    <w:p w14:paraId="6E828D9B" w14:textId="01935272" w:rsidR="00555D1F" w:rsidRDefault="00F74A0D" w:rsidP="00C2363B">
      <w:pPr>
        <w:rPr>
          <w:rFonts w:cstheme="minorHAnsi"/>
          <w:bCs/>
          <w:i/>
        </w:rPr>
      </w:pPr>
      <w:hyperlink r:id="rId14" w:history="1">
        <w:r w:rsidR="00065432" w:rsidRPr="00DD1240">
          <w:rPr>
            <w:rStyle w:val="Hyperlink"/>
            <w:bCs/>
            <w:color w:val="auto"/>
            <w:u w:val="none"/>
          </w:rPr>
          <w:t>J. Duindam</w:t>
        </w:r>
      </w:hyperlink>
      <w:r w:rsidR="00065432" w:rsidRPr="00DD1240">
        <w:rPr>
          <w:bCs/>
        </w:rPr>
        <w:t xml:space="preserve">, </w:t>
      </w:r>
      <w:hyperlink r:id="rId15" w:history="1">
        <w:r w:rsidR="00065432" w:rsidRPr="00DD1240">
          <w:rPr>
            <w:rStyle w:val="Hyperlink"/>
            <w:bCs/>
            <w:color w:val="auto"/>
            <w:u w:val="none"/>
          </w:rPr>
          <w:t>T. Artan</w:t>
        </w:r>
      </w:hyperlink>
      <w:r w:rsidR="00065432" w:rsidRPr="00DD1240">
        <w:t>,</w:t>
      </w:r>
      <w:r w:rsidR="00065432">
        <w:rPr>
          <w:bCs/>
        </w:rPr>
        <w:t xml:space="preserve"> et al</w:t>
      </w:r>
      <w:r w:rsidR="00065432">
        <w:t xml:space="preserve">, </w:t>
      </w:r>
      <w:r w:rsidR="00065432" w:rsidRPr="00E5052C">
        <w:rPr>
          <w:i/>
        </w:rPr>
        <w:t>T</w:t>
      </w:r>
      <w:r w:rsidR="00065432">
        <w:rPr>
          <w:i/>
        </w:rPr>
        <w:t>he</w:t>
      </w:r>
      <w:r w:rsidR="00065432" w:rsidRPr="00E5052C">
        <w:rPr>
          <w:i/>
        </w:rPr>
        <w:t xml:space="preserve"> M</w:t>
      </w:r>
      <w:r w:rsidR="00065432">
        <w:rPr>
          <w:i/>
        </w:rPr>
        <w:t>onarch</w:t>
      </w:r>
      <w:r w:rsidR="00065432" w:rsidRPr="00E5052C">
        <w:rPr>
          <w:i/>
        </w:rPr>
        <w:t xml:space="preserve"> </w:t>
      </w:r>
      <w:r w:rsidR="00065432">
        <w:rPr>
          <w:i/>
        </w:rPr>
        <w:t>and</w:t>
      </w:r>
      <w:r w:rsidR="00065432" w:rsidRPr="00E5052C">
        <w:rPr>
          <w:i/>
        </w:rPr>
        <w:t xml:space="preserve"> I</w:t>
      </w:r>
      <w:r w:rsidR="00065432">
        <w:rPr>
          <w:i/>
        </w:rPr>
        <w:t>nner</w:t>
      </w:r>
      <w:r w:rsidR="00065432" w:rsidRPr="00E5052C">
        <w:rPr>
          <w:i/>
        </w:rPr>
        <w:t>-O</w:t>
      </w:r>
      <w:r w:rsidR="00065432">
        <w:rPr>
          <w:i/>
        </w:rPr>
        <w:t>uter</w:t>
      </w:r>
      <w:r w:rsidR="00065432" w:rsidRPr="00E5052C">
        <w:rPr>
          <w:i/>
        </w:rPr>
        <w:t xml:space="preserve"> C</w:t>
      </w:r>
      <w:r w:rsidR="00065432">
        <w:rPr>
          <w:i/>
        </w:rPr>
        <w:t>ourt</w:t>
      </w:r>
      <w:r w:rsidR="00065432" w:rsidRPr="00E5052C">
        <w:rPr>
          <w:i/>
        </w:rPr>
        <w:t xml:space="preserve"> D</w:t>
      </w:r>
      <w:r w:rsidR="00065432">
        <w:rPr>
          <w:i/>
        </w:rPr>
        <w:t>ualism</w:t>
      </w:r>
      <w:r w:rsidR="00065432" w:rsidRPr="00E5052C">
        <w:rPr>
          <w:i/>
        </w:rPr>
        <w:t xml:space="preserve"> I</w:t>
      </w:r>
      <w:r w:rsidR="00065432">
        <w:rPr>
          <w:i/>
        </w:rPr>
        <w:t>n</w:t>
      </w:r>
      <w:r w:rsidR="00065432" w:rsidRPr="00E5052C">
        <w:rPr>
          <w:i/>
        </w:rPr>
        <w:t xml:space="preserve"> L</w:t>
      </w:r>
      <w:r w:rsidR="00065432">
        <w:rPr>
          <w:i/>
        </w:rPr>
        <w:t>ate</w:t>
      </w:r>
      <w:r w:rsidR="00065432" w:rsidRPr="00E5052C">
        <w:rPr>
          <w:i/>
        </w:rPr>
        <w:t xml:space="preserve"> I</w:t>
      </w:r>
      <w:r w:rsidR="00065432">
        <w:rPr>
          <w:i/>
        </w:rPr>
        <w:t>mperial</w:t>
      </w:r>
      <w:r w:rsidR="00065432" w:rsidRPr="00E5052C">
        <w:rPr>
          <w:i/>
        </w:rPr>
        <w:t xml:space="preserve"> C</w:t>
      </w:r>
      <w:r w:rsidR="00065432">
        <w:rPr>
          <w:i/>
        </w:rPr>
        <w:t xml:space="preserve">hina, </w:t>
      </w:r>
      <w:r w:rsidR="00065432" w:rsidRPr="00DD1240">
        <w:rPr>
          <w:bCs/>
        </w:rPr>
        <w:t>(Leiden: Brill, 2011)</w:t>
      </w:r>
    </w:p>
    <w:p w14:paraId="1BC35E96" w14:textId="7973D6AC" w:rsidR="001F5376" w:rsidRPr="00555D1F" w:rsidRDefault="00065432" w:rsidP="00C2363B">
      <w:pPr>
        <w:rPr>
          <w:rFonts w:cstheme="minorHAnsi"/>
          <w:bCs/>
        </w:rPr>
      </w:pPr>
      <w:r w:rsidRPr="00555D1F">
        <w:rPr>
          <w:rFonts w:cstheme="minorHAnsi"/>
          <w:bCs/>
        </w:rPr>
        <w:t xml:space="preserve">C. Hucker, ‘Ming Government’, in: </w:t>
      </w:r>
      <w:r w:rsidRPr="00555D1F">
        <w:rPr>
          <w:rFonts w:cstheme="minorHAnsi"/>
          <w:bCs/>
          <w:i/>
        </w:rPr>
        <w:t>The History of China, Volume 8: The Ming Dynasty, 1368–1644, Part 2</w:t>
      </w:r>
      <w:r w:rsidRPr="00555D1F">
        <w:rPr>
          <w:rFonts w:cstheme="minorHAnsi"/>
          <w:bCs/>
        </w:rPr>
        <w:t>, ed. by Denis Twitchett and Frederick W. Mote, (Cambridge: Cambridge University Press) pp. 9–105</w:t>
      </w:r>
      <w:r>
        <w:rPr>
          <w:rFonts w:cstheme="minorHAnsi"/>
          <w:bCs/>
        </w:rPr>
        <w:t xml:space="preserve">. </w:t>
      </w:r>
    </w:p>
    <w:p w14:paraId="0785E14C" w14:textId="302D9E70" w:rsidR="005B2529" w:rsidRDefault="00065432" w:rsidP="00C2363B">
      <w:pPr>
        <w:rPr>
          <w:rFonts w:cstheme="minorHAnsi"/>
          <w:bCs/>
        </w:rPr>
      </w:pPr>
      <w:r w:rsidRPr="00555D1F">
        <w:rPr>
          <w:rFonts w:cstheme="minorHAnsi"/>
          <w:bCs/>
        </w:rPr>
        <w:t xml:space="preserve">M. Elliot, </w:t>
      </w:r>
      <w:r w:rsidRPr="00555D1F">
        <w:rPr>
          <w:rFonts w:cstheme="minorHAnsi"/>
          <w:bCs/>
          <w:i/>
        </w:rPr>
        <w:t xml:space="preserve">The Manchu Way: The Eight Banners and Ethnic Identity in Late Imperial China, </w:t>
      </w:r>
      <w:r w:rsidRPr="00555D1F">
        <w:rPr>
          <w:rFonts w:cstheme="minorHAnsi"/>
          <w:bCs/>
        </w:rPr>
        <w:t>(Stanford: Stanford University Press, 2002</w:t>
      </w:r>
      <w:r>
        <w:rPr>
          <w:rFonts w:cstheme="minorHAnsi"/>
          <w:bCs/>
        </w:rPr>
        <w:t>)</w:t>
      </w:r>
    </w:p>
    <w:p w14:paraId="24901F5F" w14:textId="701A5184" w:rsidR="005B2529" w:rsidRDefault="00065432" w:rsidP="00C2363B">
      <w:pPr>
        <w:rPr>
          <w:rFonts w:cstheme="minorHAnsi"/>
          <w:bCs/>
        </w:rPr>
      </w:pPr>
      <w:r w:rsidRPr="00555D1F">
        <w:rPr>
          <w:rFonts w:cstheme="minorHAnsi"/>
          <w:bCs/>
        </w:rPr>
        <w:t xml:space="preserve">M. Szonyi, </w:t>
      </w:r>
      <w:r w:rsidRPr="00555D1F">
        <w:rPr>
          <w:rFonts w:cstheme="minorHAnsi"/>
          <w:bCs/>
          <w:i/>
        </w:rPr>
        <w:t>The Art if Being Governed: Everyday Politics in Late Imperial China</w:t>
      </w:r>
      <w:r w:rsidRPr="00555D1F">
        <w:rPr>
          <w:rFonts w:cstheme="minorHAnsi"/>
          <w:bCs/>
        </w:rPr>
        <w:t>, (Princeton: Princeton University Press, 2017</w:t>
      </w:r>
      <w:r>
        <w:rPr>
          <w:rFonts w:cstheme="minorHAnsi"/>
          <w:bCs/>
        </w:rPr>
        <w:t xml:space="preserve">) </w:t>
      </w:r>
    </w:p>
    <w:p w14:paraId="3CB634B5" w14:textId="21888E05" w:rsidR="00555D1F" w:rsidRDefault="00065432" w:rsidP="00C2363B">
      <w:pPr>
        <w:rPr>
          <w:rFonts w:cstheme="minorHAnsi"/>
          <w:bCs/>
        </w:rPr>
      </w:pPr>
      <w:r w:rsidRPr="00555D1F">
        <w:rPr>
          <w:rFonts w:cstheme="minorHAnsi"/>
          <w:bCs/>
        </w:rPr>
        <w:t xml:space="preserve">G. Meyers, </w:t>
      </w:r>
      <w:r w:rsidRPr="00555D1F">
        <w:rPr>
          <w:rFonts w:cstheme="minorHAnsi"/>
          <w:bCs/>
          <w:i/>
        </w:rPr>
        <w:t>Understanding Empiricism</w:t>
      </w:r>
      <w:r w:rsidRPr="00555D1F">
        <w:rPr>
          <w:rFonts w:cstheme="minorHAnsi"/>
          <w:bCs/>
        </w:rPr>
        <w:t>, (Abingdon: Routledge, 2014)</w:t>
      </w:r>
      <w:r>
        <w:rPr>
          <w:rFonts w:cstheme="minorHAnsi"/>
          <w:bCs/>
        </w:rPr>
        <w:t xml:space="preserve"> </w:t>
      </w:r>
    </w:p>
    <w:p w14:paraId="3ADE3129" w14:textId="5398DA23" w:rsidR="005B2529" w:rsidRDefault="00065432" w:rsidP="00C2363B">
      <w:pPr>
        <w:rPr>
          <w:rFonts w:cstheme="minorHAnsi"/>
          <w:bCs/>
        </w:rPr>
      </w:pPr>
      <w:r w:rsidRPr="00555D1F">
        <w:rPr>
          <w:rFonts w:cstheme="minorHAnsi"/>
          <w:bCs/>
        </w:rPr>
        <w:t xml:space="preserve">A. Paludan, </w:t>
      </w:r>
      <w:r w:rsidRPr="00555D1F">
        <w:rPr>
          <w:rFonts w:cstheme="minorHAnsi"/>
          <w:bCs/>
          <w:i/>
        </w:rPr>
        <w:t>Chronicle of the Chinese Emperors: The Reign-by-Reign Record of the Rulers of Imperial China</w:t>
      </w:r>
      <w:r w:rsidRPr="00555D1F">
        <w:rPr>
          <w:rFonts w:cstheme="minorHAnsi"/>
          <w:bCs/>
        </w:rPr>
        <w:t>, (London: Thames and Hudson, 1998)</w:t>
      </w:r>
      <w:r>
        <w:rPr>
          <w:rFonts w:cstheme="minorHAnsi"/>
          <w:bCs/>
        </w:rPr>
        <w:t xml:space="preserve"> </w:t>
      </w:r>
    </w:p>
    <w:p w14:paraId="13146C1A" w14:textId="1183EA5B" w:rsidR="005B2529" w:rsidRDefault="005B2529" w:rsidP="00C2363B">
      <w:pPr>
        <w:rPr>
          <w:rFonts w:cstheme="minorHAnsi"/>
          <w:bCs/>
        </w:rPr>
      </w:pPr>
    </w:p>
    <w:p w14:paraId="0CC24E6C" w14:textId="77777777" w:rsidR="005B2529" w:rsidRDefault="005B2529" w:rsidP="00C2363B">
      <w:pPr>
        <w:rPr>
          <w:rFonts w:cstheme="minorHAnsi"/>
          <w:bCs/>
        </w:rPr>
      </w:pPr>
    </w:p>
    <w:p w14:paraId="55138F11" w14:textId="6A64605B" w:rsidR="005B2529" w:rsidRDefault="005B2529" w:rsidP="00C2363B">
      <w:pPr>
        <w:rPr>
          <w:rFonts w:cstheme="minorHAnsi"/>
          <w:bCs/>
        </w:rPr>
      </w:pPr>
    </w:p>
    <w:p w14:paraId="27D17374" w14:textId="2946EE4D" w:rsidR="005B2529" w:rsidRDefault="005B2529" w:rsidP="00C2363B">
      <w:pPr>
        <w:rPr>
          <w:rFonts w:cstheme="minorHAnsi"/>
          <w:bCs/>
        </w:rPr>
      </w:pPr>
    </w:p>
    <w:p w14:paraId="2130CC8D" w14:textId="6824091F" w:rsidR="005B2529" w:rsidRDefault="005B2529" w:rsidP="00C2363B">
      <w:pPr>
        <w:rPr>
          <w:rFonts w:cstheme="minorHAnsi"/>
          <w:bCs/>
        </w:rPr>
      </w:pPr>
    </w:p>
    <w:p w14:paraId="497EEA8A" w14:textId="24F888C6" w:rsidR="005B2529" w:rsidRDefault="005B2529" w:rsidP="00C2363B">
      <w:pPr>
        <w:rPr>
          <w:rFonts w:cstheme="minorHAnsi"/>
          <w:bCs/>
        </w:rPr>
      </w:pPr>
    </w:p>
    <w:p w14:paraId="6DA3E932" w14:textId="77777777" w:rsidR="005B2529" w:rsidRPr="00916AFE" w:rsidRDefault="005B2529" w:rsidP="00C2363B">
      <w:pPr>
        <w:rPr>
          <w:rFonts w:cstheme="minorHAnsi"/>
          <w:bCs/>
        </w:rPr>
      </w:pPr>
    </w:p>
    <w:sectPr w:rsidR="005B2529" w:rsidRPr="00916AFE">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0AD965" w14:textId="77777777" w:rsidR="00F74A0D" w:rsidRDefault="00F74A0D">
      <w:pPr>
        <w:spacing w:after="0" w:line="240" w:lineRule="auto"/>
      </w:pPr>
      <w:r>
        <w:separator/>
      </w:r>
    </w:p>
  </w:endnote>
  <w:endnote w:type="continuationSeparator" w:id="0">
    <w:p w14:paraId="266C721D" w14:textId="77777777" w:rsidR="00F74A0D" w:rsidRDefault="00F74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7ADF5D" w14:textId="77777777" w:rsidR="00F74A0D" w:rsidRDefault="00F74A0D" w:rsidP="00E5052C">
      <w:pPr>
        <w:spacing w:after="0" w:line="240" w:lineRule="auto"/>
      </w:pPr>
      <w:r>
        <w:separator/>
      </w:r>
    </w:p>
  </w:footnote>
  <w:footnote w:type="continuationSeparator" w:id="0">
    <w:p w14:paraId="5E6E25DF" w14:textId="77777777" w:rsidR="00F74A0D" w:rsidRDefault="00F74A0D" w:rsidP="00E5052C">
      <w:pPr>
        <w:spacing w:after="0" w:line="240" w:lineRule="auto"/>
      </w:pPr>
      <w:r>
        <w:continuationSeparator/>
      </w:r>
    </w:p>
  </w:footnote>
  <w:footnote w:id="1">
    <w:p w14:paraId="2F43AFDE" w14:textId="0AA2C434" w:rsidR="00E5052C" w:rsidRPr="00BB7B80" w:rsidRDefault="00065432">
      <w:pPr>
        <w:pStyle w:val="FootnoteText"/>
        <w:rPr>
          <w:b/>
        </w:rPr>
      </w:pPr>
      <w:r>
        <w:rPr>
          <w:rStyle w:val="FootnoteReference"/>
        </w:rPr>
        <w:footnoteRef/>
      </w:r>
      <w:r>
        <w:t xml:space="preserve"> </w:t>
      </w:r>
      <w:bookmarkStart w:id="1" w:name="_Hlk531869929"/>
      <w:bookmarkStart w:id="2" w:name="_Hlk531869222"/>
      <w:r>
        <w:t xml:space="preserve">Sabine Dabringhaus, </w:t>
      </w:r>
      <w:r w:rsidRPr="00E5052C">
        <w:rPr>
          <w:i/>
        </w:rPr>
        <w:t>‘</w:t>
      </w:r>
      <w:bookmarkStart w:id="3" w:name="_Hlk531782524"/>
      <w:bookmarkStart w:id="4" w:name="_Hlk531783085"/>
      <w:r w:rsidRPr="00E5052C">
        <w:rPr>
          <w:i/>
        </w:rPr>
        <w:t>T</w:t>
      </w:r>
      <w:r w:rsidR="00DD1240">
        <w:rPr>
          <w:i/>
        </w:rPr>
        <w:t>he</w:t>
      </w:r>
      <w:r w:rsidRPr="00E5052C">
        <w:rPr>
          <w:i/>
        </w:rPr>
        <w:t xml:space="preserve"> M</w:t>
      </w:r>
      <w:r w:rsidR="00DD1240">
        <w:rPr>
          <w:i/>
        </w:rPr>
        <w:t>onarch</w:t>
      </w:r>
      <w:r w:rsidRPr="00E5052C">
        <w:rPr>
          <w:i/>
        </w:rPr>
        <w:t xml:space="preserve"> </w:t>
      </w:r>
      <w:r w:rsidR="00DD1240">
        <w:rPr>
          <w:i/>
        </w:rPr>
        <w:t>and</w:t>
      </w:r>
      <w:r w:rsidRPr="00E5052C">
        <w:rPr>
          <w:i/>
        </w:rPr>
        <w:t xml:space="preserve"> I</w:t>
      </w:r>
      <w:r w:rsidR="00D65D66">
        <w:rPr>
          <w:i/>
        </w:rPr>
        <w:t>nner</w:t>
      </w:r>
      <w:r w:rsidRPr="00E5052C">
        <w:rPr>
          <w:i/>
        </w:rPr>
        <w:t>-O</w:t>
      </w:r>
      <w:r w:rsidR="00D65D66">
        <w:rPr>
          <w:i/>
        </w:rPr>
        <w:t>uter</w:t>
      </w:r>
      <w:r w:rsidRPr="00E5052C">
        <w:rPr>
          <w:i/>
        </w:rPr>
        <w:t xml:space="preserve"> C</w:t>
      </w:r>
      <w:r w:rsidR="00D65D66">
        <w:rPr>
          <w:i/>
        </w:rPr>
        <w:t>ourt</w:t>
      </w:r>
      <w:r w:rsidRPr="00E5052C">
        <w:rPr>
          <w:i/>
        </w:rPr>
        <w:t xml:space="preserve"> D</w:t>
      </w:r>
      <w:r w:rsidR="00D65D66">
        <w:rPr>
          <w:i/>
        </w:rPr>
        <w:t>ualism</w:t>
      </w:r>
      <w:r w:rsidRPr="00E5052C">
        <w:rPr>
          <w:i/>
        </w:rPr>
        <w:t xml:space="preserve"> I</w:t>
      </w:r>
      <w:r w:rsidR="00D65D66">
        <w:rPr>
          <w:i/>
        </w:rPr>
        <w:t>n</w:t>
      </w:r>
      <w:r w:rsidRPr="00E5052C">
        <w:rPr>
          <w:i/>
        </w:rPr>
        <w:t xml:space="preserve"> L</w:t>
      </w:r>
      <w:r w:rsidR="00D65D66">
        <w:rPr>
          <w:i/>
        </w:rPr>
        <w:t>ate</w:t>
      </w:r>
      <w:r w:rsidRPr="00E5052C">
        <w:rPr>
          <w:i/>
        </w:rPr>
        <w:t xml:space="preserve"> I</w:t>
      </w:r>
      <w:r w:rsidR="00D65D66">
        <w:rPr>
          <w:i/>
        </w:rPr>
        <w:t>mperial</w:t>
      </w:r>
      <w:r w:rsidRPr="00E5052C">
        <w:rPr>
          <w:i/>
        </w:rPr>
        <w:t xml:space="preserve"> C</w:t>
      </w:r>
      <w:bookmarkEnd w:id="3"/>
      <w:r w:rsidR="00D65D66">
        <w:rPr>
          <w:i/>
        </w:rPr>
        <w:t>hina</w:t>
      </w:r>
      <w:r w:rsidRPr="00E5052C">
        <w:rPr>
          <w:i/>
        </w:rPr>
        <w:t>’</w:t>
      </w:r>
      <w:r>
        <w:rPr>
          <w:i/>
        </w:rPr>
        <w:t xml:space="preserve"> </w:t>
      </w:r>
      <w:bookmarkEnd w:id="4"/>
      <w:r>
        <w:t xml:space="preserve">in </w:t>
      </w:r>
      <w:r w:rsidRPr="00F45A56">
        <w:rPr>
          <w:rFonts w:cstheme="minorHAnsi"/>
          <w:bCs/>
          <w:i/>
        </w:rPr>
        <w:t>Royal Courts in Dynastic States and Empires: A Global Perspective</w:t>
      </w:r>
      <w:r>
        <w:rPr>
          <w:rFonts w:cstheme="minorHAnsi"/>
          <w:bCs/>
        </w:rPr>
        <w:t xml:space="preserve">, ed. by </w:t>
      </w:r>
      <w:bookmarkStart w:id="5" w:name="_Hlk531782482"/>
      <w:r>
        <w:rPr>
          <w:rStyle w:val="Hyperlink"/>
          <w:rFonts w:cstheme="minorHAnsi"/>
          <w:bCs/>
          <w:color w:val="auto"/>
          <w:u w:val="none"/>
        </w:rPr>
        <w:fldChar w:fldCharType="begin"/>
      </w:r>
      <w:r>
        <w:rPr>
          <w:rStyle w:val="Hyperlink"/>
          <w:rFonts w:cstheme="minorHAnsi"/>
          <w:bCs/>
          <w:color w:val="auto"/>
          <w:u w:val="none"/>
        </w:rPr>
        <w:instrText xml:space="preserve"> HYPERLINK "https://brill.com/search?f_0=author&amp;q_0=Jeroen+Duindam" </w:instrText>
      </w:r>
      <w:r>
        <w:rPr>
          <w:rStyle w:val="Hyperlink"/>
          <w:rFonts w:cstheme="minorHAnsi"/>
          <w:bCs/>
          <w:color w:val="auto"/>
          <w:u w:val="none"/>
        </w:rPr>
        <w:fldChar w:fldCharType="separate"/>
      </w:r>
      <w:r w:rsidRPr="00E5052C">
        <w:rPr>
          <w:rStyle w:val="Hyperlink"/>
          <w:rFonts w:cstheme="minorHAnsi"/>
          <w:bCs/>
          <w:color w:val="auto"/>
          <w:u w:val="none"/>
        </w:rPr>
        <w:t xml:space="preserve">Jeroen </w:t>
      </w:r>
      <w:proofErr w:type="spellStart"/>
      <w:r w:rsidRPr="00E5052C">
        <w:rPr>
          <w:rStyle w:val="Hyperlink"/>
          <w:rFonts w:cstheme="minorHAnsi"/>
          <w:bCs/>
          <w:color w:val="auto"/>
          <w:u w:val="none"/>
        </w:rPr>
        <w:t>Duindam</w:t>
      </w:r>
      <w:proofErr w:type="spellEnd"/>
      <w:r>
        <w:rPr>
          <w:rStyle w:val="Hyperlink"/>
          <w:rFonts w:cstheme="minorHAnsi"/>
          <w:bCs/>
          <w:color w:val="auto"/>
          <w:u w:val="none"/>
        </w:rPr>
        <w:fldChar w:fldCharType="end"/>
      </w:r>
      <w:r w:rsidRPr="00E5052C">
        <w:rPr>
          <w:rFonts w:cstheme="minorHAnsi"/>
          <w:bCs/>
        </w:rPr>
        <w:t xml:space="preserve">, </w:t>
      </w:r>
      <w:hyperlink r:id="rId1" w:history="1">
        <w:r w:rsidRPr="00E5052C">
          <w:rPr>
            <w:rStyle w:val="Hyperlink"/>
            <w:rFonts w:cstheme="minorHAnsi"/>
            <w:bCs/>
            <w:color w:val="auto"/>
            <w:u w:val="none"/>
          </w:rPr>
          <w:t>Tülay Artan</w:t>
        </w:r>
      </w:hyperlink>
      <w:r w:rsidRPr="00E5052C">
        <w:rPr>
          <w:rFonts w:cstheme="minorHAnsi"/>
          <w:bCs/>
        </w:rPr>
        <w:t xml:space="preserve"> and </w:t>
      </w:r>
      <w:hyperlink r:id="rId2" w:history="1">
        <w:r w:rsidRPr="00E5052C">
          <w:rPr>
            <w:rStyle w:val="Hyperlink"/>
            <w:rFonts w:cstheme="minorHAnsi"/>
            <w:bCs/>
            <w:color w:val="auto"/>
            <w:u w:val="none"/>
          </w:rPr>
          <w:t>Metin Kunt</w:t>
        </w:r>
      </w:hyperlink>
      <w:r>
        <w:rPr>
          <w:rFonts w:cstheme="minorHAnsi"/>
          <w:bCs/>
        </w:rPr>
        <w:t xml:space="preserve"> (Leiden: Brill, 2011), pp. 265-287</w:t>
      </w:r>
      <w:bookmarkEnd w:id="1"/>
      <w:r>
        <w:rPr>
          <w:rFonts w:cstheme="minorHAnsi"/>
          <w:bCs/>
        </w:rPr>
        <w:t xml:space="preserve">.  </w:t>
      </w:r>
      <w:bookmarkEnd w:id="2"/>
    </w:p>
    <w:bookmarkEnd w:id="5"/>
  </w:footnote>
  <w:footnote w:id="2">
    <w:p w14:paraId="0ABA6B55" w14:textId="00E80BD1" w:rsidR="00BB7B80" w:rsidRPr="00DD1240" w:rsidRDefault="00065432">
      <w:pPr>
        <w:pStyle w:val="FootnoteText"/>
        <w:rPr>
          <w:b/>
        </w:rPr>
      </w:pPr>
      <w:r>
        <w:rPr>
          <w:rStyle w:val="FootnoteReference"/>
        </w:rPr>
        <w:footnoteRef/>
      </w:r>
      <w:r>
        <w:t xml:space="preserve"> </w:t>
      </w:r>
      <w:bookmarkStart w:id="6" w:name="_Hlk531869865"/>
      <w:r>
        <w:rPr>
          <w:rStyle w:val="Hyperlink"/>
          <w:bCs/>
          <w:color w:val="auto"/>
          <w:u w:val="none"/>
        </w:rPr>
        <w:fldChar w:fldCharType="begin"/>
      </w:r>
      <w:r>
        <w:rPr>
          <w:rStyle w:val="Hyperlink"/>
          <w:bCs/>
          <w:color w:val="auto"/>
          <w:u w:val="none"/>
        </w:rPr>
        <w:instrText xml:space="preserve"> HYPERLINK "https://brill.com/search?f_0=author&amp;q_0=Jeroen+Duindam" </w:instrText>
      </w:r>
      <w:r>
        <w:rPr>
          <w:rStyle w:val="Hyperlink"/>
          <w:bCs/>
          <w:color w:val="auto"/>
          <w:u w:val="none"/>
        </w:rPr>
        <w:fldChar w:fldCharType="separate"/>
      </w:r>
      <w:r w:rsidR="00DD1240" w:rsidRPr="00DD1240">
        <w:rPr>
          <w:rStyle w:val="Hyperlink"/>
          <w:bCs/>
          <w:color w:val="auto"/>
          <w:u w:val="none"/>
        </w:rPr>
        <w:t xml:space="preserve">J. </w:t>
      </w:r>
      <w:proofErr w:type="spellStart"/>
      <w:r w:rsidR="00DD1240" w:rsidRPr="00DD1240">
        <w:rPr>
          <w:rStyle w:val="Hyperlink"/>
          <w:bCs/>
          <w:color w:val="auto"/>
          <w:u w:val="none"/>
        </w:rPr>
        <w:t>Duindam</w:t>
      </w:r>
      <w:proofErr w:type="spellEnd"/>
      <w:r>
        <w:rPr>
          <w:rStyle w:val="Hyperlink"/>
          <w:bCs/>
          <w:color w:val="auto"/>
          <w:u w:val="none"/>
        </w:rPr>
        <w:fldChar w:fldCharType="end"/>
      </w:r>
      <w:r w:rsidR="00DD1240" w:rsidRPr="00DD1240">
        <w:rPr>
          <w:bCs/>
        </w:rPr>
        <w:t xml:space="preserve">, </w:t>
      </w:r>
      <w:hyperlink r:id="rId3" w:history="1">
        <w:r w:rsidR="00DD1240" w:rsidRPr="00DD1240">
          <w:rPr>
            <w:rStyle w:val="Hyperlink"/>
            <w:bCs/>
            <w:color w:val="auto"/>
            <w:u w:val="none"/>
          </w:rPr>
          <w:t>T. Artan</w:t>
        </w:r>
      </w:hyperlink>
      <w:r w:rsidR="00DD1240" w:rsidRPr="00DD1240">
        <w:t>,</w:t>
      </w:r>
      <w:r w:rsidR="00DD1240">
        <w:rPr>
          <w:bCs/>
        </w:rPr>
        <w:t xml:space="preserve"> et al</w:t>
      </w:r>
      <w:r w:rsidR="00DD1240">
        <w:t xml:space="preserve">, </w:t>
      </w:r>
      <w:r w:rsidR="00D65D66" w:rsidRPr="00E5052C">
        <w:rPr>
          <w:i/>
        </w:rPr>
        <w:t>T</w:t>
      </w:r>
      <w:r w:rsidR="00D65D66">
        <w:rPr>
          <w:i/>
        </w:rPr>
        <w:t>he</w:t>
      </w:r>
      <w:r w:rsidR="00D65D66" w:rsidRPr="00E5052C">
        <w:rPr>
          <w:i/>
        </w:rPr>
        <w:t xml:space="preserve"> M</w:t>
      </w:r>
      <w:r w:rsidR="00D65D66">
        <w:rPr>
          <w:i/>
        </w:rPr>
        <w:t>onarch</w:t>
      </w:r>
      <w:r w:rsidR="00D65D66" w:rsidRPr="00E5052C">
        <w:rPr>
          <w:i/>
        </w:rPr>
        <w:t xml:space="preserve"> </w:t>
      </w:r>
      <w:r w:rsidR="00D65D66">
        <w:rPr>
          <w:i/>
        </w:rPr>
        <w:t>and</w:t>
      </w:r>
      <w:r w:rsidR="00D65D66" w:rsidRPr="00E5052C">
        <w:rPr>
          <w:i/>
        </w:rPr>
        <w:t xml:space="preserve"> I</w:t>
      </w:r>
      <w:r w:rsidR="00D65D66">
        <w:rPr>
          <w:i/>
        </w:rPr>
        <w:t>nner</w:t>
      </w:r>
      <w:r w:rsidR="00D65D66" w:rsidRPr="00E5052C">
        <w:rPr>
          <w:i/>
        </w:rPr>
        <w:t>-O</w:t>
      </w:r>
      <w:r w:rsidR="00D65D66">
        <w:rPr>
          <w:i/>
        </w:rPr>
        <w:t>uter</w:t>
      </w:r>
      <w:r w:rsidR="00D65D66" w:rsidRPr="00E5052C">
        <w:rPr>
          <w:i/>
        </w:rPr>
        <w:t xml:space="preserve"> C</w:t>
      </w:r>
      <w:r w:rsidR="00D65D66">
        <w:rPr>
          <w:i/>
        </w:rPr>
        <w:t>ourt</w:t>
      </w:r>
      <w:r w:rsidR="00D65D66" w:rsidRPr="00E5052C">
        <w:rPr>
          <w:i/>
        </w:rPr>
        <w:t xml:space="preserve"> D</w:t>
      </w:r>
      <w:r w:rsidR="00D65D66">
        <w:rPr>
          <w:i/>
        </w:rPr>
        <w:t>ualism</w:t>
      </w:r>
      <w:r w:rsidR="00D65D66" w:rsidRPr="00E5052C">
        <w:rPr>
          <w:i/>
        </w:rPr>
        <w:t xml:space="preserve"> I</w:t>
      </w:r>
      <w:r w:rsidR="00D65D66">
        <w:rPr>
          <w:i/>
        </w:rPr>
        <w:t>n</w:t>
      </w:r>
      <w:r w:rsidR="00D65D66" w:rsidRPr="00E5052C">
        <w:rPr>
          <w:i/>
        </w:rPr>
        <w:t xml:space="preserve"> L</w:t>
      </w:r>
      <w:r w:rsidR="00D65D66">
        <w:rPr>
          <w:i/>
        </w:rPr>
        <w:t>ate</w:t>
      </w:r>
      <w:r w:rsidR="00D65D66" w:rsidRPr="00E5052C">
        <w:rPr>
          <w:i/>
        </w:rPr>
        <w:t xml:space="preserve"> I</w:t>
      </w:r>
      <w:r w:rsidR="00D65D66">
        <w:rPr>
          <w:i/>
        </w:rPr>
        <w:t>mperial</w:t>
      </w:r>
      <w:r w:rsidR="00D65D66" w:rsidRPr="00E5052C">
        <w:rPr>
          <w:i/>
        </w:rPr>
        <w:t xml:space="preserve"> C</w:t>
      </w:r>
      <w:r w:rsidR="00D65D66">
        <w:rPr>
          <w:i/>
        </w:rPr>
        <w:t>hina</w:t>
      </w:r>
      <w:r w:rsidR="00A43A84">
        <w:rPr>
          <w:i/>
        </w:rPr>
        <w:t>,</w:t>
      </w:r>
      <w:r w:rsidR="00D65D66">
        <w:rPr>
          <w:i/>
        </w:rPr>
        <w:t xml:space="preserve"> </w:t>
      </w:r>
      <w:r w:rsidR="00DD1240" w:rsidRPr="00DD1240">
        <w:rPr>
          <w:bCs/>
        </w:rPr>
        <w:t xml:space="preserve">(Leiden: Brill, 2011), </w:t>
      </w:r>
      <w:bookmarkEnd w:id="6"/>
      <w:r w:rsidR="00DD1240" w:rsidRPr="00DD1240">
        <w:rPr>
          <w:bCs/>
        </w:rPr>
        <w:t>p</w:t>
      </w:r>
      <w:r w:rsidR="00DD1240">
        <w:rPr>
          <w:bCs/>
        </w:rPr>
        <w:t xml:space="preserve">. 4. </w:t>
      </w:r>
      <w:r w:rsidR="00DD1240" w:rsidRPr="00DD1240">
        <w:rPr>
          <w:bCs/>
        </w:rPr>
        <w:t xml:space="preserve">  </w:t>
      </w:r>
    </w:p>
  </w:footnote>
  <w:footnote w:id="3">
    <w:p w14:paraId="4EDAD68C" w14:textId="336CF5C2" w:rsidR="00DD1240" w:rsidRDefault="00065432">
      <w:pPr>
        <w:pStyle w:val="FootnoteText"/>
      </w:pPr>
      <w:r>
        <w:rPr>
          <w:rStyle w:val="FootnoteReference"/>
        </w:rPr>
        <w:footnoteRef/>
      </w:r>
      <w:r>
        <w:t xml:space="preserve"> </w:t>
      </w:r>
      <w:bookmarkStart w:id="7" w:name="_Hlk531869804"/>
      <w:r>
        <w:rPr>
          <w:rFonts w:cstheme="minorHAnsi"/>
          <w:sz w:val="22"/>
          <w:szCs w:val="22"/>
        </w:rPr>
        <w:t>Brill</w:t>
      </w:r>
      <w:r w:rsidRPr="00DD1240">
        <w:rPr>
          <w:rFonts w:cstheme="minorHAnsi"/>
          <w:sz w:val="22"/>
          <w:szCs w:val="22"/>
        </w:rPr>
        <w:t>, ‘</w:t>
      </w:r>
      <w:bookmarkStart w:id="8" w:name="_Hlk531869383"/>
      <w:r w:rsidR="00D65D66" w:rsidRPr="00E5052C">
        <w:rPr>
          <w:i/>
        </w:rPr>
        <w:t>T</w:t>
      </w:r>
      <w:r w:rsidR="00D65D66">
        <w:rPr>
          <w:i/>
        </w:rPr>
        <w:t>he</w:t>
      </w:r>
      <w:r w:rsidR="00D65D66" w:rsidRPr="00E5052C">
        <w:rPr>
          <w:i/>
        </w:rPr>
        <w:t xml:space="preserve"> M</w:t>
      </w:r>
      <w:r w:rsidR="00D65D66">
        <w:rPr>
          <w:i/>
        </w:rPr>
        <w:t>onarch</w:t>
      </w:r>
      <w:r w:rsidR="00D65D66" w:rsidRPr="00E5052C">
        <w:rPr>
          <w:i/>
        </w:rPr>
        <w:t xml:space="preserve"> </w:t>
      </w:r>
      <w:r w:rsidR="00D65D66">
        <w:rPr>
          <w:i/>
        </w:rPr>
        <w:t>and</w:t>
      </w:r>
      <w:r w:rsidR="00D65D66" w:rsidRPr="00E5052C">
        <w:rPr>
          <w:i/>
        </w:rPr>
        <w:t xml:space="preserve"> I</w:t>
      </w:r>
      <w:r w:rsidR="00D65D66">
        <w:rPr>
          <w:i/>
        </w:rPr>
        <w:t>nner</w:t>
      </w:r>
      <w:r w:rsidR="00D65D66" w:rsidRPr="00E5052C">
        <w:rPr>
          <w:i/>
        </w:rPr>
        <w:t>-O</w:t>
      </w:r>
      <w:r w:rsidR="00D65D66">
        <w:rPr>
          <w:i/>
        </w:rPr>
        <w:t>uter</w:t>
      </w:r>
      <w:r w:rsidR="00D65D66" w:rsidRPr="00E5052C">
        <w:rPr>
          <w:i/>
        </w:rPr>
        <w:t xml:space="preserve"> C</w:t>
      </w:r>
      <w:r w:rsidR="00D65D66">
        <w:rPr>
          <w:i/>
        </w:rPr>
        <w:t>ourt</w:t>
      </w:r>
      <w:r w:rsidR="00D65D66" w:rsidRPr="00E5052C">
        <w:rPr>
          <w:i/>
        </w:rPr>
        <w:t xml:space="preserve"> D</w:t>
      </w:r>
      <w:r w:rsidR="00D65D66">
        <w:rPr>
          <w:i/>
        </w:rPr>
        <w:t>ualism</w:t>
      </w:r>
      <w:r w:rsidR="00D65D66" w:rsidRPr="00E5052C">
        <w:rPr>
          <w:i/>
        </w:rPr>
        <w:t xml:space="preserve"> </w:t>
      </w:r>
      <w:r w:rsidR="00D83999" w:rsidRPr="00E5052C">
        <w:rPr>
          <w:i/>
        </w:rPr>
        <w:t>in</w:t>
      </w:r>
      <w:r w:rsidR="00D65D66" w:rsidRPr="00E5052C">
        <w:rPr>
          <w:i/>
        </w:rPr>
        <w:t xml:space="preserve"> L</w:t>
      </w:r>
      <w:r w:rsidR="00D65D66">
        <w:rPr>
          <w:i/>
        </w:rPr>
        <w:t>ate</w:t>
      </w:r>
      <w:r w:rsidR="00D65D66" w:rsidRPr="00E5052C">
        <w:rPr>
          <w:i/>
        </w:rPr>
        <w:t xml:space="preserve"> I</w:t>
      </w:r>
      <w:r w:rsidR="00D65D66">
        <w:rPr>
          <w:i/>
        </w:rPr>
        <w:t>mperial</w:t>
      </w:r>
      <w:r w:rsidR="00D65D66" w:rsidRPr="00E5052C">
        <w:rPr>
          <w:i/>
        </w:rPr>
        <w:t xml:space="preserve"> C</w:t>
      </w:r>
      <w:r w:rsidR="00D65D66">
        <w:rPr>
          <w:i/>
        </w:rPr>
        <w:t>hina</w:t>
      </w:r>
      <w:r w:rsidRPr="00DD1240">
        <w:rPr>
          <w:rFonts w:cstheme="minorHAnsi"/>
          <w:i/>
          <w:sz w:val="22"/>
          <w:szCs w:val="22"/>
        </w:rPr>
        <w:t>’</w:t>
      </w:r>
      <w:r w:rsidRPr="00DD1240">
        <w:rPr>
          <w:rFonts w:cstheme="minorHAnsi"/>
          <w:sz w:val="22"/>
          <w:szCs w:val="22"/>
        </w:rPr>
        <w:t xml:space="preserve"> </w:t>
      </w:r>
      <w:bookmarkEnd w:id="8"/>
      <w:r w:rsidRPr="00DD1240">
        <w:rPr>
          <w:rFonts w:cstheme="minorHAnsi"/>
          <w:sz w:val="22"/>
          <w:szCs w:val="22"/>
        </w:rPr>
        <w:t>(20</w:t>
      </w:r>
      <w:r w:rsidR="00D65D66">
        <w:rPr>
          <w:rFonts w:cstheme="minorHAnsi"/>
          <w:sz w:val="22"/>
          <w:szCs w:val="22"/>
        </w:rPr>
        <w:t>18</w:t>
      </w:r>
      <w:r w:rsidRPr="00DD1240">
        <w:rPr>
          <w:rFonts w:cstheme="minorHAnsi"/>
          <w:sz w:val="22"/>
          <w:szCs w:val="22"/>
        </w:rPr>
        <w:t>),</w:t>
      </w:r>
      <w:r w:rsidR="00D65D66">
        <w:t xml:space="preserve"> </w:t>
      </w:r>
      <w:hyperlink r:id="rId4" w:history="1">
        <w:r w:rsidR="00D65D66" w:rsidRPr="00A43A84">
          <w:rPr>
            <w:rStyle w:val="Hyperlink"/>
            <w:rFonts w:cstheme="minorHAnsi"/>
            <w:color w:val="auto"/>
            <w:sz w:val="22"/>
            <w:szCs w:val="22"/>
            <w:u w:val="none"/>
          </w:rPr>
          <w:t>https://brill.com/view/title/15386</w:t>
        </w:r>
      </w:hyperlink>
      <w:r w:rsidR="001755D0">
        <w:rPr>
          <w:rFonts w:cstheme="minorHAnsi"/>
          <w:sz w:val="22"/>
          <w:szCs w:val="22"/>
        </w:rPr>
        <w:t xml:space="preserve"> </w:t>
      </w:r>
      <w:r w:rsidRPr="00DD1240">
        <w:rPr>
          <w:rFonts w:cstheme="minorHAnsi"/>
          <w:sz w:val="22"/>
          <w:szCs w:val="22"/>
        </w:rPr>
        <w:t xml:space="preserve">(accessed </w:t>
      </w:r>
      <w:r w:rsidR="00D65D66">
        <w:rPr>
          <w:rFonts w:cstheme="minorHAnsi"/>
          <w:sz w:val="22"/>
          <w:szCs w:val="22"/>
        </w:rPr>
        <w:t>5</w:t>
      </w:r>
      <w:r w:rsidRPr="00DD1240">
        <w:rPr>
          <w:rFonts w:cstheme="minorHAnsi"/>
          <w:sz w:val="22"/>
          <w:szCs w:val="22"/>
          <w:vertAlign w:val="superscript"/>
        </w:rPr>
        <w:t>th</w:t>
      </w:r>
      <w:r w:rsidRPr="00DD1240">
        <w:rPr>
          <w:rFonts w:cstheme="minorHAnsi"/>
          <w:sz w:val="22"/>
          <w:szCs w:val="22"/>
        </w:rPr>
        <w:t xml:space="preserve"> </w:t>
      </w:r>
      <w:r w:rsidR="00D65D66">
        <w:rPr>
          <w:rFonts w:cstheme="minorHAnsi"/>
          <w:sz w:val="22"/>
          <w:szCs w:val="22"/>
        </w:rPr>
        <w:t>December</w:t>
      </w:r>
      <w:r w:rsidRPr="00DD1240">
        <w:rPr>
          <w:rFonts w:cstheme="minorHAnsi"/>
          <w:sz w:val="22"/>
          <w:szCs w:val="22"/>
        </w:rPr>
        <w:t xml:space="preserve"> 201</w:t>
      </w:r>
      <w:r w:rsidR="00D65D66">
        <w:rPr>
          <w:rFonts w:cstheme="minorHAnsi"/>
          <w:sz w:val="22"/>
          <w:szCs w:val="22"/>
        </w:rPr>
        <w:t>8</w:t>
      </w:r>
      <w:bookmarkEnd w:id="7"/>
      <w:r w:rsidRPr="00DD1240">
        <w:rPr>
          <w:sz w:val="22"/>
          <w:szCs w:val="22"/>
        </w:rPr>
        <w:t xml:space="preserve">).  </w:t>
      </w:r>
    </w:p>
  </w:footnote>
  <w:footnote w:id="4">
    <w:p w14:paraId="2A608398" w14:textId="19D8ACBA" w:rsidR="00A43A84" w:rsidRDefault="00065432">
      <w:pPr>
        <w:pStyle w:val="FootnoteText"/>
      </w:pPr>
      <w:r>
        <w:rPr>
          <w:rStyle w:val="FootnoteReference"/>
        </w:rPr>
        <w:footnoteRef/>
      </w:r>
      <w:r>
        <w:t xml:space="preserve"> Ibid, </w:t>
      </w:r>
    </w:p>
  </w:footnote>
  <w:footnote w:id="5">
    <w:p w14:paraId="24035B64" w14:textId="1493AD85" w:rsidR="00A43A84" w:rsidRPr="00A43A84" w:rsidRDefault="00065432">
      <w:pPr>
        <w:pStyle w:val="FootnoteText"/>
      </w:pPr>
      <w:r>
        <w:rPr>
          <w:rStyle w:val="FootnoteReference"/>
        </w:rPr>
        <w:footnoteRef/>
      </w:r>
      <w:r>
        <w:t xml:space="preserve"> </w:t>
      </w:r>
      <w:bookmarkStart w:id="10" w:name="_Hlk531869753"/>
      <w:r>
        <w:t xml:space="preserve">G. Meyers, </w:t>
      </w:r>
      <w:r>
        <w:rPr>
          <w:i/>
        </w:rPr>
        <w:t>Understanding Empiricism</w:t>
      </w:r>
      <w:r>
        <w:t xml:space="preserve">, (Abingdon: Routledge, 2014), </w:t>
      </w:r>
      <w:bookmarkEnd w:id="10"/>
      <w:r>
        <w:t>p. 125</w:t>
      </w:r>
      <w:r w:rsidR="00D83999">
        <w:t xml:space="preserve">. </w:t>
      </w:r>
      <w:r>
        <w:t xml:space="preserve"> </w:t>
      </w:r>
    </w:p>
  </w:footnote>
  <w:footnote w:id="6">
    <w:p w14:paraId="37DF126F" w14:textId="351B6100" w:rsidR="009523AD" w:rsidRDefault="00065432">
      <w:pPr>
        <w:pStyle w:val="FootnoteText"/>
      </w:pPr>
      <w:r>
        <w:rPr>
          <w:rStyle w:val="FootnoteReference"/>
        </w:rPr>
        <w:footnoteRef/>
      </w:r>
      <w:r>
        <w:t xml:space="preserve"> </w:t>
      </w:r>
      <w:bookmarkStart w:id="11" w:name="_Hlk531866927"/>
      <w:r>
        <w:t xml:space="preserve">Dabringhaus, p. 265.  </w:t>
      </w:r>
      <w:bookmarkEnd w:id="11"/>
    </w:p>
  </w:footnote>
  <w:footnote w:id="7">
    <w:p w14:paraId="1EE7EAC1" w14:textId="06D813AF" w:rsidR="009523AD" w:rsidRDefault="00065432">
      <w:pPr>
        <w:pStyle w:val="FootnoteText"/>
      </w:pPr>
      <w:r>
        <w:rPr>
          <w:rStyle w:val="FootnoteReference"/>
        </w:rPr>
        <w:footnoteRef/>
      </w:r>
      <w:r>
        <w:t xml:space="preserve"> Ibid., p. 266. </w:t>
      </w:r>
    </w:p>
  </w:footnote>
  <w:footnote w:id="8">
    <w:p w14:paraId="4E8D3006" w14:textId="3FD67D20" w:rsidR="009523AD" w:rsidRDefault="00065432">
      <w:pPr>
        <w:pStyle w:val="FootnoteText"/>
      </w:pPr>
      <w:r>
        <w:rPr>
          <w:rStyle w:val="FootnoteReference"/>
        </w:rPr>
        <w:footnoteRef/>
      </w:r>
      <w:r>
        <w:t xml:space="preserve"> Ibid., p. 266.  </w:t>
      </w:r>
    </w:p>
  </w:footnote>
  <w:footnote w:id="9">
    <w:p w14:paraId="52E29145" w14:textId="2212D997" w:rsidR="009523AD" w:rsidRPr="00A93D40" w:rsidRDefault="00065432">
      <w:pPr>
        <w:pStyle w:val="FootnoteText"/>
        <w:rPr>
          <w:rFonts w:cstheme="minorHAnsi"/>
        </w:rPr>
      </w:pPr>
      <w:r>
        <w:rPr>
          <w:rStyle w:val="FootnoteReference"/>
        </w:rPr>
        <w:footnoteRef/>
      </w:r>
      <w:r>
        <w:t xml:space="preserve"> </w:t>
      </w:r>
      <w:bookmarkStart w:id="12" w:name="_Hlk531869678"/>
      <w:r>
        <w:t xml:space="preserve">A. Paludan, </w:t>
      </w:r>
      <w:r w:rsidRPr="00A93D40">
        <w:rPr>
          <w:rFonts w:cstheme="minorHAnsi"/>
          <w:bCs/>
          <w:i/>
          <w:color w:val="111111"/>
        </w:rPr>
        <w:t>Chronicle of the Chinese Emperors: The Reign-by-Reign Record of the Rulers of Imperial China</w:t>
      </w:r>
      <w:r w:rsidR="00A93D40">
        <w:rPr>
          <w:rFonts w:cstheme="minorHAnsi"/>
          <w:bCs/>
          <w:color w:val="111111"/>
        </w:rPr>
        <w:t xml:space="preserve">, (London: Thames and Hudson, 1998), p. 75.  </w:t>
      </w:r>
      <w:bookmarkEnd w:id="12"/>
    </w:p>
  </w:footnote>
  <w:footnote w:id="10">
    <w:p w14:paraId="5F895ED0" w14:textId="2AAE6AC4" w:rsidR="009523AD" w:rsidRDefault="00065432">
      <w:pPr>
        <w:pStyle w:val="FootnoteText"/>
      </w:pPr>
      <w:r w:rsidRPr="00A93D40">
        <w:rPr>
          <w:rStyle w:val="FootnoteReference"/>
          <w:rFonts w:cstheme="minorHAnsi"/>
          <w:i/>
        </w:rPr>
        <w:footnoteRef/>
      </w:r>
      <w:r w:rsidRPr="00A93D40">
        <w:rPr>
          <w:rFonts w:cstheme="minorHAnsi"/>
          <w:i/>
        </w:rPr>
        <w:t>.</w:t>
      </w:r>
      <w:r w:rsidRPr="00A93D40">
        <w:t xml:space="preserve">  </w:t>
      </w:r>
      <w:r w:rsidR="00A93D40">
        <w:t xml:space="preserve">Ibid., p. 76.   </w:t>
      </w:r>
    </w:p>
  </w:footnote>
  <w:footnote w:id="11">
    <w:p w14:paraId="66F14687" w14:textId="1E1EFEDD" w:rsidR="00D83999" w:rsidRDefault="00065432">
      <w:pPr>
        <w:pStyle w:val="FootnoteText"/>
      </w:pPr>
      <w:r>
        <w:rPr>
          <w:rStyle w:val="FootnoteReference"/>
        </w:rPr>
        <w:footnoteRef/>
      </w:r>
      <w:r>
        <w:t xml:space="preserve"> Dabringhaus, p. 270. </w:t>
      </w:r>
    </w:p>
  </w:footnote>
  <w:footnote w:id="12">
    <w:p w14:paraId="1DC965E5" w14:textId="671C4EC2" w:rsidR="00D83999" w:rsidRDefault="00065432">
      <w:pPr>
        <w:pStyle w:val="FootnoteText"/>
      </w:pPr>
      <w:r>
        <w:rPr>
          <w:rStyle w:val="FootnoteReference"/>
        </w:rPr>
        <w:footnoteRef/>
      </w:r>
      <w:r>
        <w:t xml:space="preserve"> Ibid., p. 270. </w:t>
      </w:r>
    </w:p>
  </w:footnote>
  <w:footnote w:id="13">
    <w:p w14:paraId="4047824B" w14:textId="4F7471AB" w:rsidR="00D83999" w:rsidRDefault="00065432">
      <w:pPr>
        <w:pStyle w:val="FootnoteText"/>
      </w:pPr>
      <w:r>
        <w:rPr>
          <w:rStyle w:val="FootnoteReference"/>
        </w:rPr>
        <w:footnoteRef/>
      </w:r>
      <w:r>
        <w:t xml:space="preserve"> Ibid., p. 267.  </w:t>
      </w:r>
    </w:p>
  </w:footnote>
  <w:footnote w:id="14">
    <w:p w14:paraId="1B6479ED" w14:textId="1F082DDB" w:rsidR="00D83999" w:rsidRDefault="00065432">
      <w:pPr>
        <w:pStyle w:val="FootnoteText"/>
      </w:pPr>
      <w:r>
        <w:rPr>
          <w:rStyle w:val="FootnoteReference"/>
        </w:rPr>
        <w:footnoteRef/>
      </w:r>
      <w:r>
        <w:t xml:space="preserve"> Ibid., p. 268. </w:t>
      </w:r>
    </w:p>
  </w:footnote>
  <w:footnote w:id="15">
    <w:p w14:paraId="3686AA9B" w14:textId="789CA4AC" w:rsidR="00D83999" w:rsidRDefault="00065432">
      <w:pPr>
        <w:pStyle w:val="FootnoteText"/>
      </w:pPr>
      <w:r>
        <w:rPr>
          <w:rStyle w:val="FootnoteReference"/>
        </w:rPr>
        <w:footnoteRef/>
      </w:r>
      <w:r>
        <w:t xml:space="preserve"> Ibid., p. 268. </w:t>
      </w:r>
    </w:p>
  </w:footnote>
  <w:footnote w:id="16">
    <w:p w14:paraId="4B82AADA" w14:textId="28F47F9F" w:rsidR="00CA7761" w:rsidRDefault="00065432">
      <w:pPr>
        <w:pStyle w:val="FootnoteText"/>
      </w:pPr>
      <w:r>
        <w:rPr>
          <w:rStyle w:val="FootnoteReference"/>
        </w:rPr>
        <w:footnoteRef/>
      </w:r>
      <w:r>
        <w:t xml:space="preserve"> Ibid., p. 268. </w:t>
      </w:r>
    </w:p>
  </w:footnote>
  <w:footnote w:id="17">
    <w:p w14:paraId="51671211" w14:textId="5E92044D" w:rsidR="00CA7761" w:rsidRDefault="00065432">
      <w:pPr>
        <w:pStyle w:val="FootnoteText"/>
      </w:pPr>
      <w:r>
        <w:rPr>
          <w:rStyle w:val="FootnoteReference"/>
        </w:rPr>
        <w:footnoteRef/>
      </w:r>
      <w:r>
        <w:t xml:space="preserve"> Ibid., p. 268. </w:t>
      </w:r>
    </w:p>
  </w:footnote>
  <w:footnote w:id="18">
    <w:p w14:paraId="200A61EB" w14:textId="688AA3DD" w:rsidR="00CA7761" w:rsidRPr="00CA7761" w:rsidRDefault="00065432">
      <w:pPr>
        <w:pStyle w:val="FootnoteText"/>
      </w:pPr>
      <w:r>
        <w:rPr>
          <w:rStyle w:val="FootnoteReference"/>
        </w:rPr>
        <w:footnoteRef/>
      </w:r>
      <w:r>
        <w:t xml:space="preserve"> Ibid., p. 270. See also; </w:t>
      </w:r>
      <w:bookmarkStart w:id="13" w:name="_Hlk531869648"/>
      <w:r>
        <w:t xml:space="preserve">M. Szonyi, </w:t>
      </w:r>
      <w:r>
        <w:rPr>
          <w:i/>
        </w:rPr>
        <w:t>The Art if Being Governed: Everyday Politics in Late Imperial China</w:t>
      </w:r>
      <w:r>
        <w:t>, (Princeton: Princeton University Press, 2017</w:t>
      </w:r>
      <w:bookmarkEnd w:id="13"/>
      <w:r>
        <w:t>)</w:t>
      </w:r>
      <w:r w:rsidR="009615D3">
        <w:t xml:space="preserve">, </w:t>
      </w:r>
      <w:r w:rsidR="00DF4D14">
        <w:t xml:space="preserve">p. 169.  </w:t>
      </w:r>
    </w:p>
  </w:footnote>
  <w:footnote w:id="19">
    <w:p w14:paraId="5C74B163" w14:textId="11D656C5" w:rsidR="00DF4D14" w:rsidRDefault="00065432">
      <w:pPr>
        <w:pStyle w:val="FootnoteText"/>
      </w:pPr>
      <w:r>
        <w:rPr>
          <w:rStyle w:val="FootnoteReference"/>
        </w:rPr>
        <w:footnoteRef/>
      </w:r>
      <w:r>
        <w:t xml:space="preserve"> Dabringhaus, p. 267. </w:t>
      </w:r>
    </w:p>
  </w:footnote>
  <w:footnote w:id="20">
    <w:p w14:paraId="27B3C662" w14:textId="21DCA7BF" w:rsidR="00DF4D14" w:rsidRDefault="00065432">
      <w:pPr>
        <w:pStyle w:val="FootnoteText"/>
      </w:pPr>
      <w:r>
        <w:rPr>
          <w:rStyle w:val="FootnoteReference"/>
        </w:rPr>
        <w:footnoteRef/>
      </w:r>
      <w:r>
        <w:t xml:space="preserve"> </w:t>
      </w:r>
      <w:bookmarkStart w:id="14" w:name="_Hlk531867922"/>
      <w:r>
        <w:t xml:space="preserve">Ibid., p. 274. </w:t>
      </w:r>
      <w:bookmarkEnd w:id="14"/>
    </w:p>
  </w:footnote>
  <w:footnote w:id="21">
    <w:p w14:paraId="36A6C241" w14:textId="125947BE" w:rsidR="00DF4D14" w:rsidRDefault="00065432">
      <w:pPr>
        <w:pStyle w:val="FootnoteText"/>
      </w:pPr>
      <w:r>
        <w:rPr>
          <w:rStyle w:val="FootnoteReference"/>
        </w:rPr>
        <w:footnoteRef/>
      </w:r>
      <w:r>
        <w:t xml:space="preserve"> Ibid., p. 274.  </w:t>
      </w:r>
    </w:p>
  </w:footnote>
  <w:footnote w:id="22">
    <w:p w14:paraId="6356D62F" w14:textId="1F74030A" w:rsidR="00DF4D14" w:rsidRPr="00BF2B53" w:rsidRDefault="00065432" w:rsidP="00BF2B53">
      <w:pPr>
        <w:pStyle w:val="FootnoteText"/>
      </w:pPr>
      <w:r>
        <w:rPr>
          <w:rStyle w:val="FootnoteReference"/>
        </w:rPr>
        <w:footnoteRef/>
      </w:r>
      <w:r>
        <w:t xml:space="preserve"> </w:t>
      </w:r>
      <w:bookmarkStart w:id="15" w:name="_Hlk531869612"/>
      <w:r w:rsidR="00BF2B53">
        <w:t xml:space="preserve">M. Elliot, </w:t>
      </w:r>
      <w:r w:rsidR="00BF2B53" w:rsidRPr="00BF2B53">
        <w:rPr>
          <w:i/>
        </w:rPr>
        <w:t>The Manchu Way: The Eight Banners and Ethnic Identity in Late Imperial China</w:t>
      </w:r>
      <w:r w:rsidR="00BF2B53">
        <w:rPr>
          <w:i/>
        </w:rPr>
        <w:t xml:space="preserve">, </w:t>
      </w:r>
      <w:r w:rsidR="00BF2B53">
        <w:t>(Stanford: Stanford University Press, 2002</w:t>
      </w:r>
      <w:bookmarkEnd w:id="15"/>
      <w:r w:rsidR="00BF2B53">
        <w:t xml:space="preserve">). p. 75.  </w:t>
      </w:r>
    </w:p>
  </w:footnote>
  <w:footnote w:id="23">
    <w:p w14:paraId="24ADB115" w14:textId="0E3D8223" w:rsidR="00BF2B53" w:rsidRDefault="00065432">
      <w:pPr>
        <w:pStyle w:val="FootnoteText"/>
      </w:pPr>
      <w:r>
        <w:rPr>
          <w:rStyle w:val="FootnoteReference"/>
        </w:rPr>
        <w:footnoteRef/>
      </w:r>
      <w:r>
        <w:t xml:space="preserve"> Dabringhaus, p. 276.  </w:t>
      </w:r>
    </w:p>
  </w:footnote>
  <w:footnote w:id="24">
    <w:p w14:paraId="2FB32682" w14:textId="22F3D2A6" w:rsidR="00BF2B53" w:rsidRDefault="00065432">
      <w:pPr>
        <w:pStyle w:val="FootnoteText"/>
      </w:pPr>
      <w:r>
        <w:rPr>
          <w:rStyle w:val="FootnoteReference"/>
        </w:rPr>
        <w:footnoteRef/>
      </w:r>
      <w:r>
        <w:t xml:space="preserve"> Ibid., p, 269. </w:t>
      </w:r>
    </w:p>
  </w:footnote>
  <w:footnote w:id="25">
    <w:p w14:paraId="30B4E9F2" w14:textId="72779DFC" w:rsidR="00BF2B53" w:rsidRDefault="00065432">
      <w:pPr>
        <w:pStyle w:val="FootnoteText"/>
      </w:pPr>
      <w:r>
        <w:rPr>
          <w:rStyle w:val="FootnoteReference"/>
        </w:rPr>
        <w:footnoteRef/>
      </w:r>
      <w:r>
        <w:t xml:space="preserve"> Ibid., p. 267. See also: </w:t>
      </w:r>
      <w:bookmarkStart w:id="16" w:name="_Hlk531869538"/>
      <w:r w:rsidRPr="00BF2B53">
        <w:t xml:space="preserve">Charles O. Hucker, ‘Ming Government’, in: </w:t>
      </w:r>
      <w:r w:rsidRPr="00C47804">
        <w:rPr>
          <w:i/>
        </w:rPr>
        <w:t>The History of China, Volume 8: The Ming Dynasty, 1368–1644, Part 2</w:t>
      </w:r>
      <w:r w:rsidRPr="00BF2B53">
        <w:t>,</w:t>
      </w:r>
      <w:r w:rsidR="00C47804">
        <w:t xml:space="preserve"> ed.</w:t>
      </w:r>
      <w:r w:rsidRPr="00BF2B53">
        <w:t xml:space="preserve"> </w:t>
      </w:r>
      <w:r w:rsidR="00C47804">
        <w:t xml:space="preserve">by </w:t>
      </w:r>
      <w:r w:rsidRPr="00BF2B53">
        <w:t>Denis Twitchett and Frederick W. Mote, (Cambridge</w:t>
      </w:r>
      <w:r w:rsidR="00C47804">
        <w:t xml:space="preserve">: </w:t>
      </w:r>
      <w:r w:rsidR="00C47804" w:rsidRPr="00BF2B53">
        <w:t>Cambridge</w:t>
      </w:r>
      <w:r w:rsidR="00C47804">
        <w:t xml:space="preserve"> University Press</w:t>
      </w:r>
      <w:r w:rsidRPr="00BF2B53">
        <w:t>) pp. 9–105</w:t>
      </w:r>
      <w:bookmarkEnd w:id="16"/>
      <w:r w:rsidRPr="00BF2B53">
        <w:t>,</w:t>
      </w:r>
      <w:r w:rsidR="00C47804">
        <w:t xml:space="preserve"> </w:t>
      </w:r>
      <w:r w:rsidRPr="00BF2B53">
        <w:t>p. 104.</w:t>
      </w:r>
      <w:r w:rsidR="00C47804">
        <w:t xml:space="preserve">   </w:t>
      </w:r>
    </w:p>
  </w:footnote>
  <w:footnote w:id="26">
    <w:p w14:paraId="2FA8C36F" w14:textId="4B22FA1A" w:rsidR="003D5263" w:rsidRDefault="00065432">
      <w:pPr>
        <w:pStyle w:val="FootnoteText"/>
      </w:pPr>
      <w:r>
        <w:rPr>
          <w:rStyle w:val="FootnoteReference"/>
        </w:rPr>
        <w:footnoteRef/>
      </w:r>
      <w:r>
        <w:t xml:space="preserve"> </w:t>
      </w:r>
      <w:r w:rsidR="00281072">
        <w:t xml:space="preserve">Dabringhaus, p. 287. </w:t>
      </w:r>
    </w:p>
  </w:footnote>
  <w:footnote w:id="27">
    <w:p w14:paraId="4BCDA4F4" w14:textId="2F310598" w:rsidR="00555D1F" w:rsidRDefault="00065432">
      <w:pPr>
        <w:pStyle w:val="FootnoteText"/>
      </w:pPr>
      <w:r>
        <w:rPr>
          <w:rStyle w:val="FootnoteReference"/>
        </w:rPr>
        <w:footnoteRef/>
      </w:r>
      <w:r>
        <w:t xml:space="preserve"> </w:t>
      </w:r>
      <w:r w:rsidRPr="00555D1F">
        <w:t xml:space="preserve">Dabringhaus, p. 287.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03025" w14:textId="4FCD768E" w:rsidR="00D05848" w:rsidRPr="00D05848" w:rsidRDefault="00065432">
    <w:pPr>
      <w:pStyle w:val="Header"/>
      <w:rPr>
        <w:rFonts w:cstheme="minorHAnsi"/>
      </w:rPr>
    </w:pPr>
    <w:r w:rsidRPr="00D05848">
      <w:rPr>
        <w:rFonts w:cstheme="minorHAnsi"/>
      </w:rPr>
      <w:t xml:space="preserve">Henry Gillson Gant 1600129     Critical Analysis for </w:t>
    </w:r>
    <w:r w:rsidRPr="00D05848">
      <w:rPr>
        <w:rFonts w:cstheme="minorHAnsi"/>
        <w:color w:val="373A3C"/>
      </w:rPr>
      <w:t>HPCH5002/6002</w:t>
    </w:r>
    <w:r>
      <w:rPr>
        <w:rFonts w:cstheme="minorHAnsi"/>
        <w:color w:val="373A3C"/>
      </w:rPr>
      <w:t xml:space="preserve">       Word Count: 8</w:t>
    </w:r>
    <w:r w:rsidR="00BB3FAD">
      <w:rPr>
        <w:rFonts w:cstheme="minorHAnsi"/>
        <w:color w:val="373A3C"/>
      </w:rPr>
      <w:t>7</w:t>
    </w:r>
    <w:r w:rsidR="00832E6B">
      <w:rPr>
        <w:rFonts w:cstheme="minorHAnsi"/>
        <w:color w:val="373A3C"/>
      </w:rPr>
      <w:t>8</w:t>
    </w:r>
  </w:p>
  <w:p w14:paraId="5326A216" w14:textId="77777777" w:rsidR="00D05848" w:rsidRDefault="00D058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3B"/>
    <w:rsid w:val="00015126"/>
    <w:rsid w:val="00065432"/>
    <w:rsid w:val="001755D0"/>
    <w:rsid w:val="001F5376"/>
    <w:rsid w:val="00281072"/>
    <w:rsid w:val="0036028F"/>
    <w:rsid w:val="00390FCF"/>
    <w:rsid w:val="003932D4"/>
    <w:rsid w:val="003B12A1"/>
    <w:rsid w:val="003D5263"/>
    <w:rsid w:val="003D77FC"/>
    <w:rsid w:val="004003FD"/>
    <w:rsid w:val="0043277A"/>
    <w:rsid w:val="00555D1F"/>
    <w:rsid w:val="005B2529"/>
    <w:rsid w:val="005B5DCC"/>
    <w:rsid w:val="00667495"/>
    <w:rsid w:val="0067701C"/>
    <w:rsid w:val="006912D0"/>
    <w:rsid w:val="006C7569"/>
    <w:rsid w:val="007E79AB"/>
    <w:rsid w:val="0081043A"/>
    <w:rsid w:val="00822615"/>
    <w:rsid w:val="00832E6B"/>
    <w:rsid w:val="00884676"/>
    <w:rsid w:val="00916AFE"/>
    <w:rsid w:val="009523AD"/>
    <w:rsid w:val="009615D3"/>
    <w:rsid w:val="00963977"/>
    <w:rsid w:val="009C7238"/>
    <w:rsid w:val="00A43A84"/>
    <w:rsid w:val="00A93D40"/>
    <w:rsid w:val="00BB3FAD"/>
    <w:rsid w:val="00BB7B80"/>
    <w:rsid w:val="00BF2B53"/>
    <w:rsid w:val="00C2363B"/>
    <w:rsid w:val="00C36D75"/>
    <w:rsid w:val="00C47804"/>
    <w:rsid w:val="00CA7761"/>
    <w:rsid w:val="00D05848"/>
    <w:rsid w:val="00D33414"/>
    <w:rsid w:val="00D55E59"/>
    <w:rsid w:val="00D65D66"/>
    <w:rsid w:val="00D83999"/>
    <w:rsid w:val="00DB76E3"/>
    <w:rsid w:val="00DD1240"/>
    <w:rsid w:val="00DD141E"/>
    <w:rsid w:val="00DF4D14"/>
    <w:rsid w:val="00E273B6"/>
    <w:rsid w:val="00E5052C"/>
    <w:rsid w:val="00EA1210"/>
    <w:rsid w:val="00EB21CB"/>
    <w:rsid w:val="00F1544B"/>
    <w:rsid w:val="00F30D8F"/>
    <w:rsid w:val="00F45A56"/>
    <w:rsid w:val="00F4641F"/>
    <w:rsid w:val="00F553A1"/>
    <w:rsid w:val="00F74A0D"/>
    <w:rsid w:val="00FC4E08"/>
    <w:rsid w:val="00FD5D9B"/>
    <w:rsid w:val="00FE4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B5822D"/>
  <w15:chartTrackingRefBased/>
  <w15:docId w15:val="{1354EA3B-39CF-47EC-8D76-CDF9FBF3C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505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052C"/>
    <w:rPr>
      <w:sz w:val="20"/>
      <w:szCs w:val="20"/>
    </w:rPr>
  </w:style>
  <w:style w:type="character" w:styleId="FootnoteReference">
    <w:name w:val="footnote reference"/>
    <w:basedOn w:val="DefaultParagraphFont"/>
    <w:uiPriority w:val="99"/>
    <w:semiHidden/>
    <w:unhideWhenUsed/>
    <w:rsid w:val="00E5052C"/>
    <w:rPr>
      <w:vertAlign w:val="superscript"/>
    </w:rPr>
  </w:style>
  <w:style w:type="character" w:styleId="Hyperlink">
    <w:name w:val="Hyperlink"/>
    <w:basedOn w:val="DefaultParagraphFont"/>
    <w:uiPriority w:val="99"/>
    <w:unhideWhenUsed/>
    <w:rsid w:val="00E5052C"/>
    <w:rPr>
      <w:color w:val="0563C1" w:themeColor="hyperlink"/>
      <w:u w:val="single"/>
    </w:rPr>
  </w:style>
  <w:style w:type="character" w:customStyle="1" w:styleId="UnresolvedMention1">
    <w:name w:val="Unresolved Mention1"/>
    <w:basedOn w:val="DefaultParagraphFont"/>
    <w:uiPriority w:val="99"/>
    <w:semiHidden/>
    <w:unhideWhenUsed/>
    <w:rsid w:val="00E5052C"/>
    <w:rPr>
      <w:color w:val="605E5C"/>
      <w:shd w:val="clear" w:color="auto" w:fill="E1DFDD"/>
    </w:rPr>
  </w:style>
  <w:style w:type="paragraph" w:styleId="Header">
    <w:name w:val="header"/>
    <w:basedOn w:val="Normal"/>
    <w:link w:val="HeaderChar"/>
    <w:uiPriority w:val="99"/>
    <w:unhideWhenUsed/>
    <w:rsid w:val="00D058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848"/>
  </w:style>
  <w:style w:type="paragraph" w:styleId="Footer">
    <w:name w:val="footer"/>
    <w:basedOn w:val="Normal"/>
    <w:link w:val="FooterChar"/>
    <w:uiPriority w:val="99"/>
    <w:unhideWhenUsed/>
    <w:rsid w:val="00D058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ill.com/search?f_0=author&amp;q_0=T%C3%BClay+Artan" TargetMode="External"/><Relationship Id="rId13" Type="http://schemas.openxmlformats.org/officeDocument/2006/relationships/hyperlink" Target="https://brill.com/search?f_0=author&amp;q_0=Metin+Ku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rill.com/search?f_0=author&amp;q_0=Jeroen+Duindam" TargetMode="External"/><Relationship Id="rId12" Type="http://schemas.openxmlformats.org/officeDocument/2006/relationships/hyperlink" Target="https://brill.com/search?f_0=author&amp;q_0=T%C3%BClay+Arta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rill.com/search?f_0=author&amp;q_0=Jeroen+Duindam" TargetMode="External"/><Relationship Id="rId5" Type="http://schemas.openxmlformats.org/officeDocument/2006/relationships/footnotes" Target="footnotes.xml"/><Relationship Id="rId15" Type="http://schemas.openxmlformats.org/officeDocument/2006/relationships/hyperlink" Target="https://brill.com/search?f_0=author&amp;q_0=T%C3%BClay+Artan" TargetMode="External"/><Relationship Id="rId10" Type="http://schemas.openxmlformats.org/officeDocument/2006/relationships/hyperlink" Target="https://brill.com/view/title/15386" TargetMode="External"/><Relationship Id="rId4" Type="http://schemas.openxmlformats.org/officeDocument/2006/relationships/webSettings" Target="webSettings.xml"/><Relationship Id="rId9" Type="http://schemas.openxmlformats.org/officeDocument/2006/relationships/hyperlink" Target="https://brill.com/search?f_0=author&amp;q_0=Metin+Kunt" TargetMode="External"/><Relationship Id="rId14" Type="http://schemas.openxmlformats.org/officeDocument/2006/relationships/hyperlink" Target="https://brill.com/search?f_0=author&amp;q_0=Jeroen+Duinda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brill.com/search?f_0=author&amp;q_0=T%C3%BClay+Artan" TargetMode="External"/><Relationship Id="rId2" Type="http://schemas.openxmlformats.org/officeDocument/2006/relationships/hyperlink" Target="https://brill.com/search?f_0=author&amp;q_0=Metin+Kunt" TargetMode="External"/><Relationship Id="rId1" Type="http://schemas.openxmlformats.org/officeDocument/2006/relationships/hyperlink" Target="https://brill.com/search?f_0=author&amp;q_0=T%C3%BClay+Artan" TargetMode="External"/><Relationship Id="rId4" Type="http://schemas.openxmlformats.org/officeDocument/2006/relationships/hyperlink" Target="https://brill.com/view/title/153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4D322-3089-4541-A441-403E3B60D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1079</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 Gillson-Gant</dc:creator>
  <cp:lastModifiedBy>Henry Gillson-Gant</cp:lastModifiedBy>
  <cp:revision>3</cp:revision>
  <dcterms:created xsi:type="dcterms:W3CDTF">2018-12-06T18:16:00Z</dcterms:created>
  <dcterms:modified xsi:type="dcterms:W3CDTF">2018-12-06T18:17:00Z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1212098654</vt:i4>
  </property>
</Properties>
</file>