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8820" w:type="dxa"/>
        <w:jc w:val="center"/>
        <w:tblCellSpacing w:w="0" w:type="dxa"/>
        <w:tblCellMar>
          <w:left w:w="0" w:type="dxa"/>
          <w:right w:w="0" w:type="dxa"/>
        </w:tblCellMar>
        <w:tblLook w:val="04A0" w:firstRow="1" w:lastRow="0" w:firstColumn="1" w:lastColumn="0" w:noHBand="0" w:noVBand="1"/>
      </w:tblPr>
      <w:tblGrid>
        <w:gridCol w:w="1890"/>
        <w:gridCol w:w="2712"/>
        <w:gridCol w:w="1055"/>
        <w:gridCol w:w="3193"/>
      </w:tblGrid>
      <w:tr w:rsidR="00285EDE" w:rsidRPr="00285EDE" w:rsidTr="00285EDE">
        <w:trPr>
          <w:trHeight w:val="765"/>
          <w:tblCellSpacing w:w="0" w:type="dxa"/>
          <w:jc w:val="center"/>
        </w:trPr>
        <w:tc>
          <w:tcPr>
            <w:tcW w:w="1800" w:type="dxa"/>
            <w:vMerge w:val="restart"/>
            <w:hideMark/>
          </w:tcPr>
          <w:p w:rsidR="00285EDE" w:rsidRPr="00285EDE" w:rsidRDefault="00285EDE" w:rsidP="00285EDE">
            <w:pPr>
              <w:spacing w:after="0" w:line="240" w:lineRule="auto"/>
              <w:jc w:val="right"/>
              <w:rPr>
                <w:rFonts w:ascii="Verdana" w:eastAsia="Times New Roman" w:hAnsi="Verdana" w:cs="Times New Roman"/>
                <w:sz w:val="24"/>
                <w:szCs w:val="24"/>
                <w:lang w:eastAsia="en-GB"/>
              </w:rPr>
            </w:pPr>
            <w:r>
              <w:rPr>
                <w:rFonts w:ascii="Verdana" w:eastAsia="Times New Roman" w:hAnsi="Verdana" w:cs="Times New Roman"/>
                <w:noProof/>
                <w:color w:val="0000FF"/>
                <w:sz w:val="24"/>
                <w:szCs w:val="24"/>
                <w:lang w:eastAsia="en-GB"/>
              </w:rPr>
              <w:drawing>
                <wp:inline distT="0" distB="0" distL="0" distR="0">
                  <wp:extent cx="1192530" cy="1144905"/>
                  <wp:effectExtent l="0" t="0" r="7620" b="0"/>
                  <wp:docPr id="7" name="Picture 7" descr="Uni">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 descr="Uni">
                            <a:hlinkClick r:id="rId5"/>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192530" cy="1144905"/>
                          </a:xfrm>
                          <a:prstGeom prst="rect">
                            <a:avLst/>
                          </a:prstGeom>
                          <a:noFill/>
                          <a:ln>
                            <a:noFill/>
                          </a:ln>
                        </pic:spPr>
                      </pic:pic>
                    </a:graphicData>
                  </a:graphic>
                </wp:inline>
              </w:drawing>
            </w:r>
          </w:p>
        </w:tc>
        <w:tc>
          <w:tcPr>
            <w:tcW w:w="2700" w:type="dxa"/>
            <w:hideMark/>
          </w:tcPr>
          <w:p w:rsidR="00285EDE" w:rsidRPr="00285EDE" w:rsidRDefault="00285EDE" w:rsidP="00285EDE">
            <w:pPr>
              <w:spacing w:after="0" w:line="240" w:lineRule="auto"/>
              <w:rPr>
                <w:rFonts w:ascii="Verdana" w:eastAsia="Times New Roman" w:hAnsi="Verdana" w:cs="Times New Roman"/>
                <w:sz w:val="24"/>
                <w:szCs w:val="24"/>
                <w:lang w:eastAsia="en-GB"/>
              </w:rPr>
            </w:pPr>
            <w:r>
              <w:rPr>
                <w:rFonts w:ascii="Verdana" w:eastAsia="Times New Roman" w:hAnsi="Verdana" w:cs="Times New Roman"/>
                <w:noProof/>
                <w:color w:val="0000FF"/>
                <w:sz w:val="24"/>
                <w:szCs w:val="24"/>
                <w:lang w:eastAsia="en-GB"/>
              </w:rPr>
              <w:drawing>
                <wp:inline distT="0" distB="0" distL="0" distR="0">
                  <wp:extent cx="1717675" cy="476885"/>
                  <wp:effectExtent l="0" t="0" r="0" b="0"/>
                  <wp:docPr id="6" name="Picture 6" descr="Learning">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 descr="Learning">
                            <a:hlinkClick r:id="rId5"/>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17675" cy="476885"/>
                          </a:xfrm>
                          <a:prstGeom prst="rect">
                            <a:avLst/>
                          </a:prstGeom>
                          <a:noFill/>
                          <a:ln>
                            <a:noFill/>
                          </a:ln>
                        </pic:spPr>
                      </pic:pic>
                    </a:graphicData>
                  </a:graphic>
                </wp:inline>
              </w:drawing>
            </w:r>
          </w:p>
        </w:tc>
        <w:tc>
          <w:tcPr>
            <w:tcW w:w="1050" w:type="dxa"/>
            <w:vAlign w:val="center"/>
            <w:hideMark/>
          </w:tcPr>
          <w:p w:rsidR="00285EDE" w:rsidRPr="00285EDE" w:rsidRDefault="00285EDE" w:rsidP="00285EDE">
            <w:pPr>
              <w:spacing w:after="0" w:line="240" w:lineRule="auto"/>
              <w:rPr>
                <w:rFonts w:ascii="Verdana" w:eastAsia="Times New Roman" w:hAnsi="Verdana" w:cs="Times New Roman"/>
                <w:sz w:val="24"/>
                <w:szCs w:val="24"/>
                <w:lang w:eastAsia="en-GB"/>
              </w:rPr>
            </w:pPr>
            <w:r>
              <w:rPr>
                <w:rFonts w:ascii="Verdana" w:eastAsia="Times New Roman" w:hAnsi="Verdana" w:cs="Times New Roman"/>
                <w:noProof/>
                <w:color w:val="0000FF"/>
                <w:sz w:val="24"/>
                <w:szCs w:val="24"/>
                <w:lang w:eastAsia="en-GB"/>
              </w:rPr>
              <w:drawing>
                <wp:inline distT="0" distB="0" distL="0" distR="0">
                  <wp:extent cx="668020" cy="238760"/>
                  <wp:effectExtent l="0" t="0" r="0" b="8890"/>
                  <wp:docPr id="5" name="Picture 5" descr="Previous">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 descr="Previous">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68020" cy="238760"/>
                          </a:xfrm>
                          <a:prstGeom prst="rect">
                            <a:avLst/>
                          </a:prstGeom>
                          <a:noFill/>
                          <a:ln>
                            <a:noFill/>
                          </a:ln>
                        </pic:spPr>
                      </pic:pic>
                    </a:graphicData>
                  </a:graphic>
                </wp:inline>
              </w:drawing>
            </w:r>
          </w:p>
        </w:tc>
        <w:tc>
          <w:tcPr>
            <w:tcW w:w="1050" w:type="dxa"/>
            <w:vAlign w:val="center"/>
            <w:hideMark/>
          </w:tcPr>
          <w:p w:rsidR="00285EDE" w:rsidRPr="00285EDE" w:rsidRDefault="00285EDE" w:rsidP="00285EDE">
            <w:pPr>
              <w:spacing w:after="0" w:line="240" w:lineRule="auto"/>
              <w:rPr>
                <w:rFonts w:ascii="Verdana" w:eastAsia="Times New Roman" w:hAnsi="Verdana" w:cs="Times New Roman"/>
                <w:sz w:val="24"/>
                <w:szCs w:val="24"/>
                <w:lang w:eastAsia="en-GB"/>
              </w:rPr>
            </w:pPr>
            <w:r>
              <w:rPr>
                <w:rFonts w:ascii="Verdana" w:eastAsia="Times New Roman" w:hAnsi="Verdana" w:cs="Times New Roman"/>
                <w:noProof/>
                <w:color w:val="0000FF"/>
                <w:sz w:val="24"/>
                <w:szCs w:val="24"/>
                <w:lang w:eastAsia="en-GB"/>
              </w:rPr>
              <w:drawing>
                <wp:inline distT="0" distB="0" distL="0" distR="0">
                  <wp:extent cx="668020" cy="238760"/>
                  <wp:effectExtent l="0" t="0" r="0" b="8890"/>
                  <wp:docPr id="4" name="Picture 4" descr="Next">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 descr="Next">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8020" cy="238760"/>
                          </a:xfrm>
                          <a:prstGeom prst="rect">
                            <a:avLst/>
                          </a:prstGeom>
                          <a:noFill/>
                          <a:ln>
                            <a:noFill/>
                          </a:ln>
                        </pic:spPr>
                      </pic:pic>
                    </a:graphicData>
                  </a:graphic>
                </wp:inline>
              </w:drawing>
            </w:r>
          </w:p>
        </w:tc>
      </w:tr>
      <w:tr w:rsidR="00285EDE" w:rsidRPr="00285EDE" w:rsidTr="00285EDE">
        <w:trPr>
          <w:trHeight w:val="345"/>
          <w:tblCellSpacing w:w="0" w:type="dxa"/>
          <w:jc w:val="center"/>
        </w:trPr>
        <w:tc>
          <w:tcPr>
            <w:tcW w:w="0" w:type="auto"/>
            <w:vMerge/>
            <w:vAlign w:val="center"/>
            <w:hideMark/>
          </w:tcPr>
          <w:p w:rsidR="00285EDE" w:rsidRPr="00285EDE" w:rsidRDefault="00285EDE" w:rsidP="00285EDE">
            <w:pPr>
              <w:spacing w:after="0" w:line="240" w:lineRule="auto"/>
              <w:rPr>
                <w:rFonts w:ascii="Verdana" w:eastAsia="Times New Roman" w:hAnsi="Verdana" w:cs="Times New Roman"/>
                <w:sz w:val="24"/>
                <w:szCs w:val="24"/>
                <w:lang w:eastAsia="en-GB"/>
              </w:rPr>
            </w:pPr>
          </w:p>
        </w:tc>
        <w:tc>
          <w:tcPr>
            <w:tcW w:w="6945" w:type="dxa"/>
            <w:gridSpan w:val="3"/>
            <w:hideMark/>
          </w:tcPr>
          <w:p w:rsidR="00285EDE" w:rsidRPr="00285EDE" w:rsidRDefault="00285EDE" w:rsidP="00285EDE">
            <w:pPr>
              <w:spacing w:after="0" w:line="240" w:lineRule="auto"/>
              <w:rPr>
                <w:rFonts w:ascii="Verdana" w:eastAsia="Times New Roman" w:hAnsi="Verdana" w:cs="Times New Roman"/>
                <w:sz w:val="24"/>
                <w:szCs w:val="24"/>
                <w:lang w:eastAsia="en-GB"/>
              </w:rPr>
            </w:pPr>
            <w:r>
              <w:rPr>
                <w:rFonts w:ascii="Verdana" w:eastAsia="Times New Roman" w:hAnsi="Verdana" w:cs="Times New Roman"/>
                <w:noProof/>
                <w:color w:val="0000FF"/>
                <w:sz w:val="24"/>
                <w:szCs w:val="24"/>
                <w:lang w:eastAsia="en-GB"/>
              </w:rPr>
              <w:drawing>
                <wp:inline distT="0" distB="0" distL="0" distR="0">
                  <wp:extent cx="4397375" cy="222885"/>
                  <wp:effectExtent l="0" t="0" r="3175" b="5715"/>
                  <wp:docPr id="3" name="Picture 3" descr="Report Writing">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 descr="Report Writing">
                            <a:hlinkClick r:id="rId5"/>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97375" cy="222885"/>
                          </a:xfrm>
                          <a:prstGeom prst="rect">
                            <a:avLst/>
                          </a:prstGeom>
                          <a:noFill/>
                          <a:ln>
                            <a:noFill/>
                          </a:ln>
                        </pic:spPr>
                      </pic:pic>
                    </a:graphicData>
                  </a:graphic>
                </wp:inline>
              </w:drawing>
            </w:r>
          </w:p>
        </w:tc>
      </w:tr>
      <w:tr w:rsidR="00285EDE" w:rsidRPr="00285EDE" w:rsidTr="00285EDE">
        <w:trPr>
          <w:tblCellSpacing w:w="0" w:type="dxa"/>
          <w:jc w:val="center"/>
        </w:trPr>
        <w:tc>
          <w:tcPr>
            <w:tcW w:w="0" w:type="auto"/>
            <w:vMerge/>
            <w:vAlign w:val="center"/>
            <w:hideMark/>
          </w:tcPr>
          <w:p w:rsidR="00285EDE" w:rsidRPr="00285EDE" w:rsidRDefault="00285EDE" w:rsidP="00285EDE">
            <w:pPr>
              <w:spacing w:after="0" w:line="240" w:lineRule="auto"/>
              <w:rPr>
                <w:rFonts w:ascii="Verdana" w:eastAsia="Times New Roman" w:hAnsi="Verdana" w:cs="Times New Roman"/>
                <w:sz w:val="24"/>
                <w:szCs w:val="24"/>
                <w:lang w:eastAsia="en-GB"/>
              </w:rPr>
            </w:pPr>
          </w:p>
        </w:tc>
        <w:tc>
          <w:tcPr>
            <w:tcW w:w="6945" w:type="dxa"/>
            <w:gridSpan w:val="3"/>
            <w:hideMark/>
          </w:tcPr>
          <w:p w:rsidR="00285EDE" w:rsidRPr="00285EDE" w:rsidRDefault="00285EDE" w:rsidP="00285EDE">
            <w:pPr>
              <w:spacing w:after="0" w:line="240" w:lineRule="auto"/>
              <w:rPr>
                <w:rFonts w:ascii="Verdana" w:eastAsia="Times New Roman" w:hAnsi="Verdana" w:cs="Times New Roman"/>
                <w:sz w:val="24"/>
                <w:szCs w:val="24"/>
                <w:lang w:eastAsia="en-GB"/>
              </w:rPr>
            </w:pPr>
            <w:r>
              <w:rPr>
                <w:rFonts w:ascii="Verdana" w:eastAsia="Times New Roman" w:hAnsi="Verdana" w:cs="Times New Roman"/>
                <w:noProof/>
                <w:sz w:val="24"/>
                <w:szCs w:val="24"/>
                <w:lang w:eastAsia="en-GB"/>
              </w:rPr>
              <w:drawing>
                <wp:inline distT="0" distB="0" distL="0" distR="0">
                  <wp:extent cx="4413250" cy="182880"/>
                  <wp:effectExtent l="0" t="0" r="6350" b="7620"/>
                  <wp:docPr id="2" name="Picture 2" descr="Using appendices in your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8" descr="Using appendices in your repor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13250" cy="182880"/>
                          </a:xfrm>
                          <a:prstGeom prst="rect">
                            <a:avLst/>
                          </a:prstGeom>
                          <a:noFill/>
                          <a:ln>
                            <a:noFill/>
                          </a:ln>
                        </pic:spPr>
                      </pic:pic>
                    </a:graphicData>
                  </a:graphic>
                </wp:inline>
              </w:drawing>
            </w:r>
            <w:r>
              <w:rPr>
                <w:rFonts w:ascii="Verdana" w:eastAsia="Times New Roman" w:hAnsi="Verdana" w:cs="Times New Roman"/>
                <w:noProof/>
                <w:sz w:val="24"/>
                <w:szCs w:val="24"/>
                <w:lang w:eastAsia="en-GB"/>
              </w:rPr>
              <w:drawing>
                <wp:inline distT="0" distB="0" distL="0" distR="0">
                  <wp:extent cx="4413250" cy="151130"/>
                  <wp:effectExtent l="0" t="0" r="6350" b="1270"/>
                  <wp:docPr id="1" name="Picture 1" descr="https://unilearning.uow.edu.au/report/images/overvie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 descr="https://unilearning.uow.edu.au/report/images/overview.gi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13250" cy="151130"/>
                          </a:xfrm>
                          <a:prstGeom prst="rect">
                            <a:avLst/>
                          </a:prstGeom>
                          <a:noFill/>
                          <a:ln>
                            <a:noFill/>
                          </a:ln>
                        </pic:spPr>
                      </pic:pic>
                    </a:graphicData>
                  </a:graphic>
                </wp:inline>
              </w:drawing>
            </w:r>
          </w:p>
        </w:tc>
      </w:tr>
      <w:tr w:rsidR="00285EDE" w:rsidRPr="00285EDE" w:rsidTr="00285EDE">
        <w:trPr>
          <w:trHeight w:val="420"/>
          <w:tblCellSpacing w:w="0" w:type="dxa"/>
          <w:jc w:val="center"/>
        </w:trPr>
        <w:tc>
          <w:tcPr>
            <w:tcW w:w="0" w:type="auto"/>
            <w:vMerge/>
            <w:vAlign w:val="center"/>
            <w:hideMark/>
          </w:tcPr>
          <w:p w:rsidR="00285EDE" w:rsidRPr="00285EDE" w:rsidRDefault="00285EDE" w:rsidP="00285EDE">
            <w:pPr>
              <w:spacing w:after="0" w:line="240" w:lineRule="auto"/>
              <w:rPr>
                <w:rFonts w:ascii="Verdana" w:eastAsia="Times New Roman" w:hAnsi="Verdana" w:cs="Times New Roman"/>
                <w:sz w:val="24"/>
                <w:szCs w:val="24"/>
                <w:lang w:eastAsia="en-GB"/>
              </w:rPr>
            </w:pPr>
          </w:p>
        </w:tc>
        <w:tc>
          <w:tcPr>
            <w:tcW w:w="6945" w:type="dxa"/>
            <w:gridSpan w:val="3"/>
            <w:hideMark/>
          </w:tcPr>
          <w:p w:rsidR="00285EDE" w:rsidRPr="00285EDE" w:rsidRDefault="00285EDE" w:rsidP="00285EDE">
            <w:pPr>
              <w:spacing w:after="0" w:line="240" w:lineRule="auto"/>
              <w:rPr>
                <w:rFonts w:ascii="Verdana" w:eastAsia="Times New Roman" w:hAnsi="Verdana" w:cs="Times New Roman"/>
                <w:sz w:val="24"/>
                <w:szCs w:val="24"/>
                <w:lang w:eastAsia="en-GB"/>
              </w:rPr>
            </w:pPr>
            <w:r w:rsidRPr="00285EDE">
              <w:rPr>
                <w:rFonts w:ascii="Verdana" w:eastAsia="Times New Roman" w:hAnsi="Verdana" w:cs="Times New Roman"/>
                <w:sz w:val="24"/>
                <w:szCs w:val="24"/>
                <w:lang w:eastAsia="en-GB"/>
              </w:rPr>
              <w:t> </w:t>
            </w:r>
          </w:p>
        </w:tc>
      </w:tr>
    </w:tbl>
    <w:p w:rsidR="00285EDE" w:rsidRPr="00285EDE" w:rsidRDefault="00285EDE" w:rsidP="00285EDE">
      <w:pPr>
        <w:spacing w:after="0" w:line="240" w:lineRule="auto"/>
        <w:rPr>
          <w:rFonts w:ascii="Times New Roman" w:eastAsia="Times New Roman" w:hAnsi="Times New Roman" w:cs="Times New Roman"/>
          <w:vanish/>
          <w:sz w:val="24"/>
          <w:szCs w:val="24"/>
          <w:lang w:eastAsia="en-GB"/>
        </w:rPr>
      </w:pPr>
    </w:p>
    <w:tbl>
      <w:tblPr>
        <w:tblW w:w="8820" w:type="dxa"/>
        <w:jc w:val="center"/>
        <w:tblCellSpacing w:w="0" w:type="dxa"/>
        <w:tblCellMar>
          <w:left w:w="0" w:type="dxa"/>
          <w:right w:w="0" w:type="dxa"/>
        </w:tblCellMar>
        <w:tblLook w:val="04A0" w:firstRow="1" w:lastRow="0" w:firstColumn="1" w:lastColumn="0" w:noHBand="0" w:noVBand="1"/>
      </w:tblPr>
      <w:tblGrid>
        <w:gridCol w:w="8820"/>
      </w:tblGrid>
      <w:tr w:rsidR="00285EDE" w:rsidRPr="00285EDE" w:rsidTr="00285EDE">
        <w:trPr>
          <w:tblCellSpacing w:w="0" w:type="dxa"/>
          <w:jc w:val="center"/>
        </w:trPr>
        <w:tc>
          <w:tcPr>
            <w:tcW w:w="0" w:type="auto"/>
            <w:hideMark/>
          </w:tcPr>
          <w:p w:rsidR="00285EDE" w:rsidRPr="00285EDE" w:rsidRDefault="00285EDE" w:rsidP="00285EDE">
            <w:pPr>
              <w:spacing w:before="100" w:beforeAutospacing="1" w:after="100" w:afterAutospacing="1" w:line="240" w:lineRule="auto"/>
              <w:ind w:left="1500"/>
              <w:rPr>
                <w:rFonts w:ascii="Verdana" w:eastAsia="Times New Roman" w:hAnsi="Verdana" w:cs="Times New Roman"/>
                <w:sz w:val="24"/>
                <w:szCs w:val="24"/>
                <w:lang w:eastAsia="en-GB"/>
              </w:rPr>
            </w:pPr>
            <w:r w:rsidRPr="00285EDE">
              <w:rPr>
                <w:rFonts w:ascii="Verdana" w:eastAsia="Times New Roman" w:hAnsi="Verdana" w:cs="Times New Roman"/>
                <w:sz w:val="24"/>
                <w:szCs w:val="24"/>
                <w:lang w:eastAsia="en-GB"/>
              </w:rPr>
              <w:t xml:space="preserve">Information that is not essential to explain your findings, but that supports your analysis (especially repetitive or lengthy information), validates your conclusions or pursues a related point should be placed in an appendix (plural appendices). Sometimes excerpts from this supporting information (i.e. part of the data set) will be placed in the body of the report but the complete set of information </w:t>
            </w:r>
            <w:proofErr w:type="gramStart"/>
            <w:r w:rsidRPr="00285EDE">
              <w:rPr>
                <w:rFonts w:ascii="Verdana" w:eastAsia="Times New Roman" w:hAnsi="Verdana" w:cs="Times New Roman"/>
                <w:sz w:val="24"/>
                <w:szCs w:val="24"/>
                <w:lang w:eastAsia="en-GB"/>
              </w:rPr>
              <w:t>( i.e</w:t>
            </w:r>
            <w:proofErr w:type="gramEnd"/>
            <w:r w:rsidRPr="00285EDE">
              <w:rPr>
                <w:rFonts w:ascii="Verdana" w:eastAsia="Times New Roman" w:hAnsi="Verdana" w:cs="Times New Roman"/>
                <w:sz w:val="24"/>
                <w:szCs w:val="24"/>
                <w:lang w:eastAsia="en-GB"/>
              </w:rPr>
              <w:t>. all of the data set) will be included in the appendix. Examples of information that could be included in an appendix include figures/tables/charts/graphs of results, statistics, questionnaires, transcripts of interviews, pictures, lengthy derivations of equations, maps, drawings, letters, specification or data sheets, computer program information.</w:t>
            </w:r>
          </w:p>
          <w:p w:rsidR="00285EDE" w:rsidRPr="00285EDE" w:rsidRDefault="00285EDE" w:rsidP="00285EDE">
            <w:pPr>
              <w:spacing w:before="100" w:beforeAutospacing="1" w:after="100" w:afterAutospacing="1" w:line="240" w:lineRule="auto"/>
              <w:ind w:left="1500"/>
              <w:rPr>
                <w:rFonts w:ascii="Verdana" w:eastAsia="Times New Roman" w:hAnsi="Verdana" w:cs="Times New Roman"/>
                <w:sz w:val="24"/>
                <w:szCs w:val="24"/>
                <w:lang w:eastAsia="en-GB"/>
              </w:rPr>
            </w:pPr>
            <w:r w:rsidRPr="00285EDE">
              <w:rPr>
                <w:rFonts w:ascii="Verdana" w:eastAsia="Times New Roman" w:hAnsi="Verdana" w:cs="Times New Roman"/>
                <w:sz w:val="24"/>
                <w:szCs w:val="24"/>
                <w:lang w:eastAsia="en-GB"/>
              </w:rPr>
              <w:t>There is no limit to what can be placed in the appendix providing it is relevant and reference is made to it in the report. The appendix is not a catch net for all the semi-interesting or related information you have gathered through your research for your report: the information included in the appendix must bear directly relate to the research problem or the report's purpose. It must be a useful tool for the reader (Weaver &amp; Weaver, 1977).</w:t>
            </w:r>
          </w:p>
          <w:p w:rsidR="00285EDE" w:rsidRPr="00285EDE" w:rsidRDefault="00285EDE" w:rsidP="00285EDE">
            <w:pPr>
              <w:spacing w:before="100" w:beforeAutospacing="1" w:after="100" w:afterAutospacing="1" w:line="240" w:lineRule="auto"/>
              <w:ind w:left="1500"/>
              <w:rPr>
                <w:rFonts w:ascii="Verdana" w:eastAsia="Times New Roman" w:hAnsi="Verdana" w:cs="Times New Roman"/>
                <w:sz w:val="24"/>
                <w:szCs w:val="24"/>
                <w:lang w:eastAsia="en-GB"/>
              </w:rPr>
            </w:pPr>
            <w:r w:rsidRPr="00285EDE">
              <w:rPr>
                <w:rFonts w:ascii="Verdana" w:eastAsia="Times New Roman" w:hAnsi="Verdana" w:cs="Times New Roman"/>
                <w:sz w:val="24"/>
                <w:szCs w:val="24"/>
                <w:lang w:eastAsia="en-GB"/>
              </w:rPr>
              <w:t xml:space="preserve">Each separate appendix should be lettered (Appendix A, Appendix B, Appendix B1, Appendix B2, Appendix C, </w:t>
            </w:r>
            <w:proofErr w:type="spellStart"/>
            <w:r w:rsidRPr="00285EDE">
              <w:rPr>
                <w:rFonts w:ascii="Verdana" w:eastAsia="Times New Roman" w:hAnsi="Verdana" w:cs="Times New Roman"/>
                <w:sz w:val="24"/>
                <w:szCs w:val="24"/>
                <w:lang w:eastAsia="en-GB"/>
              </w:rPr>
              <w:t>etc</w:t>
            </w:r>
            <w:proofErr w:type="spellEnd"/>
            <w:r w:rsidRPr="00285EDE">
              <w:rPr>
                <w:rFonts w:ascii="Verdana" w:eastAsia="Times New Roman" w:hAnsi="Verdana" w:cs="Times New Roman"/>
                <w:sz w:val="24"/>
                <w:szCs w:val="24"/>
                <w:lang w:eastAsia="en-GB"/>
              </w:rPr>
              <w:t>). The order they are presented in is dictated by the order they are mentioned in the text of the report. It is essential to refer to each appendix within the text of the report; for example,</w:t>
            </w:r>
          </w:p>
          <w:p w:rsidR="00285EDE" w:rsidRPr="00285EDE" w:rsidRDefault="00285EDE" w:rsidP="00285EDE">
            <w:pPr>
              <w:spacing w:before="100" w:beforeAutospacing="1" w:after="100" w:afterAutospacing="1" w:line="240" w:lineRule="auto"/>
              <w:ind w:left="1800"/>
              <w:rPr>
                <w:rFonts w:ascii="Verdana" w:eastAsia="Times New Roman" w:hAnsi="Verdana" w:cs="Times New Roman"/>
                <w:sz w:val="24"/>
                <w:szCs w:val="24"/>
                <w:lang w:eastAsia="en-GB"/>
              </w:rPr>
            </w:pPr>
            <w:r w:rsidRPr="00285EDE">
              <w:rPr>
                <w:rFonts w:ascii="Verdana" w:eastAsia="Times New Roman" w:hAnsi="Verdana" w:cs="Times New Roman"/>
                <w:sz w:val="15"/>
                <w:szCs w:val="15"/>
                <w:lang w:eastAsia="en-GB"/>
              </w:rPr>
              <w:t>For the manufacturer's specification, see Appendix B</w:t>
            </w:r>
          </w:p>
          <w:p w:rsidR="00285EDE" w:rsidRPr="00285EDE" w:rsidRDefault="00285EDE" w:rsidP="00285EDE">
            <w:pPr>
              <w:spacing w:before="100" w:beforeAutospacing="1" w:after="100" w:afterAutospacing="1" w:line="240" w:lineRule="auto"/>
              <w:ind w:left="1500"/>
              <w:rPr>
                <w:rFonts w:ascii="Verdana" w:eastAsia="Times New Roman" w:hAnsi="Verdana" w:cs="Times New Roman"/>
                <w:sz w:val="24"/>
                <w:szCs w:val="24"/>
                <w:lang w:eastAsia="en-GB"/>
              </w:rPr>
            </w:pPr>
            <w:r w:rsidRPr="00285EDE">
              <w:rPr>
                <w:rFonts w:ascii="Verdana" w:eastAsia="Times New Roman" w:hAnsi="Verdana" w:cs="Times New Roman"/>
                <w:sz w:val="24"/>
                <w:szCs w:val="24"/>
                <w:lang w:eastAsia="en-GB"/>
              </w:rPr>
              <w:t>or</w:t>
            </w:r>
          </w:p>
          <w:p w:rsidR="00285EDE" w:rsidRPr="00285EDE" w:rsidRDefault="00285EDE" w:rsidP="00285EDE">
            <w:pPr>
              <w:spacing w:before="100" w:beforeAutospacing="1" w:after="100" w:afterAutospacing="1" w:line="240" w:lineRule="auto"/>
              <w:ind w:left="1800"/>
              <w:rPr>
                <w:rFonts w:ascii="Verdana" w:eastAsia="Times New Roman" w:hAnsi="Verdana" w:cs="Times New Roman"/>
                <w:sz w:val="24"/>
                <w:szCs w:val="24"/>
                <w:lang w:eastAsia="en-GB"/>
              </w:rPr>
            </w:pPr>
            <w:r w:rsidRPr="00285EDE">
              <w:rPr>
                <w:rFonts w:ascii="Verdana" w:eastAsia="Times New Roman" w:hAnsi="Verdana" w:cs="Times New Roman"/>
                <w:sz w:val="15"/>
                <w:szCs w:val="15"/>
                <w:lang w:eastAsia="en-GB"/>
              </w:rPr>
              <w:t>Appendix C contains the YoY shareholder account growth rates. The rates are high. The increasing growth rate of accounts will significantly affect the valuation of the company.</w:t>
            </w:r>
          </w:p>
          <w:bookmarkStart w:id="0" w:name="_GoBack"/>
          <w:bookmarkEnd w:id="0"/>
          <w:p w:rsidR="00285EDE" w:rsidRPr="00285EDE" w:rsidRDefault="00285EDE" w:rsidP="00285EDE">
            <w:pPr>
              <w:spacing w:before="100" w:beforeAutospacing="1" w:after="100" w:afterAutospacing="1" w:line="240" w:lineRule="auto"/>
              <w:ind w:left="1800"/>
              <w:rPr>
                <w:rFonts w:ascii="Verdana" w:eastAsia="Times New Roman" w:hAnsi="Verdana" w:cs="Times New Roman"/>
                <w:sz w:val="24"/>
                <w:szCs w:val="24"/>
                <w:lang w:eastAsia="en-GB"/>
              </w:rPr>
            </w:pPr>
            <w:r w:rsidRPr="00285EDE">
              <w:rPr>
                <w:rFonts w:ascii="Verdana" w:eastAsia="Times New Roman" w:hAnsi="Verdana" w:cs="Times New Roman"/>
                <w:color w:val="999999"/>
                <w:sz w:val="15"/>
                <w:szCs w:val="15"/>
                <w:lang w:eastAsia="en-GB"/>
              </w:rPr>
              <w:fldChar w:fldCharType="begin"/>
            </w:r>
            <w:r w:rsidRPr="00285EDE">
              <w:rPr>
                <w:rFonts w:ascii="Verdana" w:eastAsia="Times New Roman" w:hAnsi="Verdana" w:cs="Times New Roman"/>
                <w:color w:val="999999"/>
                <w:sz w:val="15"/>
                <w:szCs w:val="15"/>
                <w:lang w:eastAsia="en-GB"/>
              </w:rPr>
              <w:instrText xml:space="preserve"> HYPERLINK "https://unilearning.uow.edu.au/copyright.html" </w:instrText>
            </w:r>
            <w:r w:rsidRPr="00285EDE">
              <w:rPr>
                <w:rFonts w:ascii="Verdana" w:eastAsia="Times New Roman" w:hAnsi="Verdana" w:cs="Times New Roman"/>
                <w:color w:val="999999"/>
                <w:sz w:val="15"/>
                <w:szCs w:val="15"/>
                <w:lang w:eastAsia="en-GB"/>
              </w:rPr>
              <w:fldChar w:fldCharType="separate"/>
            </w:r>
            <w:r w:rsidRPr="00285EDE">
              <w:rPr>
                <w:rFonts w:ascii="Verdana" w:eastAsia="Times New Roman" w:hAnsi="Verdana" w:cs="Times New Roman"/>
                <w:color w:val="0000FF"/>
                <w:sz w:val="15"/>
                <w:szCs w:val="15"/>
                <w:u w:val="single"/>
                <w:lang w:eastAsia="en-GB"/>
              </w:rPr>
              <w:t>© Copyright 2000</w:t>
            </w:r>
            <w:r w:rsidRPr="00285EDE">
              <w:rPr>
                <w:rFonts w:ascii="Verdana" w:eastAsia="Times New Roman" w:hAnsi="Verdana" w:cs="Times New Roman"/>
                <w:color w:val="999999"/>
                <w:sz w:val="15"/>
                <w:szCs w:val="15"/>
                <w:lang w:eastAsia="en-GB"/>
              </w:rPr>
              <w:fldChar w:fldCharType="end"/>
            </w:r>
            <w:r w:rsidRPr="00285EDE">
              <w:rPr>
                <w:rFonts w:ascii="Verdana" w:eastAsia="Times New Roman" w:hAnsi="Verdana" w:cs="Times New Roman"/>
                <w:color w:val="999999"/>
                <w:sz w:val="15"/>
                <w:szCs w:val="15"/>
                <w:lang w:eastAsia="en-GB"/>
              </w:rPr>
              <w:br/>
            </w:r>
            <w:r w:rsidRPr="00285EDE">
              <w:rPr>
                <w:rFonts w:ascii="Verdana" w:eastAsia="Times New Roman" w:hAnsi="Verdana" w:cs="Times New Roman"/>
                <w:color w:val="999999"/>
                <w:sz w:val="15"/>
                <w:szCs w:val="15"/>
                <w:lang w:eastAsia="en-GB"/>
              </w:rPr>
              <w:lastRenderedPageBreak/>
              <w:t>Comments and questions should</w:t>
            </w:r>
            <w:r w:rsidRPr="00285EDE">
              <w:rPr>
                <w:rFonts w:ascii="Verdana" w:eastAsia="Times New Roman" w:hAnsi="Verdana" w:cs="Times New Roman"/>
                <w:color w:val="999999"/>
                <w:sz w:val="15"/>
                <w:szCs w:val="15"/>
                <w:lang w:eastAsia="en-GB"/>
              </w:rPr>
              <w:br/>
              <w:t>be directed to </w:t>
            </w:r>
            <w:hyperlink r:id="rId15" w:history="1">
              <w:r w:rsidRPr="00285EDE">
                <w:rPr>
                  <w:rFonts w:ascii="Verdana" w:eastAsia="Times New Roman" w:hAnsi="Verdana" w:cs="Times New Roman"/>
                  <w:color w:val="0000FF"/>
                  <w:sz w:val="15"/>
                  <w:szCs w:val="15"/>
                  <w:u w:val="single"/>
                  <w:lang w:eastAsia="en-GB"/>
                </w:rPr>
                <w:t>Unilearning@uow.edu.au</w:t>
              </w:r>
            </w:hyperlink>
          </w:p>
        </w:tc>
      </w:tr>
    </w:tbl>
    <w:p w:rsidR="00A21BD5" w:rsidRDefault="00A21BD5"/>
    <w:sectPr w:rsidR="00A21B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revisionView w:inkAnnotations="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85EDE"/>
    <w:rsid w:val="00285EDE"/>
    <w:rsid w:val="00A21B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85EDE"/>
    <w:rPr>
      <w:color w:val="0000FF"/>
      <w:u w:val="single"/>
    </w:rPr>
  </w:style>
  <w:style w:type="paragraph" w:styleId="NormalWeb">
    <w:name w:val="Normal (Web)"/>
    <w:basedOn w:val="Normal"/>
    <w:uiPriority w:val="99"/>
    <w:semiHidden/>
    <w:unhideWhenUsed/>
    <w:rsid w:val="00285ED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indent2">
    <w:name w:val="indent2"/>
    <w:basedOn w:val="Normal"/>
    <w:rsid w:val="00285ED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285E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5ED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85EDE"/>
    <w:rPr>
      <w:color w:val="0000FF"/>
      <w:u w:val="single"/>
    </w:rPr>
  </w:style>
  <w:style w:type="paragraph" w:styleId="NormalWeb">
    <w:name w:val="Normal (Web)"/>
    <w:basedOn w:val="Normal"/>
    <w:uiPriority w:val="99"/>
    <w:semiHidden/>
    <w:unhideWhenUsed/>
    <w:rsid w:val="00285ED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indent2">
    <w:name w:val="indent2"/>
    <w:basedOn w:val="Normal"/>
    <w:rsid w:val="00285ED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285E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5ED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1331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nilearning.uow.edu.au/report/1h.html" TargetMode="External"/><Relationship Id="rId13" Type="http://schemas.openxmlformats.org/officeDocument/2006/relationships/image" Target="media/image6.gif"/><Relationship Id="rId3" Type="http://schemas.openxmlformats.org/officeDocument/2006/relationships/settings" Target="settings.xml"/><Relationship Id="rId7" Type="http://schemas.openxmlformats.org/officeDocument/2006/relationships/image" Target="media/image2.gif"/><Relationship Id="rId12" Type="http://schemas.openxmlformats.org/officeDocument/2006/relationships/image" Target="media/image5.gif"/><Relationship Id="rId17" Type="http://schemas.openxmlformats.org/officeDocument/2006/relationships/theme" Target="theme/theme1.xml"/><Relationship Id="rId2" Type="http://schemas.microsoft.com/office/2007/relationships/stylesWithEffects" Target="stylesWithEffect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gif"/><Relationship Id="rId11" Type="http://schemas.openxmlformats.org/officeDocument/2006/relationships/image" Target="media/image4.gif"/><Relationship Id="rId5" Type="http://schemas.openxmlformats.org/officeDocument/2006/relationships/hyperlink" Target="https://unilearning.uow.edu.au/main.html" TargetMode="External"/><Relationship Id="rId15" Type="http://schemas.openxmlformats.org/officeDocument/2006/relationships/hyperlink" Target="mailto:Unilearning@uow.edu.au" TargetMode="External"/><Relationship Id="rId10" Type="http://schemas.openxmlformats.org/officeDocument/2006/relationships/hyperlink" Target="https://unilearning.uow.edu.au/report/1j.html" TargetMode="External"/><Relationship Id="rId4" Type="http://schemas.openxmlformats.org/officeDocument/2006/relationships/webSettings" Target="webSettings.xml"/><Relationship Id="rId9" Type="http://schemas.openxmlformats.org/officeDocument/2006/relationships/image" Target="media/image3.gif"/><Relationship Id="rId14" Type="http://schemas.openxmlformats.org/officeDocument/2006/relationships/image" Target="media/image7.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292</Words>
  <Characters>1666</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Sharon</dc:creator>
  <cp:lastModifiedBy>Sharon</cp:lastModifiedBy>
  <cp:revision>2</cp:revision>
  <dcterms:created xsi:type="dcterms:W3CDTF">2018-08-17T07:16:00Z</dcterms:created>
  <dcterms:modified xsi:type="dcterms:W3CDTF">2018-08-17T07:16:00Z</dcterms:modified>
</cp:coreProperties>
</file>