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both"/>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1451138</wp:posOffset>
            </wp:positionH>
            <wp:positionV relativeFrom="paragraph">
              <wp:posOffset>114300</wp:posOffset>
            </wp:positionV>
            <wp:extent cx="2828925" cy="1133475"/>
            <wp:effectExtent b="0" l="0" r="0" t="0"/>
            <wp:wrapNone/>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828925" cy="1133475"/>
                    </a:xfrm>
                    <a:prstGeom prst="rect"/>
                    <a:ln/>
                  </pic:spPr>
                </pic:pic>
              </a:graphicData>
            </a:graphic>
          </wp:anchor>
        </w:drawing>
      </w:r>
    </w:p>
    <w:p w:rsidR="00000000" w:rsidDel="00000000" w:rsidP="00000000" w:rsidRDefault="00000000" w:rsidRPr="00000000" w14:paraId="0000000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spacing w:after="240" w:before="24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MODULE:</w:t>
      </w:r>
    </w:p>
    <w:p w:rsidR="00000000" w:rsidDel="00000000" w:rsidP="00000000" w:rsidRDefault="00000000" w:rsidRPr="00000000" w14:paraId="00000009">
      <w:pPr>
        <w:spacing w:after="240" w:before="240"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Contract Law (BMLW5009)</w:t>
      </w:r>
    </w:p>
    <w:p w:rsidR="00000000" w:rsidDel="00000000" w:rsidP="00000000" w:rsidRDefault="00000000" w:rsidRPr="00000000" w14:paraId="0000000A">
      <w:pPr>
        <w:spacing w:after="240" w:before="240" w:line="48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B">
      <w:pPr>
        <w:spacing w:after="240" w:before="24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ASSIGNMENT TITLE:</w:t>
      </w:r>
    </w:p>
    <w:p w:rsidR="00000000" w:rsidDel="00000000" w:rsidP="00000000" w:rsidRDefault="00000000" w:rsidRPr="00000000" w14:paraId="0000000C">
      <w:pPr>
        <w:spacing w:after="240" w:before="240"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Intention to Create Legal Relations</w:t>
      </w:r>
    </w:p>
    <w:p w:rsidR="00000000" w:rsidDel="00000000" w:rsidP="00000000" w:rsidRDefault="00000000" w:rsidRPr="00000000" w14:paraId="0000000D">
      <w:pPr>
        <w:spacing w:after="240" w:before="240" w:line="48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E">
      <w:pPr>
        <w:spacing w:after="240" w:before="24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LECTURER:</w:t>
      </w:r>
    </w:p>
    <w:p w:rsidR="00000000" w:rsidDel="00000000" w:rsidP="00000000" w:rsidRDefault="00000000" w:rsidRPr="00000000" w14:paraId="0000000F">
      <w:pPr>
        <w:spacing w:after="240" w:before="240"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Laura Knight</w:t>
      </w:r>
    </w:p>
    <w:p w:rsidR="00000000" w:rsidDel="00000000" w:rsidP="00000000" w:rsidRDefault="00000000" w:rsidRPr="00000000" w14:paraId="00000010">
      <w:pPr>
        <w:spacing w:after="240" w:before="240"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11">
      <w:pPr>
        <w:spacing w:after="240" w:before="24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SUBMISSION DEADLINES:</w:t>
      </w:r>
    </w:p>
    <w:p w:rsidR="00000000" w:rsidDel="00000000" w:rsidP="00000000" w:rsidRDefault="00000000" w:rsidRPr="00000000" w14:paraId="00000012">
      <w:pPr>
        <w:spacing w:after="240" w:before="240" w:line="48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10th March 2023</w:t>
      </w:r>
    </w:p>
    <w:p w:rsidR="00000000" w:rsidDel="00000000" w:rsidP="00000000" w:rsidRDefault="00000000" w:rsidRPr="00000000" w14:paraId="00000013">
      <w:pPr>
        <w:rPr>
          <w:rFonts w:ascii="Times New Roman" w:cs="Times New Roman" w:eastAsia="Times New Roman" w:hAnsi="Times New Roman"/>
          <w:sz w:val="24"/>
          <w:szCs w:val="24"/>
        </w:rPr>
      </w:pPr>
      <w:r w:rsidDel="00000000" w:rsidR="00000000" w:rsidRPr="00000000">
        <w:rPr>
          <w:rtl w:val="0"/>
        </w:rPr>
      </w:r>
    </w:p>
    <w:tbl>
      <w:tblPr>
        <w:tblStyle w:val="Table1"/>
        <w:tblW w:w="952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025"/>
        <w:gridCol w:w="4500"/>
        <w:tblGridChange w:id="0">
          <w:tblGrid>
            <w:gridCol w:w="5025"/>
            <w:gridCol w:w="450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4">
            <w:pPr>
              <w:widowControl w:val="0"/>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NUR ADRIANA BT MOHD SAIFULLIZAN</w:t>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widowControl w:val="0"/>
              <w:spacing w:line="360" w:lineRule="auto"/>
              <w:ind w:left="720"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2225959</w:t>
            </w:r>
          </w:p>
        </w:tc>
      </w:tr>
    </w:tbl>
    <w:p w:rsidR="00000000" w:rsidDel="00000000" w:rsidP="00000000" w:rsidRDefault="00000000" w:rsidRPr="00000000" w14:paraId="0000001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1.0 Introduction</w:t>
      </w:r>
    </w:p>
    <w:p w:rsidR="00000000" w:rsidDel="00000000" w:rsidP="00000000" w:rsidRDefault="00000000" w:rsidRPr="00000000" w14:paraId="0000001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 and foremost, a contract is known as an agreement made or arranged between two or more people. In an agreement, there is an offer, also referred to as an expression of willingness to contract, which specifies the conditions under which the offeror is willing to enter into a binding contract.  Other than that, a contract also needs a valid offer and a valid acceptance of that offer. Offer is known as a promise that is subject to a condition act, another promise, or a tolerance in exchange for the previous promise is known as an offer. By expressing assent, it is an invitation to the other party to sign the agreement and demonstrate the desire to enter into one. One of the cases is Nicolene Ltd v Simmonds (1953). Then, in terms of the consideration whereby it is known as a pledge to carry out action by transferring ownership of property, such as a car, or a house. The benefit of the agreement for one party is that the burden of the other party serves as the goal of the contractual consideration. for instance, getting paid. If neither party has given the agreement adequate thought, the agreement cannot be enforced. As a result, gratuities are not protected by the law (Ellis, 2022). The such case that can relate to the intention to create legal relations is Blue v Ashley (2017</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1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2.0 The approach of the courts</w:t>
      </w:r>
    </w:p>
    <w:p w:rsidR="00000000" w:rsidDel="00000000" w:rsidP="00000000" w:rsidRDefault="00000000" w:rsidRPr="00000000" w14:paraId="0000001E">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F">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2.1 Agreements made within social or domestic context</w:t>
      </w:r>
    </w:p>
    <w:p w:rsidR="00000000" w:rsidDel="00000000" w:rsidP="00000000" w:rsidRDefault="00000000" w:rsidRPr="00000000" w14:paraId="0000002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social or domestic agreements, it is generally that an agreement between family members or friends in a social context is not contractual. For instance, whereby the husband worked overseas and his wife will no longer live where he worked the Balfour v Balfour (1919). They make an agreement that he would return overseas while she stayed in England and he would pay her £30 per month. Then, they became estranged and the wife sued to enforce the promise of financial support. The Court of Appeal held that the promise was not legally enforceable because there had been no intention to create legal relations. It is also been said by th</w:t>
      </w:r>
      <w:r w:rsidDel="00000000" w:rsidR="00000000" w:rsidRPr="00000000">
        <w:rPr>
          <w:rFonts w:ascii="Times New Roman" w:cs="Times New Roman" w:eastAsia="Times New Roman" w:hAnsi="Times New Roman"/>
          <w:sz w:val="24"/>
          <w:szCs w:val="24"/>
          <w:rtl w:val="0"/>
        </w:rPr>
        <w:t xml:space="preserve">e court that the agreement was a domestic agreement as the husband did not intend to create the legally binding agreement when he promised.</w:t>
      </w:r>
      <w:r w:rsidDel="00000000" w:rsidR="00000000" w:rsidRPr="00000000">
        <w:rPr>
          <w:rFonts w:ascii="Times New Roman" w:cs="Times New Roman" w:eastAsia="Times New Roman" w:hAnsi="Times New Roman"/>
          <w:sz w:val="24"/>
          <w:szCs w:val="24"/>
          <w:rtl w:val="0"/>
        </w:rPr>
        <w:t xml:space="preserve"> In terms, the presumption is a domestic or social agreement whereby as defined it is no intention to create legal relations and that it is only an assumption parties close one or are related. According to (Richards, 2009), the court held that the burden was on the plaintiff, the wife, to rebut the presumption that there was no intention to create the contract. </w:t>
      </w:r>
    </w:p>
    <w:p w:rsidR="00000000" w:rsidDel="00000000" w:rsidP="00000000" w:rsidRDefault="00000000" w:rsidRPr="00000000" w14:paraId="0000002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Jones v Padavatton (1969) there was a persuasion where the daughter was asked to take a new career in which the mother then offered to pay her fees and to provide her with a living allowance while she pursued her studies. After a lot of unsuccessful attempts, the mother and daughter left and the mother removed the daughter from the house. According to the Court of Appeal, it was found that the daughter cannot stay in the house because there was no enforceable contract between both parties (Richards, 2009). To add on, an agreement made within a family or domestic setting can be rebutted. Henceforth, in relation to Balfour v Balfour (1919), it was a domestic agreement, and yet the presumption had no intention to create legal relations that was not rebutted because it is a family arrangement and they are not allowed to form a contract (Poole, 2014). </w:t>
      </w:r>
    </w:p>
    <w:p w:rsidR="00000000" w:rsidDel="00000000" w:rsidP="00000000" w:rsidRDefault="00000000" w:rsidRPr="00000000" w14:paraId="0000002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Merritt v Merritt (1970) is about a husband moving out of his marriage to live with a different woman. After speaking with his wife, he promised in writing to give her £40 a month which she would spend to pay the mortgage. Once settled, the house becomes completely hers. However, the husband refused to  (Poole, 2014). The Court of Appeal in this case determined that there was no intention to create a legal connection and held the husband to his commitment. Then the Court concludes that there was mostly based on the fact that the arrangement was reached in reaction to a divorce. In conclusion, this illustrates that the point given by the courts will take all into account in deciding the existence or non-existence of the intention to create the legal relationship (Richards, 2009). To summarize, the burden was put on the plaintiff to rebut and there was no contract intended to be formed. </w:t>
      </w:r>
    </w:p>
    <w:p w:rsidR="00000000" w:rsidDel="00000000" w:rsidP="00000000" w:rsidRDefault="00000000" w:rsidRPr="00000000" w14:paraId="0000002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for Simpkins v Pays (1955), there was a notice of weekly competition. Hence, a grandmother and her granddaughter, as well as her lodger decided to join and compete. The voucher was sent to Ms, Simpkins, and the three forecasters took turns paying weekly. Other than that, they also agreed to split the prize money equally. Surprisingly, the grandma won the £250 but refused to share those with them as planned. The lodger, Mr. Pays filed the</w:t>
      </w:r>
      <w:r w:rsidDel="00000000" w:rsidR="00000000" w:rsidRPr="00000000">
        <w:rPr>
          <w:rFonts w:ascii="Times New Roman" w:cs="Times New Roman" w:eastAsia="Times New Roman" w:hAnsi="Times New Roman"/>
          <w:sz w:val="24"/>
          <w:szCs w:val="24"/>
          <w:rtl w:val="0"/>
        </w:rPr>
        <w:t xml:space="preserve"> case </w:t>
      </w:r>
      <w:r w:rsidDel="00000000" w:rsidR="00000000" w:rsidRPr="00000000">
        <w:rPr>
          <w:rFonts w:ascii="Times New Roman" w:cs="Times New Roman" w:eastAsia="Times New Roman" w:hAnsi="Times New Roman"/>
          <w:sz w:val="24"/>
          <w:szCs w:val="24"/>
          <w:rtl w:val="0"/>
        </w:rPr>
        <w:t xml:space="preserve">to get the portion of the winnings. According to the case, there was an intention for legal relations because the three parties had agreed to share their winnings and had taken it seriously by putting the agreement in written form. The judge further concluded that there was enough mutual support in the agreements to create a legal binding agreement to share the rewards, and it was decided that the plaintiff was entitled to his share (Richards, 2009). </w:t>
      </w:r>
    </w:p>
    <w:p w:rsidR="00000000" w:rsidDel="00000000" w:rsidP="00000000" w:rsidRDefault="00000000" w:rsidRPr="00000000" w14:paraId="0000002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3.0 Agreements made within the commercial or business context</w:t>
      </w:r>
    </w:p>
    <w:p w:rsidR="00000000" w:rsidDel="00000000" w:rsidP="00000000" w:rsidRDefault="00000000" w:rsidRPr="00000000" w14:paraId="0000002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business or commercial agreement is a type of commercial agreement that outlines the terms and conditions of commercial dealings between two parties. It is important to know the different kinds of commercial agreements for future reference. For example, business owners need to strategize their agreements with third parties in writing for security or protection (Eliza Mik, 2015). There is a presumption that a contract agreed into in the course of business is a contractually binding agreement. This presumption can be rebutted, but strong evidence is needed. Besides that, it can also be done in writing by including an express statement to that effect (Richards, 2009). An example of a case in commercial or business agreements is Esso v Commissioners of Customs and Excise (1975) when Esso ran a sales campaign in which "coins" featuring England's World Cup football team players were to be given away free with every four gallons of gasoline. Posters at gas stations and television advertisements also promoted the program. The issue emerged when it became necessary to determine whether or not there was a contract of sale for tax purposes. As refer to Lords Simon and Wilberforce agree that there was an intention based on the commercial context and significant financial benefit that Esso anticipated from the plan  (Poole, 2014). </w:t>
      </w:r>
    </w:p>
    <w:p w:rsidR="00000000" w:rsidDel="00000000" w:rsidP="00000000" w:rsidRDefault="00000000" w:rsidRPr="00000000" w14:paraId="0000002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spacing w:line="360" w:lineRule="auto"/>
        <w:jc w:val="both"/>
        <w:rPr>
          <w:sz w:val="24"/>
          <w:szCs w:val="24"/>
        </w:rPr>
      </w:pPr>
      <w:r w:rsidDel="00000000" w:rsidR="00000000" w:rsidRPr="00000000">
        <w:rPr>
          <w:rFonts w:ascii="Times New Roman" w:cs="Times New Roman" w:eastAsia="Times New Roman" w:hAnsi="Times New Roman"/>
          <w:sz w:val="24"/>
          <w:szCs w:val="24"/>
          <w:rtl w:val="0"/>
        </w:rPr>
        <w:t xml:space="preserve">In the case of Edward v Skyways (1964), there was a redundant notice whereby the plaintiff was employed as a pilot of an airline. It was then given two options where the plaintiff take contributions or receive the pension. When the plaintiff's professional association contacted them on his behalf, the defendants agreed to pay him the payment equal to the contribution to the fund if he chose the first choice (Poole, 2014). There was then an agreement from the plaintiff based on the terms and decided to postpone making a donation. He was then given his whole contributions by the defendants, but they refused. The plaintiff succeeded in his case for breach of contract. Last but not least, there was an intention to create a legal relationship and it is liable to make payment in a way it failed to discharge (Richards, 2009). </w:t>
      </w:r>
      <w:r w:rsidDel="00000000" w:rsidR="00000000" w:rsidRPr="00000000">
        <w:rPr>
          <w:rtl w:val="0"/>
        </w:rPr>
      </w:r>
    </w:p>
    <w:p w:rsidR="00000000" w:rsidDel="00000000" w:rsidP="00000000" w:rsidRDefault="00000000" w:rsidRPr="00000000" w14:paraId="0000002E">
      <w:pPr>
        <w:spacing w:after="240" w:before="240"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for the Rose &amp; Frank v Crompton Bros (1925), it is based on an English organization that consented to specific carbon copy products. The agreement, which was later signed in writing, allow the plaintiffs to sell the products with the possibility of an extension in the USA and Canada. Moreover, there is also a document ‘Honourable Pledge Clause’ which is described as a formal or legal agreement. No such intention to create a contract which resulted in the Court of Appeal determining that there were already orders that formed a different and contractual binding agreement that defendants required to uphold. Therefore, in this case, there is still a presumption in the commercial agreements as it is seen as an intention to create a legal relationship  (Richards, 2009). </w:t>
      </w:r>
    </w:p>
    <w:p w:rsidR="00000000" w:rsidDel="00000000" w:rsidP="00000000" w:rsidRDefault="00000000" w:rsidRPr="00000000" w14:paraId="0000002F">
      <w:pPr>
        <w:spacing w:after="240" w:before="240"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Kleinwort Benson v. Malaysia Mining Corp. (1989) is the final case  in which the plaintiff bank agreed to provide a loan facility to MMC, a trading company listed on the London Metal Exchange, through its wholly-owned subsidiary. The bank then refused to make the loan based only on the MMCs. Following several discussions, MMC agreed to write a letter of comfort.  It is known as a letter or memorandum that is typically written by a holding company to a lender on the funding of one of the holding company's subsidiaries in order to reassure the lender of the subsidiary's financial stability (Uwtsd.ac.uk, 2023). The case was about an intention to create a legal relationship whereby the judge found it to be a commercial agreement and a contractual obligation on the part of the defendants. Compared with Edward v Skyways (1964) in the MMC case, it was stated that the commercial setting implied an intention to establish a legal connection. </w:t>
      </w:r>
    </w:p>
    <w:p w:rsidR="00000000" w:rsidDel="00000000" w:rsidP="00000000" w:rsidRDefault="00000000" w:rsidRPr="00000000" w14:paraId="00000030">
      <w:pPr>
        <w:spacing w:after="240" w:before="240"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ERDC Group Ltd v Brunel University (2006), in accordance with the letter of appointment, the design of the construction for additional sports facilities at the Uxbridge site was advanced while full planning approval was still pending. Following the issuance of the letters of appointment, the claimant began building under subsequent such letters. Once the work was completed, unfortunately, the claimant refused to sign and insisted that all work be valued in accordance with quantum meruit principles as opposed to the usual JCT Standard Form requirements if they were to continue working. Accordance to the Court, there was an intention to create legal relations and that work was done pursuant to the letters of the contract prior to the expiry of the last contract. </w:t>
      </w:r>
    </w:p>
    <w:p w:rsidR="00000000" w:rsidDel="00000000" w:rsidP="00000000" w:rsidRDefault="00000000" w:rsidRPr="00000000" w14:paraId="00000031">
      <w:pPr>
        <w:spacing w:after="240" w:before="240" w:line="360" w:lineRule="auto"/>
        <w:ind w:lef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4.0 Agreements made within public bodies or those which affect the public interest</w:t>
      </w:r>
    </w:p>
    <w:p w:rsidR="00000000" w:rsidDel="00000000" w:rsidP="00000000" w:rsidRDefault="00000000" w:rsidRPr="00000000" w14:paraId="00000032">
      <w:pPr>
        <w:spacing w:after="240" w:before="240" w:line="36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Regarding public bodies, a court will rule that even if a contract appears to be enforceable, there is no contractual relationship to be formed and no intention to form legal relations. Among them is Triefus v. Post Office (1957). After the defendant misplaced two postal packets, the plaintiff filed a claim for damages. The Court determined that the Post Office's acceptance of a postal package for transmission to the addressee did not give rise to any contractual obligations. The court examined the development of the law governing mail delivery. As for Robinson v HM Customs &amp; Excise (2000), the customs offered a prize, but the offer was not guaranteed, and no attempt was made to form a contract or other binding legal agreement. No legally enforceable agreement to make payment had been made because it had been made aware that the decision about the prize would not be made by the officer but rather by his superior at that officer's discretion.</w:t>
      </w:r>
      <w:r w:rsidDel="00000000" w:rsidR="00000000" w:rsidRPr="00000000">
        <w:rPr>
          <w:rtl w:val="0"/>
        </w:rPr>
      </w:r>
    </w:p>
    <w:p w:rsidR="00000000" w:rsidDel="00000000" w:rsidP="00000000" w:rsidRDefault="00000000" w:rsidRPr="00000000" w14:paraId="0000003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5">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5.0 Reference List</w:t>
      </w:r>
    </w:p>
    <w:p w:rsidR="00000000" w:rsidDel="00000000" w:rsidP="00000000" w:rsidRDefault="00000000" w:rsidRPr="00000000" w14:paraId="00000056">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7">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Law</w:t>
      </w:r>
    </w:p>
    <w:p w:rsidR="00000000" w:rsidDel="00000000" w:rsidP="00000000" w:rsidRDefault="00000000" w:rsidRPr="00000000" w14:paraId="00000058">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9">
      <w:pPr>
        <w:numPr>
          <w:ilvl w:val="0"/>
          <w:numId w:val="1"/>
        </w:numPr>
        <w:spacing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Blue v Ashley (2017) </w:t>
      </w:r>
      <w:r w:rsidDel="00000000" w:rsidR="00000000" w:rsidRPr="00000000">
        <w:rPr>
          <w:rFonts w:ascii="Times New Roman" w:cs="Times New Roman" w:eastAsia="Times New Roman" w:hAnsi="Times New Roman"/>
          <w:i w:val="1"/>
          <w:sz w:val="24"/>
          <w:szCs w:val="24"/>
          <w:rtl w:val="0"/>
        </w:rPr>
        <w:t xml:space="preserve"> EWHC 1928</w:t>
      </w:r>
      <w:r w:rsidDel="00000000" w:rsidR="00000000" w:rsidRPr="00000000">
        <w:rPr>
          <w:rtl w:val="0"/>
        </w:rPr>
      </w:r>
    </w:p>
    <w:p w:rsidR="00000000" w:rsidDel="00000000" w:rsidP="00000000" w:rsidRDefault="00000000" w:rsidRPr="00000000" w14:paraId="0000005A">
      <w:pPr>
        <w:numPr>
          <w:ilvl w:val="0"/>
          <w:numId w:val="1"/>
        </w:numPr>
        <w:spacing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Nicolene Ltd v Simmonds (1953) </w:t>
      </w:r>
      <w:r w:rsidDel="00000000" w:rsidR="00000000" w:rsidRPr="00000000">
        <w:rPr>
          <w:rFonts w:ascii="Times New Roman" w:cs="Times New Roman" w:eastAsia="Times New Roman" w:hAnsi="Times New Roman"/>
          <w:i w:val="1"/>
          <w:sz w:val="24"/>
          <w:szCs w:val="24"/>
          <w:rtl w:val="0"/>
        </w:rPr>
        <w:t xml:space="preserve">1QB 543</w:t>
      </w:r>
      <w:r w:rsidDel="00000000" w:rsidR="00000000" w:rsidRPr="00000000">
        <w:rPr>
          <w:rtl w:val="0"/>
        </w:rPr>
      </w:r>
    </w:p>
    <w:p w:rsidR="00000000" w:rsidDel="00000000" w:rsidP="00000000" w:rsidRDefault="00000000" w:rsidRPr="00000000" w14:paraId="0000005B">
      <w:pPr>
        <w:numPr>
          <w:ilvl w:val="0"/>
          <w:numId w:val="1"/>
        </w:numPr>
        <w:spacing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Balfour v Balfour (1919) 2KB 571</w:t>
      </w:r>
    </w:p>
    <w:p w:rsidR="00000000" w:rsidDel="00000000" w:rsidP="00000000" w:rsidRDefault="00000000" w:rsidRPr="00000000" w14:paraId="0000005C">
      <w:pPr>
        <w:numPr>
          <w:ilvl w:val="0"/>
          <w:numId w:val="1"/>
        </w:numPr>
        <w:spacing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Jones v Padavatton [1969] 1WLR 325</w:t>
      </w:r>
    </w:p>
    <w:p w:rsidR="00000000" w:rsidDel="00000000" w:rsidP="00000000" w:rsidRDefault="00000000" w:rsidRPr="00000000" w14:paraId="0000005D">
      <w:pPr>
        <w:numPr>
          <w:ilvl w:val="0"/>
          <w:numId w:val="1"/>
        </w:numPr>
        <w:spacing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Merritt v Merritt [1970] </w:t>
      </w:r>
      <w:r w:rsidDel="00000000" w:rsidR="00000000" w:rsidRPr="00000000">
        <w:rPr>
          <w:rFonts w:ascii="Times New Roman" w:cs="Times New Roman" w:eastAsia="Times New Roman" w:hAnsi="Times New Roman"/>
          <w:sz w:val="24"/>
          <w:szCs w:val="24"/>
          <w:highlight w:val="white"/>
          <w:rtl w:val="0"/>
        </w:rPr>
        <w:t xml:space="preserve">1 WLR 1211</w:t>
      </w:r>
      <w:r w:rsidDel="00000000" w:rsidR="00000000" w:rsidRPr="00000000">
        <w:rPr>
          <w:rtl w:val="0"/>
        </w:rPr>
      </w:r>
    </w:p>
    <w:p w:rsidR="00000000" w:rsidDel="00000000" w:rsidP="00000000" w:rsidRDefault="00000000" w:rsidRPr="00000000" w14:paraId="0000005E">
      <w:pPr>
        <w:numPr>
          <w:ilvl w:val="0"/>
          <w:numId w:val="1"/>
        </w:numPr>
        <w:spacing w:after="0" w:after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Simpkins v Pays [1955] </w:t>
      </w:r>
      <w:r w:rsidDel="00000000" w:rsidR="00000000" w:rsidRPr="00000000">
        <w:rPr>
          <w:rFonts w:ascii="Times New Roman" w:cs="Times New Roman" w:eastAsia="Times New Roman" w:hAnsi="Times New Roman"/>
          <w:color w:val="212529"/>
          <w:sz w:val="24"/>
          <w:szCs w:val="24"/>
          <w:highlight w:val="white"/>
          <w:rtl w:val="0"/>
        </w:rPr>
        <w:t xml:space="preserve">1 WLR 975</w:t>
      </w:r>
      <w:r w:rsidDel="00000000" w:rsidR="00000000" w:rsidRPr="00000000">
        <w:rPr>
          <w:rtl w:val="0"/>
        </w:rPr>
      </w:r>
    </w:p>
    <w:p w:rsidR="00000000" w:rsidDel="00000000" w:rsidP="00000000" w:rsidRDefault="00000000" w:rsidRPr="00000000" w14:paraId="0000005F">
      <w:pPr>
        <w:numPr>
          <w:ilvl w:val="0"/>
          <w:numId w:val="1"/>
        </w:numPr>
        <w:spacing w:after="0" w:afterAutospacing="0" w:before="0" w:before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Esso v Commissioners of Customs and Excise [1975] 1WLR 1</w:t>
      </w:r>
    </w:p>
    <w:p w:rsidR="00000000" w:rsidDel="00000000" w:rsidP="00000000" w:rsidRDefault="00000000" w:rsidRPr="00000000" w14:paraId="00000060">
      <w:pPr>
        <w:numPr>
          <w:ilvl w:val="0"/>
          <w:numId w:val="1"/>
        </w:numPr>
        <w:spacing w:after="0" w:afterAutospacing="0" w:before="0" w:before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Edwards v Skyways [1964] 1 WLR 349</w:t>
      </w:r>
    </w:p>
    <w:p w:rsidR="00000000" w:rsidDel="00000000" w:rsidP="00000000" w:rsidRDefault="00000000" w:rsidRPr="00000000" w14:paraId="00000061">
      <w:pPr>
        <w:numPr>
          <w:ilvl w:val="0"/>
          <w:numId w:val="1"/>
        </w:numPr>
        <w:spacing w:after="0" w:afterAutospacing="0" w:before="0" w:before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Rose &amp; Frank v Crompton Bros [1925] AC 445</w:t>
      </w:r>
    </w:p>
    <w:p w:rsidR="00000000" w:rsidDel="00000000" w:rsidP="00000000" w:rsidRDefault="00000000" w:rsidRPr="00000000" w14:paraId="00000062">
      <w:pPr>
        <w:numPr>
          <w:ilvl w:val="0"/>
          <w:numId w:val="1"/>
        </w:numPr>
        <w:spacing w:after="0" w:afterAutospacing="0" w:before="0" w:before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Kleinwort Benson v Malaysian Mining Corp [1989] 1 ALL ER 785</w:t>
      </w:r>
    </w:p>
    <w:p w:rsidR="00000000" w:rsidDel="00000000" w:rsidP="00000000" w:rsidRDefault="00000000" w:rsidRPr="00000000" w14:paraId="00000063">
      <w:pPr>
        <w:numPr>
          <w:ilvl w:val="0"/>
          <w:numId w:val="1"/>
        </w:numPr>
        <w:spacing w:after="0" w:afterAutospacing="0" w:before="0" w:before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ERDC Group Ltd v Brunel University [2006] </w:t>
      </w:r>
      <w:r w:rsidDel="00000000" w:rsidR="00000000" w:rsidRPr="00000000">
        <w:rPr>
          <w:rFonts w:ascii="Times New Roman" w:cs="Times New Roman" w:eastAsia="Times New Roman" w:hAnsi="Times New Roman"/>
          <w:color w:val="36424a"/>
          <w:sz w:val="24"/>
          <w:szCs w:val="24"/>
          <w:rtl w:val="0"/>
        </w:rPr>
        <w:t xml:space="preserve">EWHC 687 </w:t>
      </w:r>
      <w:r w:rsidDel="00000000" w:rsidR="00000000" w:rsidRPr="00000000">
        <w:rPr>
          <w:rtl w:val="0"/>
        </w:rPr>
      </w:r>
    </w:p>
    <w:p w:rsidR="00000000" w:rsidDel="00000000" w:rsidP="00000000" w:rsidRDefault="00000000" w:rsidRPr="00000000" w14:paraId="00000064">
      <w:pPr>
        <w:numPr>
          <w:ilvl w:val="0"/>
          <w:numId w:val="1"/>
        </w:numPr>
        <w:spacing w:after="0" w:afterAutospacing="0" w:before="0" w:before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Triefus v Post Office [1957] </w:t>
      </w:r>
      <w:r w:rsidDel="00000000" w:rsidR="00000000" w:rsidRPr="00000000">
        <w:rPr>
          <w:rFonts w:ascii="Times New Roman" w:cs="Times New Roman" w:eastAsia="Times New Roman" w:hAnsi="Times New Roman"/>
          <w:color w:val="222222"/>
          <w:sz w:val="24"/>
          <w:szCs w:val="24"/>
          <w:highlight w:val="white"/>
          <w:rtl w:val="0"/>
        </w:rPr>
        <w:t xml:space="preserve">2 QB 352</w:t>
      </w:r>
      <w:r w:rsidDel="00000000" w:rsidR="00000000" w:rsidRPr="00000000">
        <w:rPr>
          <w:rtl w:val="0"/>
        </w:rPr>
      </w:r>
    </w:p>
    <w:p w:rsidR="00000000" w:rsidDel="00000000" w:rsidP="00000000" w:rsidRDefault="00000000" w:rsidRPr="00000000" w14:paraId="00000065">
      <w:pPr>
        <w:numPr>
          <w:ilvl w:val="0"/>
          <w:numId w:val="1"/>
        </w:numPr>
        <w:spacing w:after="240" w:before="0" w:before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Robinson v HM Customs &amp; Excise [2000] </w:t>
      </w:r>
      <w:r w:rsidDel="00000000" w:rsidR="00000000" w:rsidRPr="00000000">
        <w:rPr>
          <w:rFonts w:ascii="Times New Roman" w:cs="Times New Roman" w:eastAsia="Times New Roman" w:hAnsi="Times New Roman"/>
          <w:color w:val="222222"/>
          <w:sz w:val="24"/>
          <w:szCs w:val="24"/>
          <w:highlight w:val="white"/>
          <w:rtl w:val="0"/>
        </w:rPr>
        <w:t xml:space="preserve">28 APR 2000</w:t>
      </w:r>
      <w:r w:rsidDel="00000000" w:rsidR="00000000" w:rsidRPr="00000000">
        <w:rPr>
          <w:rtl w:val="0"/>
        </w:rPr>
      </w:r>
    </w:p>
    <w:p w:rsidR="00000000" w:rsidDel="00000000" w:rsidP="00000000" w:rsidRDefault="00000000" w:rsidRPr="00000000" w14:paraId="00000066">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Academic Literature</w:t>
      </w:r>
    </w:p>
    <w:p w:rsidR="00000000" w:rsidDel="00000000" w:rsidP="00000000" w:rsidRDefault="00000000" w:rsidRPr="00000000" w14:paraId="00000067">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8">
      <w:pPr>
        <w:numPr>
          <w:ilvl w:val="0"/>
          <w:numId w:val="2"/>
        </w:numPr>
        <w:pBdr>
          <w:left w:color="auto" w:space="0" w:sz="0" w:val="none"/>
        </w:pBdr>
        <w:spacing w:after="0" w:afterAutospacing="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E-lawresources.co.uk. (2023). </w:t>
      </w:r>
      <w:r w:rsidDel="00000000" w:rsidR="00000000" w:rsidRPr="00000000">
        <w:rPr>
          <w:rFonts w:ascii="Times New Roman" w:cs="Times New Roman" w:eastAsia="Times New Roman" w:hAnsi="Times New Roman"/>
          <w:i w:val="1"/>
          <w:sz w:val="24"/>
          <w:szCs w:val="24"/>
          <w:rtl w:val="0"/>
        </w:rPr>
        <w:t xml:space="preserve">Simpkins v Pays</w:t>
      </w:r>
      <w:r w:rsidDel="00000000" w:rsidR="00000000" w:rsidRPr="00000000">
        <w:rPr>
          <w:rFonts w:ascii="Times New Roman" w:cs="Times New Roman" w:eastAsia="Times New Roman" w:hAnsi="Times New Roman"/>
          <w:sz w:val="24"/>
          <w:szCs w:val="24"/>
          <w:rtl w:val="0"/>
        </w:rPr>
        <w:t xml:space="preserve">. [online] Available at: </w:t>
      </w:r>
      <w:hyperlink r:id="rId7">
        <w:r w:rsidDel="00000000" w:rsidR="00000000" w:rsidRPr="00000000">
          <w:rPr>
            <w:rFonts w:ascii="Times New Roman" w:cs="Times New Roman" w:eastAsia="Times New Roman" w:hAnsi="Times New Roman"/>
            <w:sz w:val="24"/>
            <w:szCs w:val="24"/>
            <w:u w:val="single"/>
            <w:rtl w:val="0"/>
          </w:rPr>
          <w:t xml:space="preserve">http://www.e-lawresources.co.uk/Simpkins-v-Pays.php#:~:text=The%20lodger%20brought%20the%20action</w:t>
        </w:r>
      </w:hyperlink>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69">
      <w:pPr>
        <w:numPr>
          <w:ilvl w:val="0"/>
          <w:numId w:val="2"/>
        </w:numPr>
        <w:pBdr>
          <w:left w:color="auto" w:space="0" w:sz="0" w:val="none"/>
        </w:pBdr>
        <w:spacing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Ellis, L. (2022, February 28). </w:t>
      </w:r>
      <w:r w:rsidDel="00000000" w:rsidR="00000000" w:rsidRPr="00000000">
        <w:rPr>
          <w:rFonts w:ascii="Times New Roman" w:cs="Times New Roman" w:eastAsia="Times New Roman" w:hAnsi="Times New Roman"/>
          <w:i w:val="1"/>
          <w:sz w:val="24"/>
          <w:szCs w:val="24"/>
          <w:rtl w:val="0"/>
        </w:rPr>
        <w:t xml:space="preserve">consideration: contract law (meaning, types &amp; purpose)</w:t>
      </w:r>
      <w:r w:rsidDel="00000000" w:rsidR="00000000" w:rsidRPr="00000000">
        <w:rPr>
          <w:rFonts w:ascii="Times New Roman" w:cs="Times New Roman" w:eastAsia="Times New Roman" w:hAnsi="Times New Roman"/>
          <w:sz w:val="24"/>
          <w:szCs w:val="24"/>
          <w:rtl w:val="0"/>
        </w:rPr>
        <w:t xml:space="preserve">. Hall Ellis Solicitors. </w:t>
      </w:r>
      <w:hyperlink r:id="rId8">
        <w:r w:rsidDel="00000000" w:rsidR="00000000" w:rsidRPr="00000000">
          <w:rPr>
            <w:rFonts w:ascii="Times New Roman" w:cs="Times New Roman" w:eastAsia="Times New Roman" w:hAnsi="Times New Roman"/>
            <w:sz w:val="24"/>
            <w:szCs w:val="24"/>
            <w:u w:val="single"/>
            <w:rtl w:val="0"/>
          </w:rPr>
          <w:t xml:space="preserve">https://hallellis.co.uk/contractual-consideration/</w:t>
        </w:r>
      </w:hyperlink>
      <w:r w:rsidDel="00000000" w:rsidR="00000000" w:rsidRPr="00000000">
        <w:rPr>
          <w:rtl w:val="0"/>
        </w:rPr>
      </w:r>
    </w:p>
    <w:p w:rsidR="00000000" w:rsidDel="00000000" w:rsidP="00000000" w:rsidRDefault="00000000" w:rsidRPr="00000000" w14:paraId="0000006A">
      <w:pPr>
        <w:numPr>
          <w:ilvl w:val="0"/>
          <w:numId w:val="2"/>
        </w:numPr>
        <w:pBdr>
          <w:left w:color="auto" w:space="0" w:sz="0" w:val="none"/>
        </w:pBdr>
        <w:spacing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Richards, P. (2009). </w:t>
      </w:r>
      <w:r w:rsidDel="00000000" w:rsidR="00000000" w:rsidRPr="00000000">
        <w:rPr>
          <w:rFonts w:ascii="Times New Roman" w:cs="Times New Roman" w:eastAsia="Times New Roman" w:hAnsi="Times New Roman"/>
          <w:i w:val="1"/>
          <w:sz w:val="24"/>
          <w:szCs w:val="24"/>
          <w:rtl w:val="0"/>
        </w:rPr>
        <w:t xml:space="preserve">Law of contract</w:t>
      </w:r>
      <w:r w:rsidDel="00000000" w:rsidR="00000000" w:rsidRPr="00000000">
        <w:rPr>
          <w:rFonts w:ascii="Times New Roman" w:cs="Times New Roman" w:eastAsia="Times New Roman" w:hAnsi="Times New Roman"/>
          <w:sz w:val="24"/>
          <w:szCs w:val="24"/>
          <w:rtl w:val="0"/>
        </w:rPr>
        <w:t xml:space="preserve">. Harlow: Pearson Longman. </w:t>
      </w:r>
    </w:p>
    <w:p w:rsidR="00000000" w:rsidDel="00000000" w:rsidP="00000000" w:rsidRDefault="00000000" w:rsidRPr="00000000" w14:paraId="0000006B">
      <w:pPr>
        <w:numPr>
          <w:ilvl w:val="0"/>
          <w:numId w:val="2"/>
        </w:numPr>
        <w:pBdr>
          <w:left w:color="auto" w:space="0" w:sz="0" w:val="none"/>
        </w:pBd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Poole, J. (2014). </w:t>
      </w:r>
      <w:r w:rsidDel="00000000" w:rsidR="00000000" w:rsidRPr="00000000">
        <w:rPr>
          <w:rFonts w:ascii="Times New Roman" w:cs="Times New Roman" w:eastAsia="Times New Roman" w:hAnsi="Times New Roman"/>
          <w:i w:val="1"/>
          <w:sz w:val="24"/>
          <w:szCs w:val="24"/>
          <w:rtl w:val="0"/>
        </w:rPr>
        <w:t xml:space="preserve">Textbook on Contract Law</w:t>
      </w:r>
      <w:r w:rsidDel="00000000" w:rsidR="00000000" w:rsidRPr="00000000">
        <w:rPr>
          <w:rFonts w:ascii="Times New Roman" w:cs="Times New Roman" w:eastAsia="Times New Roman" w:hAnsi="Times New Roman"/>
          <w:sz w:val="24"/>
          <w:szCs w:val="24"/>
          <w:rtl w:val="0"/>
        </w:rPr>
        <w:t xml:space="preserve">. Oxford University Press, USA.</w:t>
      </w:r>
    </w:p>
    <w:p w:rsidR="00000000" w:rsidDel="00000000" w:rsidP="00000000" w:rsidRDefault="00000000" w:rsidRPr="00000000" w14:paraId="0000006C">
      <w:pPr>
        <w:numPr>
          <w:ilvl w:val="0"/>
          <w:numId w:val="2"/>
        </w:numPr>
        <w:pBdr>
          <w:left w:color="auto" w:space="0" w:sz="0" w:val="none"/>
        </w:pBdr>
        <w:spacing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Uwtsd.ac.uk. (2023). </w:t>
      </w:r>
      <w:r w:rsidDel="00000000" w:rsidR="00000000" w:rsidRPr="00000000">
        <w:rPr>
          <w:rFonts w:ascii="Times New Roman" w:cs="Times New Roman" w:eastAsia="Times New Roman" w:hAnsi="Times New Roman"/>
          <w:i w:val="1"/>
          <w:sz w:val="24"/>
          <w:szCs w:val="24"/>
          <w:rtl w:val="0"/>
        </w:rPr>
        <w:t xml:space="preserve">Edwards v Skyways Ltd</w:t>
      </w:r>
      <w:r w:rsidDel="00000000" w:rsidR="00000000" w:rsidRPr="00000000">
        <w:rPr>
          <w:rFonts w:ascii="Times New Roman" w:cs="Times New Roman" w:eastAsia="Times New Roman" w:hAnsi="Times New Roman"/>
          <w:sz w:val="24"/>
          <w:szCs w:val="24"/>
          <w:rtl w:val="0"/>
        </w:rPr>
        <w:t xml:space="preserve">. [online] Available at: https://plus-lexis-com.ezproxy.uwtsd.ac.uk/api/permalink/dd410c98-b7be-412f-98bd-c69176c07242/?context=1001073 [Accessed 9 Mar. 2023].</w:t>
      </w:r>
    </w:p>
    <w:p w:rsidR="00000000" w:rsidDel="00000000" w:rsidP="00000000" w:rsidRDefault="00000000" w:rsidRPr="00000000" w14:paraId="0000006D">
      <w:pPr>
        <w:numPr>
          <w:ilvl w:val="0"/>
          <w:numId w:val="2"/>
        </w:numPr>
        <w:pBdr>
          <w:left w:color="auto" w:space="0" w:sz="0" w:val="none"/>
        </w:pBdr>
        <w:spacing w:after="0" w:afterAutospacing="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isurv (2015). Cases - ERDC Group Ltd v Brunel University | isurv. </w:t>
      </w:r>
      <w:r w:rsidDel="00000000" w:rsidR="00000000" w:rsidRPr="00000000">
        <w:rPr>
          <w:rFonts w:ascii="Times New Roman" w:cs="Times New Roman" w:eastAsia="Times New Roman" w:hAnsi="Times New Roman"/>
          <w:i w:val="1"/>
          <w:sz w:val="24"/>
          <w:szCs w:val="24"/>
          <w:rtl w:val="0"/>
        </w:rPr>
        <w:t xml:space="preserve">Isurv.com</w:t>
      </w:r>
      <w:r w:rsidDel="00000000" w:rsidR="00000000" w:rsidRPr="00000000">
        <w:rPr>
          <w:rFonts w:ascii="Times New Roman" w:cs="Times New Roman" w:eastAsia="Times New Roman" w:hAnsi="Times New Roman"/>
          <w:sz w:val="24"/>
          <w:szCs w:val="24"/>
          <w:rtl w:val="0"/>
        </w:rPr>
        <w:t xml:space="preserve">. [online] doi:</w:t>
      </w:r>
      <w:hyperlink r:id="rId9">
        <w:r w:rsidDel="00000000" w:rsidR="00000000" w:rsidRPr="00000000">
          <w:rPr>
            <w:rFonts w:ascii="Times New Roman" w:cs="Times New Roman" w:eastAsia="Times New Roman" w:hAnsi="Times New Roman"/>
            <w:sz w:val="24"/>
            <w:szCs w:val="24"/>
            <w:u w:val="single"/>
            <w:rtl w:val="0"/>
          </w:rPr>
          <w:t xml:space="preserve">https://www.isurv.com/site/scripts/directory_record.php?recordID=4060</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E">
      <w:pPr>
        <w:numPr>
          <w:ilvl w:val="0"/>
          <w:numId w:val="2"/>
        </w:numPr>
        <w:pBdr>
          <w:left w:color="auto" w:space="0" w:sz="0" w:val="none"/>
        </w:pBdr>
        <w:spacing w:after="0" w:afterAutospacing="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dls (2022). </w:t>
      </w:r>
      <w:r w:rsidDel="00000000" w:rsidR="00000000" w:rsidRPr="00000000">
        <w:rPr>
          <w:rFonts w:ascii="Times New Roman" w:cs="Times New Roman" w:eastAsia="Times New Roman" w:hAnsi="Times New Roman"/>
          <w:i w:val="1"/>
          <w:sz w:val="24"/>
          <w:szCs w:val="24"/>
          <w:rtl w:val="0"/>
        </w:rPr>
        <w:t xml:space="preserve">Triefus and Co Ltd v Post Office: CA 1957</w:t>
      </w:r>
      <w:r w:rsidDel="00000000" w:rsidR="00000000" w:rsidRPr="00000000">
        <w:rPr>
          <w:rFonts w:ascii="Times New Roman" w:cs="Times New Roman" w:eastAsia="Times New Roman" w:hAnsi="Times New Roman"/>
          <w:sz w:val="24"/>
          <w:szCs w:val="24"/>
          <w:rtl w:val="0"/>
        </w:rPr>
        <w:t xml:space="preserve">. [online] swarb.co.uk. Available at: </w:t>
      </w:r>
      <w:hyperlink r:id="rId10">
        <w:r w:rsidDel="00000000" w:rsidR="00000000" w:rsidRPr="00000000">
          <w:rPr>
            <w:rFonts w:ascii="Times New Roman" w:cs="Times New Roman" w:eastAsia="Times New Roman" w:hAnsi="Times New Roman"/>
            <w:sz w:val="24"/>
            <w:szCs w:val="24"/>
            <w:u w:val="single"/>
            <w:rtl w:val="0"/>
          </w:rPr>
          <w:t xml:space="preserve">https://swarb.co.uk/triefus-and-co-ltd-v-post-office-ca-1957/</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F">
      <w:pPr>
        <w:numPr>
          <w:ilvl w:val="0"/>
          <w:numId w:val="2"/>
        </w:numPr>
        <w:pBdr>
          <w:left w:color="auto" w:space="0" w:sz="0" w:val="none"/>
        </w:pBdr>
        <w:spacing w:after="0" w:afterAutospacing="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Kleinwort Benson Ltd v Malaysia Mining Corpn Bhd</w:t>
      </w:r>
      <w:r w:rsidDel="00000000" w:rsidR="00000000" w:rsidRPr="00000000">
        <w:rPr>
          <w:rFonts w:ascii="Times New Roman" w:cs="Times New Roman" w:eastAsia="Times New Roman" w:hAnsi="Times New Roman"/>
          <w:sz w:val="24"/>
          <w:szCs w:val="24"/>
          <w:rtl w:val="0"/>
        </w:rPr>
        <w:t xml:space="preserve"> [1989] 1 All ER 785, [1989] 1 WLR 379, [1989] LRC (Comm) 351, 11 LDAB 306, (1989) Times, 8 February </w:t>
      </w:r>
    </w:p>
    <w:p w:rsidR="00000000" w:rsidDel="00000000" w:rsidP="00000000" w:rsidRDefault="00000000" w:rsidRPr="00000000" w14:paraId="00000070">
      <w:pPr>
        <w:numPr>
          <w:ilvl w:val="0"/>
          <w:numId w:val="2"/>
        </w:numPr>
        <w:pBdr>
          <w:left w:color="auto" w:space="0" w:sz="0" w:val="none"/>
        </w:pBdr>
        <w:spacing w:after="0" w:afterAutospacing="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Uwtsd.ac.uk. (2023c). Available at: https://plus-lexis-com.ezproxy.uwtsd.ac.uk/api/permalink/bb367442-106f-4ed3-b4ee-42e1a2206444/?context=1001073 [Accessed 10 Mar. 2023].</w:t>
      </w:r>
    </w:p>
    <w:p w:rsidR="00000000" w:rsidDel="00000000" w:rsidP="00000000" w:rsidRDefault="00000000" w:rsidRPr="00000000" w14:paraId="00000071">
      <w:pPr>
        <w:numPr>
          <w:ilvl w:val="0"/>
          <w:numId w:val="2"/>
        </w:numPr>
        <w:pBdr>
          <w:left w:color="auto" w:space="0" w:sz="0" w:val="none"/>
        </w:pBdr>
        <w:spacing w:after="24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FURMSTON, Michael; MIK, Eliza; and TOLHURST, GJ. Formation of Contracts. (2015). </w:t>
      </w:r>
      <w:r w:rsidDel="00000000" w:rsidR="00000000" w:rsidRPr="00000000">
        <w:rPr>
          <w:rFonts w:ascii="Times New Roman" w:cs="Times New Roman" w:eastAsia="Times New Roman" w:hAnsi="Times New Roman"/>
          <w:i w:val="1"/>
          <w:sz w:val="24"/>
          <w:szCs w:val="24"/>
          <w:rtl w:val="0"/>
        </w:rPr>
        <w:t xml:space="preserve">The Law of Contract</w:t>
      </w:r>
      <w:r w:rsidDel="00000000" w:rsidR="00000000" w:rsidRPr="00000000">
        <w:rPr>
          <w:rFonts w:ascii="Times New Roman" w:cs="Times New Roman" w:eastAsia="Times New Roman" w:hAnsi="Times New Roman"/>
          <w:sz w:val="24"/>
          <w:szCs w:val="24"/>
          <w:rtl w:val="0"/>
        </w:rPr>
        <w:t xml:space="preserve">. Research Collection Yong Pung How School Of Law. </w:t>
      </w:r>
    </w:p>
    <w:p w:rsidR="00000000" w:rsidDel="00000000" w:rsidP="00000000" w:rsidRDefault="00000000" w:rsidRPr="00000000" w14:paraId="00000072">
      <w:pPr>
        <w:pBdr>
          <w:left w:color="auto" w:space="0" w:sz="0" w:val="none"/>
        </w:pBdr>
        <w:spacing w:after="240"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3">
      <w:pPr>
        <w:pBdr>
          <w:left w:color="auto" w:space="0" w:sz="0" w:val="none"/>
        </w:pBdr>
        <w:spacing w:after="240"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4">
      <w:pPr>
        <w:pBdr>
          <w:left w:color="auto" w:space="0" w:sz="0" w:val="none"/>
        </w:pBdr>
        <w:spacing w:after="240"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5">
      <w:pPr>
        <w:pBdr>
          <w:left w:color="auto" w:space="0" w:sz="0" w:val="none"/>
        </w:pBdr>
        <w:spacing w:after="240" w:line="360" w:lineRule="auto"/>
        <w:ind w:left="720" w:firstLine="0"/>
        <w:jc w:val="both"/>
        <w:rPr>
          <w:rFonts w:ascii="Times New Roman" w:cs="Times New Roman" w:eastAsia="Times New Roman" w:hAnsi="Times New Roman"/>
          <w:sz w:val="21"/>
          <w:szCs w:val="21"/>
          <w:highlight w:val="white"/>
        </w:rPr>
      </w:pPr>
      <w:r w:rsidDel="00000000" w:rsidR="00000000" w:rsidRPr="00000000">
        <w:rPr>
          <w:rtl w:val="0"/>
        </w:rPr>
      </w:r>
    </w:p>
    <w:p w:rsidR="00000000" w:rsidDel="00000000" w:rsidP="00000000" w:rsidRDefault="00000000" w:rsidRPr="00000000" w14:paraId="00000076">
      <w:pPr>
        <w:pBdr>
          <w:left w:color="auto" w:space="0" w:sz="0" w:val="none"/>
        </w:pBdr>
        <w:spacing w:after="240" w:line="36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8">
      <w:pPr>
        <w:rPr>
          <w:rFonts w:ascii="Times New Roman" w:cs="Times New Roman" w:eastAsia="Times New Roman" w:hAnsi="Times New Roman"/>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s://swarb.co.uk/triefus-and-co-ltd-v-post-office-ca-1957/" TargetMode="External"/><Relationship Id="rId9" Type="http://schemas.openxmlformats.org/officeDocument/2006/relationships/hyperlink" Target="https://www.isurv.com/site/scripts/directory_record.php?recordID=4060"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www.e-lawresources.co.uk/Simpkins-v-Pays.php#:~:text=The%20lodger%20brought%20the%20action" TargetMode="External"/><Relationship Id="rId8" Type="http://schemas.openxmlformats.org/officeDocument/2006/relationships/hyperlink" Target="https://hallellis.co.uk/contractual-conside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