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E09E72" w14:textId="77777777" w:rsidR="00BC1939" w:rsidRDefault="00BC1939" w:rsidP="00BC1939">
      <w:pPr>
        <w:rPr>
          <w:b/>
          <w:bCs/>
          <w:sz w:val="20"/>
          <w:szCs w:val="20"/>
        </w:rPr>
      </w:pPr>
    </w:p>
    <w:p w14:paraId="3705B7BB" w14:textId="77777777" w:rsidR="00BC1939" w:rsidRDefault="00BC1939" w:rsidP="00BC1939">
      <w:pPr>
        <w:rPr>
          <w:b/>
          <w:bCs/>
          <w:sz w:val="20"/>
          <w:szCs w:val="20"/>
        </w:rPr>
      </w:pPr>
    </w:p>
    <w:p w14:paraId="7D482006" w14:textId="77777777" w:rsidR="00BC1939" w:rsidRDefault="00BC1939" w:rsidP="00BC1939">
      <w:pPr>
        <w:rPr>
          <w:b/>
          <w:bCs/>
          <w:sz w:val="20"/>
          <w:szCs w:val="20"/>
        </w:rPr>
      </w:pPr>
    </w:p>
    <w:p w14:paraId="7A70C7A9" w14:textId="77777777" w:rsidR="00BC1939" w:rsidRDefault="00BC1939" w:rsidP="00BC1939">
      <w:pPr>
        <w:rPr>
          <w:b/>
          <w:bCs/>
          <w:sz w:val="20"/>
          <w:szCs w:val="20"/>
        </w:rPr>
      </w:pPr>
    </w:p>
    <w:p w14:paraId="0332EF70" w14:textId="77777777" w:rsidR="00BC1939" w:rsidRDefault="00BC1939" w:rsidP="00BC1939">
      <w:pPr>
        <w:rPr>
          <w:b/>
          <w:bCs/>
          <w:sz w:val="20"/>
          <w:szCs w:val="20"/>
        </w:rPr>
      </w:pPr>
    </w:p>
    <w:p w14:paraId="4525DE79" w14:textId="77777777" w:rsidR="00BC1939" w:rsidRDefault="00BC1939" w:rsidP="00BC1939">
      <w:pPr>
        <w:rPr>
          <w:b/>
          <w:bCs/>
          <w:sz w:val="20"/>
          <w:szCs w:val="20"/>
        </w:rPr>
      </w:pPr>
    </w:p>
    <w:p w14:paraId="70CE5B17" w14:textId="77777777" w:rsidR="00BC1939" w:rsidRDefault="00BC1939" w:rsidP="00BC1939">
      <w:pPr>
        <w:rPr>
          <w:b/>
          <w:bCs/>
          <w:sz w:val="20"/>
          <w:szCs w:val="20"/>
        </w:rPr>
      </w:pPr>
    </w:p>
    <w:p w14:paraId="2CFD8D95" w14:textId="77777777" w:rsidR="00BC1939" w:rsidRDefault="00BC1939" w:rsidP="00BC1939">
      <w:pPr>
        <w:rPr>
          <w:b/>
          <w:bCs/>
          <w:sz w:val="20"/>
          <w:szCs w:val="20"/>
        </w:rPr>
      </w:pPr>
    </w:p>
    <w:p w14:paraId="658978A3" w14:textId="77777777" w:rsidR="00BC1939" w:rsidRDefault="00BC1939" w:rsidP="00BC1939">
      <w:pPr>
        <w:rPr>
          <w:b/>
          <w:bCs/>
          <w:sz w:val="20"/>
          <w:szCs w:val="20"/>
        </w:rPr>
      </w:pPr>
    </w:p>
    <w:p w14:paraId="40A1F720" w14:textId="77777777" w:rsidR="00BC1939" w:rsidRDefault="00BC1939" w:rsidP="00BC1939">
      <w:pPr>
        <w:rPr>
          <w:b/>
          <w:bCs/>
          <w:sz w:val="20"/>
          <w:szCs w:val="20"/>
        </w:rPr>
      </w:pPr>
    </w:p>
    <w:p w14:paraId="2BA25A5C" w14:textId="77777777" w:rsidR="00BC1939" w:rsidRDefault="00BC1939" w:rsidP="00BC1939">
      <w:pPr>
        <w:rPr>
          <w:b/>
          <w:bCs/>
          <w:sz w:val="20"/>
          <w:szCs w:val="20"/>
        </w:rPr>
      </w:pPr>
    </w:p>
    <w:p w14:paraId="2A657998" w14:textId="77777777" w:rsidR="00BC1939" w:rsidRDefault="00BC1939" w:rsidP="00BC1939">
      <w:pPr>
        <w:rPr>
          <w:b/>
          <w:bCs/>
          <w:sz w:val="20"/>
          <w:szCs w:val="20"/>
        </w:rPr>
      </w:pPr>
    </w:p>
    <w:p w14:paraId="18945D84" w14:textId="77777777" w:rsidR="00BC1939" w:rsidRDefault="00BC1939" w:rsidP="00BC1939">
      <w:pPr>
        <w:rPr>
          <w:sz w:val="28"/>
          <w:szCs w:val="28"/>
        </w:rPr>
      </w:pPr>
    </w:p>
    <w:p w14:paraId="0ED45391" w14:textId="77777777" w:rsidR="00BC1939" w:rsidRPr="001450EE" w:rsidRDefault="00BC1939" w:rsidP="00BC1939">
      <w:pPr>
        <w:rPr>
          <w:rFonts w:ascii="Arial" w:hAnsi="Arial" w:cs="Arial"/>
        </w:rPr>
      </w:pPr>
      <w:r w:rsidRPr="00CB34C8">
        <w:rPr>
          <w:sz w:val="28"/>
          <w:szCs w:val="28"/>
        </w:rPr>
        <w:t xml:space="preserve">    </w:t>
      </w:r>
      <w:r w:rsidRPr="00CB34C8">
        <w:rPr>
          <w:noProof/>
          <w:sz w:val="28"/>
          <w:szCs w:val="28"/>
        </w:rPr>
        <w:drawing>
          <wp:inline distT="0" distB="0" distL="0" distR="0" wp14:anchorId="79E3DB7E" wp14:editId="356870FA">
            <wp:extent cx="3843020" cy="1343465"/>
            <wp:effectExtent l="0" t="0" r="5080" b="9525"/>
            <wp:docPr id="5" name="Picture 2">
              <a:extLst xmlns:a="http://schemas.openxmlformats.org/drawingml/2006/main">
                <a:ext uri="{FF2B5EF4-FFF2-40B4-BE49-F238E27FC236}">
                  <a16:creationId xmlns:a16="http://schemas.microsoft.com/office/drawing/2014/main" id="{9178A92F-C8EC-ABCC-3F58-1B24FFB848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a:extLst>
                        <a:ext uri="{FF2B5EF4-FFF2-40B4-BE49-F238E27FC236}">
                          <a16:creationId xmlns:a16="http://schemas.microsoft.com/office/drawing/2014/main" id="{9178A92F-C8EC-ABCC-3F58-1B24FFB848F7}"/>
                        </a:ext>
                      </a:extLs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03566" cy="1364631"/>
                    </a:xfrm>
                    <a:prstGeom prst="rect">
                      <a:avLst/>
                    </a:prstGeom>
                    <a:noFill/>
                  </pic:spPr>
                </pic:pic>
              </a:graphicData>
            </a:graphic>
          </wp:inline>
        </w:drawing>
      </w:r>
    </w:p>
    <w:p w14:paraId="0296A783" w14:textId="77777777" w:rsidR="00BC1939" w:rsidRPr="00CB34C8" w:rsidRDefault="00BC1939" w:rsidP="00BC1939">
      <w:pPr>
        <w:ind w:left="2160"/>
        <w:rPr>
          <w:sz w:val="28"/>
          <w:szCs w:val="28"/>
        </w:rPr>
      </w:pPr>
      <w:r w:rsidRPr="6D12EEEB">
        <w:rPr>
          <w:b/>
          <w:bCs/>
          <w:sz w:val="28"/>
          <w:szCs w:val="28"/>
          <w:lang w:val="en-US"/>
        </w:rPr>
        <w:t xml:space="preserve">Module Code: </w:t>
      </w:r>
      <w:r>
        <w:rPr>
          <w:sz w:val="28"/>
          <w:szCs w:val="28"/>
          <w:lang w:val="en-US"/>
        </w:rPr>
        <w:t>BMHP5023</w:t>
      </w:r>
    </w:p>
    <w:p w14:paraId="68A50B27" w14:textId="77777777" w:rsidR="00BC1939" w:rsidRPr="00CB34C8" w:rsidRDefault="00BC1939" w:rsidP="00BC1939">
      <w:pPr>
        <w:ind w:left="2160"/>
        <w:rPr>
          <w:sz w:val="28"/>
          <w:szCs w:val="28"/>
        </w:rPr>
      </w:pPr>
      <w:r w:rsidRPr="6D12EEEB">
        <w:rPr>
          <w:b/>
          <w:bCs/>
          <w:sz w:val="28"/>
          <w:szCs w:val="28"/>
          <w:lang w:val="en-US"/>
        </w:rPr>
        <w:t>Module Tittle:</w:t>
      </w:r>
      <w:r w:rsidRPr="6D12EEEB">
        <w:rPr>
          <w:sz w:val="28"/>
          <w:szCs w:val="28"/>
          <w:lang w:val="en-US"/>
        </w:rPr>
        <w:t xml:space="preserve"> </w:t>
      </w:r>
      <w:r>
        <w:rPr>
          <w:sz w:val="28"/>
          <w:szCs w:val="28"/>
          <w:lang w:val="en-US"/>
        </w:rPr>
        <w:t>Introduction to Physiology</w:t>
      </w:r>
      <w:r w:rsidRPr="6D12EEEB">
        <w:rPr>
          <w:sz w:val="28"/>
          <w:szCs w:val="28"/>
          <w:lang w:val="en-US"/>
        </w:rPr>
        <w:t> </w:t>
      </w:r>
    </w:p>
    <w:p w14:paraId="1EA9CAB6" w14:textId="77777777" w:rsidR="00BC1939" w:rsidRPr="00CB34C8" w:rsidRDefault="00BC1939" w:rsidP="00BC1939">
      <w:pPr>
        <w:ind w:left="2160"/>
        <w:rPr>
          <w:sz w:val="28"/>
          <w:szCs w:val="28"/>
        </w:rPr>
      </w:pPr>
      <w:r w:rsidRPr="6D12EEEB">
        <w:rPr>
          <w:b/>
          <w:bCs/>
          <w:sz w:val="28"/>
          <w:szCs w:val="28"/>
          <w:lang w:val="en-US"/>
        </w:rPr>
        <w:t xml:space="preserve">Assignment Tittle: </w:t>
      </w:r>
      <w:r w:rsidRPr="6D12EEEB">
        <w:rPr>
          <w:sz w:val="28"/>
          <w:szCs w:val="28"/>
          <w:lang w:val="en-US"/>
        </w:rPr>
        <w:t xml:space="preserve">Component </w:t>
      </w:r>
      <w:r>
        <w:rPr>
          <w:sz w:val="28"/>
          <w:szCs w:val="28"/>
          <w:lang w:val="en-US"/>
        </w:rPr>
        <w:t>1</w:t>
      </w:r>
      <w:r w:rsidRPr="6D12EEEB">
        <w:rPr>
          <w:sz w:val="28"/>
          <w:szCs w:val="28"/>
          <w:lang w:val="en-US"/>
        </w:rPr>
        <w:t> </w:t>
      </w:r>
    </w:p>
    <w:p w14:paraId="72D2760A" w14:textId="7A843F1A" w:rsidR="00BC1939" w:rsidRPr="00CB34C8" w:rsidRDefault="00BC1939" w:rsidP="00BC1939">
      <w:pPr>
        <w:ind w:left="2160"/>
        <w:rPr>
          <w:sz w:val="28"/>
          <w:szCs w:val="28"/>
        </w:rPr>
      </w:pPr>
      <w:r w:rsidRPr="6D12EEEB">
        <w:rPr>
          <w:b/>
          <w:bCs/>
          <w:sz w:val="28"/>
          <w:szCs w:val="28"/>
          <w:lang w:val="en-US"/>
        </w:rPr>
        <w:t>Lecturer’s Name:</w:t>
      </w:r>
      <w:r w:rsidR="003919BC">
        <w:rPr>
          <w:b/>
          <w:bCs/>
          <w:sz w:val="28"/>
          <w:szCs w:val="28"/>
          <w:lang w:val="en-US"/>
        </w:rPr>
        <w:t xml:space="preserve"> </w:t>
      </w:r>
      <w:r w:rsidR="00A97088">
        <w:rPr>
          <w:b/>
          <w:bCs/>
          <w:sz w:val="28"/>
          <w:szCs w:val="28"/>
          <w:lang w:val="en-US"/>
        </w:rPr>
        <w:t>Dr</w:t>
      </w:r>
      <w:r w:rsidRPr="6D12EEEB">
        <w:rPr>
          <w:sz w:val="28"/>
          <w:szCs w:val="28"/>
          <w:lang w:val="en-US"/>
        </w:rPr>
        <w:t xml:space="preserve"> </w:t>
      </w:r>
      <w:r>
        <w:rPr>
          <w:sz w:val="28"/>
          <w:szCs w:val="28"/>
          <w:lang w:val="en-US"/>
        </w:rPr>
        <w:t>Farah Islam</w:t>
      </w:r>
    </w:p>
    <w:p w14:paraId="0F075A3E" w14:textId="77777777" w:rsidR="00BC1939" w:rsidRPr="00CB34C8" w:rsidRDefault="00BC1939" w:rsidP="00BC1939">
      <w:pPr>
        <w:ind w:left="2160"/>
        <w:rPr>
          <w:sz w:val="28"/>
          <w:szCs w:val="28"/>
        </w:rPr>
      </w:pPr>
      <w:r w:rsidRPr="6D12EEEB">
        <w:rPr>
          <w:b/>
          <w:bCs/>
          <w:sz w:val="28"/>
          <w:szCs w:val="28"/>
          <w:lang w:val="en-US"/>
        </w:rPr>
        <w:t xml:space="preserve"> Student’s Name: </w:t>
      </w:r>
      <w:r w:rsidRPr="6D12EEEB">
        <w:rPr>
          <w:sz w:val="28"/>
          <w:szCs w:val="28"/>
          <w:lang w:val="en-US"/>
        </w:rPr>
        <w:t>Maria Ajadalu</w:t>
      </w:r>
    </w:p>
    <w:p w14:paraId="281DB2B3" w14:textId="77777777" w:rsidR="00BC1939" w:rsidRDefault="00BC1939" w:rsidP="00BC1939">
      <w:pPr>
        <w:ind w:left="2160"/>
        <w:rPr>
          <w:sz w:val="28"/>
          <w:szCs w:val="28"/>
          <w:lang w:val="en-US"/>
        </w:rPr>
      </w:pPr>
      <w:r w:rsidRPr="6D12EEEB">
        <w:rPr>
          <w:b/>
          <w:bCs/>
          <w:sz w:val="28"/>
          <w:szCs w:val="28"/>
          <w:lang w:val="en-US"/>
        </w:rPr>
        <w:t xml:space="preserve"> ID: </w:t>
      </w:r>
      <w:r w:rsidRPr="6D12EEEB">
        <w:rPr>
          <w:sz w:val="28"/>
          <w:szCs w:val="28"/>
          <w:lang w:val="en-US"/>
        </w:rPr>
        <w:t>2506380</w:t>
      </w:r>
    </w:p>
    <w:p w14:paraId="165D3D05" w14:textId="77777777" w:rsidR="00BC1939" w:rsidRDefault="00BC1939" w:rsidP="00BC1939">
      <w:pPr>
        <w:rPr>
          <w:b/>
          <w:bCs/>
        </w:rPr>
      </w:pPr>
    </w:p>
    <w:p w14:paraId="11FAA0F1" w14:textId="5499D2B2" w:rsidR="00BC1939" w:rsidRDefault="00EE28B8" w:rsidP="00BC1939">
      <w:pPr>
        <w:rPr>
          <w:b/>
          <w:bCs/>
        </w:rPr>
      </w:pPr>
      <w:r>
        <w:rPr>
          <w:b/>
          <w:bCs/>
        </w:rPr>
        <w:t xml:space="preserve"> </w:t>
      </w:r>
    </w:p>
    <w:p w14:paraId="56FCF2E6" w14:textId="77777777" w:rsidR="00BC1939" w:rsidRDefault="00BC1939" w:rsidP="00BC1939">
      <w:pPr>
        <w:rPr>
          <w:b/>
          <w:bCs/>
        </w:rPr>
      </w:pPr>
    </w:p>
    <w:p w14:paraId="40FF47FB" w14:textId="77777777" w:rsidR="00BC1939" w:rsidRDefault="00BC1939" w:rsidP="00BC1939">
      <w:pPr>
        <w:rPr>
          <w:b/>
          <w:bCs/>
        </w:rPr>
      </w:pPr>
    </w:p>
    <w:p w14:paraId="1C794DA4" w14:textId="77777777" w:rsidR="00BC1939" w:rsidRDefault="00BC1939" w:rsidP="00BC1939">
      <w:pPr>
        <w:rPr>
          <w:b/>
          <w:bCs/>
        </w:rPr>
      </w:pPr>
    </w:p>
    <w:p w14:paraId="74A43DCE" w14:textId="77777777" w:rsidR="00BC1939" w:rsidRDefault="00BC1939" w:rsidP="00BC1939">
      <w:pPr>
        <w:rPr>
          <w:b/>
          <w:bCs/>
        </w:rPr>
      </w:pPr>
    </w:p>
    <w:p w14:paraId="5BE3EEA3" w14:textId="77777777" w:rsidR="00BC1939" w:rsidRDefault="00BC1939" w:rsidP="00BC1939">
      <w:pPr>
        <w:rPr>
          <w:b/>
          <w:bCs/>
        </w:rPr>
      </w:pPr>
    </w:p>
    <w:p w14:paraId="5246C525" w14:textId="77777777" w:rsidR="00BC1939" w:rsidRDefault="00BC1939" w:rsidP="00BC1939">
      <w:pPr>
        <w:rPr>
          <w:b/>
          <w:bCs/>
        </w:rPr>
      </w:pPr>
    </w:p>
    <w:p w14:paraId="000605CB" w14:textId="77777777" w:rsidR="00BC1939" w:rsidRDefault="00BC1939" w:rsidP="00BC1939">
      <w:pPr>
        <w:rPr>
          <w:b/>
          <w:bCs/>
        </w:rPr>
      </w:pPr>
    </w:p>
    <w:p w14:paraId="0218FF10" w14:textId="77777777" w:rsidR="00BC1939" w:rsidRDefault="00BC1939" w:rsidP="00BC1939">
      <w:pPr>
        <w:rPr>
          <w:b/>
          <w:bCs/>
        </w:rPr>
      </w:pPr>
    </w:p>
    <w:p w14:paraId="13FDB2C7" w14:textId="77777777" w:rsidR="00BC1939" w:rsidRDefault="00BC1939" w:rsidP="00BC1939">
      <w:pPr>
        <w:rPr>
          <w:b/>
          <w:bCs/>
        </w:rPr>
      </w:pPr>
    </w:p>
    <w:p w14:paraId="06C032A3" w14:textId="77777777" w:rsidR="00BC1939" w:rsidRDefault="00BC1939" w:rsidP="00BC1939">
      <w:pPr>
        <w:rPr>
          <w:b/>
          <w:bCs/>
        </w:rPr>
      </w:pPr>
    </w:p>
    <w:p w14:paraId="16635D4B" w14:textId="77777777" w:rsidR="00BC1939" w:rsidRDefault="00BC1939" w:rsidP="00BC1939">
      <w:pPr>
        <w:rPr>
          <w:b/>
          <w:bCs/>
        </w:rPr>
      </w:pPr>
    </w:p>
    <w:p w14:paraId="7CFED1DD" w14:textId="77777777" w:rsidR="00BC1939" w:rsidRDefault="00BC1939" w:rsidP="00BC1939">
      <w:pPr>
        <w:rPr>
          <w:b/>
          <w:bCs/>
        </w:rPr>
      </w:pPr>
    </w:p>
    <w:p w14:paraId="56C60E34" w14:textId="77777777" w:rsidR="00BC1939" w:rsidRDefault="00BC1939" w:rsidP="00BC1939">
      <w:pPr>
        <w:rPr>
          <w:b/>
          <w:bCs/>
        </w:rPr>
      </w:pPr>
    </w:p>
    <w:p w14:paraId="071BBF87" w14:textId="77777777" w:rsidR="00BC1939" w:rsidRDefault="00BC1939" w:rsidP="00BC1939">
      <w:pPr>
        <w:rPr>
          <w:b/>
          <w:bCs/>
        </w:rPr>
      </w:pPr>
    </w:p>
    <w:p w14:paraId="4E8F6154" w14:textId="77777777" w:rsidR="00BC1939" w:rsidRDefault="00BC1939" w:rsidP="00BC1939">
      <w:pPr>
        <w:rPr>
          <w:b/>
          <w:bCs/>
        </w:rPr>
      </w:pPr>
    </w:p>
    <w:p w14:paraId="6D95B1B3" w14:textId="77777777" w:rsidR="00BC1939" w:rsidRPr="00C5383D" w:rsidRDefault="00BC1939" w:rsidP="00BC1939">
      <w:pPr>
        <w:rPr>
          <w:b/>
          <w:bCs/>
        </w:rPr>
      </w:pPr>
      <w:r>
        <w:t xml:space="preserve">                                                              </w:t>
      </w:r>
      <w:r w:rsidRPr="001B1F19">
        <w:rPr>
          <w:b/>
          <w:bCs/>
        </w:rPr>
        <w:t>Table of Contant</w:t>
      </w:r>
    </w:p>
    <w:p w14:paraId="22CF063B" w14:textId="77777777" w:rsidR="00BC1939" w:rsidRDefault="00BC1939" w:rsidP="00BC1939">
      <w:pPr>
        <w:tabs>
          <w:tab w:val="right" w:leader="dot" w:pos="8505"/>
        </w:tabs>
      </w:pPr>
      <w:r>
        <w:t>Introduction</w:t>
      </w:r>
      <w:r>
        <w:tab/>
        <w:t>1</w:t>
      </w:r>
    </w:p>
    <w:p w14:paraId="7B2ED5FA" w14:textId="77777777" w:rsidR="00BC1939" w:rsidRDefault="00BC1939" w:rsidP="00BC1939">
      <w:pPr>
        <w:tabs>
          <w:tab w:val="right" w:leader="dot" w:pos="8505"/>
        </w:tabs>
      </w:pPr>
      <w:r>
        <w:t>Blood Glucose Regulation and Homeostasis</w:t>
      </w:r>
      <w:r>
        <w:tab/>
        <w:t>2</w:t>
      </w:r>
    </w:p>
    <w:p w14:paraId="4ED3E223" w14:textId="77777777" w:rsidR="00BC1939" w:rsidRDefault="00BC1939" w:rsidP="00BC1939">
      <w:pPr>
        <w:tabs>
          <w:tab w:val="right" w:leader="dot" w:pos="8505"/>
        </w:tabs>
      </w:pPr>
      <w:r>
        <w:t>Cellular Metabolism: and Oxygen Produce Energy</w:t>
      </w:r>
      <w:r>
        <w:tab/>
        <w:t>3</w:t>
      </w:r>
    </w:p>
    <w:p w14:paraId="31973E8B" w14:textId="77777777" w:rsidR="00BC1939" w:rsidRDefault="00BC1939" w:rsidP="00BC1939">
      <w:pPr>
        <w:tabs>
          <w:tab w:val="right" w:leader="dot" w:pos="8505"/>
        </w:tabs>
      </w:pPr>
      <w:r>
        <w:t>Recording and Tracking Blood Glucose in Type2 Diabetes</w:t>
      </w:r>
      <w:r>
        <w:tab/>
        <w:t>4</w:t>
      </w:r>
    </w:p>
    <w:p w14:paraId="12472E92" w14:textId="77777777" w:rsidR="00BC1939" w:rsidRDefault="00BC1939" w:rsidP="00BC1939">
      <w:pPr>
        <w:tabs>
          <w:tab w:val="right" w:leader="dot" w:pos="8505"/>
        </w:tabs>
      </w:pPr>
      <w:r>
        <w:t>Evidence-Based Lifestyle Recommendations</w:t>
      </w:r>
      <w:r>
        <w:tab/>
        <w:t>5</w:t>
      </w:r>
    </w:p>
    <w:p w14:paraId="4FD242DF" w14:textId="77777777" w:rsidR="00BC1939" w:rsidRDefault="00BC1939" w:rsidP="00BC1939">
      <w:pPr>
        <w:tabs>
          <w:tab w:val="right" w:leader="dot" w:pos="8505"/>
        </w:tabs>
      </w:pPr>
      <w:r>
        <w:t>Conclusion</w:t>
      </w:r>
      <w:r>
        <w:tab/>
        <w:t>6</w:t>
      </w:r>
    </w:p>
    <w:p w14:paraId="505C48D1" w14:textId="617F0603" w:rsidR="00BC1939" w:rsidRPr="00BC4A31" w:rsidRDefault="00BC1939" w:rsidP="00BC1939">
      <w:pPr>
        <w:tabs>
          <w:tab w:val="right" w:leader="dot" w:pos="8505"/>
        </w:tabs>
      </w:pPr>
      <w:r>
        <w:t>References</w:t>
      </w:r>
      <w:r>
        <w:tab/>
      </w:r>
      <w:r w:rsidR="00525421">
        <w:t>8</w:t>
      </w:r>
    </w:p>
    <w:p w14:paraId="7F6251AA" w14:textId="77777777" w:rsidR="00BC1939" w:rsidRDefault="00BC1939" w:rsidP="00BC1939">
      <w:pPr>
        <w:jc w:val="center"/>
        <w:rPr>
          <w:b/>
          <w:bCs/>
        </w:rPr>
      </w:pPr>
    </w:p>
    <w:p w14:paraId="3A580119" w14:textId="77777777" w:rsidR="00BC1939" w:rsidRDefault="00BC1939" w:rsidP="00BC1939">
      <w:pPr>
        <w:rPr>
          <w:b/>
          <w:bCs/>
          <w:sz w:val="20"/>
          <w:szCs w:val="20"/>
        </w:rPr>
      </w:pPr>
    </w:p>
    <w:p w14:paraId="6D2755B5" w14:textId="77777777" w:rsidR="00BC1939" w:rsidRDefault="00BC1939" w:rsidP="00BC1939">
      <w:pPr>
        <w:rPr>
          <w:b/>
          <w:bCs/>
          <w:sz w:val="20"/>
          <w:szCs w:val="20"/>
        </w:rPr>
      </w:pPr>
    </w:p>
    <w:p w14:paraId="128390E6" w14:textId="77777777" w:rsidR="00BC1939" w:rsidRDefault="00BC1939" w:rsidP="00BC1939">
      <w:pPr>
        <w:rPr>
          <w:b/>
          <w:bCs/>
          <w:sz w:val="20"/>
          <w:szCs w:val="20"/>
        </w:rPr>
      </w:pPr>
    </w:p>
    <w:p w14:paraId="18763954" w14:textId="77777777" w:rsidR="00BC1939" w:rsidRDefault="00BC1939" w:rsidP="00BC1939">
      <w:pPr>
        <w:rPr>
          <w:b/>
          <w:bCs/>
          <w:sz w:val="20"/>
          <w:szCs w:val="20"/>
        </w:rPr>
      </w:pPr>
    </w:p>
    <w:p w14:paraId="392B7BEB" w14:textId="77777777" w:rsidR="00BC1939" w:rsidRDefault="00BC1939" w:rsidP="00BC1939">
      <w:pPr>
        <w:rPr>
          <w:b/>
          <w:bCs/>
          <w:sz w:val="20"/>
          <w:szCs w:val="20"/>
        </w:rPr>
      </w:pPr>
    </w:p>
    <w:p w14:paraId="6000C96B" w14:textId="77777777" w:rsidR="00BC1939" w:rsidRDefault="00BC1939" w:rsidP="00BC1939">
      <w:pPr>
        <w:rPr>
          <w:b/>
          <w:bCs/>
          <w:sz w:val="20"/>
          <w:szCs w:val="20"/>
        </w:rPr>
      </w:pPr>
    </w:p>
    <w:p w14:paraId="2AC1DC74" w14:textId="77777777" w:rsidR="00BC1939" w:rsidRDefault="00BC1939" w:rsidP="00BC1939">
      <w:pPr>
        <w:rPr>
          <w:b/>
          <w:bCs/>
          <w:sz w:val="20"/>
          <w:szCs w:val="20"/>
        </w:rPr>
      </w:pPr>
    </w:p>
    <w:p w14:paraId="45FC4C17" w14:textId="77777777" w:rsidR="00BC1939" w:rsidRDefault="00BC1939" w:rsidP="00BC1939">
      <w:pPr>
        <w:rPr>
          <w:b/>
          <w:bCs/>
          <w:sz w:val="20"/>
          <w:szCs w:val="20"/>
        </w:rPr>
      </w:pPr>
    </w:p>
    <w:p w14:paraId="4741EEEA" w14:textId="77777777" w:rsidR="00BC1939" w:rsidRDefault="00BC1939" w:rsidP="00BC1939">
      <w:pPr>
        <w:rPr>
          <w:b/>
          <w:bCs/>
          <w:sz w:val="20"/>
          <w:szCs w:val="20"/>
        </w:rPr>
      </w:pPr>
    </w:p>
    <w:p w14:paraId="475E5270" w14:textId="77777777" w:rsidR="00BC1939" w:rsidRDefault="00BC1939" w:rsidP="00BC1939">
      <w:pPr>
        <w:rPr>
          <w:b/>
          <w:bCs/>
          <w:sz w:val="20"/>
          <w:szCs w:val="20"/>
        </w:rPr>
      </w:pPr>
    </w:p>
    <w:p w14:paraId="35A2FC0B" w14:textId="77777777" w:rsidR="00BC1939" w:rsidRDefault="00BC1939" w:rsidP="00BC1939">
      <w:pPr>
        <w:rPr>
          <w:b/>
          <w:bCs/>
          <w:sz w:val="20"/>
          <w:szCs w:val="20"/>
        </w:rPr>
      </w:pPr>
    </w:p>
    <w:p w14:paraId="0FAF8ACB" w14:textId="77777777" w:rsidR="00BC1939" w:rsidRDefault="00BC1939" w:rsidP="00BC1939">
      <w:pPr>
        <w:rPr>
          <w:b/>
          <w:bCs/>
          <w:sz w:val="20"/>
          <w:szCs w:val="20"/>
        </w:rPr>
      </w:pPr>
    </w:p>
    <w:p w14:paraId="392DBAA4" w14:textId="79FA3AD2" w:rsidR="00BC1939" w:rsidRPr="00F22F0F" w:rsidRDefault="00BC1939" w:rsidP="00BC1939">
      <w:pPr>
        <w:rPr>
          <w:b/>
          <w:bCs/>
          <w:sz w:val="20"/>
          <w:szCs w:val="20"/>
        </w:rPr>
      </w:pPr>
      <w:r w:rsidRPr="00721781">
        <w:rPr>
          <w:b/>
          <w:bCs/>
          <w:sz w:val="20"/>
          <w:szCs w:val="20"/>
        </w:rPr>
        <w:lastRenderedPageBreak/>
        <w:t>Diabetes Management, Blood Glucose Regulation and Lifestyle Interventions</w:t>
      </w:r>
    </w:p>
    <w:p w14:paraId="2A5DF9E0" w14:textId="77777777" w:rsidR="00BC1939" w:rsidRPr="00721781" w:rsidRDefault="00BC1939" w:rsidP="00BC1939">
      <w:pPr>
        <w:jc w:val="both"/>
        <w:rPr>
          <w:b/>
          <w:bCs/>
          <w:sz w:val="20"/>
          <w:szCs w:val="20"/>
        </w:rPr>
      </w:pPr>
      <w:r>
        <w:rPr>
          <w:b/>
          <w:bCs/>
          <w:sz w:val="20"/>
          <w:szCs w:val="20"/>
        </w:rPr>
        <w:t>A.</w:t>
      </w:r>
      <w:r w:rsidRPr="00721781">
        <w:rPr>
          <w:b/>
          <w:bCs/>
          <w:sz w:val="20"/>
          <w:szCs w:val="20"/>
        </w:rPr>
        <w:t xml:space="preserve"> Introduction</w:t>
      </w:r>
    </w:p>
    <w:p w14:paraId="46AE7AFA" w14:textId="51EDBB6D" w:rsidR="00BC1939" w:rsidRPr="00721781" w:rsidRDefault="00BC1939" w:rsidP="00BC1939">
      <w:pPr>
        <w:jc w:val="both"/>
        <w:rPr>
          <w:sz w:val="20"/>
          <w:szCs w:val="20"/>
        </w:rPr>
      </w:pPr>
      <w:r w:rsidRPr="00721781">
        <w:rPr>
          <w:sz w:val="20"/>
          <w:szCs w:val="20"/>
        </w:rPr>
        <w:t>Diabetes mellitus is a long-term metabolic condition characterised by persistently elevated levels of glucose in the blood. Glucose is an important source of energy for the body's cells, but its concentration in the bloodstream needs to be carefully regulated. The hormone insulin, which is produced by beta cells in the pancreas, plays an essential role in this process by helping glucose move from the bloodstream into cells where it can be used to produce energy. Diabetes develops when the body does not produce sufficient insulin, cannot use insulin effectively, or both. As a result, glucose accumulates in the bloodstream rather than being appropriately taken up and used by cells (NHS, 2025</w:t>
      </w:r>
      <w:r>
        <w:rPr>
          <w:sz w:val="20"/>
          <w:szCs w:val="20"/>
        </w:rPr>
        <w:t>).</w:t>
      </w:r>
      <w:r w:rsidRPr="00721781">
        <w:rPr>
          <w:sz w:val="20"/>
          <w:szCs w:val="20"/>
        </w:rPr>
        <w:t xml:space="preserve"> World Health Organization</w:t>
      </w:r>
      <w:r>
        <w:rPr>
          <w:sz w:val="20"/>
          <w:szCs w:val="20"/>
        </w:rPr>
        <w:t xml:space="preserve"> (</w:t>
      </w:r>
      <w:r w:rsidRPr="00721781">
        <w:rPr>
          <w:sz w:val="20"/>
          <w:szCs w:val="20"/>
        </w:rPr>
        <w:t>WHO, 2024).</w:t>
      </w:r>
    </w:p>
    <w:p w14:paraId="2EB0A1C3" w14:textId="77777777" w:rsidR="00BC1939" w:rsidRPr="00721781" w:rsidRDefault="00BC1939" w:rsidP="00BC1939">
      <w:pPr>
        <w:jc w:val="both"/>
        <w:rPr>
          <w:sz w:val="20"/>
          <w:szCs w:val="20"/>
        </w:rPr>
      </w:pPr>
      <w:r w:rsidRPr="00721781">
        <w:rPr>
          <w:sz w:val="20"/>
          <w:szCs w:val="20"/>
        </w:rPr>
        <w:t>Modifiable lifestyle factors are therefore important both in prevention and management. A healthy diet, regular physical activity, maintaining an appropriate body weight and avoiding tobacco can reduce the risk of Type 2 diabetes and its complications (WHO, 2024). For people already diagnosed, understanding how food, exercise, medication and other behaviours influence glucose levels can help them participate more effectively in their care.</w:t>
      </w:r>
    </w:p>
    <w:p w14:paraId="493A809E" w14:textId="77777777" w:rsidR="00BC1939" w:rsidRDefault="00BC1939" w:rsidP="00BC1939">
      <w:pPr>
        <w:jc w:val="both"/>
        <w:rPr>
          <w:sz w:val="20"/>
          <w:szCs w:val="20"/>
        </w:rPr>
      </w:pPr>
      <w:r w:rsidRPr="00721781">
        <w:rPr>
          <w:sz w:val="20"/>
          <w:szCs w:val="20"/>
        </w:rPr>
        <w:t>In the case study, an increasing number of patients attending the GP surgery have diabetes but appear to need greater understanding of their condition and the lifestyle behaviours affecting their health. The practice nurse therefore has an important educational role. This report explains how blood glucose is regulated, how glucose and oxygen contribute to cellular energy production, why appropriate monitoring of glucose is useful, and how evidence-based changes to diet, physical activity and smoking behaviour can support people living with Type 2 diabetes.</w:t>
      </w:r>
    </w:p>
    <w:p w14:paraId="646511E0" w14:textId="77777777" w:rsidR="00BC1939" w:rsidRPr="00721781" w:rsidRDefault="00BC1939" w:rsidP="00BC1939">
      <w:pPr>
        <w:jc w:val="both"/>
        <w:rPr>
          <w:sz w:val="20"/>
          <w:szCs w:val="20"/>
        </w:rPr>
      </w:pPr>
    </w:p>
    <w:p w14:paraId="146BAE79" w14:textId="77777777" w:rsidR="00BC1939" w:rsidRPr="00721781" w:rsidRDefault="00BC1939" w:rsidP="00BC1939">
      <w:pPr>
        <w:jc w:val="both"/>
        <w:rPr>
          <w:b/>
          <w:bCs/>
          <w:sz w:val="20"/>
          <w:szCs w:val="20"/>
        </w:rPr>
      </w:pPr>
      <w:r>
        <w:rPr>
          <w:b/>
          <w:bCs/>
          <w:sz w:val="20"/>
          <w:szCs w:val="20"/>
        </w:rPr>
        <w:t>B.</w:t>
      </w:r>
      <w:r w:rsidRPr="00721781">
        <w:rPr>
          <w:b/>
          <w:bCs/>
          <w:sz w:val="20"/>
          <w:szCs w:val="20"/>
        </w:rPr>
        <w:t xml:space="preserve"> Maintenance of Blood Glucose at Safe and Effective Levels</w:t>
      </w:r>
    </w:p>
    <w:p w14:paraId="0211013F" w14:textId="77777777" w:rsidR="00BC1939" w:rsidRPr="00721781" w:rsidRDefault="00BC1939" w:rsidP="00BC1939">
      <w:pPr>
        <w:jc w:val="both"/>
        <w:rPr>
          <w:sz w:val="20"/>
          <w:szCs w:val="20"/>
        </w:rPr>
      </w:pPr>
      <w:r w:rsidRPr="00721781">
        <w:rPr>
          <w:sz w:val="20"/>
          <w:szCs w:val="20"/>
        </w:rPr>
        <w:t>Maintaining blood glucose within an appropriate range is essential because glucose provides fuel for cells, particularly those of the brain and muscles. The body regulates blood glucose through a process of homeostasis. Homeostasis refers to the mechanisms through which the internal environment is kept relatively stable despite changes occurring inside or outside the body.</w:t>
      </w:r>
    </w:p>
    <w:p w14:paraId="61698495" w14:textId="77777777" w:rsidR="00BC1939" w:rsidRPr="00721781" w:rsidRDefault="00BC1939" w:rsidP="00BC1939">
      <w:pPr>
        <w:jc w:val="both"/>
        <w:rPr>
          <w:sz w:val="20"/>
          <w:szCs w:val="20"/>
        </w:rPr>
      </w:pPr>
      <w:r w:rsidRPr="00721781">
        <w:rPr>
          <w:sz w:val="20"/>
          <w:szCs w:val="20"/>
        </w:rPr>
        <w:t>The pancreas plays a central role in glucose homeostasis. Within the pancreas are clusters of endocrine cells known as the islets of Langerhans. Beta cells produce insulin, while alpha cells produce glucagon. These two hormones have opposing but complementary effects that help prevent blood glucose from becoming excessively high or low.</w:t>
      </w:r>
    </w:p>
    <w:p w14:paraId="1163A833" w14:textId="3D96F480" w:rsidR="00BC1939" w:rsidRPr="00EF2BB3" w:rsidRDefault="00BC1939" w:rsidP="00BC1939">
      <w:pPr>
        <w:jc w:val="both"/>
        <w:rPr>
          <w:b/>
          <w:bCs/>
          <w:sz w:val="20"/>
          <w:szCs w:val="20"/>
        </w:rPr>
      </w:pPr>
      <w:r w:rsidRPr="00721781">
        <w:rPr>
          <w:b/>
          <w:bCs/>
          <w:sz w:val="20"/>
          <w:szCs w:val="20"/>
        </w:rPr>
        <w:t>Insulin and high blood glucose</w:t>
      </w:r>
    </w:p>
    <w:p w14:paraId="37385B6F" w14:textId="77777777" w:rsidR="00BC1939" w:rsidRPr="00721781" w:rsidRDefault="00BC1939" w:rsidP="00BC1939">
      <w:pPr>
        <w:jc w:val="both"/>
        <w:rPr>
          <w:sz w:val="20"/>
          <w:szCs w:val="20"/>
        </w:rPr>
      </w:pPr>
      <w:r w:rsidRPr="00721781">
        <w:rPr>
          <w:sz w:val="20"/>
          <w:szCs w:val="20"/>
        </w:rPr>
        <w:t xml:space="preserve">Insulin binds to receptors on target cells and promotes glucose uptake, particularly in skeletal muscle and adipose tissue. The glucose can then be used immediately for energy or stored for later use. Insulin also encourages the liver and muscles to convert glucose into glycogen through </w:t>
      </w:r>
      <w:r w:rsidRPr="00A42A8C">
        <w:rPr>
          <w:sz w:val="20"/>
          <w:szCs w:val="20"/>
        </w:rPr>
        <w:t>glycogenesis</w:t>
      </w:r>
      <w:r w:rsidRPr="00721781">
        <w:rPr>
          <w:sz w:val="20"/>
          <w:szCs w:val="20"/>
        </w:rPr>
        <w:t>. When energy availability exceeds immediate requirements, insulin also promotes energy storage and inhibits processes that would unnecessarily release more glucose into the bloodstream.</w:t>
      </w:r>
    </w:p>
    <w:p w14:paraId="08187FEE" w14:textId="77777777" w:rsidR="00BC1939" w:rsidRPr="00721781" w:rsidRDefault="00BC1939" w:rsidP="00BC1939">
      <w:pPr>
        <w:jc w:val="both"/>
        <w:rPr>
          <w:sz w:val="20"/>
          <w:szCs w:val="20"/>
        </w:rPr>
      </w:pPr>
      <w:r w:rsidRPr="00721781">
        <w:rPr>
          <w:sz w:val="20"/>
          <w:szCs w:val="20"/>
        </w:rPr>
        <w:t>Type 2 diabetes disrupts this mechanism. The body becomes less responsive to insulin, known as insulin resistance. Initially, the pancreas may compensate by producing additional insulin, but over time beta-cell function may become inadequate to meet the body's needs. Glucose therefore remains in the bloodstream, producing chronic hyperglycaemia (NHS, 2025).</w:t>
      </w:r>
    </w:p>
    <w:p w14:paraId="2EF06F54" w14:textId="77777777" w:rsidR="00BC1939" w:rsidRPr="00721781" w:rsidRDefault="00BC1939" w:rsidP="00BC1939">
      <w:pPr>
        <w:jc w:val="both"/>
        <w:rPr>
          <w:b/>
          <w:bCs/>
          <w:sz w:val="20"/>
          <w:szCs w:val="20"/>
        </w:rPr>
      </w:pPr>
      <w:r w:rsidRPr="00721781">
        <w:rPr>
          <w:b/>
          <w:bCs/>
          <w:sz w:val="20"/>
          <w:szCs w:val="20"/>
        </w:rPr>
        <w:t>Glucagon and low blood glucose</w:t>
      </w:r>
    </w:p>
    <w:p w14:paraId="58EBC740" w14:textId="77777777" w:rsidR="00BC1939" w:rsidRPr="00721781" w:rsidRDefault="00BC1939" w:rsidP="00BC1939">
      <w:pPr>
        <w:jc w:val="both"/>
        <w:rPr>
          <w:sz w:val="20"/>
          <w:szCs w:val="20"/>
        </w:rPr>
      </w:pPr>
      <w:r w:rsidRPr="00721781">
        <w:rPr>
          <w:sz w:val="20"/>
          <w:szCs w:val="20"/>
        </w:rPr>
        <w:t>When a person has not eaten for some time or is undertaking prolonged physical activity, blood glucose may fall. Pancreatic alpha cells respond by releasing glucagon.</w:t>
      </w:r>
    </w:p>
    <w:p w14:paraId="245DA0A4" w14:textId="4E18D200" w:rsidR="00BC1939" w:rsidRPr="00721781" w:rsidRDefault="00BC1939" w:rsidP="00BC1939">
      <w:pPr>
        <w:jc w:val="both"/>
        <w:rPr>
          <w:sz w:val="20"/>
          <w:szCs w:val="20"/>
        </w:rPr>
      </w:pPr>
      <w:r w:rsidRPr="00721781">
        <w:rPr>
          <w:sz w:val="20"/>
          <w:szCs w:val="20"/>
        </w:rPr>
        <w:lastRenderedPageBreak/>
        <w:t xml:space="preserve">Glucagon acts mainly on the liver. It stimulates the breakdown of stored glycogen into glucose, a process called </w:t>
      </w:r>
      <w:r w:rsidRPr="00A1144E">
        <w:rPr>
          <w:sz w:val="20"/>
          <w:szCs w:val="20"/>
        </w:rPr>
        <w:t>glycogenolysis</w:t>
      </w:r>
      <w:r w:rsidRPr="00721781">
        <w:rPr>
          <w:sz w:val="20"/>
          <w:szCs w:val="20"/>
        </w:rPr>
        <w:t xml:space="preserve">. The liver can then release glucose into the bloodstream. Glucagon also encourages </w:t>
      </w:r>
      <w:r w:rsidRPr="00A1144E">
        <w:rPr>
          <w:sz w:val="20"/>
          <w:szCs w:val="20"/>
        </w:rPr>
        <w:t>gluconeogenesis</w:t>
      </w:r>
      <w:r w:rsidRPr="00721781">
        <w:rPr>
          <w:sz w:val="20"/>
          <w:szCs w:val="20"/>
        </w:rPr>
        <w:t xml:space="preserve">, whereby the liver produces glucose from non-carbohydrate substances such as certain amino acids and </w:t>
      </w:r>
      <w:r w:rsidR="00466BEC" w:rsidRPr="00721781">
        <w:rPr>
          <w:sz w:val="20"/>
          <w:szCs w:val="20"/>
        </w:rPr>
        <w:t>glycerol. Therefore</w:t>
      </w:r>
      <w:r w:rsidRPr="00721781">
        <w:rPr>
          <w:sz w:val="20"/>
          <w:szCs w:val="20"/>
        </w:rPr>
        <w:t>, insulin and glucagon work together as part of a feedback system. Insulin primarily reduces excessive blood glucose after eating, whereas glucagon helps prevent glucose from becoming too low during fasting.</w:t>
      </w:r>
    </w:p>
    <w:p w14:paraId="0DF4282F" w14:textId="565BBB1F" w:rsidR="00BC1939" w:rsidRPr="00721781" w:rsidRDefault="00BC1939" w:rsidP="00BC1939">
      <w:pPr>
        <w:jc w:val="both"/>
        <w:rPr>
          <w:sz w:val="20"/>
          <w:szCs w:val="20"/>
        </w:rPr>
      </w:pPr>
      <w:r w:rsidRPr="00721781">
        <w:rPr>
          <w:sz w:val="20"/>
          <w:szCs w:val="20"/>
        </w:rPr>
        <w:t xml:space="preserve">NICE (2026) recommends discussing and agreeing individual HbA1c targets with adults who have Type 2 diabetes. For adults managed by healthy living and diet, or these measures combined with an initial medicine regimen not associated with hypoglycaemia, NICE advises supporting an HbA1c target of </w:t>
      </w:r>
      <w:r w:rsidRPr="008A53A9">
        <w:rPr>
          <w:sz w:val="20"/>
          <w:szCs w:val="20"/>
        </w:rPr>
        <w:t>48</w:t>
      </w:r>
      <w:r w:rsidRPr="00721781">
        <w:rPr>
          <w:b/>
          <w:bCs/>
          <w:sz w:val="20"/>
          <w:szCs w:val="20"/>
        </w:rPr>
        <w:t xml:space="preserve"> </w:t>
      </w:r>
      <w:r w:rsidRPr="008A53A9">
        <w:rPr>
          <w:sz w:val="20"/>
          <w:szCs w:val="20"/>
        </w:rPr>
        <w:t>mmol/mol (6.5%).</w:t>
      </w:r>
      <w:r w:rsidRPr="00721781">
        <w:rPr>
          <w:sz w:val="20"/>
          <w:szCs w:val="20"/>
        </w:rPr>
        <w:t xml:space="preserve"> Different targets may be appropriate where treatment carries a risk of hypoglycaemia or where individual clinical circumstances justify adjustment (NICE, 2026).</w:t>
      </w:r>
    </w:p>
    <w:p w14:paraId="6AB63B62" w14:textId="77777777" w:rsidR="00BC1939" w:rsidRPr="00721781" w:rsidRDefault="00BC1939" w:rsidP="00BC1939">
      <w:pPr>
        <w:jc w:val="both"/>
        <w:rPr>
          <w:b/>
          <w:bCs/>
          <w:sz w:val="20"/>
          <w:szCs w:val="20"/>
        </w:rPr>
      </w:pPr>
      <w:r>
        <w:rPr>
          <w:b/>
          <w:bCs/>
          <w:sz w:val="20"/>
          <w:szCs w:val="20"/>
        </w:rPr>
        <w:t>C.</w:t>
      </w:r>
      <w:r w:rsidRPr="00721781">
        <w:rPr>
          <w:b/>
          <w:bCs/>
          <w:sz w:val="20"/>
          <w:szCs w:val="20"/>
        </w:rPr>
        <w:t xml:space="preserve"> How Oxygen and Glucose Produce Energy Through Cell Metabolism</w:t>
      </w:r>
    </w:p>
    <w:p w14:paraId="663F68DF" w14:textId="7F1F7E25" w:rsidR="00BC1939" w:rsidRPr="00721781" w:rsidRDefault="00BC1939" w:rsidP="00BC1939">
      <w:pPr>
        <w:jc w:val="both"/>
        <w:rPr>
          <w:sz w:val="20"/>
          <w:szCs w:val="20"/>
        </w:rPr>
      </w:pPr>
      <w:r w:rsidRPr="00721781">
        <w:rPr>
          <w:sz w:val="20"/>
          <w:szCs w:val="20"/>
        </w:rPr>
        <w:t xml:space="preserve">The human body requires a continuous supply of energy to perform activities such as muscle contraction, maintaining body temperature, transmitting nerve impulses, synthesising molecules and repairing tissues. Much of this usable cellular energy is supplied through </w:t>
      </w:r>
      <w:r w:rsidR="008A53A9" w:rsidRPr="008A53A9">
        <w:rPr>
          <w:sz w:val="20"/>
          <w:szCs w:val="20"/>
        </w:rPr>
        <w:t xml:space="preserve">adenosine </w:t>
      </w:r>
      <w:r w:rsidR="00286B57" w:rsidRPr="008A53A9">
        <w:rPr>
          <w:sz w:val="20"/>
          <w:szCs w:val="20"/>
        </w:rPr>
        <w:t>triphosphate.</w:t>
      </w:r>
      <w:r w:rsidR="001F6DA1" w:rsidRPr="00721781">
        <w:rPr>
          <w:sz w:val="20"/>
          <w:szCs w:val="20"/>
        </w:rPr>
        <w:t xml:space="preserve"> Glucose</w:t>
      </w:r>
      <w:r w:rsidRPr="00721781">
        <w:rPr>
          <w:sz w:val="20"/>
          <w:szCs w:val="20"/>
        </w:rPr>
        <w:t xml:space="preserve"> is one of the body's major metabolic fuels. Through cellular respiration, the chemical energy contained within glucose is gradually released and captured in ATP. Aerobic cellular respiration can be broadly represented as:</w:t>
      </w:r>
    </w:p>
    <w:p w14:paraId="29A71625" w14:textId="77777777" w:rsidR="00BC1939" w:rsidRPr="00721781" w:rsidRDefault="00BC1939" w:rsidP="00BC1939">
      <w:pPr>
        <w:jc w:val="both"/>
        <w:rPr>
          <w:sz w:val="20"/>
          <w:szCs w:val="20"/>
        </w:rPr>
      </w:pPr>
      <w:r w:rsidRPr="00721781">
        <w:rPr>
          <w:b/>
          <w:bCs/>
          <w:sz w:val="20"/>
          <w:szCs w:val="20"/>
        </w:rPr>
        <w:t>Glucose + Oxygen → Carbon dioxide + Water + Energy (ATP)</w:t>
      </w:r>
    </w:p>
    <w:p w14:paraId="0A0948D6" w14:textId="77777777" w:rsidR="00BC1939" w:rsidRPr="00721781" w:rsidRDefault="00BC1939" w:rsidP="00BC1939">
      <w:pPr>
        <w:jc w:val="both"/>
        <w:rPr>
          <w:sz w:val="20"/>
          <w:szCs w:val="20"/>
        </w:rPr>
      </w:pPr>
      <w:r w:rsidRPr="00721781">
        <w:rPr>
          <w:sz w:val="20"/>
          <w:szCs w:val="20"/>
        </w:rPr>
        <w:t>The process involves several connected stages: glycolysis, conversion of pyruvate to acetyl-CoA, the citric acid or Krebs cycle, and oxidative phosphorylation through the electron transport chain.</w:t>
      </w:r>
    </w:p>
    <w:p w14:paraId="213BE07B" w14:textId="77777777" w:rsidR="00BC1939" w:rsidRPr="00721781" w:rsidRDefault="00BC1939" w:rsidP="00BC1939">
      <w:pPr>
        <w:jc w:val="both"/>
        <w:rPr>
          <w:b/>
          <w:bCs/>
          <w:sz w:val="20"/>
          <w:szCs w:val="20"/>
        </w:rPr>
      </w:pPr>
      <w:r w:rsidRPr="00721781">
        <w:rPr>
          <w:b/>
          <w:bCs/>
          <w:sz w:val="20"/>
          <w:szCs w:val="20"/>
        </w:rPr>
        <w:t>Glycolysis</w:t>
      </w:r>
    </w:p>
    <w:p w14:paraId="111FA501" w14:textId="77777777" w:rsidR="00BC1939" w:rsidRPr="00721781" w:rsidRDefault="00BC1939" w:rsidP="00BC1939">
      <w:pPr>
        <w:jc w:val="both"/>
        <w:rPr>
          <w:sz w:val="20"/>
          <w:szCs w:val="20"/>
        </w:rPr>
      </w:pPr>
      <w:r w:rsidRPr="00721781">
        <w:rPr>
          <w:sz w:val="20"/>
          <w:szCs w:val="20"/>
        </w:rPr>
        <w:t xml:space="preserve">The first stage is </w:t>
      </w:r>
      <w:r w:rsidRPr="00695C94">
        <w:rPr>
          <w:sz w:val="20"/>
          <w:szCs w:val="20"/>
        </w:rPr>
        <w:t>glycolysis,</w:t>
      </w:r>
      <w:r w:rsidRPr="00721781">
        <w:rPr>
          <w:sz w:val="20"/>
          <w:szCs w:val="20"/>
        </w:rPr>
        <w:t xml:space="preserve"> which takes place in the cytoplasm of the cell. During glycolysis, one six-carbon glucose molecule is broken down into two three-carbon pyruvate molecules. The process produces a small amount of usable energy, giving a net gain of two ATP molecules, together with reduced electron carriers such as NADH (Alberts et al., 20</w:t>
      </w:r>
      <w:r>
        <w:rPr>
          <w:sz w:val="20"/>
          <w:szCs w:val="20"/>
        </w:rPr>
        <w:t>02)</w:t>
      </w:r>
      <w:r w:rsidRPr="00721781">
        <w:rPr>
          <w:sz w:val="20"/>
          <w:szCs w:val="20"/>
        </w:rPr>
        <w:t>.</w:t>
      </w:r>
    </w:p>
    <w:p w14:paraId="0609D46F" w14:textId="77777777" w:rsidR="00BC1939" w:rsidRPr="00721781" w:rsidRDefault="00BC1939" w:rsidP="00BC1939">
      <w:pPr>
        <w:jc w:val="both"/>
        <w:rPr>
          <w:b/>
          <w:bCs/>
          <w:sz w:val="20"/>
          <w:szCs w:val="20"/>
        </w:rPr>
      </w:pPr>
      <w:r w:rsidRPr="00721781">
        <w:rPr>
          <w:b/>
          <w:bCs/>
          <w:sz w:val="20"/>
          <w:szCs w:val="20"/>
        </w:rPr>
        <w:t>Pyruvate and the Krebs cycle</w:t>
      </w:r>
    </w:p>
    <w:p w14:paraId="7AE37CAF" w14:textId="575DD714" w:rsidR="00BC1939" w:rsidRPr="00721781" w:rsidRDefault="00BC1939" w:rsidP="00BC1939">
      <w:pPr>
        <w:jc w:val="both"/>
        <w:rPr>
          <w:sz w:val="20"/>
          <w:szCs w:val="20"/>
        </w:rPr>
      </w:pPr>
      <w:r w:rsidRPr="00721781">
        <w:rPr>
          <w:sz w:val="20"/>
          <w:szCs w:val="20"/>
        </w:rPr>
        <w:t>Under aerobic conditions, pyruvate moves into the mitochondria and is converted into acetyl-CoA. Acetyl-CoA then enters</w:t>
      </w:r>
      <w:r w:rsidRPr="00FB4F8B">
        <w:rPr>
          <w:sz w:val="20"/>
          <w:szCs w:val="20"/>
        </w:rPr>
        <w:t xml:space="preserve"> the citric acid cycle</w:t>
      </w:r>
      <w:r w:rsidRPr="00721781">
        <w:rPr>
          <w:sz w:val="20"/>
          <w:szCs w:val="20"/>
        </w:rPr>
        <w:t xml:space="preserve">, also known as the Krebs or tricarboxylic acid </w:t>
      </w:r>
      <w:r w:rsidR="0043597F" w:rsidRPr="00721781">
        <w:rPr>
          <w:sz w:val="20"/>
          <w:szCs w:val="20"/>
        </w:rPr>
        <w:t>cycle. During</w:t>
      </w:r>
      <w:r w:rsidRPr="00721781">
        <w:rPr>
          <w:sz w:val="20"/>
          <w:szCs w:val="20"/>
        </w:rPr>
        <w:t xml:space="preserve"> this cycle, the acetyl group is progressively oxidised. Carbon dioxide is produced, together with energy-rich electron carriers, particularly NADH and FADH₂. These carriers transfer high-energy electrons to the electron transport chain (Haddad and Mohiuddin, 2023).</w:t>
      </w:r>
    </w:p>
    <w:p w14:paraId="043343C2" w14:textId="77777777" w:rsidR="00BC1939" w:rsidRPr="00721781" w:rsidRDefault="00BC1939" w:rsidP="00BC1939">
      <w:pPr>
        <w:jc w:val="both"/>
        <w:rPr>
          <w:b/>
          <w:bCs/>
          <w:sz w:val="20"/>
          <w:szCs w:val="20"/>
        </w:rPr>
      </w:pPr>
      <w:r w:rsidRPr="00721781">
        <w:rPr>
          <w:b/>
          <w:bCs/>
          <w:sz w:val="20"/>
          <w:szCs w:val="20"/>
        </w:rPr>
        <w:t>Electron transport chain and oxygen</w:t>
      </w:r>
    </w:p>
    <w:p w14:paraId="4DA61612" w14:textId="7F033525" w:rsidR="00BC1939" w:rsidRPr="00721781" w:rsidRDefault="00BC1939" w:rsidP="00BC1939">
      <w:pPr>
        <w:jc w:val="both"/>
        <w:rPr>
          <w:sz w:val="20"/>
          <w:szCs w:val="20"/>
        </w:rPr>
      </w:pPr>
      <w:r w:rsidRPr="00721781">
        <w:rPr>
          <w:sz w:val="20"/>
          <w:szCs w:val="20"/>
        </w:rPr>
        <w:t xml:space="preserve">Most ATP generated during aerobic respiration is produced through </w:t>
      </w:r>
      <w:r w:rsidRPr="000C0088">
        <w:rPr>
          <w:sz w:val="20"/>
          <w:szCs w:val="20"/>
        </w:rPr>
        <w:t>oxidative phosphorylation</w:t>
      </w:r>
      <w:r w:rsidRPr="00721781">
        <w:rPr>
          <w:sz w:val="20"/>
          <w:szCs w:val="20"/>
        </w:rPr>
        <w:t xml:space="preserve"> within the inner mitochondrial membrane. NADH and FADH₂ donate high-energy electrons to the electron transport chain. As electrons pass along this chain, their energy is used to pump hydrogen ions across the inner mitochondrial membrane, establishing an electrochemical </w:t>
      </w:r>
      <w:r w:rsidR="004C2EEC" w:rsidRPr="00721781">
        <w:rPr>
          <w:sz w:val="20"/>
          <w:szCs w:val="20"/>
        </w:rPr>
        <w:t>gradient. Hydrogen</w:t>
      </w:r>
      <w:r w:rsidRPr="00721781">
        <w:rPr>
          <w:sz w:val="20"/>
          <w:szCs w:val="20"/>
        </w:rPr>
        <w:t xml:space="preserve"> ions subsequently flow back through ATP synthase. The enzyme uses the energy from this movement to produce ATP from ADP and inorganic phosphate. Oxygen plays a crucial role because it acts as the final electron acceptor and ultimately contributes to the formation of water (Alberts et al., 2002).</w:t>
      </w:r>
    </w:p>
    <w:p w14:paraId="77A99B02" w14:textId="77777777" w:rsidR="00BC1939" w:rsidRPr="00721781" w:rsidRDefault="00BC1939" w:rsidP="00BC1939">
      <w:pPr>
        <w:jc w:val="both"/>
        <w:rPr>
          <w:sz w:val="20"/>
          <w:szCs w:val="20"/>
        </w:rPr>
      </w:pPr>
      <w:r w:rsidRPr="00721781">
        <w:rPr>
          <w:sz w:val="20"/>
          <w:szCs w:val="20"/>
        </w:rPr>
        <w:t>The relationship can therefore be simplified as:</w:t>
      </w:r>
    </w:p>
    <w:p w14:paraId="40ACA033" w14:textId="77777777" w:rsidR="00BC1939" w:rsidRPr="00721781" w:rsidRDefault="00BC1939" w:rsidP="00BC1939">
      <w:pPr>
        <w:jc w:val="both"/>
        <w:rPr>
          <w:sz w:val="20"/>
          <w:szCs w:val="20"/>
        </w:rPr>
      </w:pPr>
      <w:r w:rsidRPr="00721781">
        <w:rPr>
          <w:b/>
          <w:bCs/>
          <w:sz w:val="20"/>
          <w:szCs w:val="20"/>
        </w:rPr>
        <w:t>Glucose → Glycolysis → Pyruvate → Acetyl-CoA → Krebs cycle → Electron transport chain + O₂ → ATP</w:t>
      </w:r>
    </w:p>
    <w:p w14:paraId="398AA3C3" w14:textId="77777777" w:rsidR="00BC1939" w:rsidRPr="00721781" w:rsidRDefault="00BC1939" w:rsidP="00BC1939">
      <w:pPr>
        <w:jc w:val="both"/>
        <w:rPr>
          <w:sz w:val="20"/>
          <w:szCs w:val="20"/>
        </w:rPr>
      </w:pPr>
      <w:r w:rsidRPr="00721781">
        <w:rPr>
          <w:sz w:val="20"/>
          <w:szCs w:val="20"/>
        </w:rPr>
        <w:t xml:space="preserve">This relationship is particularly relevant to diabetes because glucose may be abundant in the bloodstream but its effective utilisation by insulin-sensitive tissues is impaired. Insulin resistance limits normal glucose </w:t>
      </w:r>
      <w:r w:rsidRPr="00721781">
        <w:rPr>
          <w:sz w:val="20"/>
          <w:szCs w:val="20"/>
        </w:rPr>
        <w:lastRenderedPageBreak/>
        <w:t>uptake and metabolism. Effective diabetes management therefore concerns not only the amount of glucose circulating in the blood but also the body's ability to regulate and utilise it appropriately.</w:t>
      </w:r>
    </w:p>
    <w:p w14:paraId="16B94483" w14:textId="77777777" w:rsidR="00BC1939" w:rsidRPr="00721781" w:rsidRDefault="00BC1939" w:rsidP="00BC1939">
      <w:pPr>
        <w:jc w:val="both"/>
        <w:rPr>
          <w:b/>
          <w:bCs/>
          <w:sz w:val="20"/>
          <w:szCs w:val="20"/>
        </w:rPr>
      </w:pPr>
      <w:r>
        <w:rPr>
          <w:b/>
          <w:bCs/>
          <w:sz w:val="20"/>
          <w:szCs w:val="20"/>
        </w:rPr>
        <w:t>D.</w:t>
      </w:r>
      <w:r w:rsidRPr="00721781">
        <w:rPr>
          <w:b/>
          <w:bCs/>
          <w:sz w:val="20"/>
          <w:szCs w:val="20"/>
        </w:rPr>
        <w:t xml:space="preserve"> Recording and Tracking Blood Glucose in Type 2 Diabetes</w:t>
      </w:r>
    </w:p>
    <w:p w14:paraId="1E8C520A" w14:textId="3A60B670" w:rsidR="00BC1939" w:rsidRPr="00721781" w:rsidRDefault="00BC1939" w:rsidP="00BC1939">
      <w:pPr>
        <w:jc w:val="both"/>
        <w:rPr>
          <w:sz w:val="20"/>
          <w:szCs w:val="20"/>
        </w:rPr>
      </w:pPr>
      <w:r w:rsidRPr="00721781">
        <w:rPr>
          <w:sz w:val="20"/>
          <w:szCs w:val="20"/>
        </w:rPr>
        <w:t xml:space="preserve">Monitoring glycaemic control can help individuals and healthcare professionals understand how effectively diabetes is being managed. Two related approaches are important: longer-term HbA1c testing and, where clinically appropriate, day-to-day blood glucose </w:t>
      </w:r>
      <w:r w:rsidR="00E94B87" w:rsidRPr="00721781">
        <w:rPr>
          <w:sz w:val="20"/>
          <w:szCs w:val="20"/>
        </w:rPr>
        <w:t>monitoring. HbA</w:t>
      </w:r>
      <w:r w:rsidRPr="00721781">
        <w:rPr>
          <w:sz w:val="20"/>
          <w:szCs w:val="20"/>
        </w:rPr>
        <w:t>1c provides information about average glycaemic exposure over approximately the preceding two to three months. NICE (2026) recommends measuring HbA1c every three to six months, depending on individual needs, until levels are stable on unchanged therapy, and approximately every six months once HbA1c and glucose-lowering therapy are stable.</w:t>
      </w:r>
    </w:p>
    <w:p w14:paraId="0833FE03" w14:textId="77777777" w:rsidR="00BC1939" w:rsidRPr="00721781" w:rsidRDefault="00BC1939" w:rsidP="00BC1939">
      <w:pPr>
        <w:jc w:val="both"/>
        <w:rPr>
          <w:sz w:val="20"/>
          <w:szCs w:val="20"/>
        </w:rPr>
      </w:pPr>
      <w:r w:rsidRPr="00721781">
        <w:rPr>
          <w:sz w:val="20"/>
          <w:szCs w:val="20"/>
        </w:rPr>
        <w:t>Some patients also use finger-prick blood glucose monitoring or continuous glucose monitoring (CGM). Keeping records allows patterns to become visible rather than treating each glucose result as an isolated number. For example, a patient might discover that glucose is repeatedly higher after meals, during illness, or at certain times of</w:t>
      </w:r>
      <w:r>
        <w:rPr>
          <w:sz w:val="20"/>
          <w:szCs w:val="20"/>
        </w:rPr>
        <w:t xml:space="preserve"> the</w:t>
      </w:r>
      <w:r w:rsidRPr="00721781">
        <w:rPr>
          <w:sz w:val="20"/>
          <w:szCs w:val="20"/>
        </w:rPr>
        <w:t xml:space="preserve"> day. Similarly, they may recognise how exercise affects their readings.</w:t>
      </w:r>
    </w:p>
    <w:p w14:paraId="3296CF95" w14:textId="3C8E0950" w:rsidR="00BC1939" w:rsidRPr="00721781" w:rsidRDefault="00BC1939" w:rsidP="00BC1939">
      <w:pPr>
        <w:jc w:val="both"/>
        <w:rPr>
          <w:sz w:val="20"/>
          <w:szCs w:val="20"/>
        </w:rPr>
      </w:pPr>
      <w:r w:rsidRPr="00721781">
        <w:rPr>
          <w:sz w:val="20"/>
          <w:szCs w:val="20"/>
        </w:rPr>
        <w:t>Glucose-monitoring data can therefore support informed adjustments to food intake, physical activity and medication when these are discusse</w:t>
      </w:r>
      <w:r w:rsidR="00C1489C">
        <w:rPr>
          <w:sz w:val="20"/>
          <w:szCs w:val="20"/>
        </w:rPr>
        <w:t xml:space="preserve"> </w:t>
      </w:r>
      <w:r w:rsidRPr="00721781">
        <w:rPr>
          <w:sz w:val="20"/>
          <w:szCs w:val="20"/>
        </w:rPr>
        <w:t xml:space="preserve">d within an appropriate treatment plan. The American Diabetes Association (ADA, 2026a) emphasises that glucose-monitoring information needs to be interpreted and incorporated into self-management; simply collecting readings without understanding or acting appropriately on them does not itself lower </w:t>
      </w:r>
      <w:r w:rsidR="00F80342" w:rsidRPr="00721781">
        <w:rPr>
          <w:sz w:val="20"/>
          <w:szCs w:val="20"/>
        </w:rPr>
        <w:t>glucose. Monitoring</w:t>
      </w:r>
      <w:r w:rsidRPr="00721781">
        <w:rPr>
          <w:sz w:val="20"/>
          <w:szCs w:val="20"/>
        </w:rPr>
        <w:t xml:space="preserve"> is particularly important for individuals receiving insulin because it can help identify </w:t>
      </w:r>
      <w:r w:rsidRPr="00721781">
        <w:rPr>
          <w:b/>
          <w:bCs/>
          <w:sz w:val="20"/>
          <w:szCs w:val="20"/>
        </w:rPr>
        <w:t>hypoglycaemia</w:t>
      </w:r>
      <w:r w:rsidRPr="00721781">
        <w:rPr>
          <w:sz w:val="20"/>
          <w:szCs w:val="20"/>
        </w:rPr>
        <w:t xml:space="preserve"> and </w:t>
      </w:r>
      <w:r w:rsidRPr="00721781">
        <w:rPr>
          <w:b/>
          <w:bCs/>
          <w:sz w:val="20"/>
          <w:szCs w:val="20"/>
        </w:rPr>
        <w:t>hyperglycaemia</w:t>
      </w:r>
      <w:r w:rsidRPr="00721781">
        <w:rPr>
          <w:sz w:val="20"/>
          <w:szCs w:val="20"/>
        </w:rPr>
        <w:t xml:space="preserve">. </w:t>
      </w:r>
    </w:p>
    <w:p w14:paraId="2D30FACE" w14:textId="1F21CE47" w:rsidR="00BC1939" w:rsidRPr="00721781" w:rsidRDefault="00BC1939" w:rsidP="00BC1939">
      <w:pPr>
        <w:jc w:val="both"/>
        <w:rPr>
          <w:sz w:val="20"/>
          <w:szCs w:val="20"/>
        </w:rPr>
      </w:pPr>
      <w:r w:rsidRPr="00721781">
        <w:rPr>
          <w:sz w:val="20"/>
          <w:szCs w:val="20"/>
        </w:rPr>
        <w:t>Where patients self-monitor, education is therefore essential. NICE recommends structured assessment that considers whether the person can use the equipment correctly, understands the results, knows what actions to take and continues to benefit from monitoring (NICE, 2026</w:t>
      </w:r>
      <w:r w:rsidR="00F80342" w:rsidRPr="00721781">
        <w:rPr>
          <w:sz w:val="20"/>
          <w:szCs w:val="20"/>
        </w:rPr>
        <w:t>). This</w:t>
      </w:r>
      <w:r w:rsidRPr="00721781">
        <w:rPr>
          <w:sz w:val="20"/>
          <w:szCs w:val="20"/>
        </w:rPr>
        <w:t xml:space="preserve"> is particularly relevant to the case study. The practice nurse should not merely instruct patients to record numbers. Patients need support to understand what the numbers mean, how they relate to meals, exercise and medication, and when unusual readings require professional advice.</w:t>
      </w:r>
    </w:p>
    <w:p w14:paraId="4B1281D5" w14:textId="77777777" w:rsidR="00BC1939" w:rsidRPr="00721781" w:rsidRDefault="00BC1939" w:rsidP="00BC1939">
      <w:pPr>
        <w:jc w:val="both"/>
        <w:rPr>
          <w:b/>
          <w:bCs/>
          <w:sz w:val="20"/>
          <w:szCs w:val="20"/>
        </w:rPr>
      </w:pPr>
      <w:r>
        <w:rPr>
          <w:b/>
          <w:bCs/>
          <w:sz w:val="20"/>
          <w:szCs w:val="20"/>
        </w:rPr>
        <w:t>E.</w:t>
      </w:r>
      <w:r w:rsidRPr="00721781">
        <w:rPr>
          <w:b/>
          <w:bCs/>
          <w:sz w:val="20"/>
          <w:szCs w:val="20"/>
        </w:rPr>
        <w:t xml:space="preserve"> Evidence-Based Lifestyle Recommendations</w:t>
      </w:r>
    </w:p>
    <w:p w14:paraId="200BAFC8" w14:textId="77777777" w:rsidR="00BC1939" w:rsidRPr="00721781" w:rsidRDefault="00BC1939" w:rsidP="00BC1939">
      <w:pPr>
        <w:jc w:val="both"/>
        <w:rPr>
          <w:sz w:val="20"/>
          <w:szCs w:val="20"/>
        </w:rPr>
      </w:pPr>
      <w:r w:rsidRPr="00721781">
        <w:rPr>
          <w:sz w:val="20"/>
          <w:szCs w:val="20"/>
        </w:rPr>
        <w:t>Lifestyle management is a fundamental component of Type 2 diabetes care. It should complement rather than automatically replace prescribed medication. The most appropriate interventions should also be personalised because age, culture, finances, physical ability, medication, comorbidities and personal preferences influence what changes are realistic.</w:t>
      </w:r>
    </w:p>
    <w:p w14:paraId="7B63589B" w14:textId="77777777" w:rsidR="00BC1939" w:rsidRPr="00721781" w:rsidRDefault="00BC1939" w:rsidP="00BC1939">
      <w:pPr>
        <w:jc w:val="both"/>
        <w:rPr>
          <w:b/>
          <w:bCs/>
          <w:sz w:val="20"/>
          <w:szCs w:val="20"/>
        </w:rPr>
      </w:pPr>
      <w:r w:rsidRPr="00721781">
        <w:rPr>
          <w:b/>
          <w:bCs/>
          <w:sz w:val="20"/>
          <w:szCs w:val="20"/>
        </w:rPr>
        <w:t>Healthy eating</w:t>
      </w:r>
    </w:p>
    <w:p w14:paraId="363FDB8C" w14:textId="05133451" w:rsidR="00BC1939" w:rsidRPr="00721781" w:rsidRDefault="00BC1939" w:rsidP="00BC1939">
      <w:pPr>
        <w:jc w:val="both"/>
        <w:rPr>
          <w:sz w:val="20"/>
          <w:szCs w:val="20"/>
        </w:rPr>
      </w:pPr>
      <w:r w:rsidRPr="00721781">
        <w:rPr>
          <w:sz w:val="20"/>
          <w:szCs w:val="20"/>
        </w:rPr>
        <w:t>Diet has a direct relationship with blood glucose because carbohydrates are broken down into glucose during digestion. However, diabetes management does not require eliminating carbohydrates. Instead, the overall quality, quantity and pattern of food intake are important. Eating patterns should emphasise foods such as non-starchy vegetables, whole fruits, legumes, whole grains, nuts, seeds and suitable protein sources while reducing sugar-sweetened beverages, sweets, refined grains and highly processed food.</w:t>
      </w:r>
      <w:r>
        <w:rPr>
          <w:sz w:val="20"/>
          <w:szCs w:val="20"/>
        </w:rPr>
        <w:t xml:space="preserve"> (ADA, 2026b</w:t>
      </w:r>
      <w:r w:rsidR="00617A2C">
        <w:rPr>
          <w:sz w:val="20"/>
          <w:szCs w:val="20"/>
        </w:rPr>
        <w:t>).</w:t>
      </w:r>
      <w:r w:rsidR="00617A2C" w:rsidRPr="00721781">
        <w:rPr>
          <w:sz w:val="20"/>
          <w:szCs w:val="20"/>
        </w:rPr>
        <w:t xml:space="preserve"> There</w:t>
      </w:r>
      <w:r w:rsidRPr="00721781">
        <w:rPr>
          <w:sz w:val="20"/>
          <w:szCs w:val="20"/>
        </w:rPr>
        <w:t xml:space="preserve"> is no single diet suitable for every person with Type 2 diabetes. Dietary recommendations should be individualised and culturally appropriate. Where possible, patients who require more detailed nutritional intervention should have access to appropriately qualified dietetic support.</w:t>
      </w:r>
    </w:p>
    <w:p w14:paraId="4AD64BF2" w14:textId="77777777" w:rsidR="00BC1939" w:rsidRPr="00721781" w:rsidRDefault="00BC1939" w:rsidP="00BC1939">
      <w:pPr>
        <w:jc w:val="both"/>
        <w:rPr>
          <w:b/>
          <w:bCs/>
          <w:sz w:val="20"/>
          <w:szCs w:val="20"/>
        </w:rPr>
      </w:pPr>
      <w:r w:rsidRPr="00721781">
        <w:rPr>
          <w:b/>
          <w:bCs/>
          <w:sz w:val="20"/>
          <w:szCs w:val="20"/>
        </w:rPr>
        <w:t>Weight management</w:t>
      </w:r>
    </w:p>
    <w:p w14:paraId="1A2C64B3" w14:textId="77777777" w:rsidR="00BC1939" w:rsidRPr="00721781" w:rsidRDefault="00BC1939" w:rsidP="00BC1939">
      <w:pPr>
        <w:jc w:val="both"/>
        <w:rPr>
          <w:sz w:val="20"/>
          <w:szCs w:val="20"/>
        </w:rPr>
      </w:pPr>
      <w:r w:rsidRPr="00721781">
        <w:rPr>
          <w:sz w:val="20"/>
          <w:szCs w:val="20"/>
        </w:rPr>
        <w:t>Excess body weight, particularly central adiposity, is strongly associated with insulin resistance. Weight management can therefore make an important contribution to diabetes care.</w:t>
      </w:r>
    </w:p>
    <w:p w14:paraId="341FDC14" w14:textId="77777777" w:rsidR="00BC1939" w:rsidRPr="00721781" w:rsidRDefault="00BC1939" w:rsidP="00BC1939">
      <w:pPr>
        <w:jc w:val="both"/>
        <w:rPr>
          <w:sz w:val="20"/>
          <w:szCs w:val="20"/>
        </w:rPr>
      </w:pPr>
      <w:r w:rsidRPr="00721781">
        <w:rPr>
          <w:sz w:val="20"/>
          <w:szCs w:val="20"/>
        </w:rPr>
        <w:lastRenderedPageBreak/>
        <w:t xml:space="preserve">For individuals who are overweight or living with obesity, even moderate weight loss can improve metabolic health. ADA guidance supports an individualised weight-management plan and commonly uses a clinically meaningful initial target of approximately </w:t>
      </w:r>
      <w:r w:rsidRPr="00721781">
        <w:rPr>
          <w:b/>
          <w:bCs/>
          <w:sz w:val="20"/>
          <w:szCs w:val="20"/>
        </w:rPr>
        <w:t>5–7% body-weight reduction</w:t>
      </w:r>
      <w:r w:rsidRPr="00721781">
        <w:rPr>
          <w:sz w:val="20"/>
          <w:szCs w:val="20"/>
        </w:rPr>
        <w:t>, while recognising that goals should be adapted to the individual (ADA, 2026b).</w:t>
      </w:r>
    </w:p>
    <w:p w14:paraId="454AB5D2" w14:textId="77777777" w:rsidR="00BC1939" w:rsidRPr="00721781" w:rsidRDefault="00BC1939" w:rsidP="00BC1939">
      <w:pPr>
        <w:jc w:val="both"/>
        <w:rPr>
          <w:sz w:val="20"/>
          <w:szCs w:val="20"/>
        </w:rPr>
      </w:pPr>
      <w:r w:rsidRPr="00721781">
        <w:rPr>
          <w:sz w:val="20"/>
          <w:szCs w:val="20"/>
        </w:rPr>
        <w:t>The practice nurse should approach weight sensitively and collaboratively. Instead of simply telling patients to “lose weight”, realistic goals could include changing portion sizes, replacing sugar-sweetened drinks, increasing vegetables, reducing highly processed snacks and gradually increasing physical activity.</w:t>
      </w:r>
    </w:p>
    <w:p w14:paraId="5E2E08DD" w14:textId="77777777" w:rsidR="00BC1939" w:rsidRPr="00721781" w:rsidRDefault="00BC1939" w:rsidP="00BC1939">
      <w:pPr>
        <w:jc w:val="both"/>
        <w:rPr>
          <w:b/>
          <w:bCs/>
          <w:sz w:val="20"/>
          <w:szCs w:val="20"/>
        </w:rPr>
      </w:pPr>
      <w:r w:rsidRPr="00721781">
        <w:rPr>
          <w:b/>
          <w:bCs/>
          <w:sz w:val="20"/>
          <w:szCs w:val="20"/>
        </w:rPr>
        <w:t>Physical activity</w:t>
      </w:r>
    </w:p>
    <w:p w14:paraId="331143C4" w14:textId="05795707" w:rsidR="00BC1939" w:rsidRPr="00721781" w:rsidRDefault="00BC1939" w:rsidP="00BC1939">
      <w:pPr>
        <w:jc w:val="both"/>
        <w:rPr>
          <w:sz w:val="20"/>
          <w:szCs w:val="20"/>
        </w:rPr>
      </w:pPr>
      <w:r w:rsidRPr="00721781">
        <w:rPr>
          <w:sz w:val="20"/>
          <w:szCs w:val="20"/>
        </w:rPr>
        <w:t xml:space="preserve">Regular physical activity is another key intervention because contracting muscles use glucose for energy and exercise can improve insulin sensitivity. Exercise can therefore contribute to improved glycaemic control as well as helping with cardiovascular health, body composition and psychological </w:t>
      </w:r>
      <w:r w:rsidR="003000AB" w:rsidRPr="00721781">
        <w:rPr>
          <w:sz w:val="20"/>
          <w:szCs w:val="20"/>
        </w:rPr>
        <w:t>wellbeing. For</w:t>
      </w:r>
      <w:r w:rsidRPr="00721781">
        <w:rPr>
          <w:sz w:val="20"/>
          <w:szCs w:val="20"/>
        </w:rPr>
        <w:t xml:space="preserve"> most adults with Type 2 diabetes, the ADA recommends </w:t>
      </w:r>
      <w:r w:rsidRPr="00721781">
        <w:rPr>
          <w:b/>
          <w:bCs/>
          <w:sz w:val="20"/>
          <w:szCs w:val="20"/>
        </w:rPr>
        <w:t>at least 150 minutes of moderate-to-vigorous aerobic activity per week</w:t>
      </w:r>
      <w:r w:rsidR="003000AB">
        <w:rPr>
          <w:sz w:val="20"/>
          <w:szCs w:val="20"/>
        </w:rPr>
        <w:t>.</w:t>
      </w:r>
      <w:r w:rsidRPr="00721781">
        <w:rPr>
          <w:sz w:val="20"/>
          <w:szCs w:val="20"/>
        </w:rPr>
        <w:t xml:space="preserve"> (ADA, 2026b).</w:t>
      </w:r>
    </w:p>
    <w:p w14:paraId="38617777" w14:textId="77777777" w:rsidR="00BC1939" w:rsidRPr="00721781" w:rsidRDefault="00BC1939" w:rsidP="00BC1939">
      <w:pPr>
        <w:jc w:val="both"/>
        <w:rPr>
          <w:sz w:val="20"/>
          <w:szCs w:val="20"/>
        </w:rPr>
      </w:pPr>
      <w:r w:rsidRPr="00721781">
        <w:rPr>
          <w:sz w:val="20"/>
          <w:szCs w:val="20"/>
        </w:rPr>
        <w:t>Examples might include brisk walking, swimming, cycling or other activities appropriate to the patient's health and preferences. Patients who have previously been inactive may need to begin with shorter periods and progressively increase their activity</w:t>
      </w:r>
      <w:r>
        <w:rPr>
          <w:sz w:val="20"/>
          <w:szCs w:val="20"/>
        </w:rPr>
        <w:t>.</w:t>
      </w:r>
    </w:p>
    <w:p w14:paraId="0E30F217" w14:textId="77777777" w:rsidR="00BC1939" w:rsidRPr="00721781" w:rsidRDefault="00BC1939" w:rsidP="00BC1939">
      <w:pPr>
        <w:jc w:val="both"/>
        <w:rPr>
          <w:b/>
          <w:bCs/>
          <w:sz w:val="20"/>
          <w:szCs w:val="20"/>
        </w:rPr>
      </w:pPr>
      <w:r w:rsidRPr="00721781">
        <w:rPr>
          <w:b/>
          <w:bCs/>
          <w:sz w:val="20"/>
          <w:szCs w:val="20"/>
        </w:rPr>
        <w:t>Smoking cessation</w:t>
      </w:r>
    </w:p>
    <w:p w14:paraId="06C41860" w14:textId="77777777" w:rsidR="00BC1939" w:rsidRPr="00721781" w:rsidRDefault="00BC1939" w:rsidP="00BC1939">
      <w:pPr>
        <w:jc w:val="both"/>
        <w:rPr>
          <w:sz w:val="20"/>
          <w:szCs w:val="20"/>
        </w:rPr>
      </w:pPr>
      <w:r w:rsidRPr="00721781">
        <w:rPr>
          <w:sz w:val="20"/>
          <w:szCs w:val="20"/>
        </w:rPr>
        <w:t>Smoking is particularly harmful for people with diabetes because diabetes itself already increases cardiovascular risk. Tobacco exposure can compound vascular damage and increase the likelihood of serious complications. The ADA therefore recommends routine assessment of tobacco use and advises people with diabetes to avoid tobacco and vaping, with cessation counselling and appropriate pharmacological support offered when required (ADA, 2026b).</w:t>
      </w:r>
    </w:p>
    <w:p w14:paraId="2BE7E14F" w14:textId="77777777" w:rsidR="00BC1939" w:rsidRPr="00721781" w:rsidRDefault="00BC1939" w:rsidP="00BC1939">
      <w:pPr>
        <w:jc w:val="both"/>
        <w:rPr>
          <w:sz w:val="20"/>
          <w:szCs w:val="20"/>
        </w:rPr>
      </w:pPr>
      <w:r w:rsidRPr="00721781">
        <w:rPr>
          <w:sz w:val="20"/>
          <w:szCs w:val="20"/>
        </w:rPr>
        <w:t>The practice nurse is well positioned to ask about smoking in a non-judgemental manner, explain the additional cardiovascular risks associated with diabetes and offer referral to evidence-based NHS smoking-cessation services.</w:t>
      </w:r>
    </w:p>
    <w:p w14:paraId="79BB63A5" w14:textId="77777777" w:rsidR="00BC1939" w:rsidRPr="00721781" w:rsidRDefault="00BC1939" w:rsidP="00BC1939">
      <w:pPr>
        <w:jc w:val="both"/>
        <w:rPr>
          <w:b/>
          <w:bCs/>
          <w:sz w:val="20"/>
          <w:szCs w:val="20"/>
        </w:rPr>
      </w:pPr>
      <w:r w:rsidRPr="00721781">
        <w:rPr>
          <w:b/>
          <w:bCs/>
          <w:sz w:val="20"/>
          <w:szCs w:val="20"/>
        </w:rPr>
        <w:t>Patient education and self-management</w:t>
      </w:r>
    </w:p>
    <w:p w14:paraId="5983D6CE" w14:textId="1C595685" w:rsidR="00BC1939" w:rsidRPr="00721781" w:rsidRDefault="00BC1939" w:rsidP="00BC1939">
      <w:pPr>
        <w:jc w:val="both"/>
        <w:rPr>
          <w:sz w:val="20"/>
          <w:szCs w:val="20"/>
        </w:rPr>
      </w:pPr>
      <w:r w:rsidRPr="00721781">
        <w:rPr>
          <w:sz w:val="20"/>
          <w:szCs w:val="20"/>
        </w:rPr>
        <w:t xml:space="preserve">Finally, sustainable diabetes management depends heavily on patient understanding and participation. Giving information alone is not always sufficient to change behaviour. Patients need opportunities to discuss barriers, develop realistic goals and understand why particular recommendations </w:t>
      </w:r>
      <w:r w:rsidR="00B31E7A" w:rsidRPr="00721781">
        <w:rPr>
          <w:sz w:val="20"/>
          <w:szCs w:val="20"/>
        </w:rPr>
        <w:t>matter. Self</w:t>
      </w:r>
      <w:r w:rsidRPr="00721781">
        <w:rPr>
          <w:sz w:val="20"/>
          <w:szCs w:val="20"/>
        </w:rPr>
        <w:t>-management education can help patients understand medication, food choices, physical activity, glucose results and risk reduction. (Schulman-Green et al., 2021).</w:t>
      </w:r>
    </w:p>
    <w:p w14:paraId="31D49446" w14:textId="77777777" w:rsidR="00BC1939" w:rsidRPr="00721781" w:rsidRDefault="00BC1939" w:rsidP="00BC1939">
      <w:pPr>
        <w:jc w:val="both"/>
        <w:rPr>
          <w:sz w:val="20"/>
          <w:szCs w:val="20"/>
        </w:rPr>
      </w:pPr>
      <w:r w:rsidRPr="00721781">
        <w:rPr>
          <w:sz w:val="20"/>
          <w:szCs w:val="20"/>
        </w:rPr>
        <w:t>The practice nurse should therefore use a person-centred approach. Rather than providing identical advice to every patient, discussions should explore what matters to the individual, their health literacy, cultural background, confidence, practical barriers and readiness for change.</w:t>
      </w:r>
    </w:p>
    <w:p w14:paraId="43490970" w14:textId="77777777" w:rsidR="00BC1939" w:rsidRPr="00721781" w:rsidRDefault="00BC1939" w:rsidP="00BC1939">
      <w:pPr>
        <w:jc w:val="both"/>
        <w:rPr>
          <w:b/>
          <w:bCs/>
          <w:sz w:val="20"/>
          <w:szCs w:val="20"/>
        </w:rPr>
      </w:pPr>
      <w:r>
        <w:rPr>
          <w:b/>
          <w:bCs/>
          <w:sz w:val="20"/>
          <w:szCs w:val="20"/>
        </w:rPr>
        <w:t>F.</w:t>
      </w:r>
      <w:r w:rsidRPr="00721781">
        <w:rPr>
          <w:b/>
          <w:bCs/>
          <w:sz w:val="20"/>
          <w:szCs w:val="20"/>
        </w:rPr>
        <w:t xml:space="preserve"> Conclusion</w:t>
      </w:r>
    </w:p>
    <w:p w14:paraId="63FBD684" w14:textId="71AEE39D" w:rsidR="00BC1939" w:rsidRPr="00721781" w:rsidRDefault="00BC1939" w:rsidP="00BC1939">
      <w:pPr>
        <w:jc w:val="both"/>
        <w:rPr>
          <w:sz w:val="20"/>
          <w:szCs w:val="20"/>
        </w:rPr>
      </w:pPr>
      <w:r w:rsidRPr="00721781">
        <w:rPr>
          <w:sz w:val="20"/>
          <w:szCs w:val="20"/>
        </w:rPr>
        <w:t xml:space="preserve">Type 2 diabetes is a complex long-term metabolic condition in which insulin does not work effectively </w:t>
      </w:r>
      <w:r w:rsidR="0006168B">
        <w:rPr>
          <w:sz w:val="20"/>
          <w:szCs w:val="20"/>
        </w:rPr>
        <w:t>o</w:t>
      </w:r>
      <w:r w:rsidRPr="00721781">
        <w:rPr>
          <w:sz w:val="20"/>
          <w:szCs w:val="20"/>
        </w:rPr>
        <w:t>r the pancreas cannot produce enough insulin to meet the body's requirements. This leads to persistent elevation of blood glucose and, if inadequately managed over time, can contribute to cardiovascular disease, kidney disease, neuropathy, visual impairment and other serious complications. Nevertheless, Type 2 diabetes can often be managed effectively through an individualised combination of lifestyle modification, education, monitoring and medication. Glucose also has a fundamental role in cellular metabolism. Through glycolysis, the Krebs cycle and oxidative phosphorylation, glucose is progressively broken down and its energy captured as ATP. Oxygen acts as the final electron acceptor during oxidative phosphorylation, allowing efficient aerobic energy production.</w:t>
      </w:r>
    </w:p>
    <w:p w14:paraId="4F617512" w14:textId="77777777" w:rsidR="00BC1939" w:rsidRPr="00721781" w:rsidRDefault="00BC1939" w:rsidP="00BC1939">
      <w:pPr>
        <w:jc w:val="both"/>
        <w:rPr>
          <w:sz w:val="20"/>
          <w:szCs w:val="20"/>
        </w:rPr>
      </w:pPr>
      <w:r w:rsidRPr="00721781">
        <w:rPr>
          <w:sz w:val="20"/>
          <w:szCs w:val="20"/>
        </w:rPr>
        <w:lastRenderedPageBreak/>
        <w:t>Recording and tracking glycaemic status can support safe diabetes management by identifying patterns and helping patients and healthcare professionals assess responses to food, activity and treatment. However, routine finger-prick monitoring is not required for every person with Type 2 diabetes, so monitoring should be based on individual clinical need and current guidance. HbA1c remains an important measure of longer-term glycaemic control.</w:t>
      </w:r>
    </w:p>
    <w:p w14:paraId="68D51BB0" w14:textId="77777777" w:rsidR="00BC1939" w:rsidRDefault="00BC1939" w:rsidP="00BC1939">
      <w:pPr>
        <w:jc w:val="both"/>
        <w:rPr>
          <w:sz w:val="20"/>
          <w:szCs w:val="20"/>
        </w:rPr>
      </w:pPr>
      <w:r w:rsidRPr="00721781">
        <w:rPr>
          <w:sz w:val="20"/>
          <w:szCs w:val="20"/>
        </w:rPr>
        <w:t xml:space="preserve"> A nutritious and individualised diet, appropriate weight management, regular physical activity and smoking cessation can improve metabolic and cardiovascular health. These changes are more likely to be sustainable when patients understand the reasons behind them and are actively involved in setting achievable goals. In the case study, the practice nurse therefore has a valuable role not only in monitoring patients but also in providing accessible education, supporting behavioural change and helping individuals develop the knowledge and confidence required to manage their diabetes safely.</w:t>
      </w:r>
    </w:p>
    <w:p w14:paraId="6FA641FD" w14:textId="77777777" w:rsidR="00B52B4C" w:rsidRDefault="00B52B4C" w:rsidP="00BC1939">
      <w:pPr>
        <w:jc w:val="both"/>
        <w:rPr>
          <w:sz w:val="20"/>
          <w:szCs w:val="20"/>
        </w:rPr>
      </w:pPr>
    </w:p>
    <w:p w14:paraId="6F4E5240" w14:textId="77777777" w:rsidR="00B52B4C" w:rsidRDefault="00B52B4C" w:rsidP="00BC1939">
      <w:pPr>
        <w:jc w:val="both"/>
        <w:rPr>
          <w:sz w:val="20"/>
          <w:szCs w:val="20"/>
        </w:rPr>
      </w:pPr>
    </w:p>
    <w:p w14:paraId="2D5BC3CA" w14:textId="77777777" w:rsidR="00B52B4C" w:rsidRDefault="00B52B4C" w:rsidP="00BC1939">
      <w:pPr>
        <w:jc w:val="both"/>
        <w:rPr>
          <w:sz w:val="20"/>
          <w:szCs w:val="20"/>
        </w:rPr>
      </w:pPr>
    </w:p>
    <w:p w14:paraId="36E176F6" w14:textId="77777777" w:rsidR="00B52B4C" w:rsidRDefault="00B52B4C" w:rsidP="00BC1939">
      <w:pPr>
        <w:jc w:val="both"/>
        <w:rPr>
          <w:sz w:val="20"/>
          <w:szCs w:val="20"/>
        </w:rPr>
      </w:pPr>
    </w:p>
    <w:p w14:paraId="70E255E6" w14:textId="77777777" w:rsidR="00B52B4C" w:rsidRDefault="00B52B4C" w:rsidP="00BC1939">
      <w:pPr>
        <w:jc w:val="both"/>
        <w:rPr>
          <w:sz w:val="20"/>
          <w:szCs w:val="20"/>
        </w:rPr>
      </w:pPr>
    </w:p>
    <w:p w14:paraId="2C121888" w14:textId="77777777" w:rsidR="00B52B4C" w:rsidRDefault="00B52B4C" w:rsidP="00BC1939">
      <w:pPr>
        <w:jc w:val="both"/>
        <w:rPr>
          <w:sz w:val="20"/>
          <w:szCs w:val="20"/>
        </w:rPr>
      </w:pPr>
    </w:p>
    <w:p w14:paraId="3F091567" w14:textId="77777777" w:rsidR="00B52B4C" w:rsidRDefault="00B52B4C" w:rsidP="00BC1939">
      <w:pPr>
        <w:jc w:val="both"/>
        <w:rPr>
          <w:sz w:val="20"/>
          <w:szCs w:val="20"/>
        </w:rPr>
      </w:pPr>
    </w:p>
    <w:p w14:paraId="0168FF19" w14:textId="77777777" w:rsidR="00B52B4C" w:rsidRDefault="00B52B4C" w:rsidP="00BC1939">
      <w:pPr>
        <w:jc w:val="both"/>
        <w:rPr>
          <w:sz w:val="20"/>
          <w:szCs w:val="20"/>
        </w:rPr>
      </w:pPr>
    </w:p>
    <w:p w14:paraId="404DD10C" w14:textId="77777777" w:rsidR="00B52B4C" w:rsidRDefault="00B52B4C" w:rsidP="00BC1939">
      <w:pPr>
        <w:jc w:val="both"/>
        <w:rPr>
          <w:sz w:val="20"/>
          <w:szCs w:val="20"/>
        </w:rPr>
      </w:pPr>
    </w:p>
    <w:p w14:paraId="7B0AD1C0" w14:textId="77777777" w:rsidR="00B52B4C" w:rsidRDefault="00B52B4C" w:rsidP="00BC1939">
      <w:pPr>
        <w:jc w:val="both"/>
        <w:rPr>
          <w:sz w:val="20"/>
          <w:szCs w:val="20"/>
        </w:rPr>
      </w:pPr>
    </w:p>
    <w:p w14:paraId="31BD9F87" w14:textId="77777777" w:rsidR="00B52B4C" w:rsidRDefault="00B52B4C" w:rsidP="00BC1939">
      <w:pPr>
        <w:jc w:val="both"/>
        <w:rPr>
          <w:sz w:val="20"/>
          <w:szCs w:val="20"/>
        </w:rPr>
      </w:pPr>
    </w:p>
    <w:p w14:paraId="0CD46640" w14:textId="77777777" w:rsidR="00B52B4C" w:rsidRDefault="00B52B4C" w:rsidP="00BC1939">
      <w:pPr>
        <w:jc w:val="both"/>
        <w:rPr>
          <w:sz w:val="20"/>
          <w:szCs w:val="20"/>
        </w:rPr>
      </w:pPr>
    </w:p>
    <w:p w14:paraId="3E9FFA1D" w14:textId="77777777" w:rsidR="00B52B4C" w:rsidRDefault="00B52B4C" w:rsidP="00BC1939">
      <w:pPr>
        <w:jc w:val="both"/>
        <w:rPr>
          <w:sz w:val="20"/>
          <w:szCs w:val="20"/>
        </w:rPr>
      </w:pPr>
    </w:p>
    <w:p w14:paraId="479DEEF5" w14:textId="77777777" w:rsidR="00B52B4C" w:rsidRDefault="00B52B4C" w:rsidP="00BC1939">
      <w:pPr>
        <w:jc w:val="both"/>
        <w:rPr>
          <w:sz w:val="20"/>
          <w:szCs w:val="20"/>
        </w:rPr>
      </w:pPr>
    </w:p>
    <w:p w14:paraId="3CA64541" w14:textId="77777777" w:rsidR="00B52B4C" w:rsidRDefault="00B52B4C" w:rsidP="00BC1939">
      <w:pPr>
        <w:jc w:val="both"/>
        <w:rPr>
          <w:sz w:val="20"/>
          <w:szCs w:val="20"/>
        </w:rPr>
      </w:pPr>
    </w:p>
    <w:p w14:paraId="26A1E2AB" w14:textId="77777777" w:rsidR="00B52B4C" w:rsidRDefault="00B52B4C" w:rsidP="00BC1939">
      <w:pPr>
        <w:jc w:val="both"/>
        <w:rPr>
          <w:sz w:val="20"/>
          <w:szCs w:val="20"/>
        </w:rPr>
      </w:pPr>
    </w:p>
    <w:p w14:paraId="23418B1F" w14:textId="77777777" w:rsidR="00B52B4C" w:rsidRDefault="00B52B4C" w:rsidP="00BC1939">
      <w:pPr>
        <w:jc w:val="both"/>
        <w:rPr>
          <w:sz w:val="20"/>
          <w:szCs w:val="20"/>
        </w:rPr>
      </w:pPr>
    </w:p>
    <w:p w14:paraId="4D783E5A" w14:textId="77777777" w:rsidR="00B52B4C" w:rsidRDefault="00B52B4C" w:rsidP="00BC1939">
      <w:pPr>
        <w:jc w:val="both"/>
        <w:rPr>
          <w:sz w:val="20"/>
          <w:szCs w:val="20"/>
        </w:rPr>
      </w:pPr>
    </w:p>
    <w:p w14:paraId="3B11FDFF" w14:textId="77777777" w:rsidR="00B52B4C" w:rsidRDefault="00B52B4C" w:rsidP="00BC1939">
      <w:pPr>
        <w:jc w:val="both"/>
        <w:rPr>
          <w:sz w:val="20"/>
          <w:szCs w:val="20"/>
        </w:rPr>
      </w:pPr>
    </w:p>
    <w:p w14:paraId="7E3F201E" w14:textId="77777777" w:rsidR="00B52B4C" w:rsidRDefault="00B52B4C" w:rsidP="00BC1939">
      <w:pPr>
        <w:jc w:val="both"/>
        <w:rPr>
          <w:sz w:val="20"/>
          <w:szCs w:val="20"/>
        </w:rPr>
      </w:pPr>
    </w:p>
    <w:p w14:paraId="215C724E" w14:textId="77777777" w:rsidR="00B52B4C" w:rsidRDefault="00B52B4C" w:rsidP="00BC1939">
      <w:pPr>
        <w:jc w:val="both"/>
        <w:rPr>
          <w:sz w:val="20"/>
          <w:szCs w:val="20"/>
        </w:rPr>
      </w:pPr>
    </w:p>
    <w:p w14:paraId="11E99132" w14:textId="77777777" w:rsidR="00B52B4C" w:rsidRDefault="00B52B4C" w:rsidP="00BC1939">
      <w:pPr>
        <w:jc w:val="both"/>
        <w:rPr>
          <w:sz w:val="20"/>
          <w:szCs w:val="20"/>
        </w:rPr>
      </w:pPr>
    </w:p>
    <w:p w14:paraId="1F0BD872" w14:textId="77777777" w:rsidR="00B52B4C" w:rsidRDefault="00B52B4C" w:rsidP="00BC1939">
      <w:pPr>
        <w:jc w:val="both"/>
        <w:rPr>
          <w:sz w:val="20"/>
          <w:szCs w:val="20"/>
        </w:rPr>
      </w:pPr>
    </w:p>
    <w:p w14:paraId="2724C01F" w14:textId="77777777" w:rsidR="00B52B4C" w:rsidRDefault="00B52B4C" w:rsidP="00BC1939">
      <w:pPr>
        <w:jc w:val="both"/>
        <w:rPr>
          <w:sz w:val="20"/>
          <w:szCs w:val="20"/>
        </w:rPr>
      </w:pPr>
    </w:p>
    <w:p w14:paraId="26DADA61" w14:textId="77777777" w:rsidR="00B52B4C" w:rsidRPr="00721781" w:rsidRDefault="00B52B4C" w:rsidP="00BC1939">
      <w:pPr>
        <w:jc w:val="both"/>
        <w:rPr>
          <w:sz w:val="20"/>
          <w:szCs w:val="20"/>
        </w:rPr>
      </w:pPr>
    </w:p>
    <w:p w14:paraId="52941B35" w14:textId="77777777" w:rsidR="00BC1939" w:rsidRPr="00721781" w:rsidRDefault="00BC1939" w:rsidP="00BC1939">
      <w:pPr>
        <w:jc w:val="both"/>
        <w:rPr>
          <w:b/>
          <w:bCs/>
          <w:sz w:val="20"/>
          <w:szCs w:val="20"/>
        </w:rPr>
      </w:pPr>
      <w:r>
        <w:rPr>
          <w:b/>
          <w:bCs/>
          <w:sz w:val="20"/>
          <w:szCs w:val="20"/>
        </w:rPr>
        <w:lastRenderedPageBreak/>
        <w:t>G.</w:t>
      </w:r>
      <w:r w:rsidRPr="00721781">
        <w:rPr>
          <w:b/>
          <w:bCs/>
          <w:sz w:val="20"/>
          <w:szCs w:val="20"/>
        </w:rPr>
        <w:t xml:space="preserve"> Reference List</w:t>
      </w:r>
    </w:p>
    <w:p w14:paraId="16E4AC27" w14:textId="77777777" w:rsidR="00BC1939" w:rsidRPr="00721781" w:rsidRDefault="00BC1939" w:rsidP="00BC1939">
      <w:pPr>
        <w:jc w:val="both"/>
        <w:rPr>
          <w:sz w:val="20"/>
          <w:szCs w:val="20"/>
        </w:rPr>
      </w:pPr>
      <w:r w:rsidRPr="00721781">
        <w:rPr>
          <w:sz w:val="20"/>
          <w:szCs w:val="20"/>
        </w:rPr>
        <w:t xml:space="preserve">Alberts, B., Johnson, A., Lewis, J., Raff, M., Roberts, K. and Walter, P. (2002) </w:t>
      </w:r>
      <w:r w:rsidRPr="00721781">
        <w:rPr>
          <w:i/>
          <w:iCs/>
          <w:sz w:val="20"/>
          <w:szCs w:val="20"/>
        </w:rPr>
        <w:t>Molecular Biology of the Cell</w:t>
      </w:r>
      <w:r w:rsidRPr="00721781">
        <w:rPr>
          <w:sz w:val="20"/>
          <w:szCs w:val="20"/>
        </w:rPr>
        <w:t xml:space="preserve">. 4th edn. New York: Garland Science. Available via National Centre for Biotechnology Information (NCBI), </w:t>
      </w:r>
      <w:r w:rsidRPr="00721781">
        <w:rPr>
          <w:i/>
          <w:iCs/>
          <w:sz w:val="20"/>
          <w:szCs w:val="20"/>
        </w:rPr>
        <w:t>How Cells Obtain Energy from Food</w:t>
      </w:r>
      <w:r w:rsidRPr="00721781">
        <w:rPr>
          <w:sz w:val="20"/>
          <w:szCs w:val="20"/>
        </w:rPr>
        <w:t>.</w:t>
      </w:r>
    </w:p>
    <w:p w14:paraId="5DAD1D39" w14:textId="77777777" w:rsidR="00BC1939" w:rsidRPr="00721781" w:rsidRDefault="00BC1939" w:rsidP="00BC1939">
      <w:pPr>
        <w:jc w:val="both"/>
        <w:rPr>
          <w:sz w:val="20"/>
          <w:szCs w:val="20"/>
        </w:rPr>
      </w:pPr>
      <w:r w:rsidRPr="00721781">
        <w:rPr>
          <w:sz w:val="20"/>
          <w:szCs w:val="20"/>
        </w:rPr>
        <w:t xml:space="preserve">American Diabetes Association (ADA) (2026a) ‘Diabetes Technology: Standards of Care in Diabetes—2026’, </w:t>
      </w:r>
      <w:r w:rsidRPr="00721781">
        <w:rPr>
          <w:i/>
          <w:iCs/>
          <w:sz w:val="20"/>
          <w:szCs w:val="20"/>
        </w:rPr>
        <w:t>Diabetes Care</w:t>
      </w:r>
      <w:r w:rsidRPr="00721781">
        <w:rPr>
          <w:sz w:val="20"/>
          <w:szCs w:val="20"/>
        </w:rPr>
        <w:t>, 49(Suppl. 1).</w:t>
      </w:r>
    </w:p>
    <w:p w14:paraId="540003FE" w14:textId="609E9F60" w:rsidR="00BC1939" w:rsidRPr="00721781" w:rsidRDefault="00BC1939" w:rsidP="00BC1939">
      <w:pPr>
        <w:jc w:val="both"/>
        <w:rPr>
          <w:sz w:val="20"/>
          <w:szCs w:val="20"/>
        </w:rPr>
      </w:pPr>
      <w:r w:rsidRPr="00721781">
        <w:rPr>
          <w:sz w:val="20"/>
          <w:szCs w:val="20"/>
        </w:rPr>
        <w:t xml:space="preserve">American Diabetes Association (ADA) (2026b) ‘Facilitating Positive Health Behaviours and Well-being to Improve Health Outcomes: Standards of Care in Diabetes—2026’, </w:t>
      </w:r>
      <w:r w:rsidRPr="00721781">
        <w:rPr>
          <w:i/>
          <w:iCs/>
          <w:sz w:val="20"/>
          <w:szCs w:val="20"/>
        </w:rPr>
        <w:t>Diabetes Care</w:t>
      </w:r>
      <w:r w:rsidRPr="00721781">
        <w:rPr>
          <w:sz w:val="20"/>
          <w:szCs w:val="20"/>
        </w:rPr>
        <w:t>, 49(Su</w:t>
      </w:r>
      <w:r w:rsidR="00D67B5A">
        <w:rPr>
          <w:sz w:val="20"/>
          <w:szCs w:val="20"/>
        </w:rPr>
        <w:t>pp</w:t>
      </w:r>
      <w:r w:rsidR="003D41B2">
        <w:rPr>
          <w:sz w:val="20"/>
          <w:szCs w:val="20"/>
        </w:rPr>
        <w:t>l. 1).</w:t>
      </w:r>
    </w:p>
    <w:p w14:paraId="1FA6028A" w14:textId="77777777" w:rsidR="00BC1939" w:rsidRPr="00721781" w:rsidRDefault="00BC1939" w:rsidP="00BC1939">
      <w:pPr>
        <w:jc w:val="both"/>
        <w:rPr>
          <w:sz w:val="20"/>
          <w:szCs w:val="20"/>
        </w:rPr>
      </w:pPr>
      <w:r w:rsidRPr="00721781">
        <w:rPr>
          <w:sz w:val="20"/>
          <w:szCs w:val="20"/>
        </w:rPr>
        <w:t xml:space="preserve">Haddad, A. and Mohiuddin, S.S. (2023) ‘Biochemistry, Citric Acid Cycle’, </w:t>
      </w:r>
      <w:r w:rsidRPr="00721781">
        <w:rPr>
          <w:i/>
          <w:iCs/>
          <w:sz w:val="20"/>
          <w:szCs w:val="20"/>
        </w:rPr>
        <w:t>Stat Pearls</w:t>
      </w:r>
      <w:r w:rsidRPr="00721781">
        <w:rPr>
          <w:sz w:val="20"/>
          <w:szCs w:val="20"/>
        </w:rPr>
        <w:t>. Treasure Island, FL: Stat Pearls Publishing. Available via NCBI Bookshelf.</w:t>
      </w:r>
    </w:p>
    <w:p w14:paraId="3EBC24C0" w14:textId="77777777" w:rsidR="00BC1939" w:rsidRPr="00721781" w:rsidRDefault="00BC1939" w:rsidP="00BC1939">
      <w:pPr>
        <w:jc w:val="both"/>
        <w:rPr>
          <w:sz w:val="20"/>
          <w:szCs w:val="20"/>
        </w:rPr>
      </w:pPr>
      <w:r w:rsidRPr="00721781">
        <w:rPr>
          <w:sz w:val="20"/>
          <w:szCs w:val="20"/>
        </w:rPr>
        <w:t xml:space="preserve">National Health Service (NHS) (2025a) </w:t>
      </w:r>
      <w:r w:rsidRPr="00721781">
        <w:rPr>
          <w:i/>
          <w:iCs/>
          <w:sz w:val="20"/>
          <w:szCs w:val="20"/>
        </w:rPr>
        <w:t>Diabetes</w:t>
      </w:r>
      <w:r w:rsidRPr="00721781">
        <w:rPr>
          <w:sz w:val="20"/>
          <w:szCs w:val="20"/>
        </w:rPr>
        <w:t>. NHS.</w:t>
      </w:r>
    </w:p>
    <w:p w14:paraId="2ADADD05" w14:textId="1E8EA644" w:rsidR="00BC1939" w:rsidRPr="00721781" w:rsidRDefault="00BC1939" w:rsidP="00BC1939">
      <w:pPr>
        <w:jc w:val="both"/>
        <w:rPr>
          <w:sz w:val="20"/>
          <w:szCs w:val="20"/>
        </w:rPr>
      </w:pPr>
      <w:r w:rsidRPr="00721781">
        <w:rPr>
          <w:sz w:val="20"/>
          <w:szCs w:val="20"/>
        </w:rPr>
        <w:t xml:space="preserve">National Health Service (NHS) (2025b) </w:t>
      </w:r>
      <w:r w:rsidRPr="00721781">
        <w:rPr>
          <w:i/>
          <w:iCs/>
          <w:sz w:val="20"/>
          <w:szCs w:val="20"/>
        </w:rPr>
        <w:t>What is Type 2 diabetes?</w:t>
      </w:r>
      <w:r w:rsidRPr="00721781">
        <w:rPr>
          <w:sz w:val="20"/>
          <w:szCs w:val="20"/>
        </w:rPr>
        <w:t xml:space="preserve"> NHS.</w:t>
      </w:r>
    </w:p>
    <w:p w14:paraId="295DDE63" w14:textId="77777777" w:rsidR="00BC1939" w:rsidRPr="00721781" w:rsidRDefault="00BC1939" w:rsidP="00BC1939">
      <w:pPr>
        <w:jc w:val="both"/>
        <w:rPr>
          <w:sz w:val="20"/>
          <w:szCs w:val="20"/>
        </w:rPr>
      </w:pPr>
      <w:r w:rsidRPr="00721781">
        <w:rPr>
          <w:sz w:val="20"/>
          <w:szCs w:val="20"/>
        </w:rPr>
        <w:t xml:space="preserve">National Institute for Health and Care Excellence (NICE) (2026) </w:t>
      </w:r>
      <w:r w:rsidRPr="00721781">
        <w:rPr>
          <w:i/>
          <w:iCs/>
          <w:sz w:val="20"/>
          <w:szCs w:val="20"/>
        </w:rPr>
        <w:t>Type 2 diabetes in adults: management (NG28): Blood glucose management</w:t>
      </w:r>
      <w:r w:rsidRPr="00721781">
        <w:rPr>
          <w:sz w:val="20"/>
          <w:szCs w:val="20"/>
        </w:rPr>
        <w:t>. London: NICE. Updated 18 February 2026.</w:t>
      </w:r>
    </w:p>
    <w:p w14:paraId="11294014" w14:textId="77777777" w:rsidR="00BC1939" w:rsidRPr="00721781" w:rsidRDefault="00BC1939" w:rsidP="00BC1939">
      <w:pPr>
        <w:jc w:val="both"/>
        <w:rPr>
          <w:sz w:val="20"/>
          <w:szCs w:val="20"/>
        </w:rPr>
      </w:pPr>
      <w:r w:rsidRPr="00721781">
        <w:rPr>
          <w:sz w:val="20"/>
          <w:szCs w:val="20"/>
        </w:rPr>
        <w:t xml:space="preserve">Schulman-Green, D. et al. (2021) ‘Factors influencing diabetes self-management in adults: an umbrella review of systematic reviews’, indexed in </w:t>
      </w:r>
      <w:r w:rsidRPr="00721781">
        <w:rPr>
          <w:i/>
          <w:iCs/>
          <w:sz w:val="20"/>
          <w:szCs w:val="20"/>
        </w:rPr>
        <w:t>PubMed</w:t>
      </w:r>
      <w:r w:rsidRPr="00721781">
        <w:rPr>
          <w:sz w:val="20"/>
          <w:szCs w:val="20"/>
        </w:rPr>
        <w:t>.</w:t>
      </w:r>
    </w:p>
    <w:p w14:paraId="768BF702" w14:textId="77777777" w:rsidR="00BC1939" w:rsidRPr="00721781" w:rsidRDefault="00BC1939" w:rsidP="00BC1939">
      <w:pPr>
        <w:jc w:val="both"/>
        <w:rPr>
          <w:sz w:val="20"/>
          <w:szCs w:val="20"/>
        </w:rPr>
      </w:pPr>
      <w:r w:rsidRPr="00721781">
        <w:rPr>
          <w:sz w:val="20"/>
          <w:szCs w:val="20"/>
        </w:rPr>
        <w:t xml:space="preserve">World Health Organization (WHO) (2024) </w:t>
      </w:r>
      <w:r w:rsidRPr="00721781">
        <w:rPr>
          <w:i/>
          <w:iCs/>
          <w:sz w:val="20"/>
          <w:szCs w:val="20"/>
        </w:rPr>
        <w:t>Diabetes: Fact sheet</w:t>
      </w:r>
      <w:r w:rsidRPr="00721781">
        <w:rPr>
          <w:sz w:val="20"/>
          <w:szCs w:val="20"/>
        </w:rPr>
        <w:t>. Geneva: World Health Organization.</w:t>
      </w:r>
    </w:p>
    <w:p w14:paraId="72900D52" w14:textId="77777777" w:rsidR="00BC1939" w:rsidRDefault="00BC1939" w:rsidP="00BC1939"/>
    <w:p w14:paraId="2E7F77E6" w14:textId="77777777" w:rsidR="00F613C5" w:rsidRPr="00BC1939" w:rsidRDefault="00F613C5" w:rsidP="00BC1939"/>
    <w:sectPr w:rsidR="00F613C5" w:rsidRPr="00BC1939" w:rsidSect="00BC193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BF6822" w14:textId="77777777" w:rsidR="00F44A55" w:rsidRDefault="00F44A55">
      <w:pPr>
        <w:spacing w:after="0" w:line="240" w:lineRule="auto"/>
      </w:pPr>
      <w:r>
        <w:separator/>
      </w:r>
    </w:p>
  </w:endnote>
  <w:endnote w:type="continuationSeparator" w:id="0">
    <w:p w14:paraId="460B13A4" w14:textId="77777777" w:rsidR="00F44A55" w:rsidRDefault="00F44A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4907655"/>
      <w:docPartObj>
        <w:docPartGallery w:val="Page Numbers (Bottom of Page)"/>
        <w:docPartUnique/>
      </w:docPartObj>
    </w:sdtPr>
    <w:sdtContent>
      <w:p w14:paraId="1B5BFDE6" w14:textId="77777777" w:rsidR="00BC1939" w:rsidRDefault="00BC1939">
        <w:pPr>
          <w:pStyle w:val="Footer"/>
          <w:jc w:val="center"/>
        </w:pPr>
        <w:r>
          <w:fldChar w:fldCharType="begin"/>
        </w:r>
        <w:r>
          <w:instrText>PAGE   \* MERGEFORMAT</w:instrText>
        </w:r>
        <w:r>
          <w:fldChar w:fldCharType="separate"/>
        </w:r>
        <w:r>
          <w:t>2</w:t>
        </w:r>
        <w:r>
          <w:fldChar w:fldCharType="end"/>
        </w:r>
      </w:p>
    </w:sdtContent>
  </w:sdt>
  <w:p w14:paraId="332824D1" w14:textId="77777777" w:rsidR="00BC1939" w:rsidRDefault="00BC19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51AB9B" w14:textId="77777777" w:rsidR="00F44A55" w:rsidRDefault="00F44A55">
      <w:pPr>
        <w:spacing w:after="0" w:line="240" w:lineRule="auto"/>
      </w:pPr>
      <w:r>
        <w:separator/>
      </w:r>
    </w:p>
  </w:footnote>
  <w:footnote w:type="continuationSeparator" w:id="0">
    <w:p w14:paraId="531C381D" w14:textId="77777777" w:rsidR="00F44A55" w:rsidRDefault="00F44A5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939"/>
    <w:rsid w:val="0006168B"/>
    <w:rsid w:val="000C0088"/>
    <w:rsid w:val="001F6DA1"/>
    <w:rsid w:val="0022738A"/>
    <w:rsid w:val="002366E6"/>
    <w:rsid w:val="00286B57"/>
    <w:rsid w:val="003000AB"/>
    <w:rsid w:val="00316577"/>
    <w:rsid w:val="003919BC"/>
    <w:rsid w:val="003D41B2"/>
    <w:rsid w:val="00410579"/>
    <w:rsid w:val="0043597F"/>
    <w:rsid w:val="00466BEC"/>
    <w:rsid w:val="004C2EEC"/>
    <w:rsid w:val="004D6D4E"/>
    <w:rsid w:val="00525421"/>
    <w:rsid w:val="005944BA"/>
    <w:rsid w:val="00617A2C"/>
    <w:rsid w:val="00630AB3"/>
    <w:rsid w:val="0063241C"/>
    <w:rsid w:val="006609DF"/>
    <w:rsid w:val="00695C94"/>
    <w:rsid w:val="00743B2E"/>
    <w:rsid w:val="007949AB"/>
    <w:rsid w:val="008A53A9"/>
    <w:rsid w:val="009F4A30"/>
    <w:rsid w:val="00A1144E"/>
    <w:rsid w:val="00A37381"/>
    <w:rsid w:val="00A57180"/>
    <w:rsid w:val="00A97088"/>
    <w:rsid w:val="00B31E7A"/>
    <w:rsid w:val="00B52B4C"/>
    <w:rsid w:val="00BC1939"/>
    <w:rsid w:val="00BD5445"/>
    <w:rsid w:val="00C1114B"/>
    <w:rsid w:val="00C1489C"/>
    <w:rsid w:val="00C85782"/>
    <w:rsid w:val="00D5522D"/>
    <w:rsid w:val="00D618B1"/>
    <w:rsid w:val="00D67B5A"/>
    <w:rsid w:val="00D7769A"/>
    <w:rsid w:val="00E124CD"/>
    <w:rsid w:val="00E53DA9"/>
    <w:rsid w:val="00E94B87"/>
    <w:rsid w:val="00EE28B8"/>
    <w:rsid w:val="00EF2BB3"/>
    <w:rsid w:val="00EF36B7"/>
    <w:rsid w:val="00F229DC"/>
    <w:rsid w:val="00F44A55"/>
    <w:rsid w:val="00F613C5"/>
    <w:rsid w:val="00F80342"/>
    <w:rsid w:val="00FB2F01"/>
    <w:rsid w:val="00FB4F8B"/>
    <w:rsid w:val="00FD67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B85BE"/>
  <w15:chartTrackingRefBased/>
  <w15:docId w15:val="{0A51571A-5F7C-46E7-8F48-941D5D2955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1939"/>
  </w:style>
  <w:style w:type="paragraph" w:styleId="Heading1">
    <w:name w:val="heading 1"/>
    <w:basedOn w:val="Normal"/>
    <w:next w:val="Normal"/>
    <w:link w:val="Heading1Char"/>
    <w:uiPriority w:val="9"/>
    <w:qFormat/>
    <w:rsid w:val="00BC19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19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19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19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19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19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19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19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19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19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19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19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19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19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19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19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19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1939"/>
    <w:rPr>
      <w:rFonts w:eastAsiaTheme="majorEastAsia" w:cstheme="majorBidi"/>
      <w:color w:val="272727" w:themeColor="text1" w:themeTint="D8"/>
    </w:rPr>
  </w:style>
  <w:style w:type="paragraph" w:styleId="Title">
    <w:name w:val="Title"/>
    <w:basedOn w:val="Normal"/>
    <w:next w:val="Normal"/>
    <w:link w:val="TitleChar"/>
    <w:uiPriority w:val="10"/>
    <w:qFormat/>
    <w:rsid w:val="00BC19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19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19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19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1939"/>
    <w:pPr>
      <w:spacing w:before="160"/>
      <w:jc w:val="center"/>
    </w:pPr>
    <w:rPr>
      <w:i/>
      <w:iCs/>
      <w:color w:val="404040" w:themeColor="text1" w:themeTint="BF"/>
    </w:rPr>
  </w:style>
  <w:style w:type="character" w:customStyle="1" w:styleId="QuoteChar">
    <w:name w:val="Quote Char"/>
    <w:basedOn w:val="DefaultParagraphFont"/>
    <w:link w:val="Quote"/>
    <w:uiPriority w:val="29"/>
    <w:rsid w:val="00BC1939"/>
    <w:rPr>
      <w:i/>
      <w:iCs/>
      <w:color w:val="404040" w:themeColor="text1" w:themeTint="BF"/>
    </w:rPr>
  </w:style>
  <w:style w:type="paragraph" w:styleId="ListParagraph">
    <w:name w:val="List Paragraph"/>
    <w:basedOn w:val="Normal"/>
    <w:uiPriority w:val="34"/>
    <w:qFormat/>
    <w:rsid w:val="00BC1939"/>
    <w:pPr>
      <w:ind w:left="720"/>
      <w:contextualSpacing/>
    </w:pPr>
  </w:style>
  <w:style w:type="character" w:styleId="IntenseEmphasis">
    <w:name w:val="Intense Emphasis"/>
    <w:basedOn w:val="DefaultParagraphFont"/>
    <w:uiPriority w:val="21"/>
    <w:qFormat/>
    <w:rsid w:val="00BC1939"/>
    <w:rPr>
      <w:i/>
      <w:iCs/>
      <w:color w:val="0F4761" w:themeColor="accent1" w:themeShade="BF"/>
    </w:rPr>
  </w:style>
  <w:style w:type="paragraph" w:styleId="IntenseQuote">
    <w:name w:val="Intense Quote"/>
    <w:basedOn w:val="Normal"/>
    <w:next w:val="Normal"/>
    <w:link w:val="IntenseQuoteChar"/>
    <w:uiPriority w:val="30"/>
    <w:qFormat/>
    <w:rsid w:val="00BC19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1939"/>
    <w:rPr>
      <w:i/>
      <w:iCs/>
      <w:color w:val="0F4761" w:themeColor="accent1" w:themeShade="BF"/>
    </w:rPr>
  </w:style>
  <w:style w:type="character" w:styleId="IntenseReference">
    <w:name w:val="Intense Reference"/>
    <w:basedOn w:val="DefaultParagraphFont"/>
    <w:uiPriority w:val="32"/>
    <w:qFormat/>
    <w:rsid w:val="00BC1939"/>
    <w:rPr>
      <w:b/>
      <w:bCs/>
      <w:smallCaps/>
      <w:color w:val="0F4761" w:themeColor="accent1" w:themeShade="BF"/>
      <w:spacing w:val="5"/>
    </w:rPr>
  </w:style>
  <w:style w:type="paragraph" w:styleId="Footer">
    <w:name w:val="footer"/>
    <w:basedOn w:val="Normal"/>
    <w:link w:val="FooterChar"/>
    <w:uiPriority w:val="99"/>
    <w:unhideWhenUsed/>
    <w:rsid w:val="00BC19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19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8BBA85-2671-4B85-B38F-4FFDBF5F0E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1254</TotalTime>
  <Pages>8</Pages>
  <Words>2692</Words>
  <Characters>15349</Characters>
  <Application>Microsoft Office Word</Application>
  <DocSecurity>0</DocSecurity>
  <Lines>127</Lines>
  <Paragraphs>36</Paragraphs>
  <ScaleCrop>false</ScaleCrop>
  <Company/>
  <LinksUpToDate>false</LinksUpToDate>
  <CharactersWithSpaces>18005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Ajadalu</dc:creator>
  <cp:keywords/>
  <dc:description/>
  <cp:lastModifiedBy>Maria Ajadalu</cp:lastModifiedBy>
  <cp:revision>46</cp:revision>
  <dcterms:created xsi:type="dcterms:W3CDTF">2026-10-14T12:23:00Z</dcterms:created>
  <dcterms:modified xsi:type="dcterms:W3CDTF">2026-10-22T04:43:00Z</dcterms:modified>
</cp:coreProperties>
</file>