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Default Extension="png" ContentType="image/png"/>
  <Override PartName="/word/header1.xml" ContentType="application/vnd.openxmlformats-officedocument.wordprocessingml.header+xml"/>
  <Override PartName="/docProps/custom.xml" ContentType="application/vnd.openxmlformats-officedocument.custom-properties+xml"/>
</Types>
</file>

<file path=_rels/.rels><?xml version="1.0" encoding="UTF-8" standalone="yes"?>
<Relationships xmlns="http://schemas.openxmlformats.org/package/2006/relationships"><Relationship Id="rId1" Type="http://schemas.openxmlformats.org/officeDocument/2006/relationships/extended-properties" Target="docProps/app.xml"/><Relationship Id="rId2" Type="http://schemas.openxmlformats.org/package/2006/relationships/metadata/core-properties" Target="docProps/core.xml"/><Relationship Id="rId3"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body>
    <w:p>
      <w:pPr>
        <w:pStyle w:val="BodyText"/>
        <w:ind w:left="37"/>
        <w:rPr>
          <w:rFonts w:ascii="Times New Roman"/>
          <w:sz w:val="20"/>
        </w:rPr>
      </w:pPr>
      <w:r>
        <w:rPr/>
        <w:pict>
          <v:rect style="position:absolute;margin-left:104.540001pt;margin-top:417.765991pt;width:10.32pt;height:10.344pt;mso-position-horizontal-relative:page;mso-position-vertical-relative:page;z-index:-251980800" filled="false" stroked="true" strokeweight=".72pt" strokecolor="#000000">
            <v:stroke dashstyle="solid"/>
            <w10:wrap type="none"/>
          </v:rect>
        </w:pict>
      </w:r>
      <w:r>
        <w:rPr/>
        <w:pict>
          <v:group style="position:absolute;margin-left:89.903999pt;margin-top:562.869995pt;width:432.1pt;height:35.550pt;mso-position-horizontal-relative:page;mso-position-vertical-relative:page;z-index:-251979776" coordorigin="1798,11257" coordsize="8642,711">
            <v:line style="position:absolute" from="1808,11262" to="8769,11262" stroked="true" strokeweight=".47998pt" strokecolor="#000000">
              <v:stroke dashstyle="solid"/>
            </v:line>
            <v:line style="position:absolute" from="8778,11262" to="10430,11262" stroked="true" strokeweight=".47998pt" strokecolor="#000000">
              <v:stroke dashstyle="solid"/>
            </v:line>
            <v:line style="position:absolute" from="1803,11257" to="1803,11968" stroked="true" strokeweight=".48pt" strokecolor="#000000">
              <v:stroke dashstyle="solid"/>
            </v:line>
            <v:line style="position:absolute" from="1808,11964" to="8769,11964" stroked="true" strokeweight=".47998pt" strokecolor="#000000">
              <v:stroke dashstyle="solid"/>
            </v:line>
            <v:line style="position:absolute" from="8773,11257" to="8773,11968" stroked="true" strokeweight=".48001pt" strokecolor="#000000">
              <v:stroke dashstyle="solid"/>
            </v:line>
            <v:line style="position:absolute" from="8778,11964" to="10430,11964" stroked="true" strokeweight=".47998pt" strokecolor="#000000">
              <v:stroke dashstyle="solid"/>
            </v:line>
            <v:line style="position:absolute" from="10435,11257" to="10435,11968" stroked="true" strokeweight=".47998pt" strokecolor="#000000">
              <v:stroke dashstyle="solid"/>
            </v:line>
            <w10:wrap type="none"/>
          </v:group>
        </w:pict>
      </w:r>
      <w:r>
        <w:rPr>
          <w:rFonts w:ascii="Times New Roman"/>
          <w:sz w:val="20"/>
        </w:rPr>
        <w:pict>
          <v:group style="width:153.15pt;height:52.95pt;mso-position-horizontal-relative:char;mso-position-vertical-relative:line" coordorigin="0,0" coordsize="3063,1059">
            <v:shape style="position:absolute;left:107;top:94;width:2825;height:870" type="#_x0000_t75" stroked="false">
              <v:imagedata r:id="rId5" o:title=""/>
            </v:shape>
            <v:line style="position:absolute" from="29,14" to="3034,14" stroked="true" strokeweight="1.44pt" strokecolor="#000000">
              <v:stroke dashstyle="solid"/>
            </v:line>
            <v:line style="position:absolute" from="14,0" to="14,1058" stroked="true" strokeweight="1.44pt" strokecolor="#000000">
              <v:stroke dashstyle="solid"/>
            </v:line>
            <v:line style="position:absolute" from="3049,0" to="3049,1058" stroked="true" strokeweight="1.44pt" strokecolor="#000000">
              <v:stroke dashstyle="solid"/>
            </v:line>
            <v:line style="position:absolute" from="29,1044" to="3034,1044" stroked="true" strokeweight="1.44pt" strokecolor="#000000">
              <v:stroke dashstyle="solid"/>
            </v:line>
          </v:group>
        </w:pict>
      </w:r>
      <w:r>
        <w:rPr>
          <w:rFonts w:ascii="Times New Roman"/>
          <w:sz w:val="20"/>
        </w:rPr>
      </w:r>
    </w:p>
    <w:p>
      <w:pPr>
        <w:pStyle w:val="BodyText"/>
        <w:spacing w:before="9"/>
        <w:rPr>
          <w:rFonts w:ascii="Times New Roman"/>
          <w:sz w:val="29"/>
        </w:rPr>
      </w:pPr>
    </w:p>
    <w:p>
      <w:pPr>
        <w:spacing w:before="91"/>
        <w:ind w:left="1902" w:right="1727" w:firstLine="569"/>
        <w:jc w:val="left"/>
        <w:rPr>
          <w:rFonts w:ascii="Arial"/>
          <w:b/>
          <w:sz w:val="28"/>
        </w:rPr>
      </w:pPr>
      <w:r>
        <w:rPr>
          <w:rFonts w:ascii="Arial"/>
          <w:b/>
          <w:sz w:val="28"/>
        </w:rPr>
        <w:t>Postgraduate/Distance Learning Assignment coversheet &amp; feedback form</w:t>
      </w:r>
    </w:p>
    <w:p>
      <w:pPr>
        <w:pStyle w:val="BodyText"/>
        <w:spacing w:before="2"/>
        <w:rPr>
          <w:rFonts w:ascii="Arial"/>
          <w:b/>
          <w:sz w:val="28"/>
        </w:rPr>
      </w:pPr>
    </w:p>
    <w:p>
      <w:pPr>
        <w:spacing w:before="0"/>
        <w:ind w:left="2316" w:right="0" w:hanging="942"/>
        <w:jc w:val="left"/>
        <w:rPr>
          <w:rFonts w:ascii="Tahoma"/>
          <w:b/>
          <w:sz w:val="20"/>
        </w:rPr>
      </w:pPr>
      <w:r>
        <w:rPr>
          <w:rFonts w:ascii="Tahoma"/>
          <w:b/>
          <w:sz w:val="20"/>
        </w:rPr>
        <w:t>THIS SHEET MUST BE THE FIRST PAGE OF THE ASSIGNMENT YOU ARE SUBMITTING (DO NOT SEND AS A SEPARATE FILE)</w:t>
      </w:r>
    </w:p>
    <w:p>
      <w:pPr>
        <w:pStyle w:val="BodyText"/>
        <w:spacing w:before="4"/>
        <w:rPr>
          <w:rFonts w:ascii="Tahoma"/>
          <w:b/>
          <w:sz w:val="19"/>
        </w:rPr>
      </w:pPr>
    </w:p>
    <w:tbl>
      <w:tblPr>
        <w:tblW w:w="0" w:type="auto"/>
        <w:jc w:val="left"/>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4789"/>
        <w:gridCol w:w="2266"/>
        <w:gridCol w:w="1803"/>
      </w:tblGrid>
      <w:tr>
        <w:trPr>
          <w:trHeight w:val="613" w:hRule="atLeast"/>
        </w:trPr>
        <w:tc>
          <w:tcPr>
            <w:tcW w:w="8858" w:type="dxa"/>
            <w:gridSpan w:val="3"/>
          </w:tcPr>
          <w:p>
            <w:pPr>
              <w:pStyle w:val="TableParagraph"/>
              <w:rPr>
                <w:sz w:val="22"/>
              </w:rPr>
            </w:pPr>
            <w:r>
              <w:rPr>
                <w:b/>
                <w:sz w:val="22"/>
              </w:rPr>
              <w:t>For completion by the student</w:t>
            </w:r>
            <w:r>
              <w:rPr>
                <w:sz w:val="22"/>
              </w:rPr>
              <w:t>:</w:t>
            </w:r>
          </w:p>
        </w:tc>
      </w:tr>
      <w:tr>
        <w:trPr>
          <w:trHeight w:val="717" w:hRule="atLeast"/>
        </w:trPr>
        <w:tc>
          <w:tcPr>
            <w:tcW w:w="8858" w:type="dxa"/>
            <w:gridSpan w:val="3"/>
          </w:tcPr>
          <w:p>
            <w:pPr>
              <w:pStyle w:val="TableParagraph"/>
              <w:ind w:right="7197"/>
              <w:rPr>
                <w:sz w:val="22"/>
              </w:rPr>
            </w:pPr>
            <w:r>
              <w:rPr>
                <w:sz w:val="22"/>
              </w:rPr>
              <w:t>Student Name:</w:t>
            </w:r>
          </w:p>
          <w:p>
            <w:pPr>
              <w:pStyle w:val="TableParagraph"/>
              <w:ind w:right="7197"/>
              <w:rPr>
                <w:sz w:val="22"/>
              </w:rPr>
            </w:pPr>
            <w:r>
              <w:rPr>
                <w:sz w:val="22"/>
              </w:rPr>
              <w:t>Eleonora D’Uva</w:t>
            </w:r>
          </w:p>
        </w:tc>
      </w:tr>
      <w:tr>
        <w:trPr>
          <w:trHeight w:val="1518" w:hRule="atLeast"/>
        </w:trPr>
        <w:tc>
          <w:tcPr>
            <w:tcW w:w="4789" w:type="dxa"/>
            <w:tcBorders>
              <w:right w:val="single" w:sz="6" w:space="0" w:color="000000"/>
            </w:tcBorders>
          </w:tcPr>
          <w:p>
            <w:pPr>
              <w:pStyle w:val="TableParagraph"/>
              <w:rPr>
                <w:sz w:val="22"/>
              </w:rPr>
            </w:pPr>
            <w:r>
              <w:rPr>
                <w:sz w:val="22"/>
              </w:rPr>
              <w:t>Module code:</w:t>
            </w:r>
            <w:r>
              <w:rPr>
                <w:spacing w:val="-3"/>
                <w:sz w:val="22"/>
              </w:rPr>
              <w:t> </w:t>
            </w:r>
            <w:r>
              <w:rPr>
                <w:sz w:val="22"/>
              </w:rPr>
              <w:t>HPCA7015</w:t>
            </w:r>
          </w:p>
          <w:p>
            <w:pPr>
              <w:pStyle w:val="TableParagraph"/>
              <w:spacing w:before="11"/>
              <w:ind w:left="0"/>
              <w:rPr>
                <w:rFonts w:ascii="Tahoma"/>
                <w:b/>
                <w:sz w:val="20"/>
              </w:rPr>
            </w:pPr>
          </w:p>
          <w:p>
            <w:pPr>
              <w:pStyle w:val="TableParagraph"/>
              <w:spacing w:before="1"/>
              <w:ind w:right="1139"/>
              <w:rPr>
                <w:sz w:val="22"/>
              </w:rPr>
            </w:pPr>
            <w:r>
              <w:rPr>
                <w:sz w:val="22"/>
              </w:rPr>
              <w:t>Module title: Foundations in Cultural Astronomy and</w:t>
            </w:r>
            <w:r>
              <w:rPr>
                <w:spacing w:val="-2"/>
                <w:sz w:val="22"/>
              </w:rPr>
              <w:t> </w:t>
            </w:r>
            <w:r>
              <w:rPr>
                <w:sz w:val="22"/>
              </w:rPr>
              <w:t>Astrology</w:t>
            </w:r>
          </w:p>
        </w:tc>
        <w:tc>
          <w:tcPr>
            <w:tcW w:w="2266" w:type="dxa"/>
            <w:tcBorders>
              <w:left w:val="single" w:sz="6" w:space="0" w:color="000000"/>
            </w:tcBorders>
          </w:tcPr>
          <w:p>
            <w:pPr>
              <w:pStyle w:val="TableParagraph"/>
              <w:ind w:left="105" w:right="220"/>
              <w:rPr>
                <w:sz w:val="22"/>
              </w:rPr>
            </w:pPr>
            <w:r>
              <w:rPr>
                <w:sz w:val="22"/>
              </w:rPr>
              <w:t>Student ID number: 2014860</w:t>
            </w:r>
          </w:p>
        </w:tc>
        <w:tc>
          <w:tcPr>
            <w:tcW w:w="1803" w:type="dxa"/>
          </w:tcPr>
          <w:p>
            <w:pPr>
              <w:pStyle w:val="TableParagraph"/>
              <w:ind w:right="210"/>
              <w:rPr>
                <w:sz w:val="22"/>
              </w:rPr>
            </w:pPr>
            <w:r>
              <w:rPr>
                <w:sz w:val="22"/>
              </w:rPr>
              <w:t>Educational support needs: No</w:t>
            </w:r>
          </w:p>
        </w:tc>
      </w:tr>
      <w:tr>
        <w:trPr>
          <w:trHeight w:val="1137" w:hRule="atLeast"/>
        </w:trPr>
        <w:tc>
          <w:tcPr>
            <w:tcW w:w="8858" w:type="dxa"/>
            <w:gridSpan w:val="3"/>
          </w:tcPr>
          <w:p>
            <w:pPr>
              <w:pStyle w:val="TableParagraph"/>
              <w:rPr>
                <w:sz w:val="22"/>
              </w:rPr>
            </w:pPr>
            <w:r>
              <w:rPr>
                <w:sz w:val="22"/>
              </w:rPr>
              <w:t>Module tutor: Nick Campion</w:t>
            </w:r>
          </w:p>
          <w:p>
            <w:pPr>
              <w:pStyle w:val="TableParagraph"/>
              <w:ind w:left="0"/>
              <w:rPr>
                <w:rFonts w:ascii="Tahoma"/>
                <w:b/>
                <w:sz w:val="24"/>
              </w:rPr>
            </w:pPr>
          </w:p>
          <w:p>
            <w:pPr>
              <w:pStyle w:val="TableParagraph"/>
              <w:spacing w:before="215"/>
              <w:rPr>
                <w:sz w:val="22"/>
              </w:rPr>
            </w:pPr>
            <w:r>
              <w:rPr>
                <w:sz w:val="22"/>
              </w:rPr>
              <w:t>Assignment due date: 6 Nov 2020</w:t>
            </w:r>
          </w:p>
        </w:tc>
      </w:tr>
      <w:tr>
        <w:trPr>
          <w:trHeight w:val="979" w:hRule="atLeast"/>
        </w:trPr>
        <w:tc>
          <w:tcPr>
            <w:tcW w:w="8858" w:type="dxa"/>
            <w:gridSpan w:val="3"/>
          </w:tcPr>
          <w:p>
            <w:pPr>
              <w:pStyle w:val="TableParagraph"/>
              <w:rPr>
                <w:sz w:val="22"/>
              </w:rPr>
            </w:pPr>
            <w:r>
              <w:rPr>
                <w:sz w:val="22"/>
              </w:rPr>
              <w:t>If your module has multiple submissions please indicate which piece of work this is.</w:t>
            </w:r>
          </w:p>
          <w:p>
            <w:pPr>
              <w:pStyle w:val="TableParagraph"/>
              <w:spacing w:before="8"/>
              <w:ind w:left="0"/>
              <w:rPr>
                <w:rFonts w:ascii="Tahoma"/>
                <w:b/>
                <w:sz w:val="20"/>
              </w:rPr>
            </w:pPr>
          </w:p>
          <w:p>
            <w:pPr>
              <w:pStyle w:val="TableParagraph"/>
              <w:rPr>
                <w:sz w:val="14"/>
              </w:rPr>
            </w:pPr>
            <w:r>
              <w:rPr>
                <w:position w:val="-7"/>
                <w:sz w:val="22"/>
              </w:rPr>
              <w:t>1</w:t>
            </w:r>
            <w:r>
              <w:rPr>
                <w:sz w:val="14"/>
              </w:rPr>
              <w:t>st</w:t>
            </w:r>
          </w:p>
        </w:tc>
      </w:tr>
      <w:tr>
        <w:trPr>
          <w:trHeight w:val="1881" w:hRule="atLeast"/>
        </w:trPr>
        <w:tc>
          <w:tcPr>
            <w:tcW w:w="8858" w:type="dxa"/>
            <w:gridSpan w:val="3"/>
            <w:shd w:val="clear" w:color="auto" w:fill="D9D9D9"/>
          </w:tcPr>
          <w:p>
            <w:pPr>
              <w:pStyle w:val="TableParagraph"/>
              <w:ind w:right="222"/>
              <w:rPr>
                <w:sz w:val="22"/>
              </w:rPr>
            </w:pPr>
            <w:r>
              <w:rPr>
                <w:sz w:val="22"/>
              </w:rPr>
              <w:t>I confirm that this is my original work and that I have adhered to the University policy on plagiarism.</w:t>
            </w:r>
          </w:p>
          <w:p>
            <w:pPr>
              <w:pStyle w:val="TableParagraph"/>
              <w:rPr>
                <w:sz w:val="22"/>
              </w:rPr>
            </w:pPr>
            <w:r>
              <w:rPr>
                <w:sz w:val="22"/>
              </w:rPr>
              <w:t>Signed …………Eleonora D’Uva…………………………………………………</w:t>
            </w:r>
          </w:p>
          <w:p>
            <w:pPr>
              <w:pStyle w:val="TableParagraph"/>
              <w:spacing w:line="537" w:lineRule="exact"/>
              <w:rPr>
                <w:rFonts w:ascii="Calibri" w:hAnsi="Calibri"/>
                <w:b/>
                <w:sz w:val="44"/>
              </w:rPr>
            </w:pPr>
            <w:r>
              <w:rPr>
                <w:rFonts w:ascii="Calibri" w:hAnsi="Calibri"/>
                <w:b/>
                <w:sz w:val="24"/>
              </w:rPr>
              <w:t>Email submission: if you are submitting this form via email, please tick this box </w:t>
            </w:r>
            <w:r>
              <w:rPr>
                <w:rFonts w:ascii="Calibri" w:hAnsi="Calibri"/>
                <w:b/>
                <w:sz w:val="44"/>
              </w:rPr>
              <w:t>□</w:t>
            </w:r>
          </w:p>
          <w:p>
            <w:pPr>
              <w:pStyle w:val="TableParagraph"/>
              <w:spacing w:line="292" w:lineRule="exact"/>
              <w:rPr>
                <w:rFonts w:ascii="Calibri"/>
                <w:b/>
                <w:sz w:val="24"/>
              </w:rPr>
            </w:pPr>
            <w:r>
              <w:rPr>
                <w:rFonts w:ascii="Calibri"/>
                <w:b/>
                <w:sz w:val="24"/>
              </w:rPr>
              <w:t>(as a substitute for your signature) to confirm that you agree to the above</w:t>
            </w:r>
          </w:p>
          <w:p>
            <w:pPr>
              <w:pStyle w:val="TableParagraph"/>
              <w:spacing w:line="273" w:lineRule="exact"/>
              <w:rPr>
                <w:rFonts w:ascii="Calibri"/>
                <w:b/>
                <w:sz w:val="24"/>
              </w:rPr>
            </w:pPr>
            <w:r>
              <w:rPr>
                <w:rFonts w:ascii="Calibri"/>
                <w:b/>
                <w:sz w:val="24"/>
              </w:rPr>
              <w:t>declaration.</w:t>
            </w:r>
          </w:p>
        </w:tc>
      </w:tr>
      <w:tr>
        <w:trPr>
          <w:trHeight w:val="4099" w:hRule="atLeast"/>
        </w:trPr>
        <w:tc>
          <w:tcPr>
            <w:tcW w:w="8858" w:type="dxa"/>
            <w:gridSpan w:val="3"/>
          </w:tcPr>
          <w:p>
            <w:pPr>
              <w:pStyle w:val="TableParagraph"/>
              <w:spacing w:before="10"/>
              <w:ind w:left="0"/>
              <w:rPr>
                <w:rFonts w:ascii="Tahoma"/>
                <w:b/>
                <w:sz w:val="22"/>
              </w:rPr>
            </w:pPr>
          </w:p>
          <w:p>
            <w:pPr>
              <w:pStyle w:val="TableParagraph"/>
              <w:rPr>
                <w:b/>
                <w:sz w:val="24"/>
              </w:rPr>
            </w:pPr>
            <w:r>
              <w:rPr>
                <w:b/>
                <w:sz w:val="24"/>
              </w:rPr>
              <w:t>Assignment Mark</w:t>
            </w:r>
          </w:p>
          <w:p>
            <w:pPr>
              <w:pStyle w:val="TableParagraph"/>
              <w:spacing w:before="9"/>
              <w:ind w:left="0" w:right="867"/>
              <w:jc w:val="right"/>
              <w:rPr>
                <w:sz w:val="20"/>
              </w:rPr>
            </w:pPr>
            <w:r>
              <w:rPr>
                <w:sz w:val="20"/>
              </w:rPr>
              <w:t>WILL BE</w:t>
            </w:r>
          </w:p>
          <w:p>
            <w:pPr>
              <w:pStyle w:val="TableParagraph"/>
              <w:tabs>
                <w:tab w:pos="6970" w:val="left" w:leader="none"/>
              </w:tabs>
              <w:spacing w:before="1"/>
              <w:ind w:left="0" w:right="678"/>
              <w:jc w:val="right"/>
              <w:rPr>
                <w:sz w:val="20"/>
              </w:rPr>
            </w:pPr>
            <w:r>
              <w:rPr>
                <w:b/>
                <w:sz w:val="20"/>
              </w:rPr>
              <w:t>Final</w:t>
            </w:r>
            <w:r>
              <w:rPr>
                <w:b/>
                <w:spacing w:val="-3"/>
                <w:sz w:val="20"/>
              </w:rPr>
              <w:t> </w:t>
            </w:r>
            <w:r>
              <w:rPr>
                <w:b/>
                <w:sz w:val="20"/>
              </w:rPr>
              <w:t>Mark</w:t>
              <w:tab/>
            </w:r>
            <w:r>
              <w:rPr>
                <w:sz w:val="20"/>
              </w:rPr>
              <w:t>GIVEN</w:t>
            </w:r>
            <w:r>
              <w:rPr>
                <w:spacing w:val="-3"/>
                <w:sz w:val="20"/>
              </w:rPr>
              <w:t> </w:t>
            </w:r>
            <w:r>
              <w:rPr>
                <w:sz w:val="20"/>
              </w:rPr>
              <w:t>ON</w:t>
            </w:r>
          </w:p>
          <w:p>
            <w:pPr>
              <w:pStyle w:val="TableParagraph"/>
              <w:spacing w:before="1"/>
              <w:ind w:left="0" w:right="724"/>
              <w:jc w:val="right"/>
              <w:rPr>
                <w:sz w:val="20"/>
              </w:rPr>
            </w:pPr>
            <w:r>
              <w:rPr>
                <w:w w:val="95"/>
                <w:sz w:val="20"/>
              </w:rPr>
              <w:t>TURNITIN</w:t>
            </w:r>
          </w:p>
          <w:p>
            <w:pPr>
              <w:pStyle w:val="TableParagraph"/>
              <w:spacing w:before="11"/>
              <w:ind w:left="0"/>
              <w:rPr>
                <w:rFonts w:ascii="Tahoma"/>
                <w:b/>
                <w:sz w:val="21"/>
              </w:rPr>
            </w:pPr>
          </w:p>
          <w:p>
            <w:pPr>
              <w:pStyle w:val="TableParagraph"/>
              <w:ind w:left="249"/>
              <w:rPr>
                <w:sz w:val="22"/>
              </w:rPr>
            </w:pPr>
            <w:r>
              <w:rPr>
                <w:b/>
                <w:sz w:val="22"/>
              </w:rPr>
              <w:t>NB. </w:t>
            </w:r>
            <w:r>
              <w:rPr>
                <w:sz w:val="22"/>
              </w:rPr>
              <w:t>All marks are provisional until confirmed by the Final Examination Board.</w:t>
            </w:r>
          </w:p>
          <w:p>
            <w:pPr>
              <w:pStyle w:val="TableParagraph"/>
              <w:spacing w:before="9"/>
              <w:ind w:left="0"/>
              <w:rPr>
                <w:rFonts w:ascii="Tahoma"/>
                <w:b/>
                <w:sz w:val="20"/>
              </w:rPr>
            </w:pPr>
          </w:p>
          <w:p>
            <w:pPr>
              <w:pStyle w:val="TableParagraph"/>
              <w:spacing w:before="1"/>
              <w:rPr>
                <w:b/>
                <w:sz w:val="22"/>
              </w:rPr>
            </w:pPr>
            <w:r>
              <w:rPr>
                <w:b/>
                <w:sz w:val="22"/>
              </w:rPr>
              <w:t>PLEASE NOTE: ALL COMMENTS WIL BE POSTED ON TURNITIN</w:t>
            </w:r>
          </w:p>
          <w:p>
            <w:pPr>
              <w:pStyle w:val="TableParagraph"/>
              <w:ind w:left="0"/>
              <w:rPr>
                <w:rFonts w:ascii="Tahoma"/>
                <w:b/>
                <w:sz w:val="24"/>
              </w:rPr>
            </w:pPr>
          </w:p>
          <w:p>
            <w:pPr>
              <w:pStyle w:val="TableParagraph"/>
              <w:ind w:left="0"/>
              <w:rPr>
                <w:rFonts w:ascii="Tahoma"/>
                <w:b/>
                <w:sz w:val="18"/>
              </w:rPr>
            </w:pPr>
          </w:p>
          <w:p>
            <w:pPr>
              <w:pStyle w:val="TableParagraph"/>
              <w:rPr>
                <w:b/>
                <w:sz w:val="22"/>
              </w:rPr>
            </w:pPr>
            <w:r>
              <w:rPr>
                <w:b/>
                <w:sz w:val="22"/>
              </w:rPr>
              <w:t>For completion by Marker 1 :</w:t>
            </w:r>
          </w:p>
          <w:p>
            <w:pPr>
              <w:pStyle w:val="TableParagraph"/>
              <w:spacing w:before="2"/>
              <w:ind w:left="0"/>
              <w:rPr>
                <w:rFonts w:ascii="Tahoma"/>
                <w:b/>
                <w:sz w:val="23"/>
              </w:rPr>
            </w:pPr>
          </w:p>
          <w:p>
            <w:pPr>
              <w:pStyle w:val="TableParagraph"/>
              <w:spacing w:before="1"/>
              <w:rPr>
                <w:sz w:val="22"/>
              </w:rPr>
            </w:pPr>
            <w:r>
              <w:rPr>
                <w:sz w:val="22"/>
              </w:rPr>
              <w:t>Comments:</w:t>
            </w:r>
          </w:p>
        </w:tc>
      </w:tr>
    </w:tbl>
    <w:p>
      <w:pPr>
        <w:spacing w:after="0"/>
        <w:rPr>
          <w:sz w:val="22"/>
        </w:rPr>
        <w:sectPr>
          <w:type w:val="continuous"/>
          <w:pgSz w:w="12240" w:h="15840"/>
          <w:pgMar w:top="560" w:bottom="280" w:left="1580" w:right="1580"/>
        </w:sectPr>
      </w:pPr>
    </w:p>
    <w:tbl>
      <w:tblPr>
        <w:tblW w:w="0" w:type="auto"/>
        <w:jc w:val="left"/>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211"/>
        <w:gridCol w:w="1557"/>
        <w:gridCol w:w="2088"/>
      </w:tblGrid>
      <w:tr>
        <w:trPr>
          <w:trHeight w:val="491" w:hRule="atLeast"/>
        </w:trPr>
        <w:tc>
          <w:tcPr>
            <w:tcW w:w="6768" w:type="dxa"/>
            <w:gridSpan w:val="2"/>
          </w:tcPr>
          <w:p>
            <w:pPr>
              <w:pStyle w:val="TableParagraph"/>
              <w:ind w:left="249"/>
              <w:rPr>
                <w:sz w:val="22"/>
              </w:rPr>
            </w:pPr>
            <w:r>
              <w:rPr>
                <w:sz w:val="22"/>
              </w:rPr>
              <w:t>Marker’s signature:</w:t>
            </w:r>
          </w:p>
        </w:tc>
        <w:tc>
          <w:tcPr>
            <w:tcW w:w="2088" w:type="dxa"/>
          </w:tcPr>
          <w:p>
            <w:pPr>
              <w:pStyle w:val="TableParagraph"/>
              <w:ind w:left="250"/>
              <w:rPr>
                <w:sz w:val="22"/>
              </w:rPr>
            </w:pPr>
            <w:r>
              <w:rPr>
                <w:sz w:val="22"/>
              </w:rPr>
              <w:t>Date:</w:t>
            </w:r>
          </w:p>
        </w:tc>
      </w:tr>
      <w:tr>
        <w:trPr>
          <w:trHeight w:val="1771" w:hRule="atLeast"/>
        </w:trPr>
        <w:tc>
          <w:tcPr>
            <w:tcW w:w="8856" w:type="dxa"/>
            <w:gridSpan w:val="3"/>
          </w:tcPr>
          <w:p>
            <w:pPr>
              <w:pStyle w:val="TableParagraph"/>
              <w:ind w:left="0"/>
              <w:rPr>
                <w:rFonts w:ascii="Tahoma"/>
                <w:b/>
                <w:sz w:val="21"/>
              </w:rPr>
            </w:pPr>
          </w:p>
          <w:p>
            <w:pPr>
              <w:pStyle w:val="TableParagraph"/>
              <w:rPr>
                <w:b/>
                <w:sz w:val="22"/>
              </w:rPr>
            </w:pPr>
            <w:r>
              <w:rPr>
                <w:b/>
                <w:sz w:val="22"/>
              </w:rPr>
              <w:t>For completion by Marker 2/Moderator:</w:t>
            </w:r>
          </w:p>
          <w:p>
            <w:pPr>
              <w:pStyle w:val="TableParagraph"/>
              <w:spacing w:before="1"/>
              <w:ind w:left="0"/>
              <w:rPr>
                <w:rFonts w:ascii="Tahoma"/>
                <w:b/>
                <w:sz w:val="21"/>
              </w:rPr>
            </w:pPr>
          </w:p>
          <w:p>
            <w:pPr>
              <w:pStyle w:val="TableParagraph"/>
              <w:rPr>
                <w:sz w:val="22"/>
              </w:rPr>
            </w:pPr>
            <w:r>
              <w:rPr>
                <w:sz w:val="22"/>
              </w:rPr>
              <w:t>Comments:</w:t>
            </w:r>
          </w:p>
        </w:tc>
      </w:tr>
      <w:tr>
        <w:trPr>
          <w:trHeight w:val="721" w:hRule="atLeast"/>
        </w:trPr>
        <w:tc>
          <w:tcPr>
            <w:tcW w:w="5211" w:type="dxa"/>
          </w:tcPr>
          <w:p>
            <w:pPr>
              <w:pStyle w:val="TableParagraph"/>
              <w:spacing w:before="2"/>
              <w:rPr>
                <w:sz w:val="22"/>
              </w:rPr>
            </w:pPr>
            <w:r>
              <w:rPr>
                <w:sz w:val="22"/>
              </w:rPr>
              <w:t>Marker’s Signature:</w:t>
            </w:r>
          </w:p>
        </w:tc>
        <w:tc>
          <w:tcPr>
            <w:tcW w:w="3645" w:type="dxa"/>
            <w:gridSpan w:val="2"/>
          </w:tcPr>
          <w:p>
            <w:pPr>
              <w:pStyle w:val="TableParagraph"/>
              <w:spacing w:before="2"/>
              <w:ind w:left="108"/>
              <w:rPr>
                <w:sz w:val="22"/>
              </w:rPr>
            </w:pPr>
            <w:r>
              <w:rPr>
                <w:sz w:val="22"/>
              </w:rPr>
              <w:t>Date:</w:t>
            </w:r>
          </w:p>
        </w:tc>
      </w:tr>
      <w:tr>
        <w:trPr>
          <w:trHeight w:val="2781" w:hRule="atLeast"/>
        </w:trPr>
        <w:tc>
          <w:tcPr>
            <w:tcW w:w="8856" w:type="dxa"/>
            <w:gridSpan w:val="3"/>
          </w:tcPr>
          <w:p>
            <w:pPr>
              <w:pStyle w:val="TableParagraph"/>
              <w:spacing w:line="480" w:lineRule="auto"/>
              <w:ind w:right="3633"/>
              <w:rPr>
                <w:b/>
                <w:sz w:val="22"/>
              </w:rPr>
            </w:pPr>
            <w:r>
              <w:rPr>
                <w:b/>
                <w:sz w:val="22"/>
              </w:rPr>
              <w:t>AGREED INTERNAL MARK (where necessary): Comment on process of arriving at agreed mark:</w:t>
            </w:r>
          </w:p>
        </w:tc>
      </w:tr>
      <w:tr>
        <w:trPr>
          <w:trHeight w:val="2025" w:hRule="atLeast"/>
        </w:trPr>
        <w:tc>
          <w:tcPr>
            <w:tcW w:w="8856" w:type="dxa"/>
            <w:gridSpan w:val="3"/>
          </w:tcPr>
          <w:p>
            <w:pPr>
              <w:pStyle w:val="TableParagraph"/>
              <w:rPr>
                <w:b/>
                <w:sz w:val="22"/>
              </w:rPr>
            </w:pPr>
            <w:r>
              <w:rPr>
                <w:b/>
                <w:sz w:val="22"/>
              </w:rPr>
              <w:t>External Examiner’s comments (if relevant)</w:t>
            </w:r>
          </w:p>
        </w:tc>
      </w:tr>
      <w:tr>
        <w:trPr>
          <w:trHeight w:val="719" w:hRule="atLeast"/>
        </w:trPr>
        <w:tc>
          <w:tcPr>
            <w:tcW w:w="5211" w:type="dxa"/>
          </w:tcPr>
          <w:p>
            <w:pPr>
              <w:pStyle w:val="TableParagraph"/>
              <w:rPr>
                <w:sz w:val="22"/>
              </w:rPr>
            </w:pPr>
            <w:r>
              <w:rPr>
                <w:sz w:val="22"/>
              </w:rPr>
              <w:t>External Examiner’s Signature:</w:t>
            </w:r>
          </w:p>
        </w:tc>
        <w:tc>
          <w:tcPr>
            <w:tcW w:w="3645" w:type="dxa"/>
            <w:gridSpan w:val="2"/>
          </w:tcPr>
          <w:p>
            <w:pPr>
              <w:pStyle w:val="TableParagraph"/>
              <w:ind w:left="108"/>
              <w:rPr>
                <w:sz w:val="22"/>
              </w:rPr>
            </w:pPr>
            <w:r>
              <w:rPr>
                <w:sz w:val="22"/>
              </w:rPr>
              <w:t>Date:</w:t>
            </w:r>
          </w:p>
        </w:tc>
      </w:tr>
    </w:tbl>
    <w:p>
      <w:pPr>
        <w:spacing w:after="0"/>
        <w:rPr>
          <w:sz w:val="22"/>
        </w:rPr>
        <w:sectPr>
          <w:pgSz w:w="12240" w:h="15840"/>
          <w:pgMar w:top="560" w:bottom="280" w:left="1580" w:right="1580"/>
        </w:sectPr>
      </w:pPr>
    </w:p>
    <w:p>
      <w:pPr>
        <w:spacing w:before="64"/>
        <w:ind w:left="383" w:right="0" w:firstLine="0"/>
        <w:jc w:val="left"/>
        <w:rPr>
          <w:sz w:val="24"/>
        </w:rPr>
      </w:pPr>
      <w:r>
        <w:rPr>
          <w:sz w:val="24"/>
        </w:rPr>
        <w:t>‘A Critical Comparison of Two JSTOR Papers’</w:t>
      </w:r>
    </w:p>
    <w:p>
      <w:pPr>
        <w:pStyle w:val="BodyText"/>
        <w:rPr>
          <w:sz w:val="24"/>
        </w:rPr>
      </w:pPr>
    </w:p>
    <w:p>
      <w:pPr>
        <w:pStyle w:val="BodyText"/>
        <w:spacing w:before="161"/>
        <w:ind w:left="383"/>
      </w:pPr>
      <w:r>
        <w:rPr/>
        <w:t>Word count 2092</w:t>
      </w:r>
    </w:p>
    <w:p>
      <w:pPr>
        <w:pStyle w:val="BodyText"/>
        <w:spacing w:before="11"/>
      </w:pPr>
    </w:p>
    <w:p>
      <w:pPr>
        <w:pStyle w:val="BodyText"/>
        <w:spacing w:before="56"/>
        <w:ind w:right="102"/>
        <w:jc w:val="right"/>
      </w:pPr>
      <w:r>
        <w:rPr/>
        <w:pict>
          <v:line style="position:absolute;mso-position-horizontal-relative:page;mso-position-vertical-relative:paragraph;z-index:251662336" from="530.619995pt,1.633652pt" to="595.320002pt,1.633652pt" stroked="true" strokeweight=".48001pt" strokecolor="#d7d7d7">
            <v:stroke dashstyle="solid"/>
            <w10:wrap type="none"/>
          </v:line>
        </w:pict>
      </w:r>
      <w:r>
        <w:rPr/>
        <w:t>Page | 1</w:t>
      </w:r>
    </w:p>
    <w:p>
      <w:pPr>
        <w:pStyle w:val="BodyText"/>
        <w:rPr>
          <w:sz w:val="20"/>
        </w:rPr>
      </w:pPr>
    </w:p>
    <w:p>
      <w:pPr>
        <w:pStyle w:val="BodyText"/>
        <w:rPr>
          <w:sz w:val="20"/>
        </w:rPr>
      </w:pPr>
    </w:p>
    <w:p>
      <w:pPr>
        <w:pStyle w:val="BodyText"/>
        <w:spacing w:before="3"/>
        <w:rPr>
          <w:sz w:val="19"/>
        </w:rPr>
      </w:pPr>
    </w:p>
    <w:p>
      <w:pPr>
        <w:pStyle w:val="Heading1"/>
      </w:pPr>
      <w:r>
        <w:rPr/>
        <w:t>Introduction</w:t>
      </w:r>
    </w:p>
    <w:p>
      <w:pPr>
        <w:pStyle w:val="BodyText"/>
        <w:spacing w:line="259" w:lineRule="auto" w:before="182"/>
        <w:ind w:left="100" w:right="1277" w:firstLine="283"/>
        <w:jc w:val="both"/>
      </w:pPr>
      <w:r>
        <w:rPr/>
        <w:t>This</w:t>
      </w:r>
      <w:r>
        <w:rPr>
          <w:spacing w:val="-3"/>
        </w:rPr>
        <w:t> </w:t>
      </w:r>
      <w:r>
        <w:rPr/>
        <w:t>essay</w:t>
      </w:r>
      <w:r>
        <w:rPr>
          <w:spacing w:val="-2"/>
        </w:rPr>
        <w:t> </w:t>
      </w:r>
      <w:r>
        <w:rPr/>
        <w:t>compares</w:t>
      </w:r>
      <w:r>
        <w:rPr>
          <w:spacing w:val="-6"/>
        </w:rPr>
        <w:t> </w:t>
      </w:r>
      <w:r>
        <w:rPr/>
        <w:t>and</w:t>
      </w:r>
      <w:r>
        <w:rPr>
          <w:spacing w:val="-3"/>
        </w:rPr>
        <w:t> </w:t>
      </w:r>
      <w:r>
        <w:rPr/>
        <w:t>contrasts</w:t>
      </w:r>
      <w:r>
        <w:rPr>
          <w:spacing w:val="-4"/>
        </w:rPr>
        <w:t> </w:t>
      </w:r>
      <w:r>
        <w:rPr/>
        <w:t>Jai</w:t>
      </w:r>
      <w:r>
        <w:rPr>
          <w:spacing w:val="-6"/>
        </w:rPr>
        <w:t> </w:t>
      </w:r>
      <w:r>
        <w:rPr/>
        <w:t>Pal</w:t>
      </w:r>
      <w:r>
        <w:rPr>
          <w:spacing w:val="-3"/>
        </w:rPr>
        <w:t> </w:t>
      </w:r>
      <w:r>
        <w:rPr/>
        <w:t>Singh</w:t>
      </w:r>
      <w:r>
        <w:rPr>
          <w:spacing w:val="-4"/>
        </w:rPr>
        <w:t> </w:t>
      </w:r>
      <w:r>
        <w:rPr/>
        <w:t>and</w:t>
      </w:r>
      <w:r>
        <w:rPr>
          <w:spacing w:val="-5"/>
        </w:rPr>
        <w:t> </w:t>
      </w:r>
      <w:r>
        <w:rPr/>
        <w:t>Mumtaz</w:t>
      </w:r>
      <w:r>
        <w:rPr>
          <w:spacing w:val="-3"/>
        </w:rPr>
        <w:t> </w:t>
      </w:r>
      <w:r>
        <w:rPr/>
        <w:t>Khan's</w:t>
      </w:r>
      <w:r>
        <w:rPr>
          <w:spacing w:val="-3"/>
        </w:rPr>
        <w:t> </w:t>
      </w:r>
      <w:r>
        <w:rPr/>
        <w:t>paper</w:t>
      </w:r>
      <w:r>
        <w:rPr>
          <w:spacing w:val="-4"/>
        </w:rPr>
        <w:t> </w:t>
      </w:r>
      <w:r>
        <w:rPr/>
        <w:t>'Hindu</w:t>
      </w:r>
      <w:r>
        <w:rPr>
          <w:spacing w:val="-3"/>
        </w:rPr>
        <w:t> </w:t>
      </w:r>
      <w:r>
        <w:rPr/>
        <w:t>cosmologies</w:t>
      </w:r>
      <w:r>
        <w:rPr>
          <w:spacing w:val="-5"/>
        </w:rPr>
        <w:t> </w:t>
      </w:r>
      <w:r>
        <w:rPr/>
        <w:t>and the orientation and segregation of social groups in villages in Northwestern India', published in 1999 in Geografiska Annaler. Series B, Human Geography</w:t>
      </w:r>
      <w:r>
        <w:rPr>
          <w:vertAlign w:val="superscript"/>
        </w:rPr>
        <w:t>1</w:t>
      </w:r>
      <w:r>
        <w:rPr>
          <w:vertAlign w:val="baseline"/>
        </w:rPr>
        <w:t>, with Keith D. Lilley's article 'Cities of God? Medieval urban forms and their Christian symbolism', published in Transactions of the Institute of British Geographers in</w:t>
      </w:r>
      <w:r>
        <w:rPr>
          <w:spacing w:val="-4"/>
          <w:vertAlign w:val="baseline"/>
        </w:rPr>
        <w:t> </w:t>
      </w:r>
      <w:r>
        <w:rPr>
          <w:vertAlign w:val="baseline"/>
        </w:rPr>
        <w:t>2004</w:t>
      </w:r>
      <w:r>
        <w:rPr>
          <w:vertAlign w:val="superscript"/>
        </w:rPr>
        <w:t>2</w:t>
      </w:r>
      <w:r>
        <w:rPr>
          <w:vertAlign w:val="baseline"/>
        </w:rPr>
        <w:t>.</w:t>
      </w:r>
    </w:p>
    <w:p>
      <w:pPr>
        <w:pStyle w:val="BodyText"/>
        <w:spacing w:line="259" w:lineRule="auto" w:before="159"/>
        <w:ind w:left="100" w:right="1276" w:firstLine="283"/>
        <w:jc w:val="both"/>
      </w:pPr>
      <w:r>
        <w:rPr/>
        <w:t>The authors present an analysis of the traditions and customs in building and organizing cities, based on Hindu cosmology and Christian symbolism, respectively. The aim of both papers is to challenge previous studies and common views on the interpretation of urban morphologies.</w:t>
      </w:r>
    </w:p>
    <w:p>
      <w:pPr>
        <w:pStyle w:val="BodyText"/>
      </w:pPr>
    </w:p>
    <w:p>
      <w:pPr>
        <w:pStyle w:val="BodyText"/>
        <w:spacing w:before="10"/>
        <w:rPr>
          <w:sz w:val="27"/>
        </w:rPr>
      </w:pPr>
    </w:p>
    <w:p>
      <w:pPr>
        <w:pStyle w:val="Heading1"/>
      </w:pPr>
      <w:r>
        <w:rPr/>
        <w:t>Summary of the papers</w:t>
      </w:r>
    </w:p>
    <w:p>
      <w:pPr>
        <w:pStyle w:val="BodyText"/>
        <w:spacing w:line="259" w:lineRule="auto" w:before="183"/>
        <w:ind w:left="100" w:right="1270" w:firstLine="283"/>
        <w:jc w:val="both"/>
      </w:pPr>
      <w:r>
        <w:rPr/>
        <w:t>Singh</w:t>
      </w:r>
      <w:r>
        <w:rPr>
          <w:spacing w:val="-5"/>
        </w:rPr>
        <w:t> </w:t>
      </w:r>
      <w:r>
        <w:rPr/>
        <w:t>and</w:t>
      </w:r>
      <w:r>
        <w:rPr>
          <w:spacing w:val="-4"/>
        </w:rPr>
        <w:t> </w:t>
      </w:r>
      <w:r>
        <w:rPr/>
        <w:t>Khan</w:t>
      </w:r>
      <w:r>
        <w:rPr>
          <w:spacing w:val="-6"/>
        </w:rPr>
        <w:t> </w:t>
      </w:r>
      <w:r>
        <w:rPr/>
        <w:t>trace</w:t>
      </w:r>
      <w:r>
        <w:rPr>
          <w:spacing w:val="-3"/>
        </w:rPr>
        <w:t> </w:t>
      </w:r>
      <w:r>
        <w:rPr/>
        <w:t>an</w:t>
      </w:r>
      <w:r>
        <w:rPr>
          <w:spacing w:val="-4"/>
        </w:rPr>
        <w:t> </w:t>
      </w:r>
      <w:r>
        <w:rPr/>
        <w:t>analysis</w:t>
      </w:r>
      <w:r>
        <w:rPr>
          <w:spacing w:val="-5"/>
        </w:rPr>
        <w:t> </w:t>
      </w:r>
      <w:r>
        <w:rPr/>
        <w:t>based</w:t>
      </w:r>
      <w:r>
        <w:rPr>
          <w:spacing w:val="-6"/>
        </w:rPr>
        <w:t> </w:t>
      </w:r>
      <w:r>
        <w:rPr/>
        <w:t>on</w:t>
      </w:r>
      <w:r>
        <w:rPr>
          <w:spacing w:val="-4"/>
        </w:rPr>
        <w:t> </w:t>
      </w:r>
      <w:r>
        <w:rPr/>
        <w:t>the</w:t>
      </w:r>
      <w:r>
        <w:rPr>
          <w:spacing w:val="-5"/>
        </w:rPr>
        <w:t> </w:t>
      </w:r>
      <w:r>
        <w:rPr/>
        <w:t>interdependence</w:t>
      </w:r>
      <w:r>
        <w:rPr>
          <w:spacing w:val="-3"/>
        </w:rPr>
        <w:t> </w:t>
      </w:r>
      <w:r>
        <w:rPr/>
        <w:t>and</w:t>
      </w:r>
      <w:r>
        <w:rPr>
          <w:spacing w:val="-4"/>
        </w:rPr>
        <w:t> </w:t>
      </w:r>
      <w:r>
        <w:rPr/>
        <w:t>coexistence,</w:t>
      </w:r>
      <w:r>
        <w:rPr>
          <w:spacing w:val="-6"/>
        </w:rPr>
        <w:t> </w:t>
      </w:r>
      <w:r>
        <w:rPr/>
        <w:t>in</w:t>
      </w:r>
      <w:r>
        <w:rPr>
          <w:spacing w:val="-5"/>
        </w:rPr>
        <w:t> </w:t>
      </w:r>
      <w:r>
        <w:rPr/>
        <w:t>Indian</w:t>
      </w:r>
      <w:r>
        <w:rPr>
          <w:spacing w:val="-5"/>
        </w:rPr>
        <w:t> </w:t>
      </w:r>
      <w:r>
        <w:rPr/>
        <w:t>society, of urban planning, the hierarchy of the caste system and the main attributes of the gods of the Hindu pantheon. Cosmology carries the more traditional meaning of 'order of things', being used to give order</w:t>
      </w:r>
      <w:r>
        <w:rPr>
          <w:spacing w:val="-15"/>
        </w:rPr>
        <w:t> </w:t>
      </w:r>
      <w:r>
        <w:rPr/>
        <w:t>to</w:t>
      </w:r>
      <w:r>
        <w:rPr>
          <w:spacing w:val="-13"/>
        </w:rPr>
        <w:t> </w:t>
      </w:r>
      <w:r>
        <w:rPr/>
        <w:t>the</w:t>
      </w:r>
      <w:r>
        <w:rPr>
          <w:spacing w:val="-14"/>
        </w:rPr>
        <w:t> </w:t>
      </w:r>
      <w:r>
        <w:rPr/>
        <w:t>organization</w:t>
      </w:r>
      <w:r>
        <w:rPr>
          <w:spacing w:val="-14"/>
        </w:rPr>
        <w:t> </w:t>
      </w:r>
      <w:r>
        <w:rPr/>
        <w:t>of</w:t>
      </w:r>
      <w:r>
        <w:rPr>
          <w:spacing w:val="-14"/>
        </w:rPr>
        <w:t> </w:t>
      </w:r>
      <w:r>
        <w:rPr/>
        <w:t>urban</w:t>
      </w:r>
      <w:r>
        <w:rPr>
          <w:spacing w:val="-14"/>
        </w:rPr>
        <w:t> </w:t>
      </w:r>
      <w:r>
        <w:rPr/>
        <w:t>nuclei</w:t>
      </w:r>
      <w:r>
        <w:rPr>
          <w:spacing w:val="-13"/>
        </w:rPr>
        <w:t> </w:t>
      </w:r>
      <w:r>
        <w:rPr/>
        <w:t>and</w:t>
      </w:r>
      <w:r>
        <w:rPr>
          <w:spacing w:val="-15"/>
        </w:rPr>
        <w:t> </w:t>
      </w:r>
      <w:r>
        <w:rPr/>
        <w:t>maintain</w:t>
      </w:r>
      <w:r>
        <w:rPr>
          <w:spacing w:val="-14"/>
        </w:rPr>
        <w:t> </w:t>
      </w:r>
      <w:r>
        <w:rPr/>
        <w:t>the</w:t>
      </w:r>
      <w:r>
        <w:rPr>
          <w:spacing w:val="-12"/>
        </w:rPr>
        <w:t> </w:t>
      </w:r>
      <w:r>
        <w:rPr/>
        <w:t>balance</w:t>
      </w:r>
      <w:r>
        <w:rPr>
          <w:spacing w:val="-11"/>
        </w:rPr>
        <w:t> </w:t>
      </w:r>
      <w:r>
        <w:rPr/>
        <w:t>between</w:t>
      </w:r>
      <w:r>
        <w:rPr>
          <w:spacing w:val="-13"/>
        </w:rPr>
        <w:t> </w:t>
      </w:r>
      <w:r>
        <w:rPr/>
        <w:t>castes.</w:t>
      </w:r>
      <w:r>
        <w:rPr>
          <w:spacing w:val="-12"/>
        </w:rPr>
        <w:t> </w:t>
      </w:r>
      <w:r>
        <w:rPr/>
        <w:t>One</w:t>
      </w:r>
      <w:r>
        <w:rPr>
          <w:spacing w:val="-15"/>
        </w:rPr>
        <w:t> </w:t>
      </w:r>
      <w:r>
        <w:rPr/>
        <w:t>of</w:t>
      </w:r>
      <w:r>
        <w:rPr>
          <w:spacing w:val="-13"/>
        </w:rPr>
        <w:t> </w:t>
      </w:r>
      <w:r>
        <w:rPr/>
        <w:t>the</w:t>
      </w:r>
      <w:r>
        <w:rPr>
          <w:spacing w:val="-10"/>
        </w:rPr>
        <w:t> </w:t>
      </w:r>
      <w:r>
        <w:rPr/>
        <w:t>clearest ways this is accomplished is by researching the specific attributes of each deity, who are placed as guardians of the various castes. There are eight main deities, each governing a natural element and a cardinal</w:t>
      </w:r>
      <w:r>
        <w:rPr>
          <w:spacing w:val="-4"/>
        </w:rPr>
        <w:t> </w:t>
      </w:r>
      <w:r>
        <w:rPr/>
        <w:t>point.</w:t>
      </w:r>
      <w:r>
        <w:rPr>
          <w:spacing w:val="-2"/>
        </w:rPr>
        <w:t> </w:t>
      </w:r>
      <w:r>
        <w:rPr/>
        <w:t>This</w:t>
      </w:r>
      <w:r>
        <w:rPr>
          <w:spacing w:val="-3"/>
        </w:rPr>
        <w:t> </w:t>
      </w:r>
      <w:r>
        <w:rPr/>
        <w:t>implies</w:t>
      </w:r>
      <w:r>
        <w:rPr>
          <w:spacing w:val="-5"/>
        </w:rPr>
        <w:t> </w:t>
      </w:r>
      <w:r>
        <w:rPr/>
        <w:t>that</w:t>
      </w:r>
      <w:r>
        <w:rPr>
          <w:spacing w:val="-2"/>
        </w:rPr>
        <w:t> </w:t>
      </w:r>
      <w:r>
        <w:rPr/>
        <w:t>each</w:t>
      </w:r>
      <w:r>
        <w:rPr>
          <w:spacing w:val="-2"/>
        </w:rPr>
        <w:t> </w:t>
      </w:r>
      <w:r>
        <w:rPr/>
        <w:t>caste</w:t>
      </w:r>
      <w:r>
        <w:rPr>
          <w:spacing w:val="-3"/>
        </w:rPr>
        <w:t> </w:t>
      </w:r>
      <w:r>
        <w:rPr/>
        <w:t>also</w:t>
      </w:r>
      <w:r>
        <w:rPr>
          <w:spacing w:val="-1"/>
        </w:rPr>
        <w:t> </w:t>
      </w:r>
      <w:r>
        <w:rPr/>
        <w:t>has</w:t>
      </w:r>
      <w:r>
        <w:rPr>
          <w:spacing w:val="-2"/>
        </w:rPr>
        <w:t> </w:t>
      </w:r>
      <w:r>
        <w:rPr/>
        <w:t>a</w:t>
      </w:r>
      <w:r>
        <w:rPr>
          <w:spacing w:val="-2"/>
        </w:rPr>
        <w:t> </w:t>
      </w:r>
      <w:r>
        <w:rPr/>
        <w:t>specific</w:t>
      </w:r>
      <w:r>
        <w:rPr>
          <w:spacing w:val="-3"/>
        </w:rPr>
        <w:t> </w:t>
      </w:r>
      <w:r>
        <w:rPr/>
        <w:t>position</w:t>
      </w:r>
      <w:r>
        <w:rPr>
          <w:spacing w:val="-3"/>
        </w:rPr>
        <w:t> </w:t>
      </w:r>
      <w:r>
        <w:rPr/>
        <w:t>within</w:t>
      </w:r>
      <w:r>
        <w:rPr>
          <w:spacing w:val="-4"/>
        </w:rPr>
        <w:t> </w:t>
      </w:r>
      <w:r>
        <w:rPr/>
        <w:t>the</w:t>
      </w:r>
      <w:r>
        <w:rPr>
          <w:spacing w:val="-6"/>
        </w:rPr>
        <w:t> </w:t>
      </w:r>
      <w:r>
        <w:rPr/>
        <w:t>village.</w:t>
      </w:r>
      <w:r>
        <w:rPr>
          <w:spacing w:val="-3"/>
        </w:rPr>
        <w:t> </w:t>
      </w:r>
      <w:r>
        <w:rPr/>
        <w:t>For</w:t>
      </w:r>
      <w:r>
        <w:rPr>
          <w:spacing w:val="-2"/>
        </w:rPr>
        <w:t> </w:t>
      </w:r>
      <w:r>
        <w:rPr/>
        <w:t>example, the</w:t>
      </w:r>
      <w:r>
        <w:rPr>
          <w:spacing w:val="-8"/>
        </w:rPr>
        <w:t> </w:t>
      </w:r>
      <w:r>
        <w:rPr/>
        <w:t>southern</w:t>
      </w:r>
      <w:r>
        <w:rPr>
          <w:spacing w:val="-9"/>
        </w:rPr>
        <w:t> </w:t>
      </w:r>
      <w:r>
        <w:rPr/>
        <w:t>neighbourhoods</w:t>
      </w:r>
      <w:r>
        <w:rPr>
          <w:spacing w:val="-7"/>
        </w:rPr>
        <w:t> </w:t>
      </w:r>
      <w:r>
        <w:rPr/>
        <w:t>are</w:t>
      </w:r>
      <w:r>
        <w:rPr>
          <w:spacing w:val="-10"/>
        </w:rPr>
        <w:t> </w:t>
      </w:r>
      <w:r>
        <w:rPr/>
        <w:t>assigned</w:t>
      </w:r>
      <w:r>
        <w:rPr>
          <w:spacing w:val="-9"/>
        </w:rPr>
        <w:t> </w:t>
      </w:r>
      <w:r>
        <w:rPr/>
        <w:t>to</w:t>
      </w:r>
      <w:r>
        <w:rPr>
          <w:spacing w:val="-6"/>
        </w:rPr>
        <w:t> </w:t>
      </w:r>
      <w:r>
        <w:rPr/>
        <w:t>deities</w:t>
      </w:r>
      <w:r>
        <w:rPr>
          <w:spacing w:val="-12"/>
        </w:rPr>
        <w:t> </w:t>
      </w:r>
      <w:r>
        <w:rPr/>
        <w:t>of</w:t>
      </w:r>
      <w:r>
        <w:rPr>
          <w:spacing w:val="-8"/>
        </w:rPr>
        <w:t> </w:t>
      </w:r>
      <w:r>
        <w:rPr/>
        <w:t>fire,</w:t>
      </w:r>
      <w:r>
        <w:rPr>
          <w:spacing w:val="-9"/>
        </w:rPr>
        <w:t> </w:t>
      </w:r>
      <w:r>
        <w:rPr/>
        <w:t>decay,</w:t>
      </w:r>
      <w:r>
        <w:rPr>
          <w:spacing w:val="-8"/>
        </w:rPr>
        <w:t> </w:t>
      </w:r>
      <w:r>
        <w:rPr/>
        <w:t>death:</w:t>
      </w:r>
      <w:r>
        <w:rPr>
          <w:spacing w:val="-9"/>
        </w:rPr>
        <w:t> </w:t>
      </w:r>
      <w:r>
        <w:rPr/>
        <w:t>this</w:t>
      </w:r>
      <w:r>
        <w:rPr>
          <w:spacing w:val="-8"/>
        </w:rPr>
        <w:t> </w:t>
      </w:r>
      <w:r>
        <w:rPr/>
        <w:t>area</w:t>
      </w:r>
      <w:r>
        <w:rPr>
          <w:spacing w:val="-7"/>
        </w:rPr>
        <w:t> </w:t>
      </w:r>
      <w:r>
        <w:rPr/>
        <w:t>is</w:t>
      </w:r>
      <w:r>
        <w:rPr>
          <w:spacing w:val="-8"/>
        </w:rPr>
        <w:t> </w:t>
      </w:r>
      <w:r>
        <w:rPr/>
        <w:t>intended</w:t>
      </w:r>
      <w:r>
        <w:rPr>
          <w:spacing w:val="-7"/>
        </w:rPr>
        <w:t> </w:t>
      </w:r>
      <w:r>
        <w:rPr/>
        <w:t>for</w:t>
      </w:r>
      <w:r>
        <w:rPr>
          <w:spacing w:val="-9"/>
        </w:rPr>
        <w:t> </w:t>
      </w:r>
      <w:r>
        <w:rPr/>
        <w:t>the untouchables, as well as cremation sites, blacksmiths. The northern part is for the wealthy classes. The structure of the village, with the roads running from north to south and from east to west, is regarded</w:t>
      </w:r>
      <w:r>
        <w:rPr>
          <w:spacing w:val="-14"/>
        </w:rPr>
        <w:t> </w:t>
      </w:r>
      <w:r>
        <w:rPr/>
        <w:t>as</w:t>
      </w:r>
      <w:r>
        <w:rPr>
          <w:spacing w:val="-16"/>
        </w:rPr>
        <w:t> </w:t>
      </w:r>
      <w:r>
        <w:rPr/>
        <w:t>an</w:t>
      </w:r>
      <w:r>
        <w:rPr>
          <w:spacing w:val="-14"/>
        </w:rPr>
        <w:t> </w:t>
      </w:r>
      <w:r>
        <w:rPr/>
        <w:t>earthly</w:t>
      </w:r>
      <w:r>
        <w:rPr>
          <w:spacing w:val="-14"/>
        </w:rPr>
        <w:t> </w:t>
      </w:r>
      <w:r>
        <w:rPr/>
        <w:t>representation</w:t>
      </w:r>
      <w:r>
        <w:rPr>
          <w:spacing w:val="-16"/>
        </w:rPr>
        <w:t> </w:t>
      </w:r>
      <w:r>
        <w:rPr/>
        <w:t>of</w:t>
      </w:r>
      <w:r>
        <w:rPr>
          <w:spacing w:val="-16"/>
        </w:rPr>
        <w:t> </w:t>
      </w:r>
      <w:r>
        <w:rPr/>
        <w:t>the</w:t>
      </w:r>
      <w:r>
        <w:rPr>
          <w:spacing w:val="-15"/>
        </w:rPr>
        <w:t> </w:t>
      </w:r>
      <w:r>
        <w:rPr/>
        <w:t>opposition</w:t>
      </w:r>
      <w:r>
        <w:rPr>
          <w:spacing w:val="-14"/>
        </w:rPr>
        <w:t> </w:t>
      </w:r>
      <w:r>
        <w:rPr/>
        <w:t>and</w:t>
      </w:r>
      <w:r>
        <w:rPr>
          <w:spacing w:val="-15"/>
        </w:rPr>
        <w:t> </w:t>
      </w:r>
      <w:r>
        <w:rPr/>
        <w:t>difference</w:t>
      </w:r>
      <w:r>
        <w:rPr>
          <w:spacing w:val="-12"/>
        </w:rPr>
        <w:t> </w:t>
      </w:r>
      <w:r>
        <w:rPr/>
        <w:t>between</w:t>
      </w:r>
      <w:r>
        <w:rPr>
          <w:spacing w:val="-13"/>
        </w:rPr>
        <w:t> </w:t>
      </w:r>
      <w:r>
        <w:rPr/>
        <w:t>the</w:t>
      </w:r>
      <w:r>
        <w:rPr>
          <w:spacing w:val="-12"/>
        </w:rPr>
        <w:t> </w:t>
      </w:r>
      <w:r>
        <w:rPr/>
        <w:t>respective</w:t>
      </w:r>
      <w:r>
        <w:rPr>
          <w:spacing w:val="-12"/>
        </w:rPr>
        <w:t> </w:t>
      </w:r>
      <w:r>
        <w:rPr/>
        <w:t>deities. Despite this, differences can be noted depending on the geographical area that is taken into consideration, deriving from the examples of the villages mentioned in the text. First because there may</w:t>
      </w:r>
      <w:r>
        <w:rPr>
          <w:spacing w:val="-3"/>
        </w:rPr>
        <w:t> </w:t>
      </w:r>
      <w:r>
        <w:rPr/>
        <w:t>be</w:t>
      </w:r>
      <w:r>
        <w:rPr>
          <w:spacing w:val="-3"/>
        </w:rPr>
        <w:t> </w:t>
      </w:r>
      <w:r>
        <w:rPr/>
        <w:t>beliefs</w:t>
      </w:r>
      <w:r>
        <w:rPr>
          <w:spacing w:val="-5"/>
        </w:rPr>
        <w:t> </w:t>
      </w:r>
      <w:r>
        <w:rPr/>
        <w:t>or</w:t>
      </w:r>
      <w:r>
        <w:rPr>
          <w:spacing w:val="-3"/>
        </w:rPr>
        <w:t> </w:t>
      </w:r>
      <w:r>
        <w:rPr/>
        <w:t>traditions</w:t>
      </w:r>
      <w:r>
        <w:rPr>
          <w:spacing w:val="-5"/>
        </w:rPr>
        <w:t> </w:t>
      </w:r>
      <w:r>
        <w:rPr/>
        <w:t>that</w:t>
      </w:r>
      <w:r>
        <w:rPr>
          <w:spacing w:val="-3"/>
        </w:rPr>
        <w:t> </w:t>
      </w:r>
      <w:r>
        <w:rPr/>
        <w:t>differ</w:t>
      </w:r>
      <w:r>
        <w:rPr>
          <w:spacing w:val="-3"/>
        </w:rPr>
        <w:t> </w:t>
      </w:r>
      <w:r>
        <w:rPr/>
        <w:t>slightly</w:t>
      </w:r>
      <w:r>
        <w:rPr>
          <w:spacing w:val="-3"/>
        </w:rPr>
        <w:t> </w:t>
      </w:r>
      <w:r>
        <w:rPr/>
        <w:t>from</w:t>
      </w:r>
      <w:r>
        <w:rPr>
          <w:spacing w:val="-1"/>
        </w:rPr>
        <w:t> </w:t>
      </w:r>
      <w:r>
        <w:rPr/>
        <w:t>one</w:t>
      </w:r>
      <w:r>
        <w:rPr>
          <w:spacing w:val="-3"/>
        </w:rPr>
        <w:t> </w:t>
      </w:r>
      <w:r>
        <w:rPr/>
        <w:t>location</w:t>
      </w:r>
      <w:r>
        <w:rPr>
          <w:spacing w:val="-4"/>
        </w:rPr>
        <w:t> </w:t>
      </w:r>
      <w:r>
        <w:rPr/>
        <w:t>to</w:t>
      </w:r>
      <w:r>
        <w:rPr>
          <w:spacing w:val="-2"/>
        </w:rPr>
        <w:t> </w:t>
      </w:r>
      <w:r>
        <w:rPr/>
        <w:t>another,</w:t>
      </w:r>
      <w:r>
        <w:rPr>
          <w:spacing w:val="-3"/>
        </w:rPr>
        <w:t> </w:t>
      </w:r>
      <w:r>
        <w:rPr/>
        <w:t>but</w:t>
      </w:r>
      <w:r>
        <w:rPr>
          <w:spacing w:val="-2"/>
        </w:rPr>
        <w:t> </w:t>
      </w:r>
      <w:r>
        <w:rPr/>
        <w:t>also</w:t>
      </w:r>
      <w:r>
        <w:rPr>
          <w:spacing w:val="-3"/>
        </w:rPr>
        <w:t> </w:t>
      </w:r>
      <w:r>
        <w:rPr/>
        <w:t>for</w:t>
      </w:r>
      <w:r>
        <w:rPr>
          <w:spacing w:val="-3"/>
        </w:rPr>
        <w:t> </w:t>
      </w:r>
      <w:r>
        <w:rPr/>
        <w:t>geographical reasons. In areas where monsoon winds blow from south to north, the neighbourhoods, and consequently the castes are swapped, while retaining the same guardian</w:t>
      </w:r>
      <w:r>
        <w:rPr>
          <w:spacing w:val="-11"/>
        </w:rPr>
        <w:t> </w:t>
      </w:r>
      <w:r>
        <w:rPr/>
        <w:t>deities.</w:t>
      </w:r>
    </w:p>
    <w:p>
      <w:pPr>
        <w:pStyle w:val="BodyText"/>
        <w:spacing w:line="259" w:lineRule="auto" w:before="158"/>
        <w:ind w:left="100" w:right="1274" w:firstLine="283"/>
        <w:jc w:val="both"/>
      </w:pPr>
      <w:r>
        <w:rPr/>
        <w:t>Lilley focuses on the morphology of European cities in the Middle Ages in relation to Christian symbolism. The urban tradition of this period tends to reproduce the morphology of the sacred city, Jerusalem, in the planning of other Christian cities. Unlike Hindu villages where each neighbourhood has a guardian deity, Jerusalem is structured as a series of concentric circles, with the innermost one</w:t>
      </w:r>
    </w:p>
    <w:p>
      <w:pPr>
        <w:pStyle w:val="BodyText"/>
        <w:spacing w:before="7"/>
        <w:rPr>
          <w:sz w:val="25"/>
        </w:rPr>
      </w:pPr>
      <w:r>
        <w:rPr/>
        <w:pict>
          <v:line style="position:absolute;mso-position-horizontal-relative:page;mso-position-vertical-relative:paragraph;z-index:-251655168;mso-wrap-distance-left:0;mso-wrap-distance-right:0" from="86.183998pt,17.981781pt" to="230.203998pt,17.981781pt" stroked="true" strokeweight=".72003pt" strokecolor="#000000">
            <v:stroke dashstyle="solid"/>
            <w10:wrap type="topAndBottom"/>
          </v:line>
        </w:pict>
      </w:r>
    </w:p>
    <w:p>
      <w:pPr>
        <w:spacing w:before="69"/>
        <w:ind w:left="100" w:right="1215" w:firstLine="283"/>
        <w:jc w:val="left"/>
        <w:rPr>
          <w:sz w:val="20"/>
        </w:rPr>
      </w:pPr>
      <w:r>
        <w:rPr>
          <w:position w:val="7"/>
          <w:sz w:val="13"/>
        </w:rPr>
        <w:t>1 </w:t>
      </w:r>
      <w:r>
        <w:rPr>
          <w:sz w:val="20"/>
        </w:rPr>
        <w:t>Jai Pal Singh and Mumtaz Khan, ‘Hindu Cosmology and the Orientation and Segregation of Social Groups in Villages in Northwestern India’, </w:t>
      </w:r>
      <w:r>
        <w:rPr>
          <w:i/>
          <w:sz w:val="20"/>
        </w:rPr>
        <w:t>Geografiska Annaler</w:t>
      </w:r>
      <w:r>
        <w:rPr>
          <w:sz w:val="20"/>
        </w:rPr>
        <w:t>. Series B, Human Geography, 81:1, (1999), 19-39.</w:t>
      </w:r>
    </w:p>
    <w:p>
      <w:pPr>
        <w:spacing w:line="264" w:lineRule="auto" w:before="0"/>
        <w:ind w:left="383" w:right="1215" w:firstLine="0"/>
        <w:jc w:val="left"/>
        <w:rPr>
          <w:sz w:val="20"/>
        </w:rPr>
      </w:pPr>
      <w:r>
        <w:rPr>
          <w:position w:val="8"/>
          <w:sz w:val="14"/>
        </w:rPr>
        <w:t>2 </w:t>
      </w:r>
      <w:r>
        <w:rPr>
          <w:sz w:val="20"/>
        </w:rPr>
        <w:t>Lilley, Keith D, ‘Cities of God? Medieval Urban Forms and Their Christian Symbolism’, </w:t>
      </w:r>
      <w:r>
        <w:rPr>
          <w:i/>
          <w:sz w:val="20"/>
        </w:rPr>
        <w:t>Transactions of the </w:t>
      </w:r>
      <w:r>
        <w:rPr>
          <w:i/>
          <w:sz w:val="20"/>
        </w:rPr>
        <w:t>Institute of British Geographers</w:t>
      </w:r>
      <w:r>
        <w:rPr>
          <w:sz w:val="20"/>
        </w:rPr>
        <w:t>, 29:3 (2004), 296-313.</w:t>
      </w:r>
    </w:p>
    <w:p>
      <w:pPr>
        <w:spacing w:after="0" w:line="264" w:lineRule="auto"/>
        <w:jc w:val="left"/>
        <w:rPr>
          <w:sz w:val="20"/>
        </w:rPr>
        <w:sectPr>
          <w:headerReference w:type="default" r:id="rId6"/>
          <w:pgSz w:w="11910" w:h="16840"/>
          <w:pgMar w:header="751" w:footer="0" w:top="1360" w:bottom="280" w:left="1340" w:right="160"/>
        </w:sectPr>
      </w:pPr>
    </w:p>
    <w:p>
      <w:pPr>
        <w:pStyle w:val="BodyText"/>
        <w:spacing w:line="259" w:lineRule="auto" w:before="64"/>
        <w:ind w:left="100" w:right="38"/>
        <w:jc w:val="both"/>
      </w:pPr>
      <w:r>
        <w:rPr/>
        <w:t>representing Jesus and the others representing the apostles. The cardinal points are represented in a symbolic way by the four evangelists. Further on in the article, there is a direct link to geometry, as a science rich in symbolisms dear to the Christian world, and therefore used prevalently to form the shape of cities. Moreover Lilley clearly refers to the role of God-architect and of the planners themselves of wanting to instil mystical-symbolic characteristics in the various parts of a city, even supporting the theories that some forms (circle, square) in the city are used without a real earthly purpose.</w:t>
      </w:r>
    </w:p>
    <w:p>
      <w:pPr>
        <w:pStyle w:val="BodyText"/>
      </w:pPr>
    </w:p>
    <w:p>
      <w:pPr>
        <w:pStyle w:val="BodyText"/>
        <w:spacing w:before="9"/>
        <w:rPr>
          <w:sz w:val="27"/>
        </w:rPr>
      </w:pPr>
    </w:p>
    <w:p>
      <w:pPr>
        <w:pStyle w:val="Heading1"/>
      </w:pPr>
      <w:r>
        <w:rPr/>
        <w:t>The approach to the reader</w:t>
      </w:r>
    </w:p>
    <w:p>
      <w:pPr>
        <w:pStyle w:val="BodyText"/>
        <w:spacing w:line="259" w:lineRule="auto" w:before="183"/>
        <w:ind w:left="100" w:right="40" w:firstLine="283"/>
        <w:jc w:val="both"/>
      </w:pPr>
      <w:r>
        <w:rPr/>
        <w:t>It is evident from the question in the title that Lilley wants to suggest a more intense reflection to the</w:t>
      </w:r>
      <w:r>
        <w:rPr>
          <w:spacing w:val="-9"/>
        </w:rPr>
        <w:t> </w:t>
      </w:r>
      <w:r>
        <w:rPr/>
        <w:t>reader.</w:t>
      </w:r>
      <w:r>
        <w:rPr>
          <w:spacing w:val="-9"/>
        </w:rPr>
        <w:t> </w:t>
      </w:r>
      <w:r>
        <w:rPr/>
        <w:t>Is</w:t>
      </w:r>
      <w:r>
        <w:rPr>
          <w:spacing w:val="-11"/>
        </w:rPr>
        <w:t> </w:t>
      </w:r>
      <w:r>
        <w:rPr/>
        <w:t>it</w:t>
      </w:r>
      <w:r>
        <w:rPr>
          <w:spacing w:val="-10"/>
        </w:rPr>
        <w:t> </w:t>
      </w:r>
      <w:r>
        <w:rPr/>
        <w:t>possible</w:t>
      </w:r>
      <w:r>
        <w:rPr>
          <w:spacing w:val="-7"/>
        </w:rPr>
        <w:t> </w:t>
      </w:r>
      <w:r>
        <w:rPr/>
        <w:t>to</w:t>
      </w:r>
      <w:r>
        <w:rPr>
          <w:spacing w:val="-10"/>
        </w:rPr>
        <w:t> </w:t>
      </w:r>
      <w:r>
        <w:rPr/>
        <w:t>find</w:t>
      </w:r>
      <w:r>
        <w:rPr>
          <w:spacing w:val="-9"/>
        </w:rPr>
        <w:t> </w:t>
      </w:r>
      <w:r>
        <w:rPr/>
        <w:t>a</w:t>
      </w:r>
      <w:r>
        <w:rPr>
          <w:spacing w:val="-8"/>
        </w:rPr>
        <w:t> </w:t>
      </w:r>
      <w:r>
        <w:rPr/>
        <w:t>symbolism</w:t>
      </w:r>
      <w:r>
        <w:rPr>
          <w:spacing w:val="-7"/>
        </w:rPr>
        <w:t> </w:t>
      </w:r>
      <w:r>
        <w:rPr/>
        <w:t>common</w:t>
      </w:r>
      <w:r>
        <w:rPr>
          <w:spacing w:val="-11"/>
        </w:rPr>
        <w:t> </w:t>
      </w:r>
      <w:r>
        <w:rPr/>
        <w:t>to</w:t>
      </w:r>
      <w:r>
        <w:rPr>
          <w:spacing w:val="-9"/>
        </w:rPr>
        <w:t> </w:t>
      </w:r>
      <w:r>
        <w:rPr/>
        <w:t>medieval</w:t>
      </w:r>
      <w:r>
        <w:rPr>
          <w:spacing w:val="-12"/>
        </w:rPr>
        <w:t> </w:t>
      </w:r>
      <w:r>
        <w:rPr/>
        <w:t>Christian</w:t>
      </w:r>
      <w:r>
        <w:rPr>
          <w:spacing w:val="-11"/>
        </w:rPr>
        <w:t> </w:t>
      </w:r>
      <w:r>
        <w:rPr/>
        <w:t>cities</w:t>
      </w:r>
      <w:r>
        <w:rPr>
          <w:spacing w:val="-10"/>
        </w:rPr>
        <w:t> </w:t>
      </w:r>
      <w:r>
        <w:rPr/>
        <w:t>whose</w:t>
      </w:r>
      <w:r>
        <w:rPr>
          <w:spacing w:val="-10"/>
        </w:rPr>
        <w:t> </w:t>
      </w:r>
      <w:r>
        <w:rPr/>
        <w:t>source</w:t>
      </w:r>
      <w:r>
        <w:rPr>
          <w:spacing w:val="-10"/>
        </w:rPr>
        <w:t> </w:t>
      </w:r>
      <w:r>
        <w:rPr/>
        <w:t>comes from or is related to cosmology? Have culture and traditions influenced the construction of cities</w:t>
      </w:r>
      <w:r>
        <w:rPr>
          <w:spacing w:val="-34"/>
        </w:rPr>
        <w:t> </w:t>
      </w:r>
      <w:r>
        <w:rPr/>
        <w:t>and how much? Is it possible to find this symbology and study it, leaving out the merely cartographic and geographical aspects? These are the main questions that the author wants to</w:t>
      </w:r>
      <w:r>
        <w:rPr>
          <w:spacing w:val="-18"/>
        </w:rPr>
        <w:t> </w:t>
      </w:r>
      <w:r>
        <w:rPr/>
        <w:t>discuss.</w:t>
      </w:r>
    </w:p>
    <w:p>
      <w:pPr>
        <w:pStyle w:val="BodyText"/>
        <w:spacing w:line="259" w:lineRule="auto" w:before="158"/>
        <w:ind w:left="100" w:right="38" w:firstLine="283"/>
        <w:jc w:val="both"/>
      </w:pPr>
      <w:r>
        <w:rPr/>
        <w:t>Singh and Khan instead presume that villages were built in a certain way because a certain cosmology and relative symbolism existed within the culture of a specific country. However, they do not forget that this culture can express in different ways depending on geography or local beliefs. In addition, the relationship between culture and cartography appears more interconnected, compared to Lilley's work, in which the author criticizes the studies of mere cartography, aiming to propose a vision based mainly on cultural aspects. Like Singh and Khan, Woodward</w:t>
      </w:r>
      <w:r>
        <w:rPr>
          <w:vertAlign w:val="superscript"/>
        </w:rPr>
        <w:t>3</w:t>
      </w:r>
      <w:r>
        <w:rPr>
          <w:vertAlign w:val="baseline"/>
        </w:rPr>
        <w:t> also aims to present an explanation: both articles stimulate the reader's curiosity towards a certain cultural area, rather than instil a doubt or questions that may lead to an argument inside the work presented. However, this is the</w:t>
      </w:r>
      <w:r>
        <w:rPr>
          <w:spacing w:val="-13"/>
          <w:vertAlign w:val="baseline"/>
        </w:rPr>
        <w:t> </w:t>
      </w:r>
      <w:r>
        <w:rPr>
          <w:vertAlign w:val="baseline"/>
        </w:rPr>
        <w:t>aim</w:t>
      </w:r>
      <w:r>
        <w:rPr>
          <w:spacing w:val="-13"/>
          <w:vertAlign w:val="baseline"/>
        </w:rPr>
        <w:t> </w:t>
      </w:r>
      <w:r>
        <w:rPr>
          <w:vertAlign w:val="baseline"/>
        </w:rPr>
        <w:t>of</w:t>
      </w:r>
      <w:r>
        <w:rPr>
          <w:spacing w:val="-13"/>
          <w:vertAlign w:val="baseline"/>
        </w:rPr>
        <w:t> </w:t>
      </w:r>
      <w:r>
        <w:rPr>
          <w:vertAlign w:val="baseline"/>
        </w:rPr>
        <w:t>the</w:t>
      </w:r>
      <w:r>
        <w:rPr>
          <w:spacing w:val="-14"/>
          <w:vertAlign w:val="baseline"/>
        </w:rPr>
        <w:t> </w:t>
      </w:r>
      <w:r>
        <w:rPr>
          <w:vertAlign w:val="baseline"/>
        </w:rPr>
        <w:t>articles,</w:t>
      </w:r>
      <w:r>
        <w:rPr>
          <w:spacing w:val="-14"/>
          <w:vertAlign w:val="baseline"/>
        </w:rPr>
        <w:t> </w:t>
      </w:r>
      <w:r>
        <w:rPr>
          <w:vertAlign w:val="baseline"/>
        </w:rPr>
        <w:t>to</w:t>
      </w:r>
      <w:r>
        <w:rPr>
          <w:spacing w:val="-13"/>
          <w:vertAlign w:val="baseline"/>
        </w:rPr>
        <w:t> </w:t>
      </w:r>
      <w:r>
        <w:rPr>
          <w:vertAlign w:val="baseline"/>
        </w:rPr>
        <w:t>present</w:t>
      </w:r>
      <w:r>
        <w:rPr>
          <w:spacing w:val="-14"/>
          <w:vertAlign w:val="baseline"/>
        </w:rPr>
        <w:t> </w:t>
      </w:r>
      <w:r>
        <w:rPr>
          <w:vertAlign w:val="baseline"/>
        </w:rPr>
        <w:t>evidence</w:t>
      </w:r>
      <w:r>
        <w:rPr>
          <w:spacing w:val="-14"/>
          <w:vertAlign w:val="baseline"/>
        </w:rPr>
        <w:t> </w:t>
      </w:r>
      <w:r>
        <w:rPr>
          <w:vertAlign w:val="baseline"/>
        </w:rPr>
        <w:t>that</w:t>
      </w:r>
      <w:r>
        <w:rPr>
          <w:spacing w:val="-13"/>
          <w:vertAlign w:val="baseline"/>
        </w:rPr>
        <w:t> </w:t>
      </w:r>
      <w:r>
        <w:rPr>
          <w:vertAlign w:val="baseline"/>
        </w:rPr>
        <w:t>already</w:t>
      </w:r>
      <w:r>
        <w:rPr>
          <w:spacing w:val="-14"/>
          <w:vertAlign w:val="baseline"/>
        </w:rPr>
        <w:t> </w:t>
      </w:r>
      <w:r>
        <w:rPr>
          <w:vertAlign w:val="baseline"/>
        </w:rPr>
        <w:t>exists,</w:t>
      </w:r>
      <w:r>
        <w:rPr>
          <w:spacing w:val="-12"/>
          <w:vertAlign w:val="baseline"/>
        </w:rPr>
        <w:t> </w:t>
      </w:r>
      <w:r>
        <w:rPr>
          <w:vertAlign w:val="baseline"/>
        </w:rPr>
        <w:t>and</w:t>
      </w:r>
      <w:r>
        <w:rPr>
          <w:spacing w:val="-14"/>
          <w:vertAlign w:val="baseline"/>
        </w:rPr>
        <w:t> </w:t>
      </w:r>
      <w:r>
        <w:rPr>
          <w:vertAlign w:val="baseline"/>
        </w:rPr>
        <w:t>to</w:t>
      </w:r>
      <w:r>
        <w:rPr>
          <w:spacing w:val="-11"/>
          <w:vertAlign w:val="baseline"/>
        </w:rPr>
        <w:t> </w:t>
      </w:r>
      <w:r>
        <w:rPr>
          <w:vertAlign w:val="baseline"/>
        </w:rPr>
        <w:t>bring</w:t>
      </w:r>
      <w:r>
        <w:rPr>
          <w:spacing w:val="-13"/>
          <w:vertAlign w:val="baseline"/>
        </w:rPr>
        <w:t> </w:t>
      </w:r>
      <w:r>
        <w:rPr>
          <w:vertAlign w:val="baseline"/>
        </w:rPr>
        <w:t>support</w:t>
      </w:r>
      <w:r>
        <w:rPr>
          <w:spacing w:val="-15"/>
          <w:vertAlign w:val="baseline"/>
        </w:rPr>
        <w:t> </w:t>
      </w:r>
      <w:r>
        <w:rPr>
          <w:vertAlign w:val="baseline"/>
        </w:rPr>
        <w:t>to</w:t>
      </w:r>
      <w:r>
        <w:rPr>
          <w:spacing w:val="-12"/>
          <w:vertAlign w:val="baseline"/>
        </w:rPr>
        <w:t> </w:t>
      </w:r>
      <w:r>
        <w:rPr>
          <w:vertAlign w:val="baseline"/>
        </w:rPr>
        <w:t>prove</w:t>
      </w:r>
      <w:r>
        <w:rPr>
          <w:spacing w:val="-14"/>
          <w:vertAlign w:val="baseline"/>
        </w:rPr>
        <w:t> </w:t>
      </w:r>
      <w:r>
        <w:rPr>
          <w:vertAlign w:val="baseline"/>
        </w:rPr>
        <w:t>the</w:t>
      </w:r>
      <w:r>
        <w:rPr>
          <w:spacing w:val="-13"/>
          <w:vertAlign w:val="baseline"/>
        </w:rPr>
        <w:t> </w:t>
      </w:r>
      <w:r>
        <w:rPr>
          <w:vertAlign w:val="baseline"/>
        </w:rPr>
        <w:t>thesis.</w:t>
      </w:r>
    </w:p>
    <w:p>
      <w:pPr>
        <w:pStyle w:val="BodyText"/>
        <w:spacing w:line="259" w:lineRule="auto" w:before="160"/>
        <w:ind w:left="100" w:right="40" w:firstLine="283"/>
        <w:jc w:val="both"/>
      </w:pPr>
      <w:r>
        <w:rPr/>
        <w:t>The approach found in Šprajc</w:t>
      </w:r>
      <w:r>
        <w:rPr>
          <w:vertAlign w:val="superscript"/>
        </w:rPr>
        <w:t>4</w:t>
      </w:r>
      <w:r>
        <w:rPr>
          <w:vertAlign w:val="baseline"/>
        </w:rPr>
        <w:t> is similar to Lilley's. The author immediately makes it clear, both in the title and in the first paragraphs, how his goal is to question a theory. The text also flows with a similar intensity, despite Lilley’s text being more organized and basing the arguments on multiple theories generally shared by many scholars. These similarities in the structure make once again clear the</w:t>
      </w:r>
      <w:r>
        <w:rPr>
          <w:spacing w:val="-10"/>
          <w:vertAlign w:val="baseline"/>
        </w:rPr>
        <w:t> </w:t>
      </w:r>
      <w:r>
        <w:rPr>
          <w:vertAlign w:val="baseline"/>
        </w:rPr>
        <w:t>concept</w:t>
      </w:r>
      <w:r>
        <w:rPr>
          <w:spacing w:val="-12"/>
          <w:vertAlign w:val="baseline"/>
        </w:rPr>
        <w:t> </w:t>
      </w:r>
      <w:r>
        <w:rPr>
          <w:vertAlign w:val="baseline"/>
        </w:rPr>
        <w:t>underlying</w:t>
      </w:r>
      <w:r>
        <w:rPr>
          <w:spacing w:val="-13"/>
          <w:vertAlign w:val="baseline"/>
        </w:rPr>
        <w:t> </w:t>
      </w:r>
      <w:r>
        <w:rPr>
          <w:vertAlign w:val="baseline"/>
        </w:rPr>
        <w:t>texts</w:t>
      </w:r>
      <w:r>
        <w:rPr>
          <w:spacing w:val="-10"/>
          <w:vertAlign w:val="baseline"/>
        </w:rPr>
        <w:t> </w:t>
      </w:r>
      <w:r>
        <w:rPr>
          <w:vertAlign w:val="baseline"/>
        </w:rPr>
        <w:t>of</w:t>
      </w:r>
      <w:r>
        <w:rPr>
          <w:spacing w:val="-12"/>
          <w:vertAlign w:val="baseline"/>
        </w:rPr>
        <w:t> </w:t>
      </w:r>
      <w:r>
        <w:rPr>
          <w:vertAlign w:val="baseline"/>
        </w:rPr>
        <w:t>this</w:t>
      </w:r>
      <w:r>
        <w:rPr>
          <w:spacing w:val="-13"/>
          <w:vertAlign w:val="baseline"/>
        </w:rPr>
        <w:t> </w:t>
      </w:r>
      <w:r>
        <w:rPr>
          <w:vertAlign w:val="baseline"/>
        </w:rPr>
        <w:t>type,</w:t>
      </w:r>
      <w:r>
        <w:rPr>
          <w:spacing w:val="-9"/>
          <w:vertAlign w:val="baseline"/>
        </w:rPr>
        <w:t> </w:t>
      </w:r>
      <w:r>
        <w:rPr>
          <w:vertAlign w:val="baseline"/>
        </w:rPr>
        <w:t>that</w:t>
      </w:r>
      <w:r>
        <w:rPr>
          <w:spacing w:val="-10"/>
          <w:vertAlign w:val="baseline"/>
        </w:rPr>
        <w:t> </w:t>
      </w:r>
      <w:r>
        <w:rPr>
          <w:vertAlign w:val="baseline"/>
        </w:rPr>
        <w:t>is</w:t>
      </w:r>
      <w:r>
        <w:rPr>
          <w:spacing w:val="-13"/>
          <w:vertAlign w:val="baseline"/>
        </w:rPr>
        <w:t> </w:t>
      </w:r>
      <w:r>
        <w:rPr>
          <w:vertAlign w:val="baseline"/>
        </w:rPr>
        <w:t>to</w:t>
      </w:r>
      <w:r>
        <w:rPr>
          <w:spacing w:val="-8"/>
          <w:vertAlign w:val="baseline"/>
        </w:rPr>
        <w:t> </w:t>
      </w:r>
      <w:r>
        <w:rPr>
          <w:vertAlign w:val="baseline"/>
        </w:rPr>
        <w:t>argue,</w:t>
      </w:r>
      <w:r>
        <w:rPr>
          <w:spacing w:val="-10"/>
          <w:vertAlign w:val="baseline"/>
        </w:rPr>
        <w:t> </w:t>
      </w:r>
      <w:r>
        <w:rPr>
          <w:vertAlign w:val="baseline"/>
        </w:rPr>
        <w:t>and</w:t>
      </w:r>
      <w:r>
        <w:rPr>
          <w:spacing w:val="-13"/>
          <w:vertAlign w:val="baseline"/>
        </w:rPr>
        <w:t> </w:t>
      </w:r>
      <w:r>
        <w:rPr>
          <w:vertAlign w:val="baseline"/>
        </w:rPr>
        <w:t>the</w:t>
      </w:r>
      <w:r>
        <w:rPr>
          <w:spacing w:val="-10"/>
          <w:vertAlign w:val="baseline"/>
        </w:rPr>
        <w:t> </w:t>
      </w:r>
      <w:r>
        <w:rPr>
          <w:vertAlign w:val="baseline"/>
        </w:rPr>
        <w:t>difference</w:t>
      </w:r>
      <w:r>
        <w:rPr>
          <w:spacing w:val="-13"/>
          <w:vertAlign w:val="baseline"/>
        </w:rPr>
        <w:t> </w:t>
      </w:r>
      <w:r>
        <w:rPr>
          <w:vertAlign w:val="baseline"/>
        </w:rPr>
        <w:t>compared</w:t>
      </w:r>
      <w:r>
        <w:rPr>
          <w:spacing w:val="-10"/>
          <w:vertAlign w:val="baseline"/>
        </w:rPr>
        <w:t> </w:t>
      </w:r>
      <w:r>
        <w:rPr>
          <w:vertAlign w:val="baseline"/>
        </w:rPr>
        <w:t>to</w:t>
      </w:r>
      <w:r>
        <w:rPr>
          <w:spacing w:val="-12"/>
          <w:vertAlign w:val="baseline"/>
        </w:rPr>
        <w:t> </w:t>
      </w:r>
      <w:r>
        <w:rPr>
          <w:vertAlign w:val="baseline"/>
        </w:rPr>
        <w:t>that</w:t>
      </w:r>
      <w:r>
        <w:rPr>
          <w:spacing w:val="-12"/>
          <w:vertAlign w:val="baseline"/>
        </w:rPr>
        <w:t> </w:t>
      </w:r>
      <w:r>
        <w:rPr>
          <w:vertAlign w:val="baseline"/>
        </w:rPr>
        <w:t>of</w:t>
      </w:r>
      <w:r>
        <w:rPr>
          <w:spacing w:val="-11"/>
          <w:vertAlign w:val="baseline"/>
        </w:rPr>
        <w:t> </w:t>
      </w:r>
      <w:r>
        <w:rPr>
          <w:vertAlign w:val="baseline"/>
        </w:rPr>
        <w:t>Singh and Khan’s, who present a treatise, rather than provide prompts for discussion. Taking into consideration Schafer's article</w:t>
      </w:r>
      <w:r>
        <w:rPr>
          <w:vertAlign w:val="superscript"/>
        </w:rPr>
        <w:t>5</w:t>
      </w:r>
      <w:r>
        <w:rPr>
          <w:vertAlign w:val="baseline"/>
        </w:rPr>
        <w:t>, which presents itself similar to Singh and Khan’s work, while at the same</w:t>
      </w:r>
      <w:r>
        <w:rPr>
          <w:spacing w:val="-12"/>
          <w:vertAlign w:val="baseline"/>
        </w:rPr>
        <w:t> </w:t>
      </w:r>
      <w:r>
        <w:rPr>
          <w:vertAlign w:val="baseline"/>
        </w:rPr>
        <w:t>time</w:t>
      </w:r>
      <w:r>
        <w:rPr>
          <w:spacing w:val="-9"/>
          <w:vertAlign w:val="baseline"/>
        </w:rPr>
        <w:t> </w:t>
      </w:r>
      <w:r>
        <w:rPr>
          <w:vertAlign w:val="baseline"/>
        </w:rPr>
        <w:t>dealing</w:t>
      </w:r>
      <w:r>
        <w:rPr>
          <w:spacing w:val="-10"/>
          <w:vertAlign w:val="baseline"/>
        </w:rPr>
        <w:t> </w:t>
      </w:r>
      <w:r>
        <w:rPr>
          <w:vertAlign w:val="baseline"/>
        </w:rPr>
        <w:t>with</w:t>
      </w:r>
      <w:r>
        <w:rPr>
          <w:spacing w:val="-12"/>
          <w:vertAlign w:val="baseline"/>
        </w:rPr>
        <w:t> </w:t>
      </w:r>
      <w:r>
        <w:rPr>
          <w:vertAlign w:val="baseline"/>
        </w:rPr>
        <w:t>more</w:t>
      </w:r>
      <w:r>
        <w:rPr>
          <w:spacing w:val="-9"/>
          <w:vertAlign w:val="baseline"/>
        </w:rPr>
        <w:t> </w:t>
      </w:r>
      <w:r>
        <w:rPr>
          <w:vertAlign w:val="baseline"/>
        </w:rPr>
        <w:t>general</w:t>
      </w:r>
      <w:r>
        <w:rPr>
          <w:spacing w:val="-10"/>
          <w:vertAlign w:val="baseline"/>
        </w:rPr>
        <w:t> </w:t>
      </w:r>
      <w:r>
        <w:rPr>
          <w:vertAlign w:val="baseline"/>
        </w:rPr>
        <w:t>and</w:t>
      </w:r>
      <w:r>
        <w:rPr>
          <w:spacing w:val="-10"/>
          <w:vertAlign w:val="baseline"/>
        </w:rPr>
        <w:t> </w:t>
      </w:r>
      <w:r>
        <w:rPr>
          <w:vertAlign w:val="baseline"/>
        </w:rPr>
        <w:t>more</w:t>
      </w:r>
      <w:r>
        <w:rPr>
          <w:spacing w:val="-11"/>
          <w:vertAlign w:val="baseline"/>
        </w:rPr>
        <w:t> </w:t>
      </w:r>
      <w:r>
        <w:rPr>
          <w:vertAlign w:val="baseline"/>
        </w:rPr>
        <w:t>modern</w:t>
      </w:r>
      <w:r>
        <w:rPr>
          <w:spacing w:val="-10"/>
          <w:vertAlign w:val="baseline"/>
        </w:rPr>
        <w:t> </w:t>
      </w:r>
      <w:r>
        <w:rPr>
          <w:vertAlign w:val="baseline"/>
        </w:rPr>
        <w:t>topics,</w:t>
      </w:r>
      <w:r>
        <w:rPr>
          <w:spacing w:val="-9"/>
          <w:vertAlign w:val="baseline"/>
        </w:rPr>
        <w:t> </w:t>
      </w:r>
      <w:r>
        <w:rPr>
          <w:vertAlign w:val="baseline"/>
        </w:rPr>
        <w:t>this</w:t>
      </w:r>
      <w:r>
        <w:rPr>
          <w:spacing w:val="-9"/>
          <w:vertAlign w:val="baseline"/>
        </w:rPr>
        <w:t> </w:t>
      </w:r>
      <w:r>
        <w:rPr>
          <w:vertAlign w:val="baseline"/>
        </w:rPr>
        <w:t>concept</w:t>
      </w:r>
      <w:r>
        <w:rPr>
          <w:spacing w:val="-10"/>
          <w:vertAlign w:val="baseline"/>
        </w:rPr>
        <w:t> </w:t>
      </w:r>
      <w:r>
        <w:rPr>
          <w:vertAlign w:val="baseline"/>
        </w:rPr>
        <w:t>is</w:t>
      </w:r>
      <w:r>
        <w:rPr>
          <w:spacing w:val="-12"/>
          <w:vertAlign w:val="baseline"/>
        </w:rPr>
        <w:t> </w:t>
      </w:r>
      <w:r>
        <w:rPr>
          <w:vertAlign w:val="baseline"/>
        </w:rPr>
        <w:t>only</w:t>
      </w:r>
      <w:r>
        <w:rPr>
          <w:spacing w:val="-9"/>
          <w:vertAlign w:val="baseline"/>
        </w:rPr>
        <w:t> </w:t>
      </w:r>
      <w:r>
        <w:rPr>
          <w:vertAlign w:val="baseline"/>
        </w:rPr>
        <w:t>reinforced.</w:t>
      </w:r>
      <w:r>
        <w:rPr>
          <w:spacing w:val="-10"/>
          <w:vertAlign w:val="baseline"/>
        </w:rPr>
        <w:t> </w:t>
      </w:r>
      <w:r>
        <w:rPr>
          <w:vertAlign w:val="baseline"/>
        </w:rPr>
        <w:t>Schafer too, in fact, offers a study that has as its objective a discourse rather than a debate. Hence the substantial difference in the composition of the articles is based precisely on the level of interaction with</w:t>
      </w:r>
      <w:r>
        <w:rPr>
          <w:spacing w:val="-8"/>
          <w:vertAlign w:val="baseline"/>
        </w:rPr>
        <w:t> </w:t>
      </w:r>
      <w:r>
        <w:rPr>
          <w:vertAlign w:val="baseline"/>
        </w:rPr>
        <w:t>the</w:t>
      </w:r>
      <w:r>
        <w:rPr>
          <w:spacing w:val="-9"/>
          <w:vertAlign w:val="baseline"/>
        </w:rPr>
        <w:t> </w:t>
      </w:r>
      <w:r>
        <w:rPr>
          <w:vertAlign w:val="baseline"/>
        </w:rPr>
        <w:t>reader</w:t>
      </w:r>
      <w:r>
        <w:rPr>
          <w:spacing w:val="-10"/>
          <w:vertAlign w:val="baseline"/>
        </w:rPr>
        <w:t> </w:t>
      </w:r>
      <w:r>
        <w:rPr>
          <w:vertAlign w:val="baseline"/>
        </w:rPr>
        <w:t>that</w:t>
      </w:r>
      <w:r>
        <w:rPr>
          <w:spacing w:val="-7"/>
          <w:vertAlign w:val="baseline"/>
        </w:rPr>
        <w:t> </w:t>
      </w:r>
      <w:r>
        <w:rPr>
          <w:vertAlign w:val="baseline"/>
        </w:rPr>
        <w:t>the</w:t>
      </w:r>
      <w:r>
        <w:rPr>
          <w:spacing w:val="-7"/>
          <w:vertAlign w:val="baseline"/>
        </w:rPr>
        <w:t> </w:t>
      </w:r>
      <w:r>
        <w:rPr>
          <w:vertAlign w:val="baseline"/>
        </w:rPr>
        <w:t>authors</w:t>
      </w:r>
      <w:r>
        <w:rPr>
          <w:spacing w:val="-9"/>
          <w:vertAlign w:val="baseline"/>
        </w:rPr>
        <w:t> </w:t>
      </w:r>
      <w:r>
        <w:rPr>
          <w:vertAlign w:val="baseline"/>
        </w:rPr>
        <w:t>want</w:t>
      </w:r>
      <w:r>
        <w:rPr>
          <w:spacing w:val="-7"/>
          <w:vertAlign w:val="baseline"/>
        </w:rPr>
        <w:t> </w:t>
      </w:r>
      <w:r>
        <w:rPr>
          <w:vertAlign w:val="baseline"/>
        </w:rPr>
        <w:t>to</w:t>
      </w:r>
      <w:r>
        <w:rPr>
          <w:spacing w:val="-7"/>
          <w:vertAlign w:val="baseline"/>
        </w:rPr>
        <w:t> </w:t>
      </w:r>
      <w:r>
        <w:rPr>
          <w:vertAlign w:val="baseline"/>
        </w:rPr>
        <w:t>start</w:t>
      </w:r>
      <w:r>
        <w:rPr>
          <w:spacing w:val="-6"/>
          <w:vertAlign w:val="baseline"/>
        </w:rPr>
        <w:t> </w:t>
      </w:r>
      <w:r>
        <w:rPr>
          <w:vertAlign w:val="baseline"/>
        </w:rPr>
        <w:t>in</w:t>
      </w:r>
      <w:r>
        <w:rPr>
          <w:spacing w:val="-11"/>
          <w:vertAlign w:val="baseline"/>
        </w:rPr>
        <w:t> </w:t>
      </w:r>
      <w:r>
        <w:rPr>
          <w:vertAlign w:val="baseline"/>
        </w:rPr>
        <w:t>the</w:t>
      </w:r>
      <w:r>
        <w:rPr>
          <w:spacing w:val="-7"/>
          <w:vertAlign w:val="baseline"/>
        </w:rPr>
        <w:t> </w:t>
      </w:r>
      <w:r>
        <w:rPr>
          <w:vertAlign w:val="baseline"/>
        </w:rPr>
        <w:t>text.</w:t>
      </w:r>
      <w:r>
        <w:rPr>
          <w:spacing w:val="-8"/>
          <w:vertAlign w:val="baseline"/>
        </w:rPr>
        <w:t> </w:t>
      </w:r>
      <w:r>
        <w:rPr>
          <w:vertAlign w:val="baseline"/>
        </w:rPr>
        <w:t>Lilley,</w:t>
      </w:r>
      <w:r>
        <w:rPr>
          <w:spacing w:val="-8"/>
          <w:vertAlign w:val="baseline"/>
        </w:rPr>
        <w:t> </w:t>
      </w:r>
      <w:r>
        <w:rPr>
          <w:vertAlign w:val="baseline"/>
        </w:rPr>
        <w:t>as</w:t>
      </w:r>
      <w:r>
        <w:rPr>
          <w:spacing w:val="-9"/>
          <w:vertAlign w:val="baseline"/>
        </w:rPr>
        <w:t> </w:t>
      </w:r>
      <w:r>
        <w:rPr>
          <w:vertAlign w:val="baseline"/>
        </w:rPr>
        <w:t>well</w:t>
      </w:r>
      <w:r>
        <w:rPr>
          <w:spacing w:val="-8"/>
          <w:vertAlign w:val="baseline"/>
        </w:rPr>
        <w:t> </w:t>
      </w:r>
      <w:r>
        <w:rPr>
          <w:vertAlign w:val="baseline"/>
        </w:rPr>
        <w:t>as</w:t>
      </w:r>
      <w:r>
        <w:rPr>
          <w:spacing w:val="-7"/>
          <w:vertAlign w:val="baseline"/>
        </w:rPr>
        <w:t> </w:t>
      </w:r>
      <w:r>
        <w:rPr>
          <w:vertAlign w:val="baseline"/>
        </w:rPr>
        <w:t>Smith</w:t>
      </w:r>
      <w:r>
        <w:rPr>
          <w:spacing w:val="-8"/>
          <w:vertAlign w:val="baseline"/>
        </w:rPr>
        <w:t> </w:t>
      </w:r>
      <w:r>
        <w:rPr>
          <w:vertAlign w:val="baseline"/>
        </w:rPr>
        <w:t>and</w:t>
      </w:r>
      <w:r>
        <w:rPr>
          <w:spacing w:val="-8"/>
          <w:vertAlign w:val="baseline"/>
        </w:rPr>
        <w:t> </w:t>
      </w:r>
      <w:r>
        <w:rPr>
          <w:vertAlign w:val="baseline"/>
        </w:rPr>
        <w:t>Šprajc,</w:t>
      </w:r>
      <w:r>
        <w:rPr>
          <w:spacing w:val="-7"/>
          <w:vertAlign w:val="baseline"/>
        </w:rPr>
        <w:t> </w:t>
      </w:r>
      <w:r>
        <w:rPr>
          <w:vertAlign w:val="baseline"/>
        </w:rPr>
        <w:t>constantly confronts the reader with the possibility of reasoning on a wide range of questions, while Singh and Khan, Woodward, Schafer lay the foundations for the reader to have a wide choice of studies to base later reasoning and to draw questions and</w:t>
      </w:r>
      <w:r>
        <w:rPr>
          <w:spacing w:val="-2"/>
          <w:vertAlign w:val="baseline"/>
        </w:rPr>
        <w:t> </w:t>
      </w:r>
      <w:r>
        <w:rPr>
          <w:vertAlign w:val="baseline"/>
        </w:rPr>
        <w:t>answers.</w:t>
      </w:r>
    </w:p>
    <w:p>
      <w:pPr>
        <w:pStyle w:val="BodyText"/>
      </w:pPr>
      <w:r>
        <w:rPr/>
        <w:br w:type="column"/>
      </w:r>
      <w:r>
        <w:rPr/>
      </w:r>
    </w:p>
    <w:p>
      <w:pPr>
        <w:pStyle w:val="BodyText"/>
      </w:pPr>
    </w:p>
    <w:p>
      <w:pPr>
        <w:pStyle w:val="BodyText"/>
      </w:pPr>
    </w:p>
    <w:p>
      <w:pPr>
        <w:pStyle w:val="BodyText"/>
      </w:pPr>
    </w:p>
    <w:p>
      <w:pPr>
        <w:pStyle w:val="BodyText"/>
        <w:spacing w:before="11"/>
        <w:rPr>
          <w:sz w:val="27"/>
        </w:rPr>
      </w:pPr>
    </w:p>
    <w:p>
      <w:pPr>
        <w:pStyle w:val="BodyText"/>
        <w:spacing w:before="1"/>
        <w:ind w:left="100"/>
      </w:pPr>
      <w:r>
        <w:rPr/>
        <w:pict>
          <v:line style="position:absolute;mso-position-horizontal-relative:page;mso-position-vertical-relative:paragraph;z-index:251664384" from="530.619995pt,-1.116348pt" to="595.320002pt,-1.116348pt" stroked="true" strokeweight=".48001pt" strokecolor="#d7d7d7">
            <v:stroke dashstyle="solid"/>
            <w10:wrap type="none"/>
          </v:line>
        </w:pict>
      </w:r>
      <w:r>
        <w:rPr/>
        <w:t>Page | 2</w:t>
      </w:r>
    </w:p>
    <w:p>
      <w:pPr>
        <w:spacing w:after="0"/>
        <w:sectPr>
          <w:pgSz w:w="11910" w:h="16840"/>
          <w:pgMar w:header="751" w:footer="0" w:top="1360" w:bottom="280" w:left="1340" w:right="160"/>
          <w:cols w:num="2" w:equalWidth="0">
            <w:col w:w="9175" w:space="281"/>
            <w:col w:w="954"/>
          </w:cols>
        </w:sectPr>
      </w:pPr>
    </w:p>
    <w:p>
      <w:pPr>
        <w:pStyle w:val="BodyText"/>
        <w:rPr>
          <w:sz w:val="20"/>
        </w:rPr>
      </w:pPr>
    </w:p>
    <w:p>
      <w:pPr>
        <w:pStyle w:val="BodyText"/>
        <w:rPr>
          <w:sz w:val="20"/>
        </w:rPr>
      </w:pPr>
    </w:p>
    <w:p>
      <w:pPr>
        <w:pStyle w:val="BodyText"/>
        <w:rPr>
          <w:sz w:val="20"/>
        </w:rPr>
      </w:pPr>
    </w:p>
    <w:p>
      <w:pPr>
        <w:pStyle w:val="BodyText"/>
        <w:spacing w:before="9"/>
        <w:rPr>
          <w:sz w:val="29"/>
        </w:rPr>
      </w:pPr>
    </w:p>
    <w:p>
      <w:pPr>
        <w:pStyle w:val="BodyText"/>
        <w:spacing w:line="20" w:lineRule="exact"/>
        <w:ind w:left="375"/>
        <w:rPr>
          <w:sz w:val="2"/>
        </w:rPr>
      </w:pPr>
      <w:r>
        <w:rPr>
          <w:sz w:val="2"/>
        </w:rPr>
        <w:pict>
          <v:group style="width:144.050pt;height:.75pt;mso-position-horizontal-relative:char;mso-position-vertical-relative:line" coordorigin="0,0" coordsize="2881,15">
            <v:line style="position:absolute" from="0,7" to="2880,7" stroked="true" strokeweight=".71997pt" strokecolor="#000000">
              <v:stroke dashstyle="solid"/>
            </v:line>
          </v:group>
        </w:pict>
      </w:r>
      <w:r>
        <w:rPr>
          <w:sz w:val="2"/>
        </w:rPr>
      </w:r>
    </w:p>
    <w:p>
      <w:pPr>
        <w:spacing w:line="246" w:lineRule="exact" w:before="94"/>
        <w:ind w:left="383" w:right="0" w:firstLine="0"/>
        <w:jc w:val="left"/>
        <w:rPr>
          <w:sz w:val="20"/>
        </w:rPr>
      </w:pPr>
      <w:r>
        <w:rPr>
          <w:position w:val="7"/>
          <w:sz w:val="13"/>
        </w:rPr>
        <w:t>3 </w:t>
      </w:r>
      <w:r>
        <w:rPr>
          <w:sz w:val="20"/>
        </w:rPr>
        <w:t>Ross Woodward, ‘Urban Symbolism’, </w:t>
      </w:r>
      <w:r>
        <w:rPr>
          <w:i/>
          <w:sz w:val="20"/>
        </w:rPr>
        <w:t>Ekistics</w:t>
      </w:r>
      <w:r>
        <w:rPr>
          <w:sz w:val="20"/>
        </w:rPr>
        <w:t>, 49.295 (1982), 285–91.</w:t>
      </w:r>
    </w:p>
    <w:p>
      <w:pPr>
        <w:spacing w:line="245" w:lineRule="exact" w:before="0"/>
        <w:ind w:left="383" w:right="0" w:firstLine="0"/>
        <w:jc w:val="left"/>
        <w:rPr>
          <w:sz w:val="20"/>
        </w:rPr>
      </w:pPr>
      <w:r>
        <w:rPr>
          <w:position w:val="7"/>
          <w:sz w:val="13"/>
        </w:rPr>
        <w:t>4 </w:t>
      </w:r>
      <w:r>
        <w:rPr>
          <w:sz w:val="20"/>
        </w:rPr>
        <w:t>Ivan Šprajc, ‘More on Mesoamerican Cosmology and City Plans’, </w:t>
      </w:r>
      <w:r>
        <w:rPr>
          <w:i/>
          <w:sz w:val="20"/>
        </w:rPr>
        <w:t>Latin American Antiquity</w:t>
      </w:r>
      <w:r>
        <w:rPr>
          <w:sz w:val="20"/>
        </w:rPr>
        <w:t>, 16.2 (2005), 209–</w:t>
      </w:r>
    </w:p>
    <w:p>
      <w:pPr>
        <w:spacing w:line="242" w:lineRule="exact" w:before="0"/>
        <w:ind w:left="100" w:right="0" w:firstLine="0"/>
        <w:jc w:val="left"/>
        <w:rPr>
          <w:sz w:val="20"/>
        </w:rPr>
      </w:pPr>
      <w:r>
        <w:rPr>
          <w:sz w:val="20"/>
        </w:rPr>
        <w:t>16.</w:t>
      </w:r>
    </w:p>
    <w:p>
      <w:pPr>
        <w:spacing w:line="246" w:lineRule="exact" w:before="0"/>
        <w:ind w:left="383" w:right="0" w:firstLine="0"/>
        <w:jc w:val="left"/>
        <w:rPr>
          <w:sz w:val="20"/>
        </w:rPr>
      </w:pPr>
      <w:r>
        <w:rPr>
          <w:position w:val="7"/>
          <w:sz w:val="13"/>
        </w:rPr>
        <w:t>5 </w:t>
      </w:r>
      <w:r>
        <w:rPr>
          <w:sz w:val="20"/>
        </w:rPr>
        <w:t>Tyler S. Schafer, ‘Symbols, Sentiments, and Stories: Urban Culture and Social Problems’, </w:t>
      </w:r>
      <w:r>
        <w:rPr>
          <w:i/>
          <w:sz w:val="20"/>
        </w:rPr>
        <w:t>Sociology Compass</w:t>
      </w:r>
      <w:r>
        <w:rPr>
          <w:sz w:val="20"/>
        </w:rPr>
        <w:t>,</w:t>
      </w:r>
    </w:p>
    <w:p>
      <w:pPr>
        <w:spacing w:before="1"/>
        <w:ind w:left="100" w:right="0" w:firstLine="0"/>
        <w:jc w:val="left"/>
        <w:rPr>
          <w:sz w:val="20"/>
        </w:rPr>
      </w:pPr>
      <w:r>
        <w:rPr>
          <w:sz w:val="20"/>
        </w:rPr>
        <w:t>11.7 (2017).</w:t>
      </w:r>
    </w:p>
    <w:p>
      <w:pPr>
        <w:spacing w:after="0"/>
        <w:jc w:val="left"/>
        <w:rPr>
          <w:sz w:val="20"/>
        </w:rPr>
        <w:sectPr>
          <w:type w:val="continuous"/>
          <w:pgSz w:w="11910" w:h="16840"/>
          <w:pgMar w:top="560" w:bottom="280" w:left="1340" w:right="160"/>
        </w:sectPr>
      </w:pPr>
    </w:p>
    <w:p>
      <w:pPr>
        <w:pStyle w:val="Heading1"/>
        <w:spacing w:before="64"/>
      </w:pPr>
      <w:r>
        <w:rPr/>
        <w:t>The target of the study</w:t>
      </w:r>
    </w:p>
    <w:p>
      <w:pPr>
        <w:pStyle w:val="BodyText"/>
        <w:spacing w:before="2"/>
        <w:rPr>
          <w:b/>
          <w:sz w:val="10"/>
        </w:rPr>
      </w:pPr>
    </w:p>
    <w:p>
      <w:pPr>
        <w:spacing w:after="0"/>
        <w:rPr>
          <w:sz w:val="10"/>
        </w:rPr>
        <w:sectPr>
          <w:pgSz w:w="11910" w:h="16840"/>
          <w:pgMar w:header="751" w:footer="0" w:top="1360" w:bottom="280" w:left="1340" w:right="160"/>
        </w:sectPr>
      </w:pPr>
    </w:p>
    <w:p>
      <w:pPr>
        <w:pStyle w:val="BodyText"/>
        <w:spacing w:line="259" w:lineRule="auto" w:before="56"/>
        <w:ind w:left="100" w:right="38" w:firstLine="283"/>
        <w:jc w:val="both"/>
      </w:pPr>
      <w:r>
        <w:rPr/>
        <w:t>Both authors propose examples in favour of their thesis, but Singh and Khan also cite a case in which their theory, if not denied, is at least reversed. That is, they recognize a village model which, although based on the same basic principles, in its morphology swaps the positioning of the neighbourhoods with respect to the cardinal points</w:t>
      </w:r>
      <w:r>
        <w:rPr>
          <w:vertAlign w:val="superscript"/>
        </w:rPr>
        <w:t>6</w:t>
      </w:r>
      <w:r>
        <w:rPr>
          <w:vertAlign w:val="baseline"/>
        </w:rPr>
        <w:t>. In fact, Singh and Khan's article focuses, as the title itself suggests, on the villages of north-west India, citing the urban planning of southern villages only later. In doing this, the authors want to highlight the regional peculiarities of the country and draw comparisons and differences. The contrast is placed with the aim of presenting new aspects of the eight deities and ends up reinforcing the thesis. The deities are re-presented taking into account not</w:t>
      </w:r>
      <w:r>
        <w:rPr>
          <w:spacing w:val="-5"/>
          <w:vertAlign w:val="baseline"/>
        </w:rPr>
        <w:t> </w:t>
      </w:r>
      <w:r>
        <w:rPr>
          <w:vertAlign w:val="baseline"/>
        </w:rPr>
        <w:t>only</w:t>
      </w:r>
      <w:r>
        <w:rPr>
          <w:spacing w:val="-4"/>
          <w:vertAlign w:val="baseline"/>
        </w:rPr>
        <w:t> </w:t>
      </w:r>
      <w:r>
        <w:rPr>
          <w:vertAlign w:val="baseline"/>
        </w:rPr>
        <w:t>their</w:t>
      </w:r>
      <w:r>
        <w:rPr>
          <w:spacing w:val="-6"/>
          <w:vertAlign w:val="baseline"/>
        </w:rPr>
        <w:t> </w:t>
      </w:r>
      <w:r>
        <w:rPr>
          <w:vertAlign w:val="baseline"/>
        </w:rPr>
        <w:t>basic</w:t>
      </w:r>
      <w:r>
        <w:rPr>
          <w:spacing w:val="-4"/>
          <w:vertAlign w:val="baseline"/>
        </w:rPr>
        <w:t> </w:t>
      </w:r>
      <w:r>
        <w:rPr>
          <w:vertAlign w:val="baseline"/>
        </w:rPr>
        <w:t>and</w:t>
      </w:r>
      <w:r>
        <w:rPr>
          <w:spacing w:val="-5"/>
          <w:vertAlign w:val="baseline"/>
        </w:rPr>
        <w:t> </w:t>
      </w:r>
      <w:r>
        <w:rPr>
          <w:vertAlign w:val="baseline"/>
        </w:rPr>
        <w:t>common</w:t>
      </w:r>
      <w:r>
        <w:rPr>
          <w:spacing w:val="-6"/>
          <w:vertAlign w:val="baseline"/>
        </w:rPr>
        <w:t> </w:t>
      </w:r>
      <w:r>
        <w:rPr>
          <w:vertAlign w:val="baseline"/>
        </w:rPr>
        <w:t>attributes,</w:t>
      </w:r>
      <w:r>
        <w:rPr>
          <w:spacing w:val="-5"/>
          <w:vertAlign w:val="baseline"/>
        </w:rPr>
        <w:t> </w:t>
      </w:r>
      <w:r>
        <w:rPr>
          <w:vertAlign w:val="baseline"/>
        </w:rPr>
        <w:t>but</w:t>
      </w:r>
      <w:r>
        <w:rPr>
          <w:spacing w:val="-5"/>
          <w:vertAlign w:val="baseline"/>
        </w:rPr>
        <w:t> </w:t>
      </w:r>
      <w:r>
        <w:rPr>
          <w:vertAlign w:val="baseline"/>
        </w:rPr>
        <w:t>also</w:t>
      </w:r>
      <w:r>
        <w:rPr>
          <w:spacing w:val="-6"/>
          <w:vertAlign w:val="baseline"/>
        </w:rPr>
        <w:t> </w:t>
      </w:r>
      <w:r>
        <w:rPr>
          <w:vertAlign w:val="baseline"/>
        </w:rPr>
        <w:t>and</w:t>
      </w:r>
      <w:r>
        <w:rPr>
          <w:spacing w:val="-5"/>
          <w:vertAlign w:val="baseline"/>
        </w:rPr>
        <w:t> </w:t>
      </w:r>
      <w:r>
        <w:rPr>
          <w:vertAlign w:val="baseline"/>
        </w:rPr>
        <w:t>above</w:t>
      </w:r>
      <w:r>
        <w:rPr>
          <w:spacing w:val="-5"/>
          <w:vertAlign w:val="baseline"/>
        </w:rPr>
        <w:t> </w:t>
      </w:r>
      <w:r>
        <w:rPr>
          <w:vertAlign w:val="baseline"/>
        </w:rPr>
        <w:t>all</w:t>
      </w:r>
      <w:r>
        <w:rPr>
          <w:spacing w:val="-5"/>
          <w:vertAlign w:val="baseline"/>
        </w:rPr>
        <w:t> </w:t>
      </w:r>
      <w:r>
        <w:rPr>
          <w:vertAlign w:val="baseline"/>
        </w:rPr>
        <w:t>in</w:t>
      </w:r>
      <w:r>
        <w:rPr>
          <w:spacing w:val="-6"/>
          <w:vertAlign w:val="baseline"/>
        </w:rPr>
        <w:t> </w:t>
      </w:r>
      <w:r>
        <w:rPr>
          <w:vertAlign w:val="baseline"/>
        </w:rPr>
        <w:t>relation</w:t>
      </w:r>
      <w:r>
        <w:rPr>
          <w:spacing w:val="-6"/>
          <w:vertAlign w:val="baseline"/>
        </w:rPr>
        <w:t> </w:t>
      </w:r>
      <w:r>
        <w:rPr>
          <w:vertAlign w:val="baseline"/>
        </w:rPr>
        <w:t>to</w:t>
      </w:r>
      <w:r>
        <w:rPr>
          <w:spacing w:val="-6"/>
          <w:vertAlign w:val="baseline"/>
        </w:rPr>
        <w:t> </w:t>
      </w:r>
      <w:r>
        <w:rPr>
          <w:vertAlign w:val="baseline"/>
        </w:rPr>
        <w:t>the</w:t>
      </w:r>
      <w:r>
        <w:rPr>
          <w:spacing w:val="-6"/>
          <w:vertAlign w:val="baseline"/>
        </w:rPr>
        <w:t> </w:t>
      </w:r>
      <w:r>
        <w:rPr>
          <w:vertAlign w:val="baseline"/>
        </w:rPr>
        <w:t>myths</w:t>
      </w:r>
      <w:r>
        <w:rPr>
          <w:spacing w:val="-5"/>
          <w:vertAlign w:val="baseline"/>
        </w:rPr>
        <w:t> </w:t>
      </w:r>
      <w:r>
        <w:rPr>
          <w:vertAlign w:val="baseline"/>
        </w:rPr>
        <w:t>and</w:t>
      </w:r>
      <w:r>
        <w:rPr>
          <w:spacing w:val="-5"/>
          <w:vertAlign w:val="baseline"/>
        </w:rPr>
        <w:t> </w:t>
      </w:r>
      <w:r>
        <w:rPr>
          <w:vertAlign w:val="baseline"/>
        </w:rPr>
        <w:t>beliefs related to them, which may also have a regional character, or be born and have been passed on in a different historical</w:t>
      </w:r>
      <w:r>
        <w:rPr>
          <w:spacing w:val="-4"/>
          <w:vertAlign w:val="baseline"/>
        </w:rPr>
        <w:t> </w:t>
      </w:r>
      <w:r>
        <w:rPr>
          <w:vertAlign w:val="baseline"/>
        </w:rPr>
        <w:t>period.</w:t>
      </w:r>
    </w:p>
    <w:p>
      <w:pPr>
        <w:pStyle w:val="BodyText"/>
        <w:spacing w:line="259" w:lineRule="auto" w:before="159"/>
        <w:ind w:left="100" w:right="38" w:firstLine="283"/>
        <w:jc w:val="both"/>
      </w:pPr>
      <w:r>
        <w:rPr/>
        <w:t>Lilley, on the other hand, focuses on a more defined time frame, the Middle Ages, leaving a wide geographical</w:t>
      </w:r>
      <w:r>
        <w:rPr>
          <w:spacing w:val="-4"/>
        </w:rPr>
        <w:t> </w:t>
      </w:r>
      <w:r>
        <w:rPr/>
        <w:t>spectrum,</w:t>
      </w:r>
      <w:r>
        <w:rPr>
          <w:spacing w:val="-5"/>
        </w:rPr>
        <w:t> </w:t>
      </w:r>
      <w:r>
        <w:rPr/>
        <w:t>which</w:t>
      </w:r>
      <w:r>
        <w:rPr>
          <w:spacing w:val="-4"/>
        </w:rPr>
        <w:t> </w:t>
      </w:r>
      <w:r>
        <w:rPr/>
        <w:t>covers</w:t>
      </w:r>
      <w:r>
        <w:rPr>
          <w:spacing w:val="-4"/>
        </w:rPr>
        <w:t> </w:t>
      </w:r>
      <w:r>
        <w:rPr/>
        <w:t>the</w:t>
      </w:r>
      <w:r>
        <w:rPr>
          <w:spacing w:val="-6"/>
        </w:rPr>
        <w:t> </w:t>
      </w:r>
      <w:r>
        <w:rPr/>
        <w:t>entire</w:t>
      </w:r>
      <w:r>
        <w:rPr>
          <w:spacing w:val="-6"/>
        </w:rPr>
        <w:t> </w:t>
      </w:r>
      <w:r>
        <w:rPr/>
        <w:t>European</w:t>
      </w:r>
      <w:r>
        <w:rPr>
          <w:spacing w:val="-3"/>
        </w:rPr>
        <w:t> </w:t>
      </w:r>
      <w:r>
        <w:rPr/>
        <w:t>continent.</w:t>
      </w:r>
      <w:r>
        <w:rPr>
          <w:spacing w:val="-6"/>
        </w:rPr>
        <w:t> </w:t>
      </w:r>
      <w:r>
        <w:rPr/>
        <w:t>Lilley</w:t>
      </w:r>
      <w:r>
        <w:rPr>
          <w:spacing w:val="-5"/>
        </w:rPr>
        <w:t> </w:t>
      </w:r>
      <w:r>
        <w:rPr/>
        <w:t>does</w:t>
      </w:r>
      <w:r>
        <w:rPr>
          <w:spacing w:val="-2"/>
        </w:rPr>
        <w:t> </w:t>
      </w:r>
      <w:r>
        <w:rPr/>
        <w:t>not</w:t>
      </w:r>
      <w:r>
        <w:rPr>
          <w:spacing w:val="-2"/>
        </w:rPr>
        <w:t> </w:t>
      </w:r>
      <w:r>
        <w:rPr/>
        <w:t>start</w:t>
      </w:r>
      <w:r>
        <w:rPr>
          <w:spacing w:val="-3"/>
        </w:rPr>
        <w:t> </w:t>
      </w:r>
      <w:r>
        <w:rPr/>
        <w:t>from</w:t>
      </w:r>
      <w:r>
        <w:rPr>
          <w:spacing w:val="-2"/>
        </w:rPr>
        <w:t> </w:t>
      </w:r>
      <w:r>
        <w:rPr/>
        <w:t>a</w:t>
      </w:r>
      <w:r>
        <w:rPr>
          <w:spacing w:val="-6"/>
        </w:rPr>
        <w:t> </w:t>
      </w:r>
      <w:r>
        <w:rPr/>
        <w:t>deep analysis of sacred scriptures and beliefs to describe the reasons that led to the adoption of a specific urban morphology. On the contrary, the starting point of comparison is Jerusalem, primarily for its role</w:t>
      </w:r>
      <w:r>
        <w:rPr>
          <w:spacing w:val="-3"/>
        </w:rPr>
        <w:t> </w:t>
      </w:r>
      <w:r>
        <w:rPr/>
        <w:t>as</w:t>
      </w:r>
      <w:r>
        <w:rPr>
          <w:spacing w:val="-5"/>
        </w:rPr>
        <w:t> </w:t>
      </w:r>
      <w:r>
        <w:rPr/>
        <w:t>the</w:t>
      </w:r>
      <w:r>
        <w:rPr>
          <w:spacing w:val="-2"/>
        </w:rPr>
        <w:t> </w:t>
      </w:r>
      <w:r>
        <w:rPr/>
        <w:t>city</w:t>
      </w:r>
      <w:r>
        <w:rPr>
          <w:spacing w:val="-2"/>
        </w:rPr>
        <w:t> </w:t>
      </w:r>
      <w:r>
        <w:rPr/>
        <w:t>sacred</w:t>
      </w:r>
      <w:r>
        <w:rPr>
          <w:spacing w:val="-2"/>
        </w:rPr>
        <w:t> </w:t>
      </w:r>
      <w:r>
        <w:rPr/>
        <w:t>to</w:t>
      </w:r>
      <w:r>
        <w:rPr>
          <w:spacing w:val="-1"/>
        </w:rPr>
        <w:t> </w:t>
      </w:r>
      <w:r>
        <w:rPr/>
        <w:t>Christianity,</w:t>
      </w:r>
      <w:r>
        <w:rPr>
          <w:spacing w:val="-4"/>
        </w:rPr>
        <w:t> </w:t>
      </w:r>
      <w:r>
        <w:rPr/>
        <w:t>which</w:t>
      </w:r>
      <w:r>
        <w:rPr>
          <w:spacing w:val="-4"/>
        </w:rPr>
        <w:t> </w:t>
      </w:r>
      <w:r>
        <w:rPr/>
        <w:t>has</w:t>
      </w:r>
      <w:r>
        <w:rPr>
          <w:spacing w:val="-5"/>
        </w:rPr>
        <w:t> </w:t>
      </w:r>
      <w:r>
        <w:rPr/>
        <w:t>made</w:t>
      </w:r>
      <w:r>
        <w:rPr>
          <w:spacing w:val="-2"/>
        </w:rPr>
        <w:t> </w:t>
      </w:r>
      <w:r>
        <w:rPr/>
        <w:t>it</w:t>
      </w:r>
      <w:r>
        <w:rPr>
          <w:spacing w:val="-3"/>
        </w:rPr>
        <w:t> </w:t>
      </w:r>
      <w:r>
        <w:rPr/>
        <w:t>the</w:t>
      </w:r>
      <w:r>
        <w:rPr>
          <w:spacing w:val="-5"/>
        </w:rPr>
        <w:t> </w:t>
      </w:r>
      <w:r>
        <w:rPr/>
        <w:t>model</w:t>
      </w:r>
      <w:r>
        <w:rPr>
          <w:spacing w:val="-2"/>
        </w:rPr>
        <w:t> </w:t>
      </w:r>
      <w:r>
        <w:rPr/>
        <w:t>on</w:t>
      </w:r>
      <w:r>
        <w:rPr>
          <w:spacing w:val="-5"/>
        </w:rPr>
        <w:t> </w:t>
      </w:r>
      <w:r>
        <w:rPr/>
        <w:t>which</w:t>
      </w:r>
      <w:r>
        <w:rPr>
          <w:spacing w:val="-3"/>
        </w:rPr>
        <w:t> </w:t>
      </w:r>
      <w:r>
        <w:rPr/>
        <w:t>urban</w:t>
      </w:r>
      <w:r>
        <w:rPr>
          <w:spacing w:val="-3"/>
        </w:rPr>
        <w:t> </w:t>
      </w:r>
      <w:r>
        <w:rPr/>
        <w:t>models</w:t>
      </w:r>
      <w:r>
        <w:rPr>
          <w:spacing w:val="-1"/>
        </w:rPr>
        <w:t> </w:t>
      </w:r>
      <w:r>
        <w:rPr/>
        <w:t>have</w:t>
      </w:r>
      <w:r>
        <w:rPr>
          <w:spacing w:val="-3"/>
        </w:rPr>
        <w:t> </w:t>
      </w:r>
      <w:r>
        <w:rPr/>
        <w:t>been developed. It is mainly from the symbolism of Jerusalem that the author moves on to analyse other cities. Lilley on the other hand admits that a period so specific can be an issue. Although he suggests that archaeological studies and excavations have determined how the medieval morphology of a city survives even with the passing of the centuries</w:t>
      </w:r>
      <w:r>
        <w:rPr>
          <w:vertAlign w:val="superscript"/>
        </w:rPr>
        <w:t>7</w:t>
      </w:r>
      <w:r>
        <w:rPr>
          <w:vertAlign w:val="baseline"/>
        </w:rPr>
        <w:t>, it is also evident from the studies cited that a pure cartographic reading is not his main</w:t>
      </w:r>
      <w:r>
        <w:rPr>
          <w:spacing w:val="-8"/>
          <w:vertAlign w:val="baseline"/>
        </w:rPr>
        <w:t> </w:t>
      </w:r>
      <w:r>
        <w:rPr>
          <w:vertAlign w:val="baseline"/>
        </w:rPr>
        <w:t>objective.</w:t>
      </w:r>
    </w:p>
    <w:p>
      <w:pPr>
        <w:pStyle w:val="BodyText"/>
      </w:pPr>
    </w:p>
    <w:p>
      <w:pPr>
        <w:pStyle w:val="BodyText"/>
        <w:spacing w:before="10"/>
        <w:rPr>
          <w:sz w:val="27"/>
        </w:rPr>
      </w:pPr>
    </w:p>
    <w:p>
      <w:pPr>
        <w:pStyle w:val="Heading1"/>
      </w:pPr>
      <w:r>
        <w:rPr/>
        <w:t>The point of view</w:t>
      </w:r>
    </w:p>
    <w:p>
      <w:pPr>
        <w:pStyle w:val="BodyText"/>
        <w:spacing w:line="259" w:lineRule="auto" w:before="180"/>
        <w:ind w:left="100" w:right="39" w:firstLine="283"/>
        <w:jc w:val="both"/>
      </w:pPr>
      <w:r>
        <w:rPr/>
        <w:t>Singh and Khan's way of writing is in the third person, while Lilley's is presented in the first person when the author wants to specify his own work done in the past</w:t>
      </w:r>
      <w:r>
        <w:rPr>
          <w:vertAlign w:val="superscript"/>
        </w:rPr>
        <w:t>8</w:t>
      </w:r>
      <w:r>
        <w:rPr>
          <w:vertAlign w:val="baseline"/>
        </w:rPr>
        <w:t> and the thesis he intends to prove, while using the third person for the most part of the paper. Analysing Smith's article, the first person is used very often to directly express opinions. This particular approach is contested by Šprajc, as it tends to undermine the validity of the arguments presented. Both Singh and Khan and Lilley make it obvious</w:t>
      </w:r>
      <w:r>
        <w:rPr>
          <w:spacing w:val="-2"/>
          <w:vertAlign w:val="baseline"/>
        </w:rPr>
        <w:t> </w:t>
      </w:r>
      <w:r>
        <w:rPr>
          <w:vertAlign w:val="baseline"/>
        </w:rPr>
        <w:t>the</w:t>
      </w:r>
      <w:r>
        <w:rPr>
          <w:spacing w:val="-2"/>
          <w:vertAlign w:val="baseline"/>
        </w:rPr>
        <w:t> </w:t>
      </w:r>
      <w:r>
        <w:rPr>
          <w:vertAlign w:val="baseline"/>
        </w:rPr>
        <w:t>goal</w:t>
      </w:r>
      <w:r>
        <w:rPr>
          <w:spacing w:val="-3"/>
          <w:vertAlign w:val="baseline"/>
        </w:rPr>
        <w:t> </w:t>
      </w:r>
      <w:r>
        <w:rPr>
          <w:vertAlign w:val="baseline"/>
        </w:rPr>
        <w:t>of</w:t>
      </w:r>
      <w:r>
        <w:rPr>
          <w:spacing w:val="-5"/>
          <w:vertAlign w:val="baseline"/>
        </w:rPr>
        <w:t> </w:t>
      </w:r>
      <w:r>
        <w:rPr>
          <w:vertAlign w:val="baseline"/>
        </w:rPr>
        <w:t>wanting</w:t>
      </w:r>
      <w:r>
        <w:rPr>
          <w:spacing w:val="-3"/>
          <w:vertAlign w:val="baseline"/>
        </w:rPr>
        <w:t> </w:t>
      </w:r>
      <w:r>
        <w:rPr>
          <w:vertAlign w:val="baseline"/>
        </w:rPr>
        <w:t>evidence</w:t>
      </w:r>
      <w:r>
        <w:rPr>
          <w:spacing w:val="-2"/>
          <w:vertAlign w:val="baseline"/>
        </w:rPr>
        <w:t> </w:t>
      </w:r>
      <w:r>
        <w:rPr>
          <w:vertAlign w:val="baseline"/>
        </w:rPr>
        <w:t>and</w:t>
      </w:r>
      <w:r>
        <w:rPr>
          <w:spacing w:val="-2"/>
          <w:vertAlign w:val="baseline"/>
        </w:rPr>
        <w:t> </w:t>
      </w:r>
      <w:r>
        <w:rPr>
          <w:vertAlign w:val="baseline"/>
        </w:rPr>
        <w:t>reasoning</w:t>
      </w:r>
      <w:r>
        <w:rPr>
          <w:spacing w:val="-5"/>
          <w:vertAlign w:val="baseline"/>
        </w:rPr>
        <w:t> </w:t>
      </w:r>
      <w:r>
        <w:rPr>
          <w:vertAlign w:val="baseline"/>
        </w:rPr>
        <w:t>on</w:t>
      </w:r>
      <w:r>
        <w:rPr>
          <w:spacing w:val="-3"/>
          <w:vertAlign w:val="baseline"/>
        </w:rPr>
        <w:t> </w:t>
      </w:r>
      <w:r>
        <w:rPr>
          <w:vertAlign w:val="baseline"/>
        </w:rPr>
        <w:t>the</w:t>
      </w:r>
      <w:r>
        <w:rPr>
          <w:spacing w:val="-2"/>
          <w:vertAlign w:val="baseline"/>
        </w:rPr>
        <w:t> </w:t>
      </w:r>
      <w:r>
        <w:rPr>
          <w:vertAlign w:val="baseline"/>
        </w:rPr>
        <w:t>sources</w:t>
      </w:r>
      <w:r>
        <w:rPr>
          <w:spacing w:val="-1"/>
          <w:vertAlign w:val="baseline"/>
        </w:rPr>
        <w:t> </w:t>
      </w:r>
      <w:r>
        <w:rPr>
          <w:vertAlign w:val="baseline"/>
        </w:rPr>
        <w:t>or</w:t>
      </w:r>
      <w:r>
        <w:rPr>
          <w:spacing w:val="-5"/>
          <w:vertAlign w:val="baseline"/>
        </w:rPr>
        <w:t> </w:t>
      </w:r>
      <w:r>
        <w:rPr>
          <w:vertAlign w:val="baseline"/>
        </w:rPr>
        <w:t>their</w:t>
      </w:r>
      <w:r>
        <w:rPr>
          <w:spacing w:val="-2"/>
          <w:vertAlign w:val="baseline"/>
        </w:rPr>
        <w:t> </w:t>
      </w:r>
      <w:r>
        <w:rPr>
          <w:vertAlign w:val="baseline"/>
        </w:rPr>
        <w:t>own</w:t>
      </w:r>
      <w:r>
        <w:rPr>
          <w:spacing w:val="-5"/>
          <w:vertAlign w:val="baseline"/>
        </w:rPr>
        <w:t> </w:t>
      </w:r>
      <w:r>
        <w:rPr>
          <w:vertAlign w:val="baseline"/>
        </w:rPr>
        <w:t>empirical</w:t>
      </w:r>
      <w:r>
        <w:rPr>
          <w:spacing w:val="-5"/>
          <w:vertAlign w:val="baseline"/>
        </w:rPr>
        <w:t> </w:t>
      </w:r>
      <w:r>
        <w:rPr>
          <w:vertAlign w:val="baseline"/>
        </w:rPr>
        <w:t>work</w:t>
      </w:r>
      <w:r>
        <w:rPr>
          <w:spacing w:val="-2"/>
          <w:vertAlign w:val="baseline"/>
        </w:rPr>
        <w:t> </w:t>
      </w:r>
      <w:r>
        <w:rPr>
          <w:vertAlign w:val="baseline"/>
        </w:rPr>
        <w:t>to</w:t>
      </w:r>
      <w:r>
        <w:rPr>
          <w:spacing w:val="-1"/>
          <w:vertAlign w:val="baseline"/>
        </w:rPr>
        <w:t> </w:t>
      </w:r>
      <w:r>
        <w:rPr>
          <w:vertAlign w:val="baseline"/>
        </w:rPr>
        <w:t>be the foundation on which to base the thesis and argument. The positions of the authors appear clear and not impersonal, even if they do not directly use the first person in the</w:t>
      </w:r>
      <w:r>
        <w:rPr>
          <w:spacing w:val="-20"/>
          <w:vertAlign w:val="baseline"/>
        </w:rPr>
        <w:t> </w:t>
      </w:r>
      <w:r>
        <w:rPr>
          <w:vertAlign w:val="baseline"/>
        </w:rPr>
        <w:t>speech.</w:t>
      </w:r>
    </w:p>
    <w:p>
      <w:pPr>
        <w:pStyle w:val="BodyText"/>
      </w:pPr>
    </w:p>
    <w:p>
      <w:pPr>
        <w:pStyle w:val="BodyText"/>
        <w:rPr>
          <w:sz w:val="28"/>
        </w:rPr>
      </w:pPr>
    </w:p>
    <w:p>
      <w:pPr>
        <w:pStyle w:val="Heading1"/>
      </w:pPr>
      <w:r>
        <w:rPr/>
        <w:t>The use of sources</w:t>
      </w:r>
    </w:p>
    <w:p>
      <w:pPr>
        <w:pStyle w:val="BodyText"/>
        <w:spacing w:line="259" w:lineRule="auto" w:before="181"/>
        <w:ind w:left="100" w:right="40" w:firstLine="283"/>
        <w:jc w:val="both"/>
      </w:pPr>
      <w:r>
        <w:rPr/>
        <w:t>Singh</w:t>
      </w:r>
      <w:r>
        <w:rPr>
          <w:spacing w:val="-9"/>
        </w:rPr>
        <w:t> </w:t>
      </w:r>
      <w:r>
        <w:rPr/>
        <w:t>and</w:t>
      </w:r>
      <w:r>
        <w:rPr>
          <w:spacing w:val="-8"/>
        </w:rPr>
        <w:t> </w:t>
      </w:r>
      <w:r>
        <w:rPr/>
        <w:t>Khan</w:t>
      </w:r>
      <w:r>
        <w:rPr>
          <w:spacing w:val="-8"/>
        </w:rPr>
        <w:t> </w:t>
      </w:r>
      <w:r>
        <w:rPr/>
        <w:t>seem</w:t>
      </w:r>
      <w:r>
        <w:rPr>
          <w:spacing w:val="-7"/>
        </w:rPr>
        <w:t> </w:t>
      </w:r>
      <w:r>
        <w:rPr/>
        <w:t>almost</w:t>
      </w:r>
      <w:r>
        <w:rPr>
          <w:spacing w:val="-7"/>
        </w:rPr>
        <w:t> </w:t>
      </w:r>
      <w:r>
        <w:rPr/>
        <w:t>to</w:t>
      </w:r>
      <w:r>
        <w:rPr>
          <w:spacing w:val="-6"/>
        </w:rPr>
        <w:t> </w:t>
      </w:r>
      <w:r>
        <w:rPr/>
        <w:t>present</w:t>
      </w:r>
      <w:r>
        <w:rPr>
          <w:spacing w:val="-9"/>
        </w:rPr>
        <w:t> </w:t>
      </w:r>
      <w:r>
        <w:rPr/>
        <w:t>more</w:t>
      </w:r>
      <w:r>
        <w:rPr>
          <w:spacing w:val="-6"/>
        </w:rPr>
        <w:t> </w:t>
      </w:r>
      <w:r>
        <w:rPr/>
        <w:t>of</w:t>
      </w:r>
      <w:r>
        <w:rPr>
          <w:spacing w:val="-8"/>
        </w:rPr>
        <w:t> </w:t>
      </w:r>
      <w:r>
        <w:rPr/>
        <w:t>an</w:t>
      </w:r>
      <w:r>
        <w:rPr>
          <w:spacing w:val="-8"/>
        </w:rPr>
        <w:t> </w:t>
      </w:r>
      <w:r>
        <w:rPr/>
        <w:t>explanation</w:t>
      </w:r>
      <w:r>
        <w:rPr>
          <w:spacing w:val="-8"/>
        </w:rPr>
        <w:t> </w:t>
      </w:r>
      <w:r>
        <w:rPr/>
        <w:t>of</w:t>
      </w:r>
      <w:r>
        <w:rPr>
          <w:spacing w:val="-8"/>
        </w:rPr>
        <w:t> </w:t>
      </w:r>
      <w:r>
        <w:rPr/>
        <w:t>how</w:t>
      </w:r>
      <w:r>
        <w:rPr>
          <w:spacing w:val="-6"/>
        </w:rPr>
        <w:t> </w:t>
      </w:r>
      <w:r>
        <w:rPr/>
        <w:t>culture,</w:t>
      </w:r>
      <w:r>
        <w:rPr>
          <w:spacing w:val="-7"/>
        </w:rPr>
        <w:t> </w:t>
      </w:r>
      <w:r>
        <w:rPr/>
        <w:t>city</w:t>
      </w:r>
      <w:r>
        <w:rPr>
          <w:spacing w:val="-7"/>
        </w:rPr>
        <w:t> </w:t>
      </w:r>
      <w:r>
        <w:rPr/>
        <w:t>and</w:t>
      </w:r>
      <w:r>
        <w:rPr>
          <w:spacing w:val="-8"/>
        </w:rPr>
        <w:t> </w:t>
      </w:r>
      <w:r>
        <w:rPr/>
        <w:t>cosmology are connected, without citing opposing theories or trying to refute them. The only part of the article that tries a discussion on other sources is ‘The Mohammad Habib-Buddha Prakash debate’</w:t>
      </w:r>
      <w:r>
        <w:rPr>
          <w:vertAlign w:val="superscript"/>
        </w:rPr>
        <w:t>9</w:t>
      </w:r>
      <w:r>
        <w:rPr>
          <w:vertAlign w:val="baseline"/>
        </w:rPr>
        <w:t> which, however, does not really offer a theory opposite to that of the authors. In the abstract, the authors write that ‘challenging the widely held view that Indian</w:t>
      </w:r>
      <w:r>
        <w:rPr>
          <w:spacing w:val="25"/>
          <w:vertAlign w:val="baseline"/>
        </w:rPr>
        <w:t> </w:t>
      </w:r>
      <w:r>
        <w:rPr>
          <w:vertAlign w:val="baseline"/>
        </w:rPr>
        <w:t>villages lack order, the paper demonstrates</w:t>
      </w:r>
    </w:p>
    <w:p>
      <w:pPr>
        <w:pStyle w:val="BodyText"/>
      </w:pPr>
      <w:r>
        <w:rPr/>
        <w:br w:type="column"/>
      </w:r>
      <w:r>
        <w:rPr/>
      </w:r>
    </w:p>
    <w:p>
      <w:pPr>
        <w:pStyle w:val="BodyText"/>
      </w:pPr>
    </w:p>
    <w:p>
      <w:pPr>
        <w:pStyle w:val="BodyText"/>
      </w:pPr>
    </w:p>
    <w:p>
      <w:pPr>
        <w:pStyle w:val="BodyText"/>
        <w:spacing w:before="177"/>
        <w:ind w:left="100"/>
      </w:pPr>
      <w:r>
        <w:rPr/>
        <w:pict>
          <v:line style="position:absolute;mso-position-horizontal-relative:page;mso-position-vertical-relative:paragraph;z-index:251666432" from="530.619995pt,7.68364pt" to="595.320002pt,7.68364pt" stroked="true" strokeweight=".48001pt" strokecolor="#d7d7d7">
            <v:stroke dashstyle="solid"/>
            <w10:wrap type="none"/>
          </v:line>
        </w:pict>
      </w:r>
      <w:r>
        <w:rPr/>
        <w:t>Page | 3</w:t>
      </w:r>
    </w:p>
    <w:p>
      <w:pPr>
        <w:spacing w:after="0"/>
        <w:sectPr>
          <w:type w:val="continuous"/>
          <w:pgSz w:w="11910" w:h="16840"/>
          <w:pgMar w:top="560" w:bottom="280" w:left="1340" w:right="160"/>
          <w:cols w:num="2" w:equalWidth="0">
            <w:col w:w="9172" w:space="283"/>
            <w:col w:w="955"/>
          </w:cols>
        </w:sectPr>
      </w:pPr>
    </w:p>
    <w:p>
      <w:pPr>
        <w:pStyle w:val="BodyText"/>
        <w:spacing w:before="2"/>
        <w:rPr>
          <w:sz w:val="23"/>
        </w:rPr>
      </w:pPr>
    </w:p>
    <w:p>
      <w:pPr>
        <w:pStyle w:val="BodyText"/>
        <w:spacing w:line="20" w:lineRule="exact"/>
        <w:ind w:left="375"/>
        <w:rPr>
          <w:sz w:val="2"/>
        </w:rPr>
      </w:pPr>
      <w:r>
        <w:rPr>
          <w:sz w:val="2"/>
        </w:rPr>
        <w:pict>
          <v:group style="width:144.050pt;height:.75pt;mso-position-horizontal-relative:char;mso-position-vertical-relative:line" coordorigin="0,0" coordsize="2881,15">
            <v:line style="position:absolute" from="0,7" to="2880,7" stroked="true" strokeweight=".71997pt" strokecolor="#000000">
              <v:stroke dashstyle="solid"/>
            </v:line>
          </v:group>
        </w:pict>
      </w:r>
      <w:r>
        <w:rPr>
          <w:sz w:val="2"/>
        </w:rPr>
      </w:r>
    </w:p>
    <w:p>
      <w:pPr>
        <w:spacing w:line="245" w:lineRule="exact" w:before="94"/>
        <w:ind w:left="383" w:right="0" w:firstLine="0"/>
        <w:jc w:val="left"/>
        <w:rPr>
          <w:sz w:val="20"/>
        </w:rPr>
      </w:pPr>
      <w:r>
        <w:rPr>
          <w:position w:val="7"/>
          <w:sz w:val="13"/>
        </w:rPr>
        <w:t>6 </w:t>
      </w:r>
      <w:r>
        <w:rPr>
          <w:sz w:val="20"/>
        </w:rPr>
        <w:t>Singh and Khan, </w:t>
      </w:r>
      <w:r>
        <w:rPr>
          <w:i/>
          <w:sz w:val="20"/>
        </w:rPr>
        <w:t>Hindu Cosmology</w:t>
      </w:r>
      <w:r>
        <w:rPr>
          <w:sz w:val="20"/>
        </w:rPr>
        <w:t>, p 34.</w:t>
      </w:r>
    </w:p>
    <w:p>
      <w:pPr>
        <w:spacing w:line="244" w:lineRule="exact" w:before="0"/>
        <w:ind w:left="383" w:right="0" w:firstLine="0"/>
        <w:jc w:val="left"/>
        <w:rPr>
          <w:sz w:val="20"/>
        </w:rPr>
      </w:pPr>
      <w:r>
        <w:rPr>
          <w:position w:val="7"/>
          <w:sz w:val="13"/>
        </w:rPr>
        <w:t>7 </w:t>
      </w:r>
      <w:r>
        <w:rPr>
          <w:sz w:val="20"/>
        </w:rPr>
        <w:t>Lilley, </w:t>
      </w:r>
      <w:r>
        <w:rPr>
          <w:i/>
          <w:sz w:val="20"/>
        </w:rPr>
        <w:t>Cities of God?, </w:t>
      </w:r>
      <w:r>
        <w:rPr>
          <w:sz w:val="20"/>
        </w:rPr>
        <w:t>p 297.</w:t>
      </w:r>
    </w:p>
    <w:p>
      <w:pPr>
        <w:spacing w:line="245" w:lineRule="exact" w:before="0"/>
        <w:ind w:left="383" w:right="0" w:firstLine="0"/>
        <w:jc w:val="left"/>
        <w:rPr>
          <w:sz w:val="20"/>
        </w:rPr>
      </w:pPr>
      <w:r>
        <w:rPr>
          <w:position w:val="7"/>
          <w:sz w:val="13"/>
        </w:rPr>
        <w:t>8 </w:t>
      </w:r>
      <w:r>
        <w:rPr>
          <w:sz w:val="20"/>
        </w:rPr>
        <w:t>Lilley, </w:t>
      </w:r>
      <w:r>
        <w:rPr>
          <w:i/>
          <w:sz w:val="20"/>
        </w:rPr>
        <w:t>Cities of God</w:t>
      </w:r>
      <w:r>
        <w:rPr>
          <w:sz w:val="20"/>
        </w:rPr>
        <w:t>?, pp 297-98.</w:t>
      </w:r>
    </w:p>
    <w:p>
      <w:pPr>
        <w:spacing w:line="246" w:lineRule="exact" w:before="0"/>
        <w:ind w:left="383" w:right="0" w:firstLine="0"/>
        <w:jc w:val="left"/>
        <w:rPr>
          <w:sz w:val="20"/>
        </w:rPr>
      </w:pPr>
      <w:r>
        <w:rPr>
          <w:position w:val="7"/>
          <w:sz w:val="13"/>
        </w:rPr>
        <w:t>9 </w:t>
      </w:r>
      <w:r>
        <w:rPr>
          <w:sz w:val="20"/>
        </w:rPr>
        <w:t>Singh and Khan, </w:t>
      </w:r>
      <w:r>
        <w:rPr>
          <w:i/>
          <w:sz w:val="20"/>
        </w:rPr>
        <w:t>Hindu Cosmology</w:t>
      </w:r>
      <w:r>
        <w:rPr>
          <w:sz w:val="20"/>
        </w:rPr>
        <w:t>, p 25.</w:t>
      </w:r>
    </w:p>
    <w:p>
      <w:pPr>
        <w:spacing w:after="0" w:line="246" w:lineRule="exact"/>
        <w:jc w:val="left"/>
        <w:rPr>
          <w:sz w:val="20"/>
        </w:rPr>
        <w:sectPr>
          <w:type w:val="continuous"/>
          <w:pgSz w:w="11910" w:h="16840"/>
          <w:pgMar w:top="560" w:bottom="280" w:left="1340" w:right="160"/>
        </w:sectPr>
      </w:pPr>
    </w:p>
    <w:p>
      <w:pPr>
        <w:pStyle w:val="BodyText"/>
        <w:spacing w:line="259" w:lineRule="auto" w:before="64"/>
        <w:ind w:left="100" w:right="1215"/>
      </w:pPr>
      <w:r>
        <w:rPr/>
        <w:t>that there is a religiously ordained order in the landscape’</w:t>
      </w:r>
      <w:r>
        <w:rPr>
          <w:vertAlign w:val="superscript"/>
        </w:rPr>
        <w:t>10</w:t>
      </w:r>
      <w:r>
        <w:rPr>
          <w:vertAlign w:val="baseline"/>
        </w:rPr>
        <w:t>. The paper actually proves this thesis, but without really challenging these theories.</w:t>
      </w:r>
    </w:p>
    <w:p>
      <w:pPr>
        <w:pStyle w:val="BodyText"/>
        <w:spacing w:before="5"/>
        <w:rPr>
          <w:sz w:val="8"/>
        </w:rPr>
      </w:pPr>
    </w:p>
    <w:p>
      <w:pPr>
        <w:spacing w:after="0"/>
        <w:rPr>
          <w:sz w:val="8"/>
        </w:rPr>
        <w:sectPr>
          <w:pgSz w:w="11910" w:h="16840"/>
          <w:pgMar w:header="751" w:footer="0" w:top="1360" w:bottom="280" w:left="1340" w:right="160"/>
        </w:sectPr>
      </w:pPr>
    </w:p>
    <w:p>
      <w:pPr>
        <w:pStyle w:val="BodyText"/>
        <w:spacing w:line="259" w:lineRule="auto" w:before="57"/>
        <w:ind w:left="100" w:right="39" w:firstLine="283"/>
        <w:jc w:val="both"/>
      </w:pPr>
      <w:r>
        <w:rPr/>
        <w:t>Lilley, on the other hand, is immediately very clear in his objective: to reason about how there is a possible alternative key in interpreting the study of urban morphology in the Middle Ages, and how this</w:t>
      </w:r>
      <w:r>
        <w:rPr>
          <w:spacing w:val="-7"/>
        </w:rPr>
        <w:t> </w:t>
      </w:r>
      <w:r>
        <w:rPr/>
        <w:t>should</w:t>
      </w:r>
      <w:r>
        <w:rPr>
          <w:spacing w:val="-7"/>
        </w:rPr>
        <w:t> </w:t>
      </w:r>
      <w:r>
        <w:rPr/>
        <w:t>be</w:t>
      </w:r>
      <w:r>
        <w:rPr>
          <w:spacing w:val="-5"/>
        </w:rPr>
        <w:t> </w:t>
      </w:r>
      <w:r>
        <w:rPr/>
        <w:t>seriously</w:t>
      </w:r>
      <w:r>
        <w:rPr>
          <w:spacing w:val="-8"/>
        </w:rPr>
        <w:t> </w:t>
      </w:r>
      <w:r>
        <w:rPr/>
        <w:t>considered.</w:t>
      </w:r>
      <w:r>
        <w:rPr>
          <w:spacing w:val="-6"/>
        </w:rPr>
        <w:t> </w:t>
      </w:r>
      <w:r>
        <w:rPr/>
        <w:t>In</w:t>
      </w:r>
      <w:r>
        <w:rPr>
          <w:spacing w:val="-7"/>
        </w:rPr>
        <w:t> </w:t>
      </w:r>
      <w:r>
        <w:rPr/>
        <w:t>the</w:t>
      </w:r>
      <w:r>
        <w:rPr>
          <w:spacing w:val="-7"/>
        </w:rPr>
        <w:t> </w:t>
      </w:r>
      <w:r>
        <w:rPr/>
        <w:t>first</w:t>
      </w:r>
      <w:r>
        <w:rPr>
          <w:spacing w:val="-5"/>
        </w:rPr>
        <w:t> </w:t>
      </w:r>
      <w:r>
        <w:rPr/>
        <w:t>chapters,</w:t>
      </w:r>
      <w:r>
        <w:rPr>
          <w:spacing w:val="-5"/>
        </w:rPr>
        <w:t> </w:t>
      </w:r>
      <w:r>
        <w:rPr/>
        <w:t>Lilley</w:t>
      </w:r>
      <w:r>
        <w:rPr>
          <w:spacing w:val="-7"/>
        </w:rPr>
        <w:t> </w:t>
      </w:r>
      <w:r>
        <w:rPr/>
        <w:t>mentions</w:t>
      </w:r>
      <w:r>
        <w:rPr>
          <w:spacing w:val="-8"/>
        </w:rPr>
        <w:t> </w:t>
      </w:r>
      <w:r>
        <w:rPr/>
        <w:t>the</w:t>
      </w:r>
      <w:r>
        <w:rPr>
          <w:spacing w:val="-6"/>
        </w:rPr>
        <w:t> </w:t>
      </w:r>
      <w:r>
        <w:rPr/>
        <w:t>theories</w:t>
      </w:r>
      <w:r>
        <w:rPr>
          <w:spacing w:val="-6"/>
        </w:rPr>
        <w:t> </w:t>
      </w:r>
      <w:r>
        <w:rPr/>
        <w:t>that</w:t>
      </w:r>
      <w:r>
        <w:rPr>
          <w:spacing w:val="-6"/>
        </w:rPr>
        <w:t> </w:t>
      </w:r>
      <w:r>
        <w:rPr/>
        <w:t>he</w:t>
      </w:r>
      <w:r>
        <w:rPr>
          <w:spacing w:val="-5"/>
        </w:rPr>
        <w:t> </w:t>
      </w:r>
      <w:r>
        <w:rPr/>
        <w:t>does</w:t>
      </w:r>
      <w:r>
        <w:rPr>
          <w:spacing w:val="-5"/>
        </w:rPr>
        <w:t> </w:t>
      </w:r>
      <w:r>
        <w:rPr/>
        <w:t>not share or, at least, that he thinks would be worth seeing in the light of new studies, including his own. He</w:t>
      </w:r>
      <w:r>
        <w:rPr>
          <w:spacing w:val="-10"/>
        </w:rPr>
        <w:t> </w:t>
      </w:r>
      <w:r>
        <w:rPr/>
        <w:t>compares</w:t>
      </w:r>
      <w:r>
        <w:rPr>
          <w:spacing w:val="-12"/>
        </w:rPr>
        <w:t> </w:t>
      </w:r>
      <w:r>
        <w:rPr/>
        <w:t>the</w:t>
      </w:r>
      <w:r>
        <w:rPr>
          <w:spacing w:val="-9"/>
        </w:rPr>
        <w:t> </w:t>
      </w:r>
      <w:r>
        <w:rPr/>
        <w:t>sources</w:t>
      </w:r>
      <w:r>
        <w:rPr>
          <w:spacing w:val="-9"/>
        </w:rPr>
        <w:t> </w:t>
      </w:r>
      <w:r>
        <w:rPr/>
        <w:t>based</w:t>
      </w:r>
      <w:r>
        <w:rPr>
          <w:spacing w:val="-10"/>
        </w:rPr>
        <w:t> </w:t>
      </w:r>
      <w:r>
        <w:rPr/>
        <w:t>on</w:t>
      </w:r>
      <w:r>
        <w:rPr>
          <w:spacing w:val="-10"/>
        </w:rPr>
        <w:t> </w:t>
      </w:r>
      <w:r>
        <w:rPr/>
        <w:t>the</w:t>
      </w:r>
      <w:r>
        <w:rPr>
          <w:spacing w:val="-10"/>
        </w:rPr>
        <w:t> </w:t>
      </w:r>
      <w:r>
        <w:rPr/>
        <w:t>period</w:t>
      </w:r>
      <w:r>
        <w:rPr>
          <w:spacing w:val="-10"/>
        </w:rPr>
        <w:t> </w:t>
      </w:r>
      <w:r>
        <w:rPr/>
        <w:t>they</w:t>
      </w:r>
      <w:r>
        <w:rPr>
          <w:spacing w:val="-8"/>
        </w:rPr>
        <w:t> </w:t>
      </w:r>
      <w:r>
        <w:rPr/>
        <w:t>were</w:t>
      </w:r>
      <w:r>
        <w:rPr>
          <w:spacing w:val="-9"/>
        </w:rPr>
        <w:t> </w:t>
      </w:r>
      <w:r>
        <w:rPr/>
        <w:t>written</w:t>
      </w:r>
      <w:r>
        <w:rPr>
          <w:spacing w:val="-10"/>
        </w:rPr>
        <w:t> </w:t>
      </w:r>
      <w:r>
        <w:rPr/>
        <w:t>in</w:t>
      </w:r>
      <w:r>
        <w:rPr>
          <w:spacing w:val="-11"/>
        </w:rPr>
        <w:t> </w:t>
      </w:r>
      <w:r>
        <w:rPr/>
        <w:t>and</w:t>
      </w:r>
      <w:r>
        <w:rPr>
          <w:spacing w:val="-10"/>
        </w:rPr>
        <w:t> </w:t>
      </w:r>
      <w:r>
        <w:rPr/>
        <w:t>their</w:t>
      </w:r>
      <w:r>
        <w:rPr>
          <w:spacing w:val="-11"/>
        </w:rPr>
        <w:t> </w:t>
      </w:r>
      <w:r>
        <w:rPr/>
        <w:t>content,</w:t>
      </w:r>
      <w:r>
        <w:rPr>
          <w:spacing w:val="-9"/>
        </w:rPr>
        <w:t> </w:t>
      </w:r>
      <w:r>
        <w:rPr/>
        <w:t>and</w:t>
      </w:r>
      <w:r>
        <w:rPr>
          <w:spacing w:val="-10"/>
        </w:rPr>
        <w:t> </w:t>
      </w:r>
      <w:r>
        <w:rPr/>
        <w:t>he</w:t>
      </w:r>
      <w:r>
        <w:rPr>
          <w:spacing w:val="-9"/>
        </w:rPr>
        <w:t> </w:t>
      </w:r>
      <w:r>
        <w:rPr/>
        <w:t>identifies the dominant studies that have been followed up to that point to describe medieval Christian cities. He then cites his own more recent work</w:t>
      </w:r>
      <w:r>
        <w:rPr>
          <w:vertAlign w:val="superscript"/>
        </w:rPr>
        <w:t>11</w:t>
      </w:r>
      <w:r>
        <w:rPr>
          <w:vertAlign w:val="baseline"/>
        </w:rPr>
        <w:t> to support his position of how it is necessary to consider new perspectives that may prove equally valid. He also shares more recent studies he approves, arguing that their approach is more adapt to the study of medieval cities. He also draws on a variety of medieval sources to explain how the planning and construction of cities took place, both from a symbolic-spiritual</w:t>
      </w:r>
      <w:r>
        <w:rPr>
          <w:spacing w:val="-9"/>
          <w:vertAlign w:val="baseline"/>
        </w:rPr>
        <w:t> </w:t>
      </w:r>
      <w:r>
        <w:rPr>
          <w:vertAlign w:val="baseline"/>
        </w:rPr>
        <w:t>and</w:t>
      </w:r>
      <w:r>
        <w:rPr>
          <w:spacing w:val="-6"/>
          <w:vertAlign w:val="baseline"/>
        </w:rPr>
        <w:t> </w:t>
      </w:r>
      <w:r>
        <w:rPr>
          <w:vertAlign w:val="baseline"/>
        </w:rPr>
        <w:t>a</w:t>
      </w:r>
      <w:r>
        <w:rPr>
          <w:spacing w:val="-9"/>
          <w:vertAlign w:val="baseline"/>
        </w:rPr>
        <w:t> </w:t>
      </w:r>
      <w:r>
        <w:rPr>
          <w:vertAlign w:val="baseline"/>
        </w:rPr>
        <w:t>cartographic</w:t>
      </w:r>
      <w:r>
        <w:rPr>
          <w:spacing w:val="-8"/>
          <w:vertAlign w:val="baseline"/>
        </w:rPr>
        <w:t> </w:t>
      </w:r>
      <w:r>
        <w:rPr>
          <w:vertAlign w:val="baseline"/>
        </w:rPr>
        <w:t>point</w:t>
      </w:r>
      <w:r>
        <w:rPr>
          <w:spacing w:val="-8"/>
          <w:vertAlign w:val="baseline"/>
        </w:rPr>
        <w:t> </w:t>
      </w:r>
      <w:r>
        <w:rPr>
          <w:vertAlign w:val="baseline"/>
        </w:rPr>
        <w:t>of</w:t>
      </w:r>
      <w:r>
        <w:rPr>
          <w:spacing w:val="-8"/>
          <w:vertAlign w:val="baseline"/>
        </w:rPr>
        <w:t> </w:t>
      </w:r>
      <w:r>
        <w:rPr>
          <w:vertAlign w:val="baseline"/>
        </w:rPr>
        <w:t>view.</w:t>
      </w:r>
      <w:r>
        <w:rPr>
          <w:spacing w:val="-9"/>
          <w:vertAlign w:val="baseline"/>
        </w:rPr>
        <w:t> </w:t>
      </w:r>
      <w:r>
        <w:rPr>
          <w:vertAlign w:val="baseline"/>
        </w:rPr>
        <w:t>Lilley</w:t>
      </w:r>
      <w:r>
        <w:rPr>
          <w:spacing w:val="-7"/>
          <w:vertAlign w:val="baseline"/>
        </w:rPr>
        <w:t> </w:t>
      </w:r>
      <w:r>
        <w:rPr>
          <w:vertAlign w:val="baseline"/>
        </w:rPr>
        <w:t>also</w:t>
      </w:r>
      <w:r>
        <w:rPr>
          <w:spacing w:val="-7"/>
          <w:vertAlign w:val="baseline"/>
        </w:rPr>
        <w:t> </w:t>
      </w:r>
      <w:r>
        <w:rPr>
          <w:vertAlign w:val="baseline"/>
        </w:rPr>
        <w:t>presents</w:t>
      </w:r>
      <w:r>
        <w:rPr>
          <w:spacing w:val="-11"/>
          <w:vertAlign w:val="baseline"/>
        </w:rPr>
        <w:t> </w:t>
      </w:r>
      <w:r>
        <w:rPr>
          <w:vertAlign w:val="baseline"/>
        </w:rPr>
        <w:t>many</w:t>
      </w:r>
      <w:r>
        <w:rPr>
          <w:spacing w:val="-9"/>
          <w:vertAlign w:val="baseline"/>
        </w:rPr>
        <w:t> </w:t>
      </w:r>
      <w:r>
        <w:rPr>
          <w:vertAlign w:val="baseline"/>
        </w:rPr>
        <w:t>more</w:t>
      </w:r>
      <w:r>
        <w:rPr>
          <w:spacing w:val="-6"/>
          <w:vertAlign w:val="baseline"/>
        </w:rPr>
        <w:t> </w:t>
      </w:r>
      <w:r>
        <w:rPr>
          <w:vertAlign w:val="baseline"/>
        </w:rPr>
        <w:t>examples</w:t>
      </w:r>
      <w:r>
        <w:rPr>
          <w:spacing w:val="-8"/>
          <w:vertAlign w:val="baseline"/>
        </w:rPr>
        <w:t> </w:t>
      </w:r>
      <w:r>
        <w:rPr>
          <w:vertAlign w:val="baseline"/>
        </w:rPr>
        <w:t>from</w:t>
      </w:r>
      <w:r>
        <w:rPr>
          <w:spacing w:val="-8"/>
          <w:vertAlign w:val="baseline"/>
        </w:rPr>
        <w:t> </w:t>
      </w:r>
      <w:r>
        <w:rPr>
          <w:vertAlign w:val="baseline"/>
        </w:rPr>
        <w:t>the sources of how many activities in the Middle Ages, if not the very life of citizens, were permeated almost every instant with that same symbolism. This description in Singh and Khan is treated less extensively and more implicitly, since the authors focus more on the empirical evidence of the evolution of the villages cited as</w:t>
      </w:r>
      <w:r>
        <w:rPr>
          <w:spacing w:val="-8"/>
          <w:vertAlign w:val="baseline"/>
        </w:rPr>
        <w:t> </w:t>
      </w:r>
      <w:r>
        <w:rPr>
          <w:vertAlign w:val="baseline"/>
        </w:rPr>
        <w:t>examples.</w:t>
      </w:r>
    </w:p>
    <w:p>
      <w:pPr>
        <w:pStyle w:val="BodyText"/>
      </w:pPr>
    </w:p>
    <w:p>
      <w:pPr>
        <w:pStyle w:val="BodyText"/>
        <w:spacing w:before="10"/>
        <w:rPr>
          <w:sz w:val="27"/>
        </w:rPr>
      </w:pPr>
    </w:p>
    <w:p>
      <w:pPr>
        <w:pStyle w:val="Heading1"/>
      </w:pPr>
      <w:r>
        <w:rPr/>
        <w:t>Conclusion</w:t>
      </w:r>
    </w:p>
    <w:p>
      <w:pPr>
        <w:pStyle w:val="BodyText"/>
        <w:spacing w:line="259" w:lineRule="auto" w:before="180"/>
        <w:ind w:left="100" w:right="38" w:firstLine="283"/>
        <w:jc w:val="both"/>
      </w:pPr>
      <w:r>
        <w:rPr/>
        <w:t>Singh and Khan's article appears more orderly and organized in the overall presentation, guiding the reader first to understand the Hindu cosmology and symbolism underlying the thesis and then offering cause for reflection, achieving this through the examples. The article starts from theoretical evaluations and then supports them with empirical experiences. As already noted, there is no actual discussion of other studies and sources.</w:t>
      </w:r>
    </w:p>
    <w:p>
      <w:pPr>
        <w:pStyle w:val="BodyText"/>
        <w:spacing w:line="259" w:lineRule="auto" w:before="158"/>
        <w:ind w:left="100" w:right="38" w:firstLine="283"/>
        <w:jc w:val="both"/>
      </w:pPr>
      <w:r>
        <w:rPr/>
        <w:t>Lilley's article, on the other hand, makes discussion one of its characteristic features: very often in the</w:t>
      </w:r>
      <w:r>
        <w:rPr>
          <w:spacing w:val="-6"/>
        </w:rPr>
        <w:t> </w:t>
      </w:r>
      <w:r>
        <w:rPr/>
        <w:t>text</w:t>
      </w:r>
      <w:r>
        <w:rPr>
          <w:spacing w:val="-5"/>
        </w:rPr>
        <w:t> </w:t>
      </w:r>
      <w:r>
        <w:rPr/>
        <w:t>the</w:t>
      </w:r>
      <w:r>
        <w:rPr>
          <w:spacing w:val="-5"/>
        </w:rPr>
        <w:t> </w:t>
      </w:r>
      <w:r>
        <w:rPr/>
        <w:t>author</w:t>
      </w:r>
      <w:r>
        <w:rPr>
          <w:spacing w:val="-6"/>
        </w:rPr>
        <w:t> </w:t>
      </w:r>
      <w:r>
        <w:rPr/>
        <w:t>shows</w:t>
      </w:r>
      <w:r>
        <w:rPr>
          <w:spacing w:val="-4"/>
        </w:rPr>
        <w:t> </w:t>
      </w:r>
      <w:r>
        <w:rPr/>
        <w:t>studies</w:t>
      </w:r>
      <w:r>
        <w:rPr>
          <w:spacing w:val="-5"/>
        </w:rPr>
        <w:t> </w:t>
      </w:r>
      <w:r>
        <w:rPr/>
        <w:t>that</w:t>
      </w:r>
      <w:r>
        <w:rPr>
          <w:spacing w:val="-5"/>
        </w:rPr>
        <w:t> </w:t>
      </w:r>
      <w:r>
        <w:rPr/>
        <w:t>he</w:t>
      </w:r>
      <w:r>
        <w:rPr>
          <w:spacing w:val="-5"/>
        </w:rPr>
        <w:t> </w:t>
      </w:r>
      <w:r>
        <w:rPr/>
        <w:t>is</w:t>
      </w:r>
      <w:r>
        <w:rPr>
          <w:spacing w:val="-5"/>
        </w:rPr>
        <w:t> </w:t>
      </w:r>
      <w:r>
        <w:rPr/>
        <w:t>immediately</w:t>
      </w:r>
      <w:r>
        <w:rPr>
          <w:spacing w:val="-5"/>
        </w:rPr>
        <w:t> </w:t>
      </w:r>
      <w:r>
        <w:rPr/>
        <w:t>ready</w:t>
      </w:r>
      <w:r>
        <w:rPr>
          <w:spacing w:val="-4"/>
        </w:rPr>
        <w:t> </w:t>
      </w:r>
      <w:r>
        <w:rPr/>
        <w:t>to</w:t>
      </w:r>
      <w:r>
        <w:rPr>
          <w:spacing w:val="-4"/>
        </w:rPr>
        <w:t> </w:t>
      </w:r>
      <w:r>
        <w:rPr/>
        <w:t>question.</w:t>
      </w:r>
      <w:r>
        <w:rPr>
          <w:spacing w:val="-6"/>
        </w:rPr>
        <w:t> </w:t>
      </w:r>
      <w:r>
        <w:rPr/>
        <w:t>This</w:t>
      </w:r>
      <w:r>
        <w:rPr>
          <w:spacing w:val="-5"/>
        </w:rPr>
        <w:t> </w:t>
      </w:r>
      <w:r>
        <w:rPr/>
        <w:t>at</w:t>
      </w:r>
      <w:r>
        <w:rPr>
          <w:spacing w:val="-8"/>
        </w:rPr>
        <w:t> </w:t>
      </w:r>
      <w:r>
        <w:rPr/>
        <w:t>times,</w:t>
      </w:r>
      <w:r>
        <w:rPr>
          <w:spacing w:val="-4"/>
        </w:rPr>
        <w:t> </w:t>
      </w:r>
      <w:r>
        <w:rPr/>
        <w:t>all</w:t>
      </w:r>
      <w:r>
        <w:rPr>
          <w:spacing w:val="-6"/>
        </w:rPr>
        <w:t> </w:t>
      </w:r>
      <w:r>
        <w:rPr/>
        <w:t>the</w:t>
      </w:r>
      <w:r>
        <w:rPr>
          <w:spacing w:val="-7"/>
        </w:rPr>
        <w:t> </w:t>
      </w:r>
      <w:r>
        <w:rPr/>
        <w:t>more in comparison with the other paper, makes the writing cluttered; this still allows the reader to understand the incisiveness of the thesis presented, which is precisely based on challenging certain theories and offering equally valid alternatives. The empirical part is present, but it has less incisiveness than the other article, presented in Singh and Khan also through images and graphics</w:t>
      </w:r>
      <w:r>
        <w:rPr>
          <w:vertAlign w:val="superscript"/>
        </w:rPr>
        <w:t>12</w:t>
      </w:r>
      <w:r>
        <w:rPr>
          <w:vertAlign w:val="baseline"/>
        </w:rPr>
        <w:t> that give a more immediate visual</w:t>
      </w:r>
      <w:r>
        <w:rPr>
          <w:spacing w:val="-4"/>
          <w:vertAlign w:val="baseline"/>
        </w:rPr>
        <w:t> </w:t>
      </w:r>
      <w:r>
        <w:rPr>
          <w:vertAlign w:val="baseline"/>
        </w:rPr>
        <w:t>impact.</w:t>
      </w:r>
    </w:p>
    <w:p>
      <w:pPr>
        <w:pStyle w:val="BodyText"/>
        <w:spacing w:line="259" w:lineRule="auto" w:before="159"/>
        <w:ind w:left="100" w:right="40" w:firstLine="333"/>
        <w:jc w:val="both"/>
      </w:pPr>
      <w:r>
        <w:rPr/>
        <w:t>In both articles there are references to buildings within the cities (temple and cathedral) and to daily life that the symbolism affects, in addition to references to sacred and past scriptures. A less evident theory in Singh and Khan, but nevertheless shared is that of the city as a body made of parts with</w:t>
      </w:r>
      <w:r>
        <w:rPr>
          <w:spacing w:val="-11"/>
        </w:rPr>
        <w:t> </w:t>
      </w:r>
      <w:r>
        <w:rPr/>
        <w:t>a</w:t>
      </w:r>
      <w:r>
        <w:rPr>
          <w:spacing w:val="-11"/>
        </w:rPr>
        <w:t> </w:t>
      </w:r>
      <w:r>
        <w:rPr/>
        <w:t>certain</w:t>
      </w:r>
      <w:r>
        <w:rPr>
          <w:spacing w:val="-11"/>
        </w:rPr>
        <w:t> </w:t>
      </w:r>
      <w:r>
        <w:rPr/>
        <w:t>structure</w:t>
      </w:r>
      <w:r>
        <w:rPr>
          <w:spacing w:val="-10"/>
        </w:rPr>
        <w:t> </w:t>
      </w:r>
      <w:r>
        <w:rPr/>
        <w:t>and</w:t>
      </w:r>
      <w:r>
        <w:rPr>
          <w:spacing w:val="-11"/>
        </w:rPr>
        <w:t> </w:t>
      </w:r>
      <w:r>
        <w:rPr/>
        <w:t>order</w:t>
      </w:r>
      <w:r>
        <w:rPr>
          <w:spacing w:val="-10"/>
        </w:rPr>
        <w:t> </w:t>
      </w:r>
      <w:r>
        <w:rPr/>
        <w:t>(a</w:t>
      </w:r>
      <w:r>
        <w:rPr>
          <w:spacing w:val="-13"/>
        </w:rPr>
        <w:t> </w:t>
      </w:r>
      <w:r>
        <w:rPr/>
        <w:t>microcosm).</w:t>
      </w:r>
      <w:r>
        <w:rPr>
          <w:spacing w:val="-11"/>
        </w:rPr>
        <w:t> </w:t>
      </w:r>
      <w:r>
        <w:rPr/>
        <w:t>Although</w:t>
      </w:r>
      <w:r>
        <w:rPr>
          <w:spacing w:val="-11"/>
        </w:rPr>
        <w:t> </w:t>
      </w:r>
      <w:r>
        <w:rPr/>
        <w:t>the</w:t>
      </w:r>
      <w:r>
        <w:rPr>
          <w:spacing w:val="-10"/>
        </w:rPr>
        <w:t> </w:t>
      </w:r>
      <w:r>
        <w:rPr/>
        <w:t>style</w:t>
      </w:r>
      <w:r>
        <w:rPr>
          <w:spacing w:val="-13"/>
        </w:rPr>
        <w:t> </w:t>
      </w:r>
      <w:r>
        <w:rPr/>
        <w:t>of</w:t>
      </w:r>
      <w:r>
        <w:rPr>
          <w:spacing w:val="-10"/>
        </w:rPr>
        <w:t> </w:t>
      </w:r>
      <w:r>
        <w:rPr/>
        <w:t>the</w:t>
      </w:r>
      <w:r>
        <w:rPr>
          <w:spacing w:val="-10"/>
        </w:rPr>
        <w:t> </w:t>
      </w:r>
      <w:r>
        <w:rPr/>
        <w:t>articles</w:t>
      </w:r>
      <w:r>
        <w:rPr>
          <w:spacing w:val="-12"/>
        </w:rPr>
        <w:t> </w:t>
      </w:r>
      <w:r>
        <w:rPr/>
        <w:t>is</w:t>
      </w:r>
      <w:r>
        <w:rPr>
          <w:spacing w:val="-11"/>
        </w:rPr>
        <w:t> </w:t>
      </w:r>
      <w:r>
        <w:rPr/>
        <w:t>different</w:t>
      </w:r>
      <w:r>
        <w:rPr>
          <w:spacing w:val="-10"/>
        </w:rPr>
        <w:t> </w:t>
      </w:r>
      <w:r>
        <w:rPr/>
        <w:t>because the objective is different, both basic theories are similar: the city is seen as a microcosm that reflects the universal order, and the authors aim to demonstrate</w:t>
      </w:r>
      <w:r>
        <w:rPr>
          <w:spacing w:val="-5"/>
        </w:rPr>
        <w:t> </w:t>
      </w:r>
      <w:r>
        <w:rPr/>
        <w:t>this.</w:t>
      </w:r>
    </w:p>
    <w:p>
      <w:pPr>
        <w:pStyle w:val="BodyText"/>
      </w:pPr>
      <w:r>
        <w:rPr/>
        <w:br w:type="column"/>
      </w:r>
      <w:r>
        <w:rPr/>
      </w:r>
    </w:p>
    <w:p>
      <w:pPr>
        <w:pStyle w:val="BodyText"/>
      </w:pPr>
    </w:p>
    <w:p>
      <w:pPr>
        <w:pStyle w:val="BodyText"/>
        <w:spacing w:before="180"/>
        <w:ind w:left="100"/>
      </w:pPr>
      <w:r>
        <w:rPr/>
        <w:pict>
          <v:line style="position:absolute;mso-position-horizontal-relative:page;mso-position-vertical-relative:paragraph;z-index:251668480" from="530.619995pt,7.833633pt" to="595.320002pt,7.833633pt" stroked="true" strokeweight=".48pt" strokecolor="#d7d7d7">
            <v:stroke dashstyle="solid"/>
            <w10:wrap type="none"/>
          </v:line>
        </w:pict>
      </w:r>
      <w:r>
        <w:rPr/>
        <w:t>Page | 4</w:t>
      </w:r>
    </w:p>
    <w:p>
      <w:pPr>
        <w:spacing w:after="0"/>
        <w:sectPr>
          <w:type w:val="continuous"/>
          <w:pgSz w:w="11910" w:h="16840"/>
          <w:pgMar w:top="560" w:bottom="280" w:left="1340" w:right="160"/>
          <w:cols w:num="2" w:equalWidth="0">
            <w:col w:w="9173" w:space="283"/>
            <w:col w:w="954"/>
          </w:cols>
        </w:sect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17"/>
        </w:rPr>
      </w:pPr>
    </w:p>
    <w:p>
      <w:pPr>
        <w:pStyle w:val="BodyText"/>
        <w:spacing w:line="20" w:lineRule="exact"/>
        <w:ind w:left="375"/>
        <w:rPr>
          <w:sz w:val="2"/>
        </w:rPr>
      </w:pPr>
      <w:r>
        <w:rPr>
          <w:sz w:val="2"/>
        </w:rPr>
        <w:pict>
          <v:group style="width:144.050pt;height:.75pt;mso-position-horizontal-relative:char;mso-position-vertical-relative:line" coordorigin="0,0" coordsize="2881,15">
            <v:line style="position:absolute" from="0,7" to="2880,7" stroked="true" strokeweight=".71997pt" strokecolor="#000000">
              <v:stroke dashstyle="solid"/>
            </v:line>
          </v:group>
        </w:pict>
      </w:r>
      <w:r>
        <w:rPr>
          <w:sz w:val="2"/>
        </w:rPr>
      </w:r>
    </w:p>
    <w:p>
      <w:pPr>
        <w:spacing w:line="246" w:lineRule="exact" w:before="91"/>
        <w:ind w:left="383" w:right="0" w:firstLine="0"/>
        <w:jc w:val="left"/>
        <w:rPr>
          <w:sz w:val="20"/>
        </w:rPr>
      </w:pPr>
      <w:r>
        <w:rPr>
          <w:position w:val="7"/>
          <w:sz w:val="13"/>
        </w:rPr>
        <w:t>10 </w:t>
      </w:r>
      <w:r>
        <w:rPr>
          <w:sz w:val="20"/>
        </w:rPr>
        <w:t>Singh and Khan, </w:t>
      </w:r>
      <w:r>
        <w:rPr>
          <w:i/>
          <w:sz w:val="20"/>
        </w:rPr>
        <w:t>Hindu Cosmology</w:t>
      </w:r>
      <w:r>
        <w:rPr>
          <w:sz w:val="20"/>
        </w:rPr>
        <w:t>, p 19.</w:t>
      </w:r>
    </w:p>
    <w:p>
      <w:pPr>
        <w:spacing w:line="245" w:lineRule="exact" w:before="0"/>
        <w:ind w:left="383" w:right="0" w:firstLine="0"/>
        <w:jc w:val="left"/>
        <w:rPr>
          <w:sz w:val="20"/>
        </w:rPr>
      </w:pPr>
      <w:r>
        <w:rPr>
          <w:position w:val="7"/>
          <w:sz w:val="13"/>
        </w:rPr>
        <w:t>11 </w:t>
      </w:r>
      <w:r>
        <w:rPr>
          <w:sz w:val="20"/>
        </w:rPr>
        <w:t>Lilley, </w:t>
      </w:r>
      <w:r>
        <w:rPr>
          <w:i/>
          <w:sz w:val="20"/>
        </w:rPr>
        <w:t>Cities of God?, </w:t>
      </w:r>
      <w:r>
        <w:rPr>
          <w:sz w:val="20"/>
        </w:rPr>
        <w:t>p 298.</w:t>
      </w:r>
    </w:p>
    <w:p>
      <w:pPr>
        <w:spacing w:line="246" w:lineRule="exact" w:before="0"/>
        <w:ind w:left="383" w:right="0" w:firstLine="0"/>
        <w:jc w:val="left"/>
        <w:rPr>
          <w:sz w:val="20"/>
        </w:rPr>
      </w:pPr>
      <w:r>
        <w:rPr>
          <w:position w:val="7"/>
          <w:sz w:val="13"/>
        </w:rPr>
        <w:t>12 </w:t>
      </w:r>
      <w:r>
        <w:rPr>
          <w:sz w:val="20"/>
        </w:rPr>
        <w:t>Singh and Khan, </w:t>
      </w:r>
      <w:r>
        <w:rPr>
          <w:i/>
          <w:sz w:val="20"/>
        </w:rPr>
        <w:t>Hindu Cosmology</w:t>
      </w:r>
      <w:r>
        <w:rPr>
          <w:sz w:val="20"/>
        </w:rPr>
        <w:t>, pp 29-34</w:t>
      </w:r>
    </w:p>
    <w:p>
      <w:pPr>
        <w:spacing w:after="0" w:line="246" w:lineRule="exact"/>
        <w:jc w:val="left"/>
        <w:rPr>
          <w:sz w:val="20"/>
        </w:rPr>
        <w:sectPr>
          <w:type w:val="continuous"/>
          <w:pgSz w:w="11910" w:h="16840"/>
          <w:pgMar w:top="560" w:bottom="280" w:left="1340" w:right="160"/>
        </w:sectPr>
      </w:pPr>
    </w:p>
    <w:p>
      <w:pPr>
        <w:pStyle w:val="Heading1"/>
        <w:spacing w:before="64"/>
      </w:pPr>
      <w:r>
        <w:rPr/>
        <w:t>Bibliography</w:t>
      </w:r>
    </w:p>
    <w:p>
      <w:pPr>
        <w:spacing w:line="259" w:lineRule="auto" w:before="180"/>
        <w:ind w:left="100" w:right="1259" w:firstLine="283"/>
        <w:jc w:val="left"/>
        <w:rPr>
          <w:sz w:val="22"/>
        </w:rPr>
      </w:pPr>
      <w:r>
        <w:rPr>
          <w:sz w:val="22"/>
        </w:rPr>
        <w:t>Lilley, Keith D, ‘Cities of God? Medieval Urban Forms and Their Christian Symbolism’, </w:t>
      </w:r>
      <w:r>
        <w:rPr>
          <w:i/>
          <w:sz w:val="22"/>
        </w:rPr>
        <w:t>Transactions </w:t>
      </w:r>
      <w:r>
        <w:rPr>
          <w:i/>
          <w:sz w:val="22"/>
        </w:rPr>
        <w:t>of the Institute of British Geographers</w:t>
      </w:r>
      <w:r>
        <w:rPr>
          <w:sz w:val="22"/>
        </w:rPr>
        <w:t>, 29:3 (2004), 296-313.</w:t>
      </w:r>
    </w:p>
    <w:p>
      <w:pPr>
        <w:pStyle w:val="BodyText"/>
        <w:spacing w:before="8"/>
        <w:rPr>
          <w:sz w:val="8"/>
        </w:rPr>
      </w:pPr>
    </w:p>
    <w:p>
      <w:pPr>
        <w:spacing w:after="0"/>
        <w:rPr>
          <w:sz w:val="8"/>
        </w:rPr>
        <w:sectPr>
          <w:pgSz w:w="11910" w:h="16840"/>
          <w:pgMar w:header="751" w:footer="0" w:top="1360" w:bottom="280" w:left="1340" w:right="160"/>
        </w:sectPr>
      </w:pPr>
    </w:p>
    <w:p>
      <w:pPr>
        <w:pStyle w:val="BodyText"/>
        <w:spacing w:line="256" w:lineRule="auto" w:before="56"/>
        <w:ind w:left="100" w:right="38" w:firstLine="283"/>
        <w:jc w:val="both"/>
      </w:pPr>
      <w:r>
        <w:rPr/>
        <w:t>Schafer, Tyler S, ‘Symbols, Sentiments, and Stories: Urban Culture and Social Problems’, </w:t>
      </w:r>
      <w:r>
        <w:rPr>
          <w:i/>
        </w:rPr>
        <w:t>Sociology </w:t>
      </w:r>
      <w:r>
        <w:rPr>
          <w:i/>
        </w:rPr>
        <w:t>Compass</w:t>
      </w:r>
      <w:r>
        <w:rPr/>
        <w:t>, 11.7 (2017).</w:t>
      </w:r>
    </w:p>
    <w:p>
      <w:pPr>
        <w:pStyle w:val="BodyText"/>
        <w:spacing w:line="259" w:lineRule="auto" w:before="165"/>
        <w:ind w:left="100" w:right="39" w:firstLine="283"/>
        <w:jc w:val="both"/>
      </w:pPr>
      <w:r>
        <w:rPr/>
        <w:t>Singh, Jai Pal and Khan, Mumtaz, ‘Hindu Cosmology and the Orientation and Segregation of Social Groups in Villages in Northwestern India’, </w:t>
      </w:r>
      <w:r>
        <w:rPr>
          <w:i/>
        </w:rPr>
        <w:t>Geografiska Annaler</w:t>
      </w:r>
      <w:r>
        <w:rPr/>
        <w:t>. Series B, Human Geography, 81:1, (1999), 19-39.</w:t>
      </w:r>
    </w:p>
    <w:p>
      <w:pPr>
        <w:pStyle w:val="BodyText"/>
        <w:spacing w:line="256" w:lineRule="auto" w:before="159"/>
        <w:ind w:left="100" w:right="43" w:firstLine="283"/>
        <w:jc w:val="both"/>
      </w:pPr>
      <w:r>
        <w:rPr/>
        <w:t>Smith,</w:t>
      </w:r>
      <w:r>
        <w:rPr>
          <w:spacing w:val="-10"/>
        </w:rPr>
        <w:t> </w:t>
      </w:r>
      <w:r>
        <w:rPr/>
        <w:t>Michael</w:t>
      </w:r>
      <w:r>
        <w:rPr>
          <w:spacing w:val="-8"/>
        </w:rPr>
        <w:t> </w:t>
      </w:r>
      <w:r>
        <w:rPr/>
        <w:t>E,</w:t>
      </w:r>
      <w:r>
        <w:rPr>
          <w:spacing w:val="-8"/>
        </w:rPr>
        <w:t> </w:t>
      </w:r>
      <w:r>
        <w:rPr/>
        <w:t>‘Can</w:t>
      </w:r>
      <w:r>
        <w:rPr>
          <w:spacing w:val="-8"/>
        </w:rPr>
        <w:t> </w:t>
      </w:r>
      <w:r>
        <w:rPr/>
        <w:t>We</w:t>
      </w:r>
      <w:r>
        <w:rPr>
          <w:spacing w:val="-10"/>
        </w:rPr>
        <w:t> </w:t>
      </w:r>
      <w:r>
        <w:rPr/>
        <w:t>Read</w:t>
      </w:r>
      <w:r>
        <w:rPr>
          <w:spacing w:val="-8"/>
        </w:rPr>
        <w:t> </w:t>
      </w:r>
      <w:r>
        <w:rPr/>
        <w:t>Cosmology</w:t>
      </w:r>
      <w:r>
        <w:rPr>
          <w:spacing w:val="-6"/>
        </w:rPr>
        <w:t> </w:t>
      </w:r>
      <w:r>
        <w:rPr/>
        <w:t>in</w:t>
      </w:r>
      <w:r>
        <w:rPr>
          <w:spacing w:val="-9"/>
        </w:rPr>
        <w:t> </w:t>
      </w:r>
      <w:r>
        <w:rPr/>
        <w:t>Ancient</w:t>
      </w:r>
      <w:r>
        <w:rPr>
          <w:spacing w:val="-12"/>
        </w:rPr>
        <w:t> </w:t>
      </w:r>
      <w:r>
        <w:rPr/>
        <w:t>Maya</w:t>
      </w:r>
      <w:r>
        <w:rPr>
          <w:spacing w:val="-10"/>
        </w:rPr>
        <w:t> </w:t>
      </w:r>
      <w:r>
        <w:rPr/>
        <w:t>City</w:t>
      </w:r>
      <w:r>
        <w:rPr>
          <w:spacing w:val="-10"/>
        </w:rPr>
        <w:t> </w:t>
      </w:r>
      <w:r>
        <w:rPr/>
        <w:t>Plans?</w:t>
      </w:r>
      <w:r>
        <w:rPr>
          <w:spacing w:val="-6"/>
        </w:rPr>
        <w:t> </w:t>
      </w:r>
      <w:r>
        <w:rPr/>
        <w:t>Comment</w:t>
      </w:r>
      <w:r>
        <w:rPr>
          <w:spacing w:val="-10"/>
        </w:rPr>
        <w:t> </w:t>
      </w:r>
      <w:r>
        <w:rPr/>
        <w:t>on</w:t>
      </w:r>
      <w:r>
        <w:rPr>
          <w:spacing w:val="-9"/>
        </w:rPr>
        <w:t> </w:t>
      </w:r>
      <w:r>
        <w:rPr/>
        <w:t>Ashmore</w:t>
      </w:r>
      <w:r>
        <w:rPr>
          <w:spacing w:val="-9"/>
        </w:rPr>
        <w:t> </w:t>
      </w:r>
      <w:r>
        <w:rPr/>
        <w:t>and Sabloff’, </w:t>
      </w:r>
      <w:r>
        <w:rPr>
          <w:i/>
        </w:rPr>
        <w:t>Latin American Antiquity</w:t>
      </w:r>
      <w:r>
        <w:rPr/>
        <w:t>, 14.2 (2003),</w:t>
      </w:r>
      <w:r>
        <w:rPr>
          <w:spacing w:val="-7"/>
        </w:rPr>
        <w:t> </w:t>
      </w:r>
      <w:r>
        <w:rPr/>
        <w:t>221–28</w:t>
      </w:r>
    </w:p>
    <w:p>
      <w:pPr>
        <w:spacing w:line="259" w:lineRule="auto" w:before="165"/>
        <w:ind w:left="100" w:right="38" w:firstLine="283"/>
        <w:jc w:val="both"/>
        <w:rPr>
          <w:sz w:val="22"/>
        </w:rPr>
      </w:pPr>
      <w:r>
        <w:rPr>
          <w:sz w:val="22"/>
        </w:rPr>
        <w:t>Šprajc, Ivan, ‘More on Mesoamerican Cosmology and City Plans’, </w:t>
      </w:r>
      <w:r>
        <w:rPr>
          <w:i/>
          <w:sz w:val="22"/>
        </w:rPr>
        <w:t>Latin American Antiquity</w:t>
      </w:r>
      <w:r>
        <w:rPr>
          <w:sz w:val="22"/>
        </w:rPr>
        <w:t>, 16.2 (2005), 209–16.</w:t>
      </w:r>
    </w:p>
    <w:p>
      <w:pPr>
        <w:pStyle w:val="BodyText"/>
        <w:spacing w:before="160"/>
        <w:ind w:left="383"/>
      </w:pPr>
      <w:r>
        <w:rPr/>
        <w:t>Woodward, Ross, ‘Urban Symbolism’, </w:t>
      </w:r>
      <w:r>
        <w:rPr>
          <w:i/>
        </w:rPr>
        <w:t>Ekistics</w:t>
      </w:r>
      <w:r>
        <w:rPr/>
        <w:t>, 49.295 (1982), 285–91.</w:t>
      </w:r>
    </w:p>
    <w:p>
      <w:pPr>
        <w:pStyle w:val="BodyText"/>
        <w:rPr>
          <w:sz w:val="30"/>
        </w:rPr>
      </w:pPr>
      <w:r>
        <w:rPr/>
        <w:br w:type="column"/>
      </w:r>
      <w:r>
        <w:rPr>
          <w:sz w:val="30"/>
        </w:rPr>
      </w:r>
    </w:p>
    <w:p>
      <w:pPr>
        <w:pStyle w:val="BodyText"/>
        <w:ind w:left="100"/>
      </w:pPr>
      <w:r>
        <w:rPr/>
        <w:pict>
          <v:line style="position:absolute;mso-position-horizontal-relative:page;mso-position-vertical-relative:paragraph;z-index:251669504" from="530.619995pt,-1.166345pt" to="595.320002pt,-1.166345pt" stroked="true" strokeweight=".48pt" strokecolor="#d7d7d7">
            <v:stroke dashstyle="solid"/>
            <w10:wrap type="none"/>
          </v:line>
        </w:pict>
      </w:r>
      <w:r>
        <w:rPr/>
        <w:t>Page | 5</w:t>
      </w:r>
    </w:p>
    <w:sectPr>
      <w:type w:val="continuous"/>
      <w:pgSz w:w="11910" w:h="16840"/>
      <w:pgMar w:top="560" w:bottom="280" w:left="1340" w:right="160"/>
      <w:cols w:num="2" w:equalWidth="0">
        <w:col w:w="9170" w:space="285"/>
        <w:col w:w="955"/>
      </w:cols>
    </w:sectPr>
  </w:body>
</w:document>
</file>

<file path=word/fontTable.xml><?xml version="1.0" encoding="utf-8"?>
<w:fonts xmlns:r="http://schemas.openxmlformats.org/officeDocument/2006/relationships" xmlns:w="http://schemas.openxmlformats.org/wordprocessingml/2006/main">
  <w:font w:name="Times New Roman">
    <w:altName w:val="Times New Roman"/>
    <w:charset w:val="0"/>
    <w:family w:val="roman"/>
    <w:pitch w:val="variable"/>
  </w:font>
  <w:font w:name="Arial">
    <w:altName w:val="Arial"/>
    <w:charset w:val="0"/>
    <w:family w:val="swiss"/>
    <w:pitch w:val="variable"/>
  </w:font>
  <w:font w:name="Calibri">
    <w:altName w:val="Calibri"/>
    <w:charset w:val="0"/>
    <w:family w:val="swiss"/>
    <w:pitch w:val="variable"/>
  </w:font>
  <w:font w:name="Tahoma">
    <w:altName w:val="Tahoma"/>
    <w:charset w:val="0"/>
    <w:family w:val="swiss"/>
    <w:pitch w:val="variable"/>
  </w:font>
</w:font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p>
    <w:pPr>
      <w:pStyle w:val="BodyText"/>
      <w:spacing w:line="14" w:lineRule="auto"/>
      <w:rPr>
        <w:sz w:val="20"/>
      </w:rPr>
    </w:pPr>
    <w:r>
      <w:rPr/>
      <w:pict>
        <v:shapetype id="_x0000_t202" o:spt="202" coordsize="21600,21600" path="m,l,21600r21600,l21600,xe">
          <v:stroke joinstyle="miter"/>
          <v:path gradientshapeok="t" o:connecttype="rect"/>
        </v:shapetype>
        <v:shape style="position:absolute;margin-left:85.183998pt;margin-top:36.559982pt;width:71.25pt;height:26.5pt;mso-position-horizontal-relative:page;mso-position-vertical-relative:page;z-index:-251981824" type="#_x0000_t202" filled="false" stroked="false">
          <v:textbox inset="0,0,0,0">
            <w:txbxContent>
              <w:p>
                <w:pPr>
                  <w:pStyle w:val="BodyText"/>
                  <w:spacing w:line="245" w:lineRule="exact"/>
                  <w:ind w:left="20"/>
                </w:pPr>
                <w:r>
                  <w:rPr/>
                  <w:t>Eleonora D’Uva</w:t>
                </w:r>
              </w:p>
              <w:p>
                <w:pPr>
                  <w:pStyle w:val="BodyText"/>
                  <w:ind w:left="20"/>
                </w:pPr>
                <w:r>
                  <w:rPr/>
                  <w:t>2014860</w:t>
                </w:r>
              </w:p>
            </w:txbxContent>
          </v:textbox>
          <w10:wrap type="none"/>
        </v:shape>
      </w:pic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drawingGridHorizontalSpacing w:val="110"/>
  <w:displayHorizontalDrawingGridEvery w:val="2"/>
  <w:characterSpacingControl w:val="doNotCompress"/>
  <w:compat>
    <w:ulTrailSpace/>
    <w:shapeLayoutLikeWW8/>
    <w:useFELayout/>
  </w:compat>
</w:settings>
</file>

<file path=word/styles.xml><?xml version="1.0" encoding="utf-8"?>
<w:styles xmlns:r="http://schemas.openxmlformats.org/officeDocument/2006/relationships" xmlns:w="http://schemas.openxmlformats.org/wordprocessingml/2006/main">
  <w:docDefaults>
    <w:rPrDefault>
      <w:rPr>
        <w:rFonts w:cstheme="minorBidi" w:hAnsiTheme="minorHAnsi" w:eastAsiaTheme="minorHAnsi" w:asciiTheme="minorHAnsi"/>
        <w:sz w:val="22"/>
        <w:szCs w:val="22"/>
        <w:lang w:val="en-US" w:bidi="ar-SA" w:eastAsia="en-US"/>
      </w:rPr>
    </w:rPrDefault>
    <w:pPrDefault>
      <w:pPr>
        <w:widowControl w:val="0"/>
        <w:autoSpaceDE w:val="0"/>
        <w:autoSpaceDN w:val="0"/>
        <w:spacing w:lineRule="auto" w:line="240" w:before="0" w:after="0"/>
        <w:ind w:left="0" w:right="0"/>
        <w:jc w:val="left"/>
      </w:pPr>
    </w:pPrDefault>
  </w:docDefaults>
  <w:style w:styleId="DefaultParagraphFont" w:default="1" w:type="character">
    <w:name w:val="Default Paragraph Font"/>
    <w:uiPriority w:val="1"/>
    <w:semiHidden/>
    <w:unhideWhenUsed/>
  </w:style>
  <w:style w:styleId="TableNormal" w:default="1" w:type="table">
    <w:name w:val="Table Normal"/>
    <w:uiPriority w:val="2"/>
    <w:semiHidden/>
    <w:unhideWhenUsed/>
    <w:qFormat/>
    <w:tblPr>
      <w:tblInd w:w="0" w:type="dxa"/>
      <w:tblCellMar>
        <w:top w:w="0" w:type="dxa"/>
        <w:left w:w="0" w:type="dxa"/>
        <w:bottom w:w="0" w:type="dxa"/>
        <w:right w:w="0" w:type="dxa"/>
      </w:tblCellMar>
    </w:tblPr>
  </w:style>
  <w:style w:styleId="NoList" w:default="1" w:type="numbering">
    <w:name w:val="No List"/>
    <w:uiPriority w:val="99"/>
    <w:semiHidden/>
    <w:unhideWhenUsed/>
  </w:style>
  <w:style w:default="1" w:styleId="Normal" w:type="paragraph">
    <w:name w:val="Normal"/>
    <w:uiPriority w:val="1"/>
    <w:qFormat/>
    <w:pPr/>
    <w:rPr>
      <w:rFonts w:ascii="Calibri" w:hAnsi="Calibri" w:eastAsia="Calibri" w:cs="Calibri"/>
      <w:lang w:val="en-US" w:eastAsia="en-US" w:bidi="en-US"/>
    </w:rPr>
  </w:style>
  <w:style w:styleId="BodyText" w:type="paragraph">
    <w:name w:val="Body Text"/>
    <w:basedOn w:val="Normal"/>
    <w:uiPriority w:val="1"/>
    <w:qFormat/>
    <w:pPr/>
    <w:rPr>
      <w:rFonts w:ascii="Calibri" w:hAnsi="Calibri" w:eastAsia="Calibri" w:cs="Calibri"/>
      <w:sz w:val="22"/>
      <w:szCs w:val="22"/>
      <w:lang w:val="en-US" w:eastAsia="en-US" w:bidi="en-US"/>
    </w:rPr>
  </w:style>
  <w:style w:styleId="Heading1" w:type="paragraph">
    <w:name w:val="Heading 1"/>
    <w:basedOn w:val="Normal"/>
    <w:uiPriority w:val="1"/>
    <w:qFormat/>
    <w:pPr>
      <w:ind w:left="383"/>
      <w:outlineLvl w:val="1"/>
    </w:pPr>
    <w:rPr>
      <w:rFonts w:ascii="Calibri" w:hAnsi="Calibri" w:eastAsia="Calibri" w:cs="Calibri"/>
      <w:b/>
      <w:bCs/>
      <w:sz w:val="22"/>
      <w:szCs w:val="22"/>
      <w:lang w:val="en-US" w:eastAsia="en-US" w:bidi="en-US"/>
    </w:rPr>
  </w:style>
  <w:style w:styleId="ListParagraph" w:type="paragraph">
    <w:name w:val="List Paragraph"/>
    <w:basedOn w:val="Normal"/>
    <w:uiPriority w:val="1"/>
    <w:qFormat/>
    <w:pPr/>
    <w:rPr>
      <w:lang w:val="en-US" w:eastAsia="en-US" w:bidi="en-US"/>
    </w:rPr>
  </w:style>
  <w:style w:styleId="TableParagraph" w:type="paragraph">
    <w:name w:val="Table Paragraph"/>
    <w:basedOn w:val="Normal"/>
    <w:uiPriority w:val="1"/>
    <w:qFormat/>
    <w:pPr>
      <w:ind w:left="107"/>
    </w:pPr>
    <w:rPr>
      <w:rFonts w:ascii="Arial" w:hAnsi="Arial" w:eastAsia="Arial" w:cs="Arial"/>
      <w:lang w:val="en-US" w:eastAsia="en-US" w:bidi="en-US"/>
    </w:rPr>
  </w:style>
</w:style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theme" Target="theme/theme1.xml"/><Relationship Id="rId4" Type="http://schemas.openxmlformats.org/officeDocument/2006/relationships/settings" Target="settings.xml"/><Relationship Id="rId5" Type="http://schemas.openxmlformats.org/officeDocument/2006/relationships/image" Target="media/image1.png"/><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Application>Microsoft Office Word</Application>
  <DocSecurity>0</DocSecurity>
  <ScaleCrop>false</ScaleCrop>
  <LinksUpToDate>false</LinksUpToDate>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2020-11-05T16:41:49Z</dcterms:created>
  <dcterms:modified xsi:type="dcterms:W3CDTF">2020-11-05T16:41:49Z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LastSaved">
    <vt:filetime>2020-11-05T00:00:00Z</vt:filetime>
  </property>
</Properties>
</file>