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231D41" w14:textId="77777777" w:rsidR="00C2544D" w:rsidRDefault="00000000">
      <w:pPr>
        <w:spacing w:afterLines="200" w:after="624" w:line="360" w:lineRule="auto"/>
        <w:ind w:firstLineChars="200" w:firstLine="480"/>
        <w:rPr>
          <w:rFonts w:ascii="Times New Roman" w:hAnsi="Times New Roman" w:cs="Times New Roman"/>
          <w:sz w:val="24"/>
          <w:szCs w:val="24"/>
        </w:rPr>
      </w:pPr>
      <w:r>
        <w:rPr>
          <w:rFonts w:ascii="Times New Roman" w:hAnsi="Times New Roman" w:cs="Times New Roman"/>
          <w:sz w:val="24"/>
          <w:szCs w:val="24"/>
        </w:rPr>
        <w:t>Journal Article</w:t>
      </w:r>
      <w:r>
        <w:rPr>
          <w:rFonts w:ascii="Times New Roman" w:hAnsi="Times New Roman" w:cs="Times New Roman" w:hint="eastAsia"/>
          <w:sz w:val="24"/>
          <w:szCs w:val="24"/>
        </w:rPr>
        <w:t>:</w:t>
      </w:r>
      <w:r>
        <w:rPr>
          <w:rFonts w:ascii="Times New Roman" w:hAnsi="Times New Roman" w:cs="Times New Roman"/>
          <w:sz w:val="24"/>
          <w:szCs w:val="24"/>
        </w:rPr>
        <w:t xml:space="preserve"> </w:t>
      </w:r>
      <w:r>
        <w:rPr>
          <w:rFonts w:ascii="Times New Roman" w:hAnsi="Times New Roman" w:cs="Times New Roman"/>
          <w:i/>
          <w:iCs/>
          <w:sz w:val="24"/>
          <w:szCs w:val="24"/>
        </w:rPr>
        <w:t>Versifying adversity: Using dramaturgically framed poetic inquiry to explore complexity in the second language learning experience</w:t>
      </w:r>
      <w:r>
        <w:rPr>
          <w:rFonts w:ascii="Times New Roman" w:hAnsi="Times New Roman" w:cs="Times New Roman" w:hint="eastAsia"/>
          <w:i/>
          <w:iCs/>
          <w:sz w:val="24"/>
          <w:szCs w:val="24"/>
        </w:rPr>
        <w:t>s</w:t>
      </w:r>
    </w:p>
    <w:p w14:paraId="56C0D423" w14:textId="7A91884E" w:rsidR="00FB51A8" w:rsidRPr="00FB51A8" w:rsidRDefault="00FB51A8" w:rsidP="00FB51A8">
      <w:pPr>
        <w:spacing w:afterLines="200" w:after="624" w:line="360" w:lineRule="auto"/>
        <w:ind w:firstLineChars="200" w:firstLine="480"/>
        <w:rPr>
          <w:rFonts w:ascii="Times New Roman" w:hAnsi="Times New Roman" w:cs="Times New Roman" w:hint="eastAsia"/>
          <w:sz w:val="24"/>
          <w:szCs w:val="24"/>
        </w:rPr>
      </w:pPr>
      <w:r>
        <w:rPr>
          <w:rFonts w:ascii="Times New Roman" w:hAnsi="Times New Roman" w:cs="Times New Roman"/>
          <w:sz w:val="24"/>
          <w:szCs w:val="24"/>
        </w:rPr>
        <w:t>For the past 15 years, research in the field of second language learning motivation has been dominated by the second language (L2) motivational self-system, which conceptualizes motivation as a combination of the ideal L2 self, the ought-</w:t>
      </w:r>
      <w:r>
        <w:rPr>
          <w:rFonts w:ascii="Times New Roman" w:hAnsi="Times New Roman" w:cs="Times New Roman" w:hint="eastAsia"/>
          <w:sz w:val="24"/>
          <w:szCs w:val="24"/>
        </w:rPr>
        <w:t>to</w:t>
      </w:r>
      <w:r>
        <w:rPr>
          <w:rFonts w:ascii="Times New Roman" w:hAnsi="Times New Roman" w:cs="Times New Roman"/>
          <w:sz w:val="24"/>
          <w:szCs w:val="24"/>
        </w:rPr>
        <w:t xml:space="preserve"> L2 self, and the L2 learning experience. Although the ego component of the L2 self-system has shown analytical strengths, the influential role of the L2 learning experience component needs further elucidation. In this paper, a hybrid research approach is used. This approach combines a complex dynamic systems (CDS) perspective with dramatic coding and poetic inquiry to unpack the learning experience of a Japanese undergraduate student. </w:t>
      </w:r>
      <w:r w:rsidRPr="004679C1">
        <w:rPr>
          <w:rFonts w:ascii="Times New Roman" w:hAnsi="Times New Roman" w:cs="Times New Roman"/>
          <w:sz w:val="24"/>
          <w:szCs w:val="24"/>
        </w:rPr>
        <w:t>Key themes are identified and explored as attractor states when treating the learner as a complex system and an actor in different positions</w:t>
      </w:r>
      <w:r>
        <w:rPr>
          <w:rFonts w:ascii="Times New Roman" w:hAnsi="Times New Roman" w:cs="Times New Roman"/>
          <w:sz w:val="24"/>
          <w:szCs w:val="24"/>
        </w:rPr>
        <w:t>.</w:t>
      </w:r>
    </w:p>
    <w:p w14:paraId="00260050" w14:textId="01207F50" w:rsidR="00C2544D" w:rsidRDefault="00000000">
      <w:pPr>
        <w:spacing w:afterLines="200" w:after="624" w:line="360" w:lineRule="auto"/>
        <w:ind w:firstLineChars="200" w:firstLine="480"/>
        <w:rPr>
          <w:rFonts w:ascii="Times New Roman" w:hAnsi="Times New Roman" w:cs="Times New Roman"/>
          <w:sz w:val="24"/>
          <w:szCs w:val="24"/>
        </w:rPr>
      </w:pPr>
      <w:r>
        <w:rPr>
          <w:rFonts w:ascii="Times New Roman" w:hAnsi="Times New Roman" w:cs="Times New Roman"/>
          <w:sz w:val="24"/>
          <w:szCs w:val="24"/>
        </w:rPr>
        <w:t xml:space="preserve">Motivation is one of the key factors influencing the outcome of second language learning, as it provides motivation and motivation for second language learning and can compensate to a certain extent for the lack of linguistic skills and learning conditions. The current research on second language motivation has entered a new period of development, based on the Complex dynamic systems theory (CDST), which adopts a dynamic perspective to observe the development of learners' motivation, and the results of this research have deepened the understanding of second language motivation. Because bilingual motivation is a dynamic, open system that evolves under the influence of multiple factors and shows non-linear development, CDST is very suitable for describing the development of bilingual motivation systems. Unlike the traditional linear causality studies, the research under the CDST perspective focuses on the developmental change process of the motivation system, focusing on the intrinsic and extrinsic perturbations that affect the change and their correlations, which can better describe and explain the characteristics of the system change, the constraints, the interaction between the system and the environment, and the developmental dynamics. </w:t>
      </w:r>
      <w:r>
        <w:rPr>
          <w:rFonts w:ascii="Times New Roman" w:hAnsi="Times New Roman" w:cs="Times New Roman"/>
          <w:sz w:val="24"/>
          <w:szCs w:val="24"/>
        </w:rPr>
        <w:lastRenderedPageBreak/>
        <w:t>The interdisciplinary study of bilingual motivation from this perspective is also consistent with the macro trends of applied linguistics.</w:t>
      </w:r>
    </w:p>
    <w:p w14:paraId="4CE6AB4B" w14:textId="6F8F3335" w:rsidR="00C2544D" w:rsidRDefault="00FB51A8">
      <w:pPr>
        <w:spacing w:afterLines="200" w:after="624" w:line="360" w:lineRule="auto"/>
        <w:ind w:firstLineChars="200" w:firstLine="480"/>
        <w:rPr>
          <w:rFonts w:ascii="Times New Roman" w:hAnsi="Times New Roman" w:cs="Times New Roman"/>
          <w:sz w:val="24"/>
          <w:szCs w:val="24"/>
        </w:rPr>
      </w:pPr>
      <w:r>
        <w:rPr>
          <w:rFonts w:ascii="Times New Roman" w:hAnsi="Times New Roman" w:cs="Times New Roman"/>
          <w:sz w:val="24"/>
          <w:szCs w:val="24"/>
        </w:rPr>
        <w:t>The theory in the field of second language acquisition that this journal article aims to test is the theory of complex dynamic syst</w:t>
      </w:r>
      <w:r w:rsidRPr="005A25E1">
        <w:rPr>
          <w:rFonts w:ascii="Times New Roman" w:hAnsi="Times New Roman" w:cs="Times New Roman"/>
          <w:sz w:val="24"/>
          <w:szCs w:val="24"/>
        </w:rPr>
        <w:t>ems. For me, any attempt to represent the dynamic and multifaceted aspect of the second language learning experience and the learner's motivating psychology embedded in that experience appeals to the CDS perspective. In addition to offering a cognitive-emotional-motivational hybrid perspective on the learner as a complex system, this "socially oriented approach" also assumes a systemic symbiotic interaction between the student and the learning environment. In other words, it sees each individual learner as co-adapted to the social environment and nested within it. I was drawn to this notion because it links the individual to society.</w:t>
      </w:r>
    </w:p>
    <w:p w14:paraId="49002544" w14:textId="793407CC" w:rsidR="00C2544D" w:rsidRDefault="00000000">
      <w:pPr>
        <w:spacing w:afterLines="200" w:after="624" w:line="360" w:lineRule="auto"/>
        <w:ind w:firstLineChars="200" w:firstLine="480"/>
        <w:rPr>
          <w:rFonts w:ascii="Times New Roman" w:hAnsi="Times New Roman" w:cs="Times New Roman"/>
          <w:sz w:val="24"/>
          <w:szCs w:val="24"/>
        </w:rPr>
      </w:pPr>
      <w:r>
        <w:rPr>
          <w:rFonts w:ascii="Times New Roman" w:hAnsi="Times New Roman" w:cs="Times New Roman"/>
          <w:sz w:val="24"/>
          <w:szCs w:val="24"/>
        </w:rPr>
        <w:t>Language learning is not a process in which learners' internal language acquisition knowledge and cognitive model structures are simply matched to the input provided by the external world. Rather, language patterns emerge through interaction. In other words, the complex dynamic systems view of language rejects the structuralist view of divide and conquer, which coincides with constructive grammar's rejection of modularity and the view of language as a continuum.</w:t>
      </w:r>
    </w:p>
    <w:p w14:paraId="25A27746" w14:textId="50058F2D" w:rsidR="00C2544D" w:rsidRDefault="00000000">
      <w:pPr>
        <w:spacing w:afterLines="200" w:after="624" w:line="360" w:lineRule="auto"/>
        <w:ind w:firstLineChars="200" w:firstLine="480"/>
        <w:rPr>
          <w:rFonts w:ascii="Times New Roman" w:hAnsi="Times New Roman" w:cs="Times New Roman"/>
          <w:sz w:val="24"/>
          <w:szCs w:val="24"/>
        </w:rPr>
      </w:pPr>
      <w:r>
        <w:rPr>
          <w:rFonts w:ascii="Times New Roman" w:hAnsi="Times New Roman" w:cs="Times New Roman"/>
          <w:sz w:val="24"/>
          <w:szCs w:val="24"/>
        </w:rPr>
        <w:t xml:space="preserve">This article focuses on tracking the learning of a Japanese undergraduate student. The author </w:t>
      </w:r>
      <w:r w:rsidR="002D65AC">
        <w:rPr>
          <w:rFonts w:ascii="Times New Roman" w:hAnsi="Times New Roman" w:cs="Times New Roman"/>
          <w:sz w:val="24"/>
          <w:szCs w:val="24"/>
        </w:rPr>
        <w:t>unpacks</w:t>
      </w:r>
      <w:r>
        <w:rPr>
          <w:rFonts w:ascii="Times New Roman" w:hAnsi="Times New Roman" w:cs="Times New Roman"/>
          <w:sz w:val="24"/>
          <w:szCs w:val="24"/>
        </w:rPr>
        <w:t xml:space="preserve"> the L2 learning experience into 3 parts.</w:t>
      </w:r>
      <w:r>
        <w:t xml:space="preserve"> </w:t>
      </w:r>
      <w:r>
        <w:rPr>
          <w:rFonts w:ascii="Times New Roman" w:hAnsi="Times New Roman" w:cs="Times New Roman"/>
          <w:sz w:val="24"/>
          <w:szCs w:val="24"/>
        </w:rPr>
        <w:t>The authors of the article divide the second language learning experience into three parts --dramatic coding, CDST, and poetic inquiry.</w:t>
      </w:r>
      <w:r>
        <w:t xml:space="preserve"> </w:t>
      </w:r>
      <w:r>
        <w:rPr>
          <w:rFonts w:ascii="Times New Roman" w:hAnsi="Times New Roman" w:cs="Times New Roman"/>
          <w:sz w:val="24"/>
          <w:szCs w:val="24"/>
        </w:rPr>
        <w:t xml:space="preserve">Dramatic coding is the representation of learners as goal-driven subjects who act and react in the face of adversity and opportunity. CDST acts as a complex system: identifies cog - </w:t>
      </w:r>
      <w:r w:rsidR="002D65AC">
        <w:rPr>
          <w:rFonts w:ascii="Times New Roman" w:hAnsi="Times New Roman" w:cs="Times New Roman"/>
          <w:sz w:val="24"/>
          <w:szCs w:val="24"/>
        </w:rPr>
        <w:t>if</w:t>
      </w:r>
      <w:r>
        <w:rPr>
          <w:rFonts w:ascii="Times New Roman" w:hAnsi="Times New Roman" w:cs="Times New Roman"/>
          <w:sz w:val="24"/>
          <w:szCs w:val="24"/>
        </w:rPr>
        <w:t xml:space="preserve"> - mot alloys as ATT-EMO-OBJ codes emphasizing system interrupts as CON, bodies as TAC, and control parameters as INTER-ID codes.</w:t>
      </w:r>
      <w:r>
        <w:t xml:space="preserve"> </w:t>
      </w:r>
      <w:r>
        <w:rPr>
          <w:rFonts w:ascii="Times New Roman" w:hAnsi="Times New Roman" w:cs="Times New Roman"/>
          <w:sz w:val="24"/>
          <w:szCs w:val="24"/>
        </w:rPr>
        <w:t xml:space="preserve">The poetic inquiry is to capture and humanize the dynamic </w:t>
      </w:r>
      <w:r>
        <w:rPr>
          <w:rFonts w:ascii="Times New Roman" w:hAnsi="Times New Roman" w:cs="Times New Roman"/>
          <w:sz w:val="24"/>
          <w:szCs w:val="24"/>
        </w:rPr>
        <w:lastRenderedPageBreak/>
        <w:t>complexity of merge-based attractor states in evocative expression.</w:t>
      </w:r>
    </w:p>
    <w:p w14:paraId="64C67C8A" w14:textId="6FCD22E9" w:rsidR="00C2544D" w:rsidRDefault="002D65AC">
      <w:pPr>
        <w:spacing w:afterLines="200" w:after="624" w:line="360" w:lineRule="auto"/>
        <w:ind w:firstLineChars="200" w:firstLine="480"/>
        <w:rPr>
          <w:rFonts w:ascii="Times New Roman" w:hAnsi="Times New Roman" w:cs="Times New Roman"/>
          <w:sz w:val="24"/>
          <w:szCs w:val="24"/>
        </w:rPr>
      </w:pPr>
      <w:r w:rsidRPr="002D65AC">
        <w:rPr>
          <w:rFonts w:ascii="Times New Roman" w:hAnsi="Times New Roman" w:cs="Times New Roman"/>
          <w:sz w:val="24"/>
          <w:szCs w:val="24"/>
        </w:rPr>
        <w:t xml:space="preserve">Complex dynamic systems theory contends that no single method can ensure acquisition because the properties of the system show that a single input does not determine the output. The learner must choose his or her own path through the learning process rather than having that path determined by the instructional activity itself. Effective teaching is not </w:t>
      </w:r>
      <w:r>
        <w:rPr>
          <w:rFonts w:ascii="Times New Roman" w:hAnsi="Times New Roman" w:cs="Times New Roman"/>
          <w:sz w:val="24"/>
          <w:szCs w:val="24"/>
        </w:rPr>
        <w:t>characterized</w:t>
      </w:r>
      <w:r w:rsidRPr="002D65AC">
        <w:rPr>
          <w:rFonts w:ascii="Times New Roman" w:hAnsi="Times New Roman" w:cs="Times New Roman"/>
          <w:sz w:val="24"/>
          <w:szCs w:val="24"/>
        </w:rPr>
        <w:t xml:space="preserve"> by a single successful teaching strategy. Effective teaching and learning is therefore not just the simple superposition of individual elements but rather the stable and balanced environment of the ideal system, which is created by connecting the elements, such as the teachers, the teaching resources, the teaching strategies, the curriculum system, the starting level of the learners, the learning characteristics, and so on.</w:t>
      </w:r>
    </w:p>
    <w:p w14:paraId="2DA4983F" w14:textId="005287E5" w:rsidR="00C2544D" w:rsidRDefault="00000000">
      <w:pPr>
        <w:spacing w:afterLines="200" w:after="624" w:line="360" w:lineRule="auto"/>
        <w:ind w:firstLineChars="200" w:firstLine="480"/>
        <w:rPr>
          <w:rFonts w:ascii="Times New Roman" w:hAnsi="Times New Roman" w:cs="Times New Roman"/>
          <w:sz w:val="24"/>
          <w:szCs w:val="24"/>
        </w:rPr>
      </w:pPr>
      <w:r>
        <w:rPr>
          <w:rFonts w:ascii="Times New Roman" w:hAnsi="Times New Roman" w:cs="Times New Roman"/>
          <w:sz w:val="24"/>
          <w:szCs w:val="24"/>
        </w:rPr>
        <w:t>I recognize through this article that a single case study that employs both coding analysis and poetic inquiry is at the end of what is essentially a "simulation"</w:t>
      </w:r>
      <w:r w:rsidR="002D65AC">
        <w:rPr>
          <w:rFonts w:ascii="Times New Roman" w:hAnsi="Times New Roman" w:cs="Times New Roman"/>
          <w:sz w:val="24"/>
          <w:szCs w:val="24"/>
        </w:rPr>
        <w:t xml:space="preserve"> </w:t>
      </w:r>
      <w:r>
        <w:rPr>
          <w:rFonts w:ascii="Times New Roman" w:hAnsi="Times New Roman" w:cs="Times New Roman"/>
          <w:sz w:val="24"/>
          <w:szCs w:val="24"/>
        </w:rPr>
        <w:t>-</w:t>
      </w:r>
      <w:r w:rsidR="002D65AC">
        <w:rPr>
          <w:rFonts w:ascii="Times New Roman" w:hAnsi="Times New Roman" w:cs="Times New Roman"/>
          <w:sz w:val="24"/>
          <w:szCs w:val="24"/>
        </w:rPr>
        <w:t xml:space="preserve">a </w:t>
      </w:r>
      <w:r>
        <w:rPr>
          <w:rFonts w:ascii="Times New Roman" w:hAnsi="Times New Roman" w:cs="Times New Roman"/>
          <w:sz w:val="24"/>
          <w:szCs w:val="24"/>
        </w:rPr>
        <w:t>"genetic" continuum. First, the results of this study do not necessarily pretend to be generalizable; its purpose is to identify and detail a student's context-dependent L2 learning experience while experimenting with an innovative mixed-method approach. Second, although the qualitative approach of this study carries the risk of researcher bias, the structured approach of the coding process and the poetic inquiry process helped maintain validity and credibility. Two methods are considered as alternatives.</w:t>
      </w:r>
      <w:r>
        <w:t xml:space="preserve"> </w:t>
      </w:r>
      <w:r>
        <w:rPr>
          <w:rFonts w:ascii="Times New Roman" w:hAnsi="Times New Roman" w:cs="Times New Roman"/>
          <w:sz w:val="24"/>
          <w:szCs w:val="24"/>
        </w:rPr>
        <w:t xml:space="preserve">One way to do this is to track the learning status of a larger number of students. One </w:t>
      </w:r>
      <w:r>
        <w:rPr>
          <w:rFonts w:ascii="Times New Roman" w:hAnsi="Times New Roman" w:cs="Times New Roman" w:hint="eastAsia"/>
          <w:sz w:val="24"/>
          <w:szCs w:val="24"/>
        </w:rPr>
        <w:t>student</w:t>
      </w:r>
      <w:r>
        <w:rPr>
          <w:rFonts w:ascii="Times New Roman" w:hAnsi="Times New Roman" w:cs="Times New Roman"/>
          <w:sz w:val="24"/>
          <w:szCs w:val="24"/>
        </w:rPr>
        <w:t>'s learning results are considered unconvincing because the data sample is too homogeneous. However, an improved approach could be to obtain data on a larger number and a larger range of students.</w:t>
      </w:r>
      <w:r>
        <w:t xml:space="preserve"> </w:t>
      </w:r>
      <w:r>
        <w:rPr>
          <w:rFonts w:ascii="Times New Roman" w:hAnsi="Times New Roman" w:cs="Times New Roman"/>
          <w:sz w:val="24"/>
          <w:szCs w:val="24"/>
        </w:rPr>
        <w:t>Students from different regions, schools, genders, and ages can be surveyed to make the differences between respondents as obvious as possible to obtain common findings in the data set.</w:t>
      </w:r>
      <w:r>
        <w:t xml:space="preserve"> </w:t>
      </w:r>
      <w:r>
        <w:rPr>
          <w:rFonts w:ascii="Times New Roman" w:hAnsi="Times New Roman" w:cs="Times New Roman"/>
          <w:sz w:val="24"/>
          <w:szCs w:val="24"/>
        </w:rPr>
        <w:t xml:space="preserve">Researchers track students' learning status for a </w:t>
      </w:r>
      <w:r w:rsidR="002D65AC">
        <w:rPr>
          <w:rFonts w:ascii="Times New Roman" w:hAnsi="Times New Roman" w:cs="Times New Roman"/>
          <w:sz w:val="24"/>
          <w:szCs w:val="24"/>
        </w:rPr>
        <w:t>period</w:t>
      </w:r>
      <w:r>
        <w:rPr>
          <w:rFonts w:ascii="Times New Roman" w:hAnsi="Times New Roman" w:cs="Times New Roman"/>
          <w:sz w:val="24"/>
          <w:szCs w:val="24"/>
        </w:rPr>
        <w:t xml:space="preserve">, which is labor-intensive, material-intensive, and time-consuming, but allows for more accurate results and avoids errors in the results caused by students' subjective </w:t>
      </w:r>
      <w:r>
        <w:rPr>
          <w:rFonts w:ascii="Times New Roman" w:hAnsi="Times New Roman" w:cs="Times New Roman"/>
          <w:sz w:val="24"/>
          <w:szCs w:val="24"/>
        </w:rPr>
        <w:lastRenderedPageBreak/>
        <w:t>assumptions.</w:t>
      </w:r>
      <w:r>
        <w:t xml:space="preserve"> </w:t>
      </w:r>
      <w:r>
        <w:rPr>
          <w:rFonts w:ascii="Times New Roman" w:hAnsi="Times New Roman" w:cs="Times New Roman"/>
          <w:sz w:val="24"/>
          <w:szCs w:val="24"/>
        </w:rPr>
        <w:t xml:space="preserve">Another way is the questionnaire. As opposed to a follow-up study. Questionnaires can obtain more data in a short </w:t>
      </w:r>
      <w:r w:rsidR="002D65AC">
        <w:rPr>
          <w:rFonts w:ascii="Times New Roman" w:hAnsi="Times New Roman" w:cs="Times New Roman"/>
          <w:sz w:val="24"/>
          <w:szCs w:val="24"/>
        </w:rPr>
        <w:t>period</w:t>
      </w:r>
      <w:r>
        <w:rPr>
          <w:rFonts w:ascii="Times New Roman" w:hAnsi="Times New Roman" w:cs="Times New Roman"/>
          <w:sz w:val="24"/>
          <w:szCs w:val="24"/>
        </w:rPr>
        <w:t>. Once a more comprehensive and larger data sample is available to support</w:t>
      </w:r>
      <w:r w:rsidR="002D65AC">
        <w:rPr>
          <w:rFonts w:ascii="Times New Roman" w:hAnsi="Times New Roman" w:cs="Times New Roman"/>
          <w:sz w:val="24"/>
          <w:szCs w:val="24"/>
        </w:rPr>
        <w:t xml:space="preserve"> this</w:t>
      </w:r>
      <w:r>
        <w:rPr>
          <w:rFonts w:ascii="Times New Roman" w:hAnsi="Times New Roman" w:cs="Times New Roman"/>
          <w:sz w:val="24"/>
          <w:szCs w:val="24"/>
        </w:rPr>
        <w:t>, the experimental results are more credible.</w:t>
      </w:r>
      <w:r>
        <w:t xml:space="preserve"> </w:t>
      </w:r>
      <w:r>
        <w:rPr>
          <w:rFonts w:ascii="Times New Roman" w:hAnsi="Times New Roman" w:cs="Times New Roman"/>
          <w:sz w:val="24"/>
          <w:szCs w:val="24"/>
        </w:rPr>
        <w:t>Although the results of questionnaires rely entirely on the subjective judgment of the respondents, questionnaires are a way to collect relevant information from various sectors of society and can be integrated and analyzed based on the information collected to arrive at answers to questions that help the investigator further analyze and refine the matter and develop effective decisions and strategies. Questionnaires can uncover the relevant facts about the current situation, and through the collection of a large amount of data, it is possible to accumulate the knowledge and understanding of the designated target group about the current situation and relevant opinions and suggestions. Questionnaires can be divided into two categories: analytical and descriptive studies. Researchers can be academic or practical. The questionnaire can take open and closed-ended questions for in-depth investigation of the respondents to effectively provide the investigator with a reference basis for the management of the corresponding affairs so that they have a basis for the development of long-term strategic planning.</w:t>
      </w:r>
    </w:p>
    <w:p w14:paraId="1E7161C2" w14:textId="287701B2" w:rsidR="00C2544D" w:rsidRDefault="00000000">
      <w:pPr>
        <w:spacing w:afterLines="200" w:after="624" w:line="360" w:lineRule="auto"/>
        <w:ind w:firstLineChars="200" w:firstLine="480"/>
        <w:rPr>
          <w:rFonts w:ascii="Times New Roman" w:hAnsi="Times New Roman" w:cs="Times New Roman"/>
          <w:sz w:val="24"/>
          <w:szCs w:val="24"/>
        </w:rPr>
      </w:pPr>
      <w:r>
        <w:rPr>
          <w:rFonts w:ascii="Times New Roman" w:hAnsi="Times New Roman" w:cs="Times New Roman"/>
          <w:sz w:val="24"/>
          <w:szCs w:val="24"/>
        </w:rPr>
        <w:t xml:space="preserve">This article illustrates, by tracking one student's learning status, that engagement in the learning process is not a once-and-for-all achievement but can take on a pendulum-like quality due to its underlying mental state. The changes in Japanese learners' second language motivation levels are both significantly individual and non-linear, and also have Japanese characteristics. The main intrinsic factors that influence the development of second language motivation of learners are interest, achievement, and future vision, and the main extrinsic factors are the directional motivational flow caused by the examination of interest, and the macro and </w:t>
      </w:r>
      <w:r w:rsidR="002D65AC">
        <w:rPr>
          <w:rFonts w:ascii="Times New Roman" w:hAnsi="Times New Roman" w:cs="Times New Roman"/>
          <w:sz w:val="24"/>
          <w:szCs w:val="24"/>
        </w:rPr>
        <w:t>microenvironment</w:t>
      </w:r>
      <w:r>
        <w:rPr>
          <w:rFonts w:ascii="Times New Roman" w:hAnsi="Times New Roman" w:cs="Times New Roman"/>
          <w:sz w:val="24"/>
          <w:szCs w:val="24"/>
        </w:rPr>
        <w:t>. These factors are interlinked and work together to influence motivational change; the linkage and interaction of multiple factors constitute a complex dynamic system of second language motivation. In addition, Japanese learners' bilingual motivation level is highly self-organized and can better self-organize and reconstruct the relevant elements.</w:t>
      </w:r>
    </w:p>
    <w:p w14:paraId="7EC02424" w14:textId="513F3C8B" w:rsidR="00C2544D" w:rsidRDefault="00000000">
      <w:pPr>
        <w:spacing w:afterLines="200" w:after="624" w:line="360" w:lineRule="auto"/>
        <w:ind w:firstLineChars="200" w:firstLine="480"/>
        <w:rPr>
          <w:rFonts w:ascii="Times New Roman" w:hAnsi="Times New Roman" w:cs="Times New Roman"/>
          <w:sz w:val="24"/>
          <w:szCs w:val="24"/>
        </w:rPr>
      </w:pPr>
      <w:r>
        <w:rPr>
          <w:rFonts w:ascii="Times New Roman" w:hAnsi="Times New Roman" w:cs="Times New Roman"/>
          <w:sz w:val="24"/>
          <w:szCs w:val="24"/>
        </w:rPr>
        <w:lastRenderedPageBreak/>
        <w:t xml:space="preserve">Complex dynamic systems emphasize the interrelatedness of system variables, i.e., a change in one variable affects the </w:t>
      </w:r>
      <w:r w:rsidR="002D65AC">
        <w:rPr>
          <w:rFonts w:ascii="Times New Roman" w:hAnsi="Times New Roman" w:cs="Times New Roman"/>
          <w:sz w:val="24"/>
          <w:szCs w:val="24"/>
        </w:rPr>
        <w:t>system’s</w:t>
      </w:r>
      <w:r>
        <w:rPr>
          <w:rFonts w:ascii="Times New Roman" w:hAnsi="Times New Roman" w:cs="Times New Roman"/>
          <w:sz w:val="24"/>
          <w:szCs w:val="24"/>
        </w:rPr>
        <w:t xml:space="preserve"> other variables and the development of the system as a whole. The present study found that second language motivation as a non-cognitive factor is more likely to interact with the external The present study found that second language motivation as a non-cognitive factor is more likely to interact with the external environment, resulting in different developmental paths. In addition, the main factors influencing second language motivation change at different stages of learning constrain the direction and level of change.</w:t>
      </w:r>
    </w:p>
    <w:p w14:paraId="2C378306" w14:textId="12B4DAA2" w:rsidR="00C2544D" w:rsidRDefault="00000000">
      <w:pPr>
        <w:spacing w:afterLines="200" w:after="624" w:line="360" w:lineRule="auto"/>
        <w:ind w:firstLineChars="200" w:firstLine="480"/>
        <w:rPr>
          <w:rFonts w:ascii="Times New Roman" w:hAnsi="Times New Roman" w:cs="Times New Roman"/>
          <w:sz w:val="24"/>
          <w:szCs w:val="24"/>
        </w:rPr>
      </w:pPr>
      <w:r>
        <w:rPr>
          <w:rFonts w:ascii="Times New Roman" w:hAnsi="Times New Roman" w:cs="Times New Roman"/>
          <w:sz w:val="24"/>
          <w:szCs w:val="24"/>
        </w:rPr>
        <w:t>The research method of this paper is very worthwhile, but after reading a lot of related literature, I think the current research study still has some limitations.</w:t>
      </w:r>
      <w:r>
        <w:t xml:space="preserve"> </w:t>
      </w:r>
      <w:r>
        <w:rPr>
          <w:rFonts w:ascii="Times New Roman" w:hAnsi="Times New Roman" w:cs="Times New Roman"/>
          <w:sz w:val="24"/>
          <w:szCs w:val="24"/>
        </w:rPr>
        <w:t xml:space="preserve">First, in terms of the sample selection process, the method used in most retrospective studies is subjective in nature, classifying and matching study subjects through teacher </w:t>
      </w:r>
      <w:r w:rsidR="002D65AC">
        <w:rPr>
          <w:rFonts w:ascii="Times New Roman" w:hAnsi="Times New Roman" w:cs="Times New Roman"/>
          <w:sz w:val="24"/>
          <w:szCs w:val="24"/>
        </w:rPr>
        <w:t>discrimination</w:t>
      </w:r>
      <w:r>
        <w:rPr>
          <w:rFonts w:ascii="Times New Roman" w:hAnsi="Times New Roman" w:cs="Times New Roman"/>
          <w:sz w:val="24"/>
          <w:szCs w:val="24"/>
        </w:rPr>
        <w:t>, and such samples screened based on subjective judgments and lacking statistical analysis are not representative enough.</w:t>
      </w:r>
      <w:r>
        <w:t xml:space="preserve"> </w:t>
      </w:r>
      <w:r>
        <w:rPr>
          <w:rFonts w:ascii="Times New Roman" w:hAnsi="Times New Roman" w:cs="Times New Roman"/>
          <w:sz w:val="24"/>
          <w:szCs w:val="24"/>
        </w:rPr>
        <w:t xml:space="preserve">Second, </w:t>
      </w:r>
      <w:r w:rsidR="002D65AC">
        <w:rPr>
          <w:rFonts w:ascii="Times New Roman" w:hAnsi="Times New Roman" w:cs="Times New Roman"/>
          <w:sz w:val="24"/>
          <w:szCs w:val="24"/>
        </w:rPr>
        <w:t>about</w:t>
      </w:r>
      <w:r>
        <w:rPr>
          <w:rFonts w:ascii="Times New Roman" w:hAnsi="Times New Roman" w:cs="Times New Roman"/>
          <w:sz w:val="24"/>
          <w:szCs w:val="24"/>
        </w:rPr>
        <w:t xml:space="preserve"> the country of investigation, although the country of investigation has a moderating effect on the relationship between second language motivation self-system and language acquisition, the number of studies on the current attribution of second language motivation to learners in East Asian contexts is relatively small, and only a few studies have adopted a dynamic perspective to track the development of second language motivation of Chinese learners.</w:t>
      </w:r>
      <w:r>
        <w:t xml:space="preserve"> </w:t>
      </w:r>
      <w:r>
        <w:rPr>
          <w:rFonts w:ascii="Times New Roman" w:hAnsi="Times New Roman" w:cs="Times New Roman"/>
          <w:sz w:val="24"/>
          <w:szCs w:val="24"/>
        </w:rPr>
        <w:t xml:space="preserve">Third, </w:t>
      </w:r>
      <w:r w:rsidR="002D65AC">
        <w:rPr>
          <w:rFonts w:ascii="Times New Roman" w:hAnsi="Times New Roman" w:cs="Times New Roman"/>
          <w:sz w:val="24"/>
          <w:szCs w:val="24"/>
        </w:rPr>
        <w:t>regarding</w:t>
      </w:r>
      <w:r>
        <w:rPr>
          <w:rFonts w:ascii="Times New Roman" w:hAnsi="Times New Roman" w:cs="Times New Roman"/>
          <w:sz w:val="24"/>
          <w:szCs w:val="24"/>
        </w:rPr>
        <w:t xml:space="preserve"> the factors influencing second language motivation change, although some researchers have examined the intrinsic and extrinsic factors influencing second language motivation change from different perspectives, the studies mainly focus on a single influencing factor, resulting in a lack of systematic research, cross-validation, and insufficient cross-validation.</w:t>
      </w:r>
    </w:p>
    <w:p w14:paraId="68AA4017" w14:textId="43D27490" w:rsidR="00C2544D" w:rsidRDefault="00000000">
      <w:pPr>
        <w:spacing w:afterLines="200" w:after="624" w:line="360" w:lineRule="auto"/>
        <w:ind w:firstLineChars="200" w:firstLine="480"/>
        <w:rPr>
          <w:rFonts w:ascii="Times New Roman" w:hAnsi="Times New Roman" w:cs="Times New Roman"/>
          <w:sz w:val="24"/>
          <w:szCs w:val="24"/>
        </w:rPr>
      </w:pPr>
      <w:r>
        <w:rPr>
          <w:rFonts w:ascii="Times New Roman" w:hAnsi="Times New Roman" w:cs="Times New Roman"/>
          <w:sz w:val="24"/>
          <w:szCs w:val="24"/>
        </w:rPr>
        <w:t xml:space="preserve">A considerable number of countries in the world are undergoing a strategic transition from being major foreign language education </w:t>
      </w:r>
      <w:r w:rsidR="002D65AC">
        <w:rPr>
          <w:rFonts w:ascii="Times New Roman" w:hAnsi="Times New Roman" w:cs="Times New Roman"/>
          <w:sz w:val="24"/>
          <w:szCs w:val="24"/>
        </w:rPr>
        <w:t>countries</w:t>
      </w:r>
      <w:r>
        <w:rPr>
          <w:rFonts w:ascii="Times New Roman" w:hAnsi="Times New Roman" w:cs="Times New Roman"/>
          <w:sz w:val="24"/>
          <w:szCs w:val="24"/>
        </w:rPr>
        <w:t xml:space="preserve"> to </w:t>
      </w:r>
      <w:r w:rsidR="002D65AC" w:rsidRPr="002D65AC">
        <w:rPr>
          <w:rFonts w:ascii="Times New Roman" w:hAnsi="Times New Roman" w:cs="Times New Roman"/>
          <w:sz w:val="24"/>
          <w:szCs w:val="24"/>
        </w:rPr>
        <w:t>strong foreign language education countries</w:t>
      </w:r>
      <w:r>
        <w:rPr>
          <w:rFonts w:ascii="Times New Roman" w:hAnsi="Times New Roman" w:cs="Times New Roman"/>
          <w:sz w:val="24"/>
          <w:szCs w:val="24"/>
        </w:rPr>
        <w:t xml:space="preserve">. Based on such background, the discussion on what is </w:t>
      </w:r>
      <w:r>
        <w:rPr>
          <w:rFonts w:ascii="Times New Roman" w:hAnsi="Times New Roman" w:cs="Times New Roman"/>
          <w:sz w:val="24"/>
          <w:szCs w:val="24"/>
        </w:rPr>
        <w:lastRenderedPageBreak/>
        <w:t xml:space="preserve">effective foreign language teaching becomes more contemporary and strategic. This article attempts to reconceptualize the issue of foreign language teaching effectiveness from the basic viewpoint of complex dynamic systems theory. I believe that an effective language classroom lies in the ability to provide students with rich contextual experiences and ecological nourishment; in the ability to balance the multi-level elements of classroom learning </w:t>
      </w:r>
      <w:r w:rsidR="002D65AC">
        <w:rPr>
          <w:rFonts w:ascii="Times New Roman" w:hAnsi="Times New Roman" w:cs="Times New Roman"/>
          <w:sz w:val="24"/>
          <w:szCs w:val="24"/>
        </w:rPr>
        <w:t>to</w:t>
      </w:r>
      <w:r>
        <w:rPr>
          <w:rFonts w:ascii="Times New Roman" w:hAnsi="Times New Roman" w:cs="Times New Roman"/>
          <w:sz w:val="24"/>
          <w:szCs w:val="24"/>
        </w:rPr>
        <w:t xml:space="preserve"> build a stable and diversified systemic environment; and in the ability to adopt different approaches to stimulate the reorganization and development of the learning system based on the actual environment and students' learning status. In the final analysis, effective foreign language teaching provides an appropriate ecological environment to help learners explore, discover, reorganize and innovate based on the overall language resources, </w:t>
      </w:r>
      <w:r w:rsidR="002D65AC">
        <w:rPr>
          <w:rFonts w:ascii="Times New Roman" w:hAnsi="Times New Roman" w:cs="Times New Roman"/>
          <w:sz w:val="24"/>
          <w:szCs w:val="24"/>
        </w:rPr>
        <w:t>to</w:t>
      </w:r>
      <w:r>
        <w:rPr>
          <w:rFonts w:ascii="Times New Roman" w:hAnsi="Times New Roman" w:cs="Times New Roman"/>
          <w:sz w:val="24"/>
          <w:szCs w:val="24"/>
        </w:rPr>
        <w:t xml:space="preserve"> achieve the best individual learning path. Foreign language teachers in different environments and with different groups can draw on different teaching models and explore effective teaching models appropriate to their situations based on the principles of language teaching guided by complex dynamic systems theory. Constant repetition of language forms in a closed, static system does not promote acquisition. On the contrary, true acquisition lies in the constant consolidation and use of these forms of language in meaningful communication. In terms of research methods, future studies can adopt a more liberal recollective narrative study, which can help to identify a wider range of constraints that cause motivation changes. Third, in terms of research design, the follow-up study can adopt a more microscopic research design, such as tracking the microscopic changes of second language motivation within a course or a lesson, </w:t>
      </w:r>
      <w:r w:rsidR="002D65AC">
        <w:rPr>
          <w:rFonts w:ascii="Times New Roman" w:hAnsi="Times New Roman" w:cs="Times New Roman"/>
          <w:sz w:val="24"/>
          <w:szCs w:val="24"/>
        </w:rPr>
        <w:t>to</w:t>
      </w:r>
      <w:r>
        <w:rPr>
          <w:rFonts w:ascii="Times New Roman" w:hAnsi="Times New Roman" w:cs="Times New Roman"/>
          <w:sz w:val="24"/>
          <w:szCs w:val="24"/>
        </w:rPr>
        <w:t xml:space="preserve"> deeply explore the constraints of the psychological mechanisms of second language motivation change.</w:t>
      </w:r>
    </w:p>
    <w:p w14:paraId="6669940F" w14:textId="0F5F2170" w:rsidR="00C2544D" w:rsidRDefault="009A178C">
      <w:pPr>
        <w:spacing w:afterLines="200" w:after="624" w:line="360" w:lineRule="auto"/>
        <w:ind w:firstLineChars="200" w:firstLine="480"/>
        <w:rPr>
          <w:rFonts w:ascii="Times New Roman" w:hAnsi="Times New Roman" w:cs="Times New Roman"/>
          <w:sz w:val="24"/>
          <w:szCs w:val="24"/>
        </w:rPr>
      </w:pPr>
      <w:r w:rsidRPr="009A178C">
        <w:rPr>
          <w:rFonts w:ascii="Times New Roman" w:hAnsi="Times New Roman" w:cs="Times New Roman"/>
          <w:sz w:val="24"/>
          <w:szCs w:val="24"/>
        </w:rPr>
        <w:t xml:space="preserve">The actuality of a student's desire to learn a language is rarely as straightforward, and a lot of this has to do with how complicated the experience of learning a second language is, or more specifically, how the learner and the learning environment interact continuously and dynamically. The objective of the current study is to use a mixed research methodology to thoroughly </w:t>
      </w:r>
      <w:r>
        <w:rPr>
          <w:rFonts w:ascii="Times New Roman" w:hAnsi="Times New Roman" w:cs="Times New Roman"/>
          <w:sz w:val="24"/>
          <w:szCs w:val="24"/>
        </w:rPr>
        <w:t>analyze</w:t>
      </w:r>
      <w:r w:rsidRPr="009A178C">
        <w:rPr>
          <w:rFonts w:ascii="Times New Roman" w:hAnsi="Times New Roman" w:cs="Times New Roman"/>
          <w:sz w:val="24"/>
          <w:szCs w:val="24"/>
        </w:rPr>
        <w:t xml:space="preserve"> this connection. This interaction presents </w:t>
      </w:r>
      <w:r w:rsidRPr="009A178C">
        <w:rPr>
          <w:rFonts w:ascii="Times New Roman" w:hAnsi="Times New Roman" w:cs="Times New Roman"/>
          <w:sz w:val="24"/>
          <w:szCs w:val="24"/>
        </w:rPr>
        <w:lastRenderedPageBreak/>
        <w:t>itself not just in terms of dual engagement or non-participation in the learning process but also in terms of a sense of conflict in the social space, according to the combined analytical views of CDS, theatrical coding, and poetic inquiry. Threatening versus supporting environments, noncommunicative versus communicative, and competitive versus collaborative environments. These all turned out to be connected energy.</w:t>
      </w:r>
    </w:p>
    <w:sectPr w:rsidR="00C2544D">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YjQ2ZmQ4YzY2OTJmOGUwZGRiNzlhOTg3OTk3ZDJiMTYifQ=="/>
  </w:docVars>
  <w:rsids>
    <w:rsidRoot w:val="00B02DE0"/>
    <w:rsid w:val="000140D8"/>
    <w:rsid w:val="000B3DBB"/>
    <w:rsid w:val="001733A9"/>
    <w:rsid w:val="001967C9"/>
    <w:rsid w:val="001967E4"/>
    <w:rsid w:val="002D65AC"/>
    <w:rsid w:val="0034676B"/>
    <w:rsid w:val="003617C5"/>
    <w:rsid w:val="0039691A"/>
    <w:rsid w:val="003B1515"/>
    <w:rsid w:val="00464E68"/>
    <w:rsid w:val="00571B7E"/>
    <w:rsid w:val="006F0F60"/>
    <w:rsid w:val="007935A2"/>
    <w:rsid w:val="007A0027"/>
    <w:rsid w:val="008214AF"/>
    <w:rsid w:val="0087689C"/>
    <w:rsid w:val="008F1CE7"/>
    <w:rsid w:val="009058A0"/>
    <w:rsid w:val="0093046E"/>
    <w:rsid w:val="0096505E"/>
    <w:rsid w:val="009A178C"/>
    <w:rsid w:val="009B05BE"/>
    <w:rsid w:val="00A04B5C"/>
    <w:rsid w:val="00A75AC1"/>
    <w:rsid w:val="00A838B9"/>
    <w:rsid w:val="00B02DE0"/>
    <w:rsid w:val="00B47A4C"/>
    <w:rsid w:val="00B70DF2"/>
    <w:rsid w:val="00C2544D"/>
    <w:rsid w:val="00C80DAB"/>
    <w:rsid w:val="00CD0215"/>
    <w:rsid w:val="00DA6F2A"/>
    <w:rsid w:val="00DF7CC0"/>
    <w:rsid w:val="00FB51A8"/>
    <w:rsid w:val="11A6405B"/>
    <w:rsid w:val="25991E2C"/>
    <w:rsid w:val="2F37233F"/>
    <w:rsid w:val="4A7B537E"/>
    <w:rsid w:val="52D65847"/>
    <w:rsid w:val="578A4E5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63F8A6"/>
  <w15:docId w15:val="{06A3B4F9-447A-48D6-9F25-B8268C033D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B.XSL" StyleName="GB7714" Version="2005"/>
</file>

<file path=customXml/itemProps1.xml><?xml version="1.0" encoding="utf-8"?>
<ds:datastoreItem xmlns:ds="http://schemas.openxmlformats.org/officeDocument/2006/customXml" ds:itemID="{365DC2AE-2A40-46A2-AB10-2B02BC1C3D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TotalTime>
  <Pages>7</Pages>
  <Words>2075</Words>
  <Characters>11830</Characters>
  <Application>Microsoft Office Word</Application>
  <DocSecurity>0</DocSecurity>
  <Lines>169</Lines>
  <Paragraphs>15</Paragraphs>
  <ScaleCrop>false</ScaleCrop>
  <Company/>
  <LinksUpToDate>false</LinksUpToDate>
  <CharactersWithSpaces>13890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yueliang</dc:creator>
  <cp:lastModifiedBy>张 诗悦</cp:lastModifiedBy>
  <cp:revision>5</cp:revision>
  <dcterms:created xsi:type="dcterms:W3CDTF">2022-11-27T09:33:00Z</dcterms:created>
  <dcterms:modified xsi:type="dcterms:W3CDTF">2022-11-27T13:41:00Z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2052-11.1.0.12763</vt:lpwstr>
  </property>
  <property fmtid="{D5CDD505-2E9C-101B-9397-08002B2CF9AE}" pid="3" name="ICV">
    <vt:lpwstr>5033A9443E73448AAFCCF5BE6912CBA7</vt:lpwstr>
  </property>
  <property fmtid="{D5CDD505-2E9C-101B-9397-08002B2CF9AE}" pid="4" name="GrammarlyDocumentId">
    <vt:lpwstr>ef91da2a822265d7bcd9d7935bcf013f1e98f4d716516a360b91db848e73d337</vt:lpwstr>
  </property>
</Properties>
</file>