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40"/>
          <w:szCs w:val="40"/>
          <w:u w:val="single"/>
        </w:rPr>
      </w:pPr>
      <w:r>
        <w:rPr>
          <w:b/>
          <w:sz w:val="40"/>
          <w:szCs w:val="40"/>
          <w:u w:val="single"/>
        </w:rPr>
        <w:t>Reflection</w:t>
      </w:r>
    </w:p>
    <w:p>
      <w:pPr>
        <w:rPr>
          <w:b/>
          <w:sz w:val="40"/>
          <w:szCs w:val="40"/>
          <w:u w:val="single"/>
        </w:rPr>
      </w:pPr>
      <w:r>
        <w:rPr>
          <w:b/>
          <w:sz w:val="40"/>
          <w:szCs w:val="40"/>
          <w:u w:val="single"/>
        </w:rPr>
        <w:t>Shahida Miah 1710331.</w:t>
      </w:r>
    </w:p>
    <w:p>
      <w:pPr>
        <w:rPr>
          <w:sz w:val="24"/>
          <w:szCs w:val="24"/>
        </w:rPr>
      </w:pPr>
      <w:r>
        <w:rPr>
          <w:b/>
          <w:sz w:val="24"/>
          <w:szCs w:val="24"/>
        </w:rPr>
        <w:t xml:space="preserve">Introduction: </w:t>
      </w:r>
    </w:p>
    <w:p>
      <w:pPr>
        <w:rPr>
          <w:sz w:val="24"/>
          <w:szCs w:val="24"/>
        </w:rPr>
      </w:pPr>
      <w:r>
        <w:rPr>
          <w:sz w:val="24"/>
          <w:szCs w:val="24"/>
        </w:rPr>
        <w:t>This is a reflection on the critical thinking poster competition according to Heyler, (2015), this helps to learn achievements and can aid to</w:t>
      </w:r>
      <w:r>
        <w:rPr>
          <w:sz w:val="24"/>
          <w:szCs w:val="24"/>
          <w:lang w:val="en-GB"/>
        </w:rPr>
        <w:t xml:space="preserve"> perform better </w:t>
      </w:r>
      <w:r>
        <w:rPr>
          <w:sz w:val="24"/>
          <w:szCs w:val="24"/>
        </w:rPr>
        <w:t>future. I’ll be using the Gibbs reflection cycle as according to Mind Tool (2019) t</w:t>
      </w:r>
      <w:r>
        <w:rPr>
          <w:sz w:val="24"/>
          <w:szCs w:val="24"/>
          <w:lang w:val="en-GB"/>
        </w:rPr>
        <w:t>his helps to</w:t>
      </w:r>
      <w:r>
        <w:rPr>
          <w:sz w:val="24"/>
          <w:szCs w:val="24"/>
        </w:rPr>
        <w:t xml:space="preserve"> reflect and highlight on strengths and weaknesses.</w:t>
      </w:r>
    </w:p>
    <w:p>
      <w:pPr>
        <w:rPr>
          <w:sz w:val="24"/>
          <w:szCs w:val="24"/>
        </w:rPr>
      </w:pPr>
    </w:p>
    <w:p>
      <w:pPr>
        <w:rPr>
          <w:b/>
          <w:sz w:val="24"/>
          <w:szCs w:val="24"/>
        </w:rPr>
      </w:pPr>
      <w:r>
        <w:rPr>
          <w:rFonts w:ascii="Times New Roman" w:hAnsi="Times New Roman" w:eastAsia="Times New Roman" w:cs="Times New Roman"/>
          <w:sz w:val="24"/>
          <w:szCs w:val="24"/>
          <w:lang w:eastAsia="en-GB"/>
        </w:rPr>
        <w:drawing>
          <wp:anchor distT="0" distB="0" distL="114300" distR="114300" simplePos="0" relativeHeight="251658240" behindDoc="1" locked="0" layoutInCell="1" allowOverlap="1">
            <wp:simplePos x="0" y="0"/>
            <wp:positionH relativeFrom="column">
              <wp:posOffset>1313815</wp:posOffset>
            </wp:positionH>
            <wp:positionV relativeFrom="paragraph">
              <wp:posOffset>69850</wp:posOffset>
            </wp:positionV>
            <wp:extent cx="3430905" cy="2779395"/>
            <wp:effectExtent l="0" t="0" r="0" b="2540"/>
            <wp:wrapTight wrapText="bothSides">
              <wp:wrapPolygon>
                <wp:start x="0" y="0"/>
                <wp:lineTo x="0" y="21472"/>
                <wp:lineTo x="21472" y="21472"/>
                <wp:lineTo x="21472" y="0"/>
                <wp:lineTo x="0" y="0"/>
              </wp:wrapPolygon>
            </wp:wrapTight>
            <wp:docPr id="1" name="Picture 1"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ibbs' Reflective Cycle Diagram"/>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a:xfrm>
                      <a:off x="0" y="0"/>
                      <a:ext cx="3430800" cy="2779200"/>
                    </a:xfrm>
                    <a:prstGeom prst="rect">
                      <a:avLst/>
                    </a:prstGeom>
                    <a:noFill/>
                    <a:ln>
                      <a:noFill/>
                    </a:ln>
                  </pic:spPr>
                </pic:pic>
              </a:graphicData>
            </a:graphic>
          </wp:anchor>
        </w:drawing>
      </w: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b/>
          <w:sz w:val="24"/>
          <w:szCs w:val="24"/>
        </w:rPr>
      </w:pPr>
    </w:p>
    <w:p>
      <w:pPr>
        <w:rPr>
          <w:sz w:val="24"/>
          <w:szCs w:val="24"/>
        </w:rPr>
      </w:pPr>
    </w:p>
    <w:p>
      <w:pPr>
        <w:rPr>
          <w:sz w:val="24"/>
          <w:szCs w:val="24"/>
        </w:rPr>
      </w:pPr>
    </w:p>
    <w:p>
      <w:pPr>
        <w:rPr>
          <w:sz w:val="24"/>
          <w:szCs w:val="24"/>
        </w:rPr>
      </w:pPr>
    </w:p>
    <w:p>
      <w:pPr>
        <w:rPr>
          <w:b/>
          <w:sz w:val="24"/>
          <w:szCs w:val="24"/>
        </w:rPr>
      </w:pPr>
      <w:r>
        <w:rPr>
          <w:b/>
          <w:sz w:val="24"/>
          <w:szCs w:val="24"/>
        </w:rPr>
        <w:t>Description:</w:t>
      </w:r>
    </w:p>
    <w:p>
      <w:pPr>
        <w:rPr>
          <w:sz w:val="24"/>
          <w:szCs w:val="24"/>
        </w:rPr>
      </w:pPr>
      <w:r>
        <w:rPr>
          <w:sz w:val="24"/>
          <w:szCs w:val="24"/>
        </w:rPr>
        <w:t>My group members were me, Thonuma and F</w:t>
      </w:r>
      <w:r>
        <w:rPr>
          <w:sz w:val="24"/>
          <w:szCs w:val="24"/>
          <w:lang w:val="en-GB"/>
        </w:rPr>
        <w:t>o</w:t>
      </w:r>
      <w:r>
        <w:rPr>
          <w:sz w:val="24"/>
          <w:szCs w:val="24"/>
        </w:rPr>
        <w:t>ys</w:t>
      </w:r>
      <w:r>
        <w:rPr>
          <w:sz w:val="24"/>
          <w:szCs w:val="24"/>
          <w:lang w:val="en-GB"/>
        </w:rPr>
        <w:t>a</w:t>
      </w:r>
      <w:r>
        <w:rPr>
          <w:sz w:val="24"/>
          <w:szCs w:val="24"/>
        </w:rPr>
        <w:t>l, our poster was about, Value, Belief and Attitude. We chose Apple organisation and compared it to Samsung, we looked at definitions, critically analysed and how it aligns with our personal values. Together we collected all the resources as planned to use a cardboard and coloured papers along with selected images. We met up every so often at my house once the information was gathered to put all this on our main feature.</w:t>
      </w:r>
    </w:p>
    <w:p>
      <w:pPr>
        <w:rPr>
          <w:b/>
          <w:sz w:val="24"/>
          <w:szCs w:val="24"/>
        </w:rPr>
      </w:pPr>
      <w:r>
        <w:rPr>
          <w:b/>
          <w:sz w:val="24"/>
          <w:szCs w:val="24"/>
        </w:rPr>
        <w:t>Feelings:</w:t>
      </w:r>
    </w:p>
    <w:p>
      <w:pPr>
        <w:rPr>
          <w:sz w:val="24"/>
          <w:szCs w:val="24"/>
        </w:rPr>
      </w:pPr>
      <w:r>
        <w:rPr>
          <w:sz w:val="24"/>
          <w:szCs w:val="24"/>
        </w:rPr>
        <w:t xml:space="preserve">Personally, felt excited to be creative, I had to do a lot of creative thinking and find sources to back the information. I did the point two and three were I had to critically analyse Apple. Also implemented the RED thinking model as according to Course Hero, (2019) this method lays down the understanding of critical thinking by recognising assumptions, evaluating information, leading to the drawing a conclusion which I felt was a good model to use. I feel the other members felt they knew what they were doing and currently are pleased with outcome. </w:t>
      </w:r>
    </w:p>
    <w:p>
      <w:pPr>
        <w:rPr>
          <w:b/>
          <w:sz w:val="24"/>
          <w:szCs w:val="24"/>
        </w:rPr>
      </w:pPr>
      <w:r>
        <w:rPr>
          <w:b/>
          <w:sz w:val="24"/>
          <w:szCs w:val="24"/>
        </w:rPr>
        <w:t>Evaluation:</w:t>
      </w:r>
    </w:p>
    <w:p>
      <w:pPr>
        <w:rPr>
          <w:sz w:val="24"/>
          <w:szCs w:val="24"/>
        </w:rPr>
      </w:pPr>
      <w:r>
        <w:rPr>
          <w:sz w:val="24"/>
          <w:szCs w:val="24"/>
        </w:rPr>
        <w:t>In evaluation of the information, I found it was important to not use sites that wasn’t credible as Apple being a well-established organisation there was plenty of mis</w:t>
      </w:r>
      <w:r>
        <w:rPr>
          <w:sz w:val="24"/>
          <w:szCs w:val="24"/>
          <w:lang w:val="en-GB"/>
        </w:rPr>
        <w:t>s</w:t>
      </w:r>
      <w:bookmarkStart w:id="0" w:name="_GoBack"/>
      <w:bookmarkEnd w:id="0"/>
      <w:r>
        <w:rPr>
          <w:sz w:val="24"/>
          <w:szCs w:val="24"/>
        </w:rPr>
        <w:t xml:space="preserve">-leading sites, as according to Lumen (2019) critical thinking is about deciding what is true or false. </w:t>
      </w:r>
    </w:p>
    <w:p>
      <w:pPr>
        <w:rPr>
          <w:sz w:val="24"/>
          <w:szCs w:val="24"/>
        </w:rPr>
      </w:pPr>
      <w:r>
        <w:rPr>
          <w:sz w:val="24"/>
          <w:szCs w:val="24"/>
        </w:rPr>
        <w:t>In evaluation of putting the poster together, we had a clear vision on how we wanted our poster to look, we decided this on the first meeting and found the resources rather quickly. We were all understanding with each other and spent enough time to ensure the poster was informative and eye-catching. We did evaluate our work in the process, as Birmingham City University (2006) explained, this helped us to ensure objectives were being met and to identify any weaknesses to aid further development. We found everything was going accordingly and was all with clear understanding.</w:t>
      </w:r>
    </w:p>
    <w:p>
      <w:pPr>
        <w:rPr>
          <w:sz w:val="24"/>
          <w:szCs w:val="24"/>
        </w:rPr>
      </w:pPr>
      <w:r>
        <w:rPr>
          <w:sz w:val="24"/>
          <w:szCs w:val="24"/>
        </w:rPr>
        <w:t xml:space="preserve">In the process of our planning a team member had left the group, but we did not let that demoralise us, we evenly distributed the task and made sure everyone was happy with their parts. Everybody did research and we read each other’s work, this was brought together and applied on the poster and planned on extra props to have on the table. Only thing I would do different is during the presentation I would have liked to refer to the poster more. </w:t>
      </w:r>
    </w:p>
    <w:p>
      <w:pPr>
        <w:rPr>
          <w:b/>
          <w:sz w:val="24"/>
          <w:szCs w:val="24"/>
        </w:rPr>
      </w:pPr>
      <w:r>
        <w:rPr>
          <w:b/>
          <w:sz w:val="24"/>
          <w:szCs w:val="24"/>
        </w:rPr>
        <w:t>Conclusion:</w:t>
      </w:r>
    </w:p>
    <w:p>
      <w:pPr>
        <w:rPr>
          <w:sz w:val="24"/>
          <w:szCs w:val="24"/>
        </w:rPr>
      </w:pPr>
      <w:r>
        <w:rPr>
          <w:sz w:val="24"/>
          <w:szCs w:val="24"/>
        </w:rPr>
        <w:t>We managed to produce exactly what we were looking for and was pleased with our results. On the day of the competition, everyone’s poster was exceptionally good, I felt we had a tough competition. After presenting, we won the competition. In future would prefer if we had more time to do such work and possibly not coincide with other work.</w:t>
      </w:r>
    </w:p>
    <w:p>
      <w:pPr>
        <w:rPr>
          <w:b/>
          <w:sz w:val="24"/>
          <w:szCs w:val="24"/>
        </w:rPr>
      </w:pPr>
      <w:r>
        <w:rPr>
          <w:b/>
          <w:sz w:val="24"/>
          <w:szCs w:val="24"/>
        </w:rPr>
        <w:t>Action:</w:t>
      </w:r>
    </w:p>
    <w:p>
      <w:pPr>
        <w:rPr>
          <w:sz w:val="24"/>
          <w:szCs w:val="24"/>
        </w:rPr>
      </w:pPr>
      <w:r>
        <w:rPr>
          <w:sz w:val="24"/>
          <w:szCs w:val="24"/>
        </w:rPr>
        <w:t xml:space="preserve">In the future to deal with similar situation, I would hope that I am in a co-operative team as I was with, who follows similar vision as mine and with people who we can share ideas and come to sensible decisions. If we had time, then probably would put less stress on other members to meet and complete work. </w:t>
      </w: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sz w:val="24"/>
          <w:szCs w:val="24"/>
        </w:rPr>
      </w:pPr>
    </w:p>
    <w:p>
      <w:pPr>
        <w:rPr>
          <w:b/>
          <w:sz w:val="24"/>
          <w:szCs w:val="24"/>
        </w:rPr>
      </w:pPr>
      <w:r>
        <w:rPr>
          <w:b/>
          <w:sz w:val="24"/>
          <w:szCs w:val="24"/>
        </w:rPr>
        <w:t>Reference list:</w:t>
      </w:r>
    </w:p>
    <w:p>
      <w:pPr>
        <w:rPr>
          <w:sz w:val="24"/>
          <w:szCs w:val="24"/>
        </w:rPr>
      </w:pPr>
      <w:r>
        <w:rPr>
          <w:sz w:val="24"/>
          <w:szCs w:val="24"/>
        </w:rPr>
        <w:t xml:space="preserve">Birmingham City University. (2006), An Evaluation Toolkit for E-Library Developments, [Online]. Available: </w:t>
      </w:r>
      <w:r>
        <w:fldChar w:fldCharType="begin"/>
      </w:r>
      <w:r>
        <w:instrText xml:space="preserve"> HYPERLINK "http://www.evalued.bcu.ac.uk/tutorial/importance.htm" </w:instrText>
      </w:r>
      <w:r>
        <w:fldChar w:fldCharType="separate"/>
      </w:r>
      <w:r>
        <w:rPr>
          <w:rStyle w:val="5"/>
          <w:sz w:val="24"/>
          <w:szCs w:val="24"/>
        </w:rPr>
        <w:t>www.evalued.bcu.ac.uk/tutorial/importance.htm</w:t>
      </w:r>
      <w:r>
        <w:rPr>
          <w:rStyle w:val="5"/>
          <w:sz w:val="24"/>
          <w:szCs w:val="24"/>
        </w:rPr>
        <w:fldChar w:fldCharType="end"/>
      </w:r>
      <w:r>
        <w:rPr>
          <w:sz w:val="24"/>
          <w:szCs w:val="24"/>
        </w:rPr>
        <w:t>. [Accessed 27</w:t>
      </w:r>
      <w:r>
        <w:rPr>
          <w:sz w:val="24"/>
          <w:szCs w:val="24"/>
          <w:vertAlign w:val="superscript"/>
        </w:rPr>
        <w:t>th</w:t>
      </w:r>
      <w:r>
        <w:rPr>
          <w:sz w:val="24"/>
          <w:szCs w:val="24"/>
        </w:rPr>
        <w:t xml:space="preserve"> March 2019]. </w:t>
      </w:r>
    </w:p>
    <w:p>
      <w:pPr>
        <w:rPr>
          <w:sz w:val="24"/>
          <w:szCs w:val="24"/>
        </w:rPr>
      </w:pPr>
      <w:r>
        <w:rPr>
          <w:sz w:val="24"/>
          <w:szCs w:val="24"/>
        </w:rPr>
        <w:t xml:space="preserve">Course Hero. (2019), Pearson’s RED Critical Thinking Model, [Online]. Available: </w:t>
      </w:r>
      <w:r>
        <w:fldChar w:fldCharType="begin"/>
      </w:r>
      <w:r>
        <w:instrText xml:space="preserve"> HYPERLINK "https://www.coursehero.com/file/18081036/the-red-model/" </w:instrText>
      </w:r>
      <w:r>
        <w:fldChar w:fldCharType="separate"/>
      </w:r>
      <w:r>
        <w:rPr>
          <w:rStyle w:val="5"/>
          <w:sz w:val="24"/>
          <w:szCs w:val="24"/>
        </w:rPr>
        <w:t>https://www.coursehero.com/file/18081036/the-red-model/</w:t>
      </w:r>
      <w:r>
        <w:rPr>
          <w:rStyle w:val="5"/>
          <w:sz w:val="24"/>
          <w:szCs w:val="24"/>
        </w:rPr>
        <w:fldChar w:fldCharType="end"/>
      </w:r>
      <w:r>
        <w:rPr>
          <w:sz w:val="24"/>
          <w:szCs w:val="24"/>
        </w:rPr>
        <w:t>. [Accessed 27</w:t>
      </w:r>
      <w:r>
        <w:rPr>
          <w:sz w:val="24"/>
          <w:szCs w:val="24"/>
          <w:vertAlign w:val="superscript"/>
        </w:rPr>
        <w:t>th</w:t>
      </w:r>
      <w:r>
        <w:rPr>
          <w:sz w:val="24"/>
          <w:szCs w:val="24"/>
        </w:rPr>
        <w:t xml:space="preserve"> March 2019]. </w:t>
      </w:r>
    </w:p>
    <w:p>
      <w:pPr>
        <w:rPr>
          <w:sz w:val="24"/>
          <w:szCs w:val="24"/>
        </w:rPr>
      </w:pPr>
      <w:r>
        <w:rPr>
          <w:sz w:val="24"/>
          <w:szCs w:val="24"/>
        </w:rPr>
        <w:t xml:space="preserve">Helyer. (2015), Learning Through Reflection, [Online]. Available: </w:t>
      </w:r>
      <w:r>
        <w:fldChar w:fldCharType="begin"/>
      </w:r>
      <w:r>
        <w:instrText xml:space="preserve"> HYPERLINK "https://www.emaraldinsight.com/doi/full/10.1108/JWAM-10-2015-003" </w:instrText>
      </w:r>
      <w:r>
        <w:fldChar w:fldCharType="separate"/>
      </w:r>
      <w:r>
        <w:rPr>
          <w:rStyle w:val="5"/>
          <w:sz w:val="24"/>
          <w:szCs w:val="24"/>
        </w:rPr>
        <w:t>https://www.emaraldinsight.com/doi/full/10.1108/JWAM-10-2015-003</w:t>
      </w:r>
      <w:r>
        <w:rPr>
          <w:rStyle w:val="5"/>
          <w:sz w:val="24"/>
          <w:szCs w:val="24"/>
        </w:rPr>
        <w:fldChar w:fldCharType="end"/>
      </w:r>
      <w:r>
        <w:rPr>
          <w:sz w:val="24"/>
          <w:szCs w:val="24"/>
        </w:rPr>
        <w:t>. [Accessed 27</w:t>
      </w:r>
      <w:r>
        <w:rPr>
          <w:sz w:val="24"/>
          <w:szCs w:val="24"/>
          <w:vertAlign w:val="superscript"/>
        </w:rPr>
        <w:t>th</w:t>
      </w:r>
      <w:r>
        <w:rPr>
          <w:sz w:val="24"/>
          <w:szCs w:val="24"/>
        </w:rPr>
        <w:t xml:space="preserve"> March 2019]. </w:t>
      </w:r>
    </w:p>
    <w:p>
      <w:pPr>
        <w:rPr>
          <w:sz w:val="24"/>
          <w:szCs w:val="24"/>
        </w:rPr>
      </w:pPr>
      <w:r>
        <w:rPr>
          <w:sz w:val="24"/>
          <w:szCs w:val="24"/>
        </w:rPr>
        <w:t xml:space="preserve">Lumen. (2019), Critical Thinking Skills, [Online]. Available: </w:t>
      </w:r>
      <w:r>
        <w:fldChar w:fldCharType="begin"/>
      </w:r>
      <w:r>
        <w:instrText xml:space="preserve"> HYPERLINK "https://courses.lumenlearning.com/collegesuccess-lumen/chapter/critical-thinking-skills/" </w:instrText>
      </w:r>
      <w:r>
        <w:fldChar w:fldCharType="separate"/>
      </w:r>
      <w:r>
        <w:rPr>
          <w:rStyle w:val="5"/>
          <w:sz w:val="24"/>
          <w:szCs w:val="24"/>
        </w:rPr>
        <w:t>https://courses.lumenlearning.com/collegesuccess-lumen/chapter/critical-thinking-skills/</w:t>
      </w:r>
      <w:r>
        <w:rPr>
          <w:rStyle w:val="5"/>
          <w:sz w:val="24"/>
          <w:szCs w:val="24"/>
        </w:rPr>
        <w:fldChar w:fldCharType="end"/>
      </w:r>
      <w:r>
        <w:rPr>
          <w:sz w:val="24"/>
          <w:szCs w:val="24"/>
        </w:rPr>
        <w:t>. [Accessed 27</w:t>
      </w:r>
      <w:r>
        <w:rPr>
          <w:sz w:val="24"/>
          <w:szCs w:val="24"/>
          <w:vertAlign w:val="superscript"/>
        </w:rPr>
        <w:t>th</w:t>
      </w:r>
      <w:r>
        <w:rPr>
          <w:sz w:val="24"/>
          <w:szCs w:val="24"/>
        </w:rPr>
        <w:t xml:space="preserve"> March 2019].</w:t>
      </w:r>
    </w:p>
    <w:p>
      <w:pPr>
        <w:rPr>
          <w:sz w:val="24"/>
          <w:szCs w:val="24"/>
        </w:rPr>
      </w:pPr>
      <w:r>
        <w:rPr>
          <w:sz w:val="24"/>
          <w:szCs w:val="24"/>
        </w:rPr>
        <w:t xml:space="preserve">Mind Tool. (2019), Gibbs Reflection Cycle, [Online]. Available: </w:t>
      </w:r>
      <w:r>
        <w:fldChar w:fldCharType="begin"/>
      </w:r>
      <w:r>
        <w:instrText xml:space="preserve"> HYPERLINK "https://www.mindtools.com/pages/article/reflection-cycle" </w:instrText>
      </w:r>
      <w:r>
        <w:fldChar w:fldCharType="separate"/>
      </w:r>
      <w:r>
        <w:rPr>
          <w:rStyle w:val="5"/>
          <w:sz w:val="24"/>
          <w:szCs w:val="24"/>
        </w:rPr>
        <w:t>https://www.mindtools.com/pages/article/reflection-cycle</w:t>
      </w:r>
      <w:r>
        <w:rPr>
          <w:rStyle w:val="5"/>
          <w:sz w:val="24"/>
          <w:szCs w:val="24"/>
        </w:rPr>
        <w:fldChar w:fldCharType="end"/>
      </w:r>
      <w:r>
        <w:rPr>
          <w:sz w:val="24"/>
          <w:szCs w:val="24"/>
        </w:rPr>
        <w:t>. [Accessed 27</w:t>
      </w:r>
      <w:r>
        <w:rPr>
          <w:sz w:val="24"/>
          <w:szCs w:val="24"/>
          <w:vertAlign w:val="superscript"/>
        </w:rPr>
        <w:t>th</w:t>
      </w:r>
      <w:r>
        <w:rPr>
          <w:sz w:val="24"/>
          <w:szCs w:val="24"/>
        </w:rPr>
        <w:t xml:space="preserve"> March 2019]. </w:t>
      </w:r>
    </w:p>
    <w:p>
      <w:pPr>
        <w:rPr>
          <w:sz w:val="24"/>
          <w:szCs w:val="24"/>
        </w:rPr>
      </w:pPr>
    </w:p>
    <w:p>
      <w:pPr>
        <w:rPr>
          <w:b/>
          <w:sz w:val="24"/>
          <w:szCs w:val="24"/>
        </w:rPr>
      </w:pP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Calibri">
    <w:panose1 w:val="020F0502020204030204"/>
    <w:charset w:val="86"/>
    <w:family w:val="swiss"/>
    <w:pitch w:val="default"/>
    <w:sig w:usb0="E0002EFF" w:usb1="C000247B" w:usb2="00000009" w:usb3="00000000" w:csb0="200001FF" w:csb1="00000000"/>
  </w:font>
  <w:font w:name="Calibri">
    <w:panose1 w:val="020F0502020204030204"/>
    <w:charset w:val="86"/>
    <w:family w:val="swiss"/>
    <w:pitch w:val="default"/>
    <w:sig w:usb0="E0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Calibri">
    <w:panose1 w:val="020F0502020204030204"/>
    <w:charset w:val="00"/>
    <w:family w:val="auto"/>
    <w:pitch w:val="default"/>
    <w:sig w:usb0="E0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0E39"/>
    <w:rsid w:val="001E16AA"/>
    <w:rsid w:val="002D48BD"/>
    <w:rsid w:val="005A22DF"/>
    <w:rsid w:val="00A01F34"/>
    <w:rsid w:val="00BA40D0"/>
    <w:rsid w:val="00E212B2"/>
    <w:rsid w:val="00F16D4E"/>
    <w:rsid w:val="00F42CBF"/>
    <w:rsid w:val="00FD0E39"/>
    <w:rsid w:val="1C416EE1"/>
    <w:rsid w:val="22CD1644"/>
    <w:rsid w:val="63775E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semiHidden="0"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4"/>
    <w:basedOn w:val="1"/>
    <w:next w:val="1"/>
    <w:link w:val="7"/>
    <w:qFormat/>
    <w:uiPriority w:val="9"/>
    <w:pPr>
      <w:spacing w:before="100" w:beforeAutospacing="1" w:after="100" w:afterAutospacing="1" w:line="240" w:lineRule="auto"/>
      <w:outlineLvl w:val="3"/>
    </w:pPr>
    <w:rPr>
      <w:rFonts w:ascii="Times New Roman" w:hAnsi="Times New Roman" w:eastAsia="Times New Roman" w:cs="Times New Roman"/>
      <w:b/>
      <w:bCs/>
      <w:sz w:val="24"/>
      <w:szCs w:val="24"/>
      <w:lang w:eastAsia="en-GB"/>
    </w:rPr>
  </w:style>
  <w:style w:type="character" w:default="1" w:styleId="4">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3">
    <w:name w:val="Balloon Text"/>
    <w:basedOn w:val="1"/>
    <w:link w:val="8"/>
    <w:unhideWhenUsed/>
    <w:uiPriority w:val="99"/>
    <w:pPr>
      <w:spacing w:after="0" w:line="240" w:lineRule="auto"/>
    </w:pPr>
    <w:rPr>
      <w:rFonts w:ascii="Segoe UI" w:hAnsi="Segoe UI" w:cs="Segoe UI"/>
      <w:sz w:val="18"/>
      <w:szCs w:val="18"/>
    </w:rPr>
  </w:style>
  <w:style w:type="character" w:styleId="5">
    <w:name w:val="Hyperlink"/>
    <w:basedOn w:val="4"/>
    <w:unhideWhenUsed/>
    <w:qFormat/>
    <w:uiPriority w:val="99"/>
    <w:rPr>
      <w:color w:val="0563C1" w:themeColor="hyperlink"/>
      <w:u w:val="single"/>
      <w14:textFill>
        <w14:solidFill>
          <w14:schemeClr w14:val="hlink"/>
        </w14:solidFill>
      </w14:textFill>
    </w:rPr>
  </w:style>
  <w:style w:type="character" w:customStyle="1" w:styleId="7">
    <w:name w:val="Heading 4 Char"/>
    <w:basedOn w:val="4"/>
    <w:link w:val="2"/>
    <w:qFormat/>
    <w:uiPriority w:val="9"/>
    <w:rPr>
      <w:rFonts w:ascii="Times New Roman" w:hAnsi="Times New Roman" w:eastAsia="Times New Roman" w:cs="Times New Roman"/>
      <w:b/>
      <w:bCs/>
      <w:sz w:val="24"/>
      <w:szCs w:val="24"/>
      <w:lang w:eastAsia="en-GB"/>
    </w:rPr>
  </w:style>
  <w:style w:type="character" w:customStyle="1" w:styleId="8">
    <w:name w:val="Balloon Text Char"/>
    <w:basedOn w:val="4"/>
    <w:link w:val="3"/>
    <w:semiHidden/>
    <w:qFormat/>
    <w:uiPriority w:val="99"/>
    <w:rPr>
      <w:rFonts w:ascii="Segoe UI" w:hAnsi="Segoe UI" w:cs="Segoe UI"/>
      <w:sz w:val="18"/>
      <w:szCs w:val="18"/>
    </w:rPr>
  </w:style>
  <w:style w:type="character" w:customStyle="1" w:styleId="9">
    <w:name w:val="Unresolved Mention"/>
    <w:basedOn w:val="4"/>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698</Words>
  <Characters>3979</Characters>
  <Lines>33</Lines>
  <Paragraphs>9</Paragraphs>
  <ScaleCrop>false</ScaleCrop>
  <LinksUpToDate>false</LinksUpToDate>
  <CharactersWithSpaces>4668</CharactersWithSpaces>
  <Application>WPS Office_10.2.0.5965_F1E327BC-269C-435d-A152-05C5408002CA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2019-03-27T11:09:00Z</dcterms:created>
  <dc:creator>shahida miah</dc:creator>
  <cp:lastModifiedBy>shahi</cp:lastModifiedBy>
  <dcterms:modified xsi:type="dcterms:W3CDTF">2019-03-31T00:18:19Z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2057-10.2.0.5965</vt:lpwstr>
  </property>
</Properties>
</file>