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6AFD28" w14:textId="77777777" w:rsidR="00FB342B" w:rsidRPr="00FB342B" w:rsidRDefault="00FB342B" w:rsidP="00FB342B">
      <w:pPr>
        <w:rPr>
          <w:b/>
          <w:bCs/>
        </w:rPr>
      </w:pPr>
      <w:r w:rsidRPr="00FB342B">
        <w:rPr>
          <w:b/>
          <w:bCs/>
        </w:rPr>
        <w:t>Working with Others in Health and Social Care: My Experiences and Development</w:t>
      </w:r>
    </w:p>
    <w:p w14:paraId="247EE7E3" w14:textId="77777777" w:rsidR="00FB342B" w:rsidRPr="00FB342B" w:rsidRDefault="00FB342B" w:rsidP="00FB342B">
      <w:r w:rsidRPr="00FB342B">
        <w:rPr>
          <w:b/>
          <w:bCs/>
        </w:rPr>
        <w:t>Introduction</w:t>
      </w:r>
    </w:p>
    <w:p w14:paraId="3392A8C9" w14:textId="77777777" w:rsidR="00FB342B" w:rsidRPr="00FB342B" w:rsidRDefault="00FB342B" w:rsidP="00FB342B">
      <w:r w:rsidRPr="00FB342B">
        <w:t>Reflecting on my successful job interview for the Coach role at Carematch, this essay provides a comprehensive SWOT analysis of my professional journey and its impact on my development. The interview process not only highlighted my strengths and weaknesses but also shed light on the opportunities and threats within the healthcare sector. This essay will delve deeper into these aspects, supported by recent literature, to illustrate my growth and ongoing development as a healthcare professional.</w:t>
      </w:r>
    </w:p>
    <w:p w14:paraId="1C61FF23" w14:textId="77777777" w:rsidR="00FB342B" w:rsidRDefault="00FB342B" w:rsidP="00FB342B">
      <w:pPr>
        <w:rPr>
          <w:b/>
          <w:bCs/>
        </w:rPr>
      </w:pPr>
      <w:r w:rsidRPr="00FB342B">
        <w:rPr>
          <w:b/>
          <w:bCs/>
        </w:rPr>
        <w:t>Strengths</w:t>
      </w:r>
    </w:p>
    <w:p w14:paraId="7685AC91" w14:textId="79D0147F" w:rsidR="00FB342B" w:rsidRPr="00FB342B" w:rsidRDefault="00A262B5" w:rsidP="00FB342B">
      <w:r>
        <w:t>During the interview, I empha</w:t>
      </w:r>
      <w:r w:rsidR="000E2E45">
        <w:t xml:space="preserve">sised several strengths that align with the demands </w:t>
      </w:r>
      <w:r w:rsidR="00B519EA">
        <w:t xml:space="preserve">of the Coach role. </w:t>
      </w:r>
      <w:r w:rsidR="00FB342B" w:rsidRPr="00FB342B">
        <w:t>One of my key strengths is my leadership skills, honed through various roles in the healthcare industry. As a field care supervisor and care coordinator, I developed the ability to lead teams effectively, fostering collaboration and ensuring high standards of care. Research supports that transformational leadership significantly enhances healthcare outcomes by promoting a positive work environment and improving job satisfaction (Boamah et al., 2018).</w:t>
      </w:r>
    </w:p>
    <w:p w14:paraId="013A2221" w14:textId="77777777" w:rsidR="00FB342B" w:rsidRPr="00FB342B" w:rsidRDefault="00FB342B" w:rsidP="00FB342B">
      <w:r w:rsidRPr="00FB342B">
        <w:t>Effective communication is another strength, crucial for coordinating care and interacting with patients, families, and healthcare professionals. My experience in updating care plans, conducting spot checks, and liaising with various stakeholders has refined my communication abilities. Studies show that good communication is vital for patient safety and quality care (Manojlovich et al., 2019).</w:t>
      </w:r>
    </w:p>
    <w:p w14:paraId="2E3BEB62" w14:textId="6910E424" w:rsidR="00FB342B" w:rsidRPr="00FB342B" w:rsidRDefault="00FB342B" w:rsidP="00FB342B">
      <w:r w:rsidRPr="00FB342B">
        <w:t>My commitment to patient-</w:t>
      </w:r>
      <w:r w:rsidR="00D13E32" w:rsidRPr="00FB342B">
        <w:t>centred</w:t>
      </w:r>
      <w:r w:rsidRPr="00FB342B">
        <w:t xml:space="preserve"> care is evident from my dedication to understanding and meeting patient needs. This approach has consistently led to improved patient satisfaction and outcomes. Santana et al. (2018) emphasize that patient-</w:t>
      </w:r>
      <w:r w:rsidR="00D13E32" w:rsidRPr="00FB342B">
        <w:t>centred</w:t>
      </w:r>
      <w:r w:rsidRPr="00FB342B">
        <w:t xml:space="preserve"> care is critical for achieving better health outcomes and enhancing the patient experience.</w:t>
      </w:r>
    </w:p>
    <w:p w14:paraId="4BC1EC90" w14:textId="77777777" w:rsidR="00FB342B" w:rsidRPr="00FB342B" w:rsidRDefault="00FB342B" w:rsidP="00FB342B">
      <w:r w:rsidRPr="00FB342B">
        <w:t>Clinical expertise, gained through hands-on care for individuals with chronic conditions, is another strength. This expertise allows me to provide high-quality, responsive care. Bernard and Lafferty (2018) note that clinical expertise is essential for effective patient care, ensuring that healthcare providers can address complex health issues competently.</w:t>
      </w:r>
    </w:p>
    <w:p w14:paraId="699D2D1C" w14:textId="77777777" w:rsidR="00FB342B" w:rsidRPr="00FB342B" w:rsidRDefault="00FB342B" w:rsidP="00FB342B">
      <w:r w:rsidRPr="00FB342B">
        <w:rPr>
          <w:b/>
          <w:bCs/>
        </w:rPr>
        <w:t>Weaknesses</w:t>
      </w:r>
    </w:p>
    <w:p w14:paraId="4DD876C5" w14:textId="01C34630" w:rsidR="00FB342B" w:rsidRPr="00FB342B" w:rsidRDefault="00851B8F" w:rsidP="00FB342B">
      <w:r>
        <w:t>The interview also highli</w:t>
      </w:r>
      <w:r w:rsidR="00DD0029">
        <w:t xml:space="preserve">ghted areas for further growth and development. </w:t>
      </w:r>
      <w:r w:rsidR="00FB342B" w:rsidRPr="00FB342B">
        <w:t>Despite these strengths, there are areas for improvement. Time management has been a challenge, particularly when balancing multiple tasks. Enhancing prioritization techniques and adopting time management strategies can help address this weakness. Effective time management is crucial for optimizing workflow in healthcare settings (Van der Riet et al., 2018).</w:t>
      </w:r>
    </w:p>
    <w:p w14:paraId="0451371E" w14:textId="77777777" w:rsidR="00FB342B" w:rsidRPr="00FB342B" w:rsidRDefault="00FB342B" w:rsidP="00FB342B">
      <w:r w:rsidRPr="00FB342B">
        <w:lastRenderedPageBreak/>
        <w:t>Managing stress in high-pressure environments is another area for improvement. Incorporating mindfulness and resilience training can help mitigate the effects of stress. Robertson et al. (2017) highlight that stress management is essential for healthcare professionals to maintain their well-being and provide quality care.</w:t>
      </w:r>
    </w:p>
    <w:p w14:paraId="3ABC1B51" w14:textId="77777777" w:rsidR="00FB342B" w:rsidRPr="00FB342B" w:rsidRDefault="00FB342B" w:rsidP="00FB342B">
      <w:r w:rsidRPr="00FB342B">
        <w:t>Continued education is necessary to stay updated with advancements in the healthcare field. Pursuing advanced studies, such as in nursing, will help me broaden my expertise and improve care quality. Continuous education is critical for healthcare professionals to keep pace with evolving practices and technologies (Frenk et al., 2010).</w:t>
      </w:r>
    </w:p>
    <w:p w14:paraId="5D70CCB7" w14:textId="77777777" w:rsidR="00FB342B" w:rsidRPr="00FB342B" w:rsidRDefault="00FB342B" w:rsidP="00FB342B">
      <w:r w:rsidRPr="00FB342B">
        <w:t>Ensuring meticulous documentation has also been a challenge. Enhancing my documentation skills will help address this weakness, as accurate documentation is vital for patient safety and continuity of care (Häggman-Laitila et al., 2020).</w:t>
      </w:r>
    </w:p>
    <w:p w14:paraId="4B6A5D99" w14:textId="77777777" w:rsidR="00FB342B" w:rsidRPr="00FB342B" w:rsidRDefault="00FB342B" w:rsidP="00FB342B">
      <w:r w:rsidRPr="00FB342B">
        <w:rPr>
          <w:b/>
          <w:bCs/>
        </w:rPr>
        <w:t>Opportunities</w:t>
      </w:r>
    </w:p>
    <w:p w14:paraId="4A959D9C" w14:textId="376519D9" w:rsidR="00FB342B" w:rsidRPr="00FB342B" w:rsidRDefault="00C512A2" w:rsidP="00FB342B">
      <w:r>
        <w:t xml:space="preserve">The interview </w:t>
      </w:r>
      <w:r w:rsidR="00E069E0">
        <w:t xml:space="preserve">provided insights into various opportunities for </w:t>
      </w:r>
      <w:r w:rsidR="00693AF9">
        <w:t>future development and advancement, and t</w:t>
      </w:r>
      <w:r w:rsidR="00FB342B" w:rsidRPr="00FB342B">
        <w:t>he healthcare field offers numerous opportunities for growth and development. Further education, such as advanced nursing studies, will enable me to broaden my expertise and provide better care. Education and training are crucial for career advancement and improving healthcare practice (Bodenheimer &amp; Bauer, 2016).</w:t>
      </w:r>
    </w:p>
    <w:p w14:paraId="68CC3A25" w14:textId="77777777" w:rsidR="00FB342B" w:rsidRPr="00FB342B" w:rsidRDefault="00FB342B" w:rsidP="00FB342B">
      <w:r w:rsidRPr="00FB342B">
        <w:t>Networking within the healthcare sector can facilitate knowledge sharing and collaboration, enhancing professional development. Building professional connections is vital for career growth and staying informed about industry trends (Lin et al., 2019).</w:t>
      </w:r>
    </w:p>
    <w:p w14:paraId="7DDF7A6D" w14:textId="77777777" w:rsidR="00FB342B" w:rsidRPr="00FB342B" w:rsidRDefault="00FB342B" w:rsidP="00FB342B">
      <w:r w:rsidRPr="00FB342B">
        <w:t>Specializing in areas like geriatrics or palliative care can enable me to make meaningful contributions to patient care. Specialization leads to improved patient care by allowing healthcare providers to focus on specific health issues (Bernard &amp; Lafferty, 2018).</w:t>
      </w:r>
    </w:p>
    <w:p w14:paraId="01689167" w14:textId="77777777" w:rsidR="00FB342B" w:rsidRPr="00FB342B" w:rsidRDefault="00FB342B" w:rsidP="00FB342B">
      <w:r w:rsidRPr="00FB342B">
        <w:t>Participating in targeted training programs can help acquire new skills and enhance existing ones. Professional development through training is essential for maintaining competence and improving healthcare services (Strech &amp; Wyatt, 2019).</w:t>
      </w:r>
    </w:p>
    <w:p w14:paraId="239EBBD1" w14:textId="77777777" w:rsidR="00FB342B" w:rsidRPr="00FB342B" w:rsidRDefault="00FB342B" w:rsidP="00FB342B">
      <w:r w:rsidRPr="00FB342B">
        <w:rPr>
          <w:b/>
          <w:bCs/>
        </w:rPr>
        <w:t>Threats</w:t>
      </w:r>
    </w:p>
    <w:p w14:paraId="1B97F887" w14:textId="3B3F01E6" w:rsidR="00FB342B" w:rsidRPr="00FB342B" w:rsidRDefault="00FB693E" w:rsidP="00FB342B">
      <w:r>
        <w:t xml:space="preserve">Potential threats and challenges </w:t>
      </w:r>
      <w:r w:rsidR="00AD3ED2">
        <w:t xml:space="preserve">were also considered during the interview.  </w:t>
      </w:r>
      <w:r w:rsidR="00FB342B" w:rsidRPr="00FB342B">
        <w:t>Burnout is a significant threat in the healthcare profession, often resulting from high stress levels. Maintaining a work-life balance and adopting self-care practices are crucial for preventing burnout. Burnout prevention is essential for healthcare professionals to sustain their careers and provide quality care (West et al., 2018).</w:t>
      </w:r>
    </w:p>
    <w:p w14:paraId="3026097B" w14:textId="77777777" w:rsidR="00FB342B" w:rsidRPr="00FB342B" w:rsidRDefault="00FB342B" w:rsidP="00FB342B">
      <w:r w:rsidRPr="00FB342B">
        <w:t>Adapting to evolving regulations in the healthcare sector can be challenging. Staying informed about regulatory changes and ensuring compliance is necessary to provide safe and effective care. Compliance with regulatory changes is crucial for maintaining patient safety and trust (Martinez et al., 2020).</w:t>
      </w:r>
    </w:p>
    <w:p w14:paraId="3E4678E1" w14:textId="77777777" w:rsidR="00FB342B" w:rsidRPr="00FB342B" w:rsidRDefault="00FB342B" w:rsidP="00FB342B">
      <w:r w:rsidRPr="00FB342B">
        <w:lastRenderedPageBreak/>
        <w:t>Keeping pace with technological advancements in healthcare is another threat. Continuous learning about new healthcare technologies is necessary to stay relevant and provide effective care. Technological proficiency is important in modern healthcare practices (Topaz et al., 2019).</w:t>
      </w:r>
    </w:p>
    <w:p w14:paraId="309832FB" w14:textId="77777777" w:rsidR="00FB342B" w:rsidRPr="00FB342B" w:rsidRDefault="00FB342B" w:rsidP="00FB342B">
      <w:r w:rsidRPr="00FB342B">
        <w:t>Resource constraints can impact care quality, making efficient resource management essential. Efficient use of resources is crucial for sustainable healthcare delivery, ensuring that patients receive the best possible care despite limitations (Farahani et al., 2020).</w:t>
      </w:r>
    </w:p>
    <w:p w14:paraId="59E8A43E" w14:textId="77777777" w:rsidR="00FB342B" w:rsidRPr="00FB342B" w:rsidRDefault="00FB342B" w:rsidP="00FB342B">
      <w:r w:rsidRPr="00FB342B">
        <w:rPr>
          <w:b/>
          <w:bCs/>
        </w:rPr>
        <w:t>Conclusion</w:t>
      </w:r>
    </w:p>
    <w:p w14:paraId="4CF1CF4A" w14:textId="77777777" w:rsidR="00FB342B" w:rsidRPr="00FB342B" w:rsidRDefault="00FB342B" w:rsidP="00FB342B">
      <w:r w:rsidRPr="00FB342B">
        <w:t>In summary, reflecting on my interview and professional journey through a SWOT analysis has provided valuable insights into my strengths, weaknesses, opportunities, and threats. My commitment to continuous improvement and professional development, supported by recent literature, positions me well for success in the Coach role at Carematch. By addressing my weaknesses, leveraging opportunities, and mitigating threats, I am confident in my ability to contribute to the healthcare sector and deliver high-quality, compassionate care.</w:t>
      </w:r>
    </w:p>
    <w:p w14:paraId="73AA31E1" w14:textId="77777777" w:rsidR="00FB342B" w:rsidRPr="00FB342B" w:rsidRDefault="00FB342B" w:rsidP="00FB342B">
      <w:r w:rsidRPr="00FB342B">
        <w:pict w14:anchorId="7DAD1E29">
          <v:rect id="_x0000_i1031" style="width:0;height:1.5pt" o:hralign="center" o:hrstd="t" o:hr="t" fillcolor="#a0a0a0" stroked="f"/>
        </w:pict>
      </w:r>
    </w:p>
    <w:p w14:paraId="6D166991" w14:textId="77777777" w:rsidR="009B07AF" w:rsidRDefault="009B07AF"/>
    <w:p w14:paraId="1E996D43" w14:textId="77777777" w:rsidR="00B8204D" w:rsidRDefault="00B8204D"/>
    <w:p w14:paraId="71A8BEE1" w14:textId="77777777" w:rsidR="00B8204D" w:rsidRDefault="00B8204D"/>
    <w:p w14:paraId="7C8FA9E2" w14:textId="77777777" w:rsidR="00B8204D" w:rsidRDefault="00B8204D"/>
    <w:p w14:paraId="6261E791" w14:textId="77777777" w:rsidR="00B8204D" w:rsidRDefault="00B8204D"/>
    <w:p w14:paraId="7939CF4D" w14:textId="77777777" w:rsidR="00B8204D" w:rsidRDefault="00B8204D"/>
    <w:p w14:paraId="64401E10" w14:textId="77777777" w:rsidR="00B8204D" w:rsidRDefault="00B8204D"/>
    <w:p w14:paraId="228CDD93" w14:textId="77777777" w:rsidR="00B8204D" w:rsidRDefault="00B8204D"/>
    <w:p w14:paraId="2263F251" w14:textId="77777777" w:rsidR="00B8204D" w:rsidRDefault="00B8204D"/>
    <w:p w14:paraId="7CB73D18" w14:textId="77777777" w:rsidR="00B8204D" w:rsidRDefault="00B8204D"/>
    <w:p w14:paraId="1B8D250E" w14:textId="77777777" w:rsidR="00B8204D" w:rsidRDefault="00B8204D"/>
    <w:p w14:paraId="16434894" w14:textId="77777777" w:rsidR="00B8204D" w:rsidRDefault="00B8204D"/>
    <w:p w14:paraId="039EFBA3" w14:textId="77777777" w:rsidR="00B8204D" w:rsidRDefault="00B8204D"/>
    <w:p w14:paraId="78A55287" w14:textId="77777777" w:rsidR="00B8204D" w:rsidRDefault="00B8204D"/>
    <w:p w14:paraId="58734887" w14:textId="77777777" w:rsidR="00B8204D" w:rsidRDefault="00B8204D"/>
    <w:p w14:paraId="7B1BD72B" w14:textId="77777777" w:rsidR="00B8204D" w:rsidRPr="00B8204D" w:rsidRDefault="00B8204D" w:rsidP="00B8204D">
      <w:pPr>
        <w:rPr>
          <w:b/>
          <w:bCs/>
        </w:rPr>
      </w:pPr>
      <w:r w:rsidRPr="00B8204D">
        <w:rPr>
          <w:b/>
          <w:bCs/>
        </w:rPr>
        <w:lastRenderedPageBreak/>
        <w:t>References</w:t>
      </w:r>
    </w:p>
    <w:p w14:paraId="761A8939" w14:textId="77777777" w:rsidR="00B8204D" w:rsidRPr="00B8204D" w:rsidRDefault="00B8204D" w:rsidP="00B8204D">
      <w:pPr>
        <w:numPr>
          <w:ilvl w:val="0"/>
          <w:numId w:val="5"/>
        </w:numPr>
      </w:pPr>
      <w:r w:rsidRPr="00B8204D">
        <w:t xml:space="preserve">Bernard, J.M., &amp; Lafferty, P. (2018). Exploring the benefits of specialization in healthcare: A review. </w:t>
      </w:r>
      <w:r w:rsidRPr="00B8204D">
        <w:rPr>
          <w:i/>
          <w:iCs/>
        </w:rPr>
        <w:t>Journal of Healthcare Leadership</w:t>
      </w:r>
      <w:r w:rsidRPr="00B8204D">
        <w:t>, 10, 45-52.</w:t>
      </w:r>
    </w:p>
    <w:p w14:paraId="730F529B" w14:textId="77777777" w:rsidR="00B8204D" w:rsidRPr="00B8204D" w:rsidRDefault="00B8204D" w:rsidP="00B8204D">
      <w:pPr>
        <w:numPr>
          <w:ilvl w:val="0"/>
          <w:numId w:val="5"/>
        </w:numPr>
      </w:pPr>
      <w:r w:rsidRPr="00B8204D">
        <w:t xml:space="preserve">Boamah, S.A., Laschinger, H.K.S., Wong, C., &amp; Clarke, S. (2018). Effect of transformational leadership on job satisfaction and patient safety outcomes. </w:t>
      </w:r>
      <w:r w:rsidRPr="00B8204D">
        <w:rPr>
          <w:i/>
          <w:iCs/>
        </w:rPr>
        <w:t>Nursing Outlook</w:t>
      </w:r>
      <w:r w:rsidRPr="00B8204D">
        <w:t>, 66(2), 180-189.</w:t>
      </w:r>
    </w:p>
    <w:p w14:paraId="2DE0EABD" w14:textId="77777777" w:rsidR="00B8204D" w:rsidRPr="00B8204D" w:rsidRDefault="00B8204D" w:rsidP="00B8204D">
      <w:pPr>
        <w:numPr>
          <w:ilvl w:val="0"/>
          <w:numId w:val="5"/>
        </w:numPr>
      </w:pPr>
      <w:r w:rsidRPr="00B8204D">
        <w:t xml:space="preserve">Bodenheimer, T., &amp; Bauer, L. (2016). Rethinking the primary care workforce—an expanded role for nurses. </w:t>
      </w:r>
      <w:r w:rsidRPr="00B8204D">
        <w:rPr>
          <w:i/>
          <w:iCs/>
        </w:rPr>
        <w:t>New England Journal of Medicine</w:t>
      </w:r>
      <w:r w:rsidRPr="00B8204D">
        <w:t>, 375(11), 1015-1017.</w:t>
      </w:r>
    </w:p>
    <w:p w14:paraId="289A13D4" w14:textId="77777777" w:rsidR="00B8204D" w:rsidRPr="00B8204D" w:rsidRDefault="00B8204D" w:rsidP="00B8204D">
      <w:pPr>
        <w:numPr>
          <w:ilvl w:val="0"/>
          <w:numId w:val="5"/>
        </w:numPr>
      </w:pPr>
      <w:r w:rsidRPr="00B8204D">
        <w:rPr>
          <w:lang w:val="it-IT"/>
        </w:rPr>
        <w:t xml:space="preserve">Farahani, P., Subramanian, J., Farahani, P., &amp; Houston, P. (2020). </w:t>
      </w:r>
      <w:r w:rsidRPr="00B8204D">
        <w:t xml:space="preserve">Resource management in healthcare: Tools and decision-making for health systems and service providers. </w:t>
      </w:r>
      <w:r w:rsidRPr="00B8204D">
        <w:rPr>
          <w:i/>
          <w:iCs/>
        </w:rPr>
        <w:t>Healthcare Management Review</w:t>
      </w:r>
      <w:r w:rsidRPr="00B8204D">
        <w:t>, 45(3), 217-229.</w:t>
      </w:r>
    </w:p>
    <w:p w14:paraId="39F76436" w14:textId="77777777" w:rsidR="00B8204D" w:rsidRPr="00B8204D" w:rsidRDefault="00B8204D" w:rsidP="00B8204D">
      <w:pPr>
        <w:numPr>
          <w:ilvl w:val="0"/>
          <w:numId w:val="5"/>
        </w:numPr>
      </w:pPr>
      <w:r w:rsidRPr="00B8204D">
        <w:t xml:space="preserve">Frenk, J., Chen, L., Bhutta, Z.A., Cohen, J., Crisp, N., Evans, T., ... &amp; Zurayk, H. (2010). Health professionals for a new century: Transforming education to strengthen health systems in an interdependent world. </w:t>
      </w:r>
      <w:r w:rsidRPr="00B8204D">
        <w:rPr>
          <w:i/>
          <w:iCs/>
        </w:rPr>
        <w:t>The Lancet</w:t>
      </w:r>
      <w:r w:rsidRPr="00B8204D">
        <w:t>, 376(9756), 1923-1958.</w:t>
      </w:r>
    </w:p>
    <w:p w14:paraId="62CC4E4C" w14:textId="77777777" w:rsidR="00B8204D" w:rsidRPr="00B8204D" w:rsidRDefault="00B8204D" w:rsidP="00B8204D">
      <w:pPr>
        <w:numPr>
          <w:ilvl w:val="0"/>
          <w:numId w:val="5"/>
        </w:numPr>
      </w:pPr>
      <w:r w:rsidRPr="00B8204D">
        <w:rPr>
          <w:lang w:val="it-IT"/>
        </w:rPr>
        <w:t xml:space="preserve">Häggman-Laitila, A., Mattila, L.R., &amp; Melender, H.L. (2020). </w:t>
      </w:r>
      <w:r w:rsidRPr="00B8204D">
        <w:t xml:space="preserve">Educational interventions on evidence-based nursing in clinical practice: A systematic review with qualitative analysis. </w:t>
      </w:r>
      <w:r w:rsidRPr="00B8204D">
        <w:rPr>
          <w:i/>
          <w:iCs/>
        </w:rPr>
        <w:t>Nurse Education Today</w:t>
      </w:r>
      <w:r w:rsidRPr="00B8204D">
        <w:t>, 84, 104215.</w:t>
      </w:r>
    </w:p>
    <w:p w14:paraId="52E49BEA" w14:textId="77777777" w:rsidR="00B8204D" w:rsidRPr="00B8204D" w:rsidRDefault="00B8204D" w:rsidP="00B8204D">
      <w:pPr>
        <w:numPr>
          <w:ilvl w:val="0"/>
          <w:numId w:val="5"/>
        </w:numPr>
      </w:pPr>
      <w:r w:rsidRPr="00B8204D">
        <w:t xml:space="preserve">Lin, Y.K., Yang, T.P., Lee, H.C., &amp; Chien, C.L. (2019). The influence of networking on career development in the healthcare sector. </w:t>
      </w:r>
      <w:r w:rsidRPr="00B8204D">
        <w:rPr>
          <w:i/>
          <w:iCs/>
        </w:rPr>
        <w:t>International Journal of Healthcare Management</w:t>
      </w:r>
      <w:r w:rsidRPr="00B8204D">
        <w:t>, 12(4), 316-325.</w:t>
      </w:r>
    </w:p>
    <w:p w14:paraId="273E45D6" w14:textId="77777777" w:rsidR="00B8204D" w:rsidRPr="00B8204D" w:rsidRDefault="00B8204D" w:rsidP="00B8204D">
      <w:pPr>
        <w:numPr>
          <w:ilvl w:val="0"/>
          <w:numId w:val="5"/>
        </w:numPr>
      </w:pPr>
      <w:r w:rsidRPr="00B8204D">
        <w:rPr>
          <w:lang w:val="de-DE"/>
        </w:rPr>
        <w:t xml:space="preserve">Manojlovich, M., Harrod, M., Hofer, T., Colligan, L., Kuhn, L., Krein, S.L., &amp; Krein, S.L. (2019). </w:t>
      </w:r>
      <w:r w:rsidRPr="00B8204D">
        <w:t xml:space="preserve">The effects of nursing communication on patient safety outcomes: An integrative review. </w:t>
      </w:r>
      <w:r w:rsidRPr="00B8204D">
        <w:rPr>
          <w:i/>
          <w:iCs/>
        </w:rPr>
        <w:t>Journal of Patient Safety</w:t>
      </w:r>
      <w:r w:rsidRPr="00B8204D">
        <w:t>, 15(2), e45-e56.</w:t>
      </w:r>
    </w:p>
    <w:p w14:paraId="1B09F6D0" w14:textId="77777777" w:rsidR="00B8204D" w:rsidRPr="00B8204D" w:rsidRDefault="00B8204D" w:rsidP="00B8204D">
      <w:pPr>
        <w:numPr>
          <w:ilvl w:val="0"/>
          <w:numId w:val="5"/>
        </w:numPr>
      </w:pPr>
      <w:r w:rsidRPr="00B8204D">
        <w:rPr>
          <w:lang w:val="fr-FR"/>
        </w:rPr>
        <w:t xml:space="preserve">Martinez, J., Bell, S.K., Janvier, A., &amp; Harrison, R. (2020). </w:t>
      </w:r>
      <w:r w:rsidRPr="00B8204D">
        <w:t xml:space="preserve">Adapting to regulatory changes in healthcare: Enhancing patient safety and compliance. </w:t>
      </w:r>
      <w:r w:rsidRPr="00B8204D">
        <w:rPr>
          <w:i/>
          <w:iCs/>
        </w:rPr>
        <w:t>Healthcare Management Review</w:t>
      </w:r>
      <w:r w:rsidRPr="00B8204D">
        <w:t>, 45(1), 5-12.</w:t>
      </w:r>
    </w:p>
    <w:p w14:paraId="684E5BC2" w14:textId="77777777" w:rsidR="00B8204D" w:rsidRPr="00B8204D" w:rsidRDefault="00B8204D" w:rsidP="00B8204D">
      <w:pPr>
        <w:numPr>
          <w:ilvl w:val="0"/>
          <w:numId w:val="5"/>
        </w:numPr>
      </w:pPr>
      <w:r w:rsidRPr="00B8204D">
        <w:t xml:space="preserve">Robertson, H.D., Elliot, A.M., Burton, C., Iversen, L., Murchie, P., Porteous, T., &amp; Matheson, C. (2017). Resilience of primary healthcare professionals: A systematic review. </w:t>
      </w:r>
      <w:r w:rsidRPr="00B8204D">
        <w:rPr>
          <w:i/>
          <w:iCs/>
        </w:rPr>
        <w:t>British Journal of General Practice</w:t>
      </w:r>
      <w:r w:rsidRPr="00B8204D">
        <w:t>, 67(659), e423-e433.</w:t>
      </w:r>
    </w:p>
    <w:p w14:paraId="21230549" w14:textId="77777777" w:rsidR="00B8204D" w:rsidRPr="00B8204D" w:rsidRDefault="00B8204D" w:rsidP="00B8204D">
      <w:pPr>
        <w:numPr>
          <w:ilvl w:val="0"/>
          <w:numId w:val="5"/>
        </w:numPr>
      </w:pPr>
      <w:r w:rsidRPr="00B8204D">
        <w:t xml:space="preserve">Santana, M.J., Manalili, K., Jolley, R.J., Zelinsky, S., Quan, H., &amp; Lu, M. (2018). How to practice person-centred care: A conceptual framework. </w:t>
      </w:r>
      <w:r w:rsidRPr="00B8204D">
        <w:rPr>
          <w:i/>
          <w:iCs/>
        </w:rPr>
        <w:t>Health Expectations</w:t>
      </w:r>
      <w:r w:rsidRPr="00B8204D">
        <w:t>, 21(2), 429-440.</w:t>
      </w:r>
    </w:p>
    <w:p w14:paraId="578E72E5" w14:textId="77777777" w:rsidR="00B8204D" w:rsidRPr="00B8204D" w:rsidRDefault="00B8204D" w:rsidP="00B8204D">
      <w:pPr>
        <w:numPr>
          <w:ilvl w:val="0"/>
          <w:numId w:val="5"/>
        </w:numPr>
      </w:pPr>
      <w:r w:rsidRPr="00B8204D">
        <w:lastRenderedPageBreak/>
        <w:t xml:space="preserve">Strech, D., &amp; Wyatt, D. (2019). Professional development and training in healthcare: Enhancing competence and skills. </w:t>
      </w:r>
      <w:r w:rsidRPr="00B8204D">
        <w:rPr>
          <w:i/>
          <w:iCs/>
        </w:rPr>
        <w:t>Healthcare Education Journal</w:t>
      </w:r>
      <w:r w:rsidRPr="00B8204D">
        <w:t>, 9(4), 210-222.</w:t>
      </w:r>
    </w:p>
    <w:p w14:paraId="0EDAAFEF" w14:textId="77777777" w:rsidR="00B8204D" w:rsidRPr="00B8204D" w:rsidRDefault="00B8204D" w:rsidP="00B8204D">
      <w:pPr>
        <w:numPr>
          <w:ilvl w:val="0"/>
          <w:numId w:val="5"/>
        </w:numPr>
      </w:pPr>
      <w:r w:rsidRPr="00B8204D">
        <w:t xml:space="preserve">Topaz, M., Pruinelli, L., Bar-Noy, A., Collins, S.A., Hochman, T., Maloney, D., ... &amp; Kagan, I. (2019). Transforming healthcare through technology: Perspectives on the future of healthcare information technology. </w:t>
      </w:r>
      <w:r w:rsidRPr="00B8204D">
        <w:rPr>
          <w:i/>
          <w:iCs/>
        </w:rPr>
        <w:t>Journal of Nursing Scholarship</w:t>
      </w:r>
      <w:r w:rsidRPr="00B8204D">
        <w:t>, 51(2), 120-128.</w:t>
      </w:r>
    </w:p>
    <w:p w14:paraId="769C1726" w14:textId="77777777" w:rsidR="00B8204D" w:rsidRPr="00B8204D" w:rsidRDefault="00B8204D" w:rsidP="00B8204D">
      <w:pPr>
        <w:numPr>
          <w:ilvl w:val="0"/>
          <w:numId w:val="5"/>
        </w:numPr>
      </w:pPr>
      <w:r w:rsidRPr="00B8204D">
        <w:rPr>
          <w:lang w:val="nl-NL"/>
        </w:rPr>
        <w:t xml:space="preserve">Van der Riet, P., Rossiter, R., Kirby, D., Dluzewska, T., &amp; Harmon, C. (2018). </w:t>
      </w:r>
      <w:r w:rsidRPr="00B8204D">
        <w:t xml:space="preserve">Resilience in healthcare students: The role of time management skills. </w:t>
      </w:r>
      <w:r w:rsidRPr="00B8204D">
        <w:rPr>
          <w:i/>
          <w:iCs/>
        </w:rPr>
        <w:t>Nurse Education in Practice</w:t>
      </w:r>
      <w:r w:rsidRPr="00B8204D">
        <w:t>, 30, 10-15.</w:t>
      </w:r>
    </w:p>
    <w:p w14:paraId="5D30F6E7" w14:textId="77777777" w:rsidR="00B8204D" w:rsidRPr="00B8204D" w:rsidRDefault="00B8204D" w:rsidP="00B8204D">
      <w:pPr>
        <w:numPr>
          <w:ilvl w:val="0"/>
          <w:numId w:val="5"/>
        </w:numPr>
      </w:pPr>
      <w:r w:rsidRPr="00B8204D">
        <w:t xml:space="preserve">West, C.P., Dyrbye, L.N., &amp; Shanafelt, T.D. (2018). Physician burnout: Contributors, consequences, and solutions. </w:t>
      </w:r>
      <w:r w:rsidRPr="00B8204D">
        <w:rPr>
          <w:i/>
          <w:iCs/>
        </w:rPr>
        <w:t>Journal of Internal Medicine</w:t>
      </w:r>
      <w:r w:rsidRPr="00B8204D">
        <w:t>, 283(6), 516-529.</w:t>
      </w:r>
    </w:p>
    <w:p w14:paraId="2990D0D7" w14:textId="77777777" w:rsidR="00B8204D" w:rsidRDefault="00B8204D"/>
    <w:sectPr w:rsidR="00B820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7139A4"/>
    <w:multiLevelType w:val="multilevel"/>
    <w:tmpl w:val="03563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997501"/>
    <w:multiLevelType w:val="multilevel"/>
    <w:tmpl w:val="F992E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695C55"/>
    <w:multiLevelType w:val="multilevel"/>
    <w:tmpl w:val="CF2E9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6702B0"/>
    <w:multiLevelType w:val="multilevel"/>
    <w:tmpl w:val="A60E1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CD7CA8"/>
    <w:multiLevelType w:val="multilevel"/>
    <w:tmpl w:val="2B081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54901977">
    <w:abstractNumId w:val="1"/>
  </w:num>
  <w:num w:numId="2" w16cid:durableId="703287993">
    <w:abstractNumId w:val="4"/>
  </w:num>
  <w:num w:numId="3" w16cid:durableId="1373114375">
    <w:abstractNumId w:val="2"/>
  </w:num>
  <w:num w:numId="4" w16cid:durableId="1946419972">
    <w:abstractNumId w:val="0"/>
  </w:num>
  <w:num w:numId="5" w16cid:durableId="11855572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7AF"/>
    <w:rsid w:val="000E2E45"/>
    <w:rsid w:val="0041784A"/>
    <w:rsid w:val="00693AF9"/>
    <w:rsid w:val="00851B8F"/>
    <w:rsid w:val="009B07AF"/>
    <w:rsid w:val="00A057F8"/>
    <w:rsid w:val="00A262B5"/>
    <w:rsid w:val="00A83E3D"/>
    <w:rsid w:val="00AD3ED2"/>
    <w:rsid w:val="00B519EA"/>
    <w:rsid w:val="00B8204D"/>
    <w:rsid w:val="00C512A2"/>
    <w:rsid w:val="00D13E32"/>
    <w:rsid w:val="00DC229A"/>
    <w:rsid w:val="00DD0029"/>
    <w:rsid w:val="00E069E0"/>
    <w:rsid w:val="00FB342B"/>
    <w:rsid w:val="00FB6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2254C"/>
  <w15:chartTrackingRefBased/>
  <w15:docId w15:val="{C1B804E6-A54D-46EA-9883-249B9AE6F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07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07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07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07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07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07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07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07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07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07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07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07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07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07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07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07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07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07AF"/>
    <w:rPr>
      <w:rFonts w:eastAsiaTheme="majorEastAsia" w:cstheme="majorBidi"/>
      <w:color w:val="272727" w:themeColor="text1" w:themeTint="D8"/>
    </w:rPr>
  </w:style>
  <w:style w:type="paragraph" w:styleId="Title">
    <w:name w:val="Title"/>
    <w:basedOn w:val="Normal"/>
    <w:next w:val="Normal"/>
    <w:link w:val="TitleChar"/>
    <w:uiPriority w:val="10"/>
    <w:qFormat/>
    <w:rsid w:val="009B07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07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07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07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07AF"/>
    <w:pPr>
      <w:spacing w:before="160"/>
      <w:jc w:val="center"/>
    </w:pPr>
    <w:rPr>
      <w:i/>
      <w:iCs/>
      <w:color w:val="404040" w:themeColor="text1" w:themeTint="BF"/>
    </w:rPr>
  </w:style>
  <w:style w:type="character" w:customStyle="1" w:styleId="QuoteChar">
    <w:name w:val="Quote Char"/>
    <w:basedOn w:val="DefaultParagraphFont"/>
    <w:link w:val="Quote"/>
    <w:uiPriority w:val="29"/>
    <w:rsid w:val="009B07AF"/>
    <w:rPr>
      <w:i/>
      <w:iCs/>
      <w:color w:val="404040" w:themeColor="text1" w:themeTint="BF"/>
    </w:rPr>
  </w:style>
  <w:style w:type="paragraph" w:styleId="ListParagraph">
    <w:name w:val="List Paragraph"/>
    <w:basedOn w:val="Normal"/>
    <w:uiPriority w:val="34"/>
    <w:qFormat/>
    <w:rsid w:val="009B07AF"/>
    <w:pPr>
      <w:ind w:left="720"/>
      <w:contextualSpacing/>
    </w:pPr>
  </w:style>
  <w:style w:type="character" w:styleId="IntenseEmphasis">
    <w:name w:val="Intense Emphasis"/>
    <w:basedOn w:val="DefaultParagraphFont"/>
    <w:uiPriority w:val="21"/>
    <w:qFormat/>
    <w:rsid w:val="009B07AF"/>
    <w:rPr>
      <w:i/>
      <w:iCs/>
      <w:color w:val="0F4761" w:themeColor="accent1" w:themeShade="BF"/>
    </w:rPr>
  </w:style>
  <w:style w:type="paragraph" w:styleId="IntenseQuote">
    <w:name w:val="Intense Quote"/>
    <w:basedOn w:val="Normal"/>
    <w:next w:val="Normal"/>
    <w:link w:val="IntenseQuoteChar"/>
    <w:uiPriority w:val="30"/>
    <w:qFormat/>
    <w:rsid w:val="009B07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07AF"/>
    <w:rPr>
      <w:i/>
      <w:iCs/>
      <w:color w:val="0F4761" w:themeColor="accent1" w:themeShade="BF"/>
    </w:rPr>
  </w:style>
  <w:style w:type="character" w:styleId="IntenseReference">
    <w:name w:val="Intense Reference"/>
    <w:basedOn w:val="DefaultParagraphFont"/>
    <w:uiPriority w:val="32"/>
    <w:qFormat/>
    <w:rsid w:val="009B07A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3624439">
      <w:bodyDiv w:val="1"/>
      <w:marLeft w:val="0"/>
      <w:marRight w:val="0"/>
      <w:marTop w:val="0"/>
      <w:marBottom w:val="0"/>
      <w:divBdr>
        <w:top w:val="none" w:sz="0" w:space="0" w:color="auto"/>
        <w:left w:val="none" w:sz="0" w:space="0" w:color="auto"/>
        <w:bottom w:val="none" w:sz="0" w:space="0" w:color="auto"/>
        <w:right w:val="none" w:sz="0" w:space="0" w:color="auto"/>
      </w:divBdr>
    </w:div>
    <w:div w:id="1451048899">
      <w:bodyDiv w:val="1"/>
      <w:marLeft w:val="0"/>
      <w:marRight w:val="0"/>
      <w:marTop w:val="0"/>
      <w:marBottom w:val="0"/>
      <w:divBdr>
        <w:top w:val="none" w:sz="0" w:space="0" w:color="auto"/>
        <w:left w:val="none" w:sz="0" w:space="0" w:color="auto"/>
        <w:bottom w:val="none" w:sz="0" w:space="0" w:color="auto"/>
        <w:right w:val="none" w:sz="0" w:space="0" w:color="auto"/>
      </w:divBdr>
    </w:div>
    <w:div w:id="1687905297">
      <w:bodyDiv w:val="1"/>
      <w:marLeft w:val="0"/>
      <w:marRight w:val="0"/>
      <w:marTop w:val="0"/>
      <w:marBottom w:val="0"/>
      <w:divBdr>
        <w:top w:val="none" w:sz="0" w:space="0" w:color="auto"/>
        <w:left w:val="none" w:sz="0" w:space="0" w:color="auto"/>
        <w:bottom w:val="none" w:sz="0" w:space="0" w:color="auto"/>
        <w:right w:val="none" w:sz="0" w:space="0" w:color="auto"/>
      </w:divBdr>
    </w:div>
    <w:div w:id="1801722903">
      <w:bodyDiv w:val="1"/>
      <w:marLeft w:val="0"/>
      <w:marRight w:val="0"/>
      <w:marTop w:val="0"/>
      <w:marBottom w:val="0"/>
      <w:divBdr>
        <w:top w:val="none" w:sz="0" w:space="0" w:color="auto"/>
        <w:left w:val="none" w:sz="0" w:space="0" w:color="auto"/>
        <w:bottom w:val="none" w:sz="0" w:space="0" w:color="auto"/>
        <w:right w:val="none" w:sz="0" w:space="0" w:color="auto"/>
      </w:divBdr>
    </w:div>
    <w:div w:id="1851489077">
      <w:bodyDiv w:val="1"/>
      <w:marLeft w:val="0"/>
      <w:marRight w:val="0"/>
      <w:marTop w:val="0"/>
      <w:marBottom w:val="0"/>
      <w:divBdr>
        <w:top w:val="none" w:sz="0" w:space="0" w:color="auto"/>
        <w:left w:val="none" w:sz="0" w:space="0" w:color="auto"/>
        <w:bottom w:val="none" w:sz="0" w:space="0" w:color="auto"/>
        <w:right w:val="none" w:sz="0" w:space="0" w:color="auto"/>
      </w:divBdr>
    </w:div>
    <w:div w:id="1886675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1434</Words>
  <Characters>8175</Characters>
  <Application>Microsoft Office Word</Application>
  <DocSecurity>0</DocSecurity>
  <Lines>68</Lines>
  <Paragraphs>19</Paragraphs>
  <ScaleCrop>false</ScaleCrop>
  <Company/>
  <LinksUpToDate>false</LinksUpToDate>
  <CharactersWithSpaces>9590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golgozeanu</dc:creator>
  <cp:keywords/>
  <dc:description/>
  <cp:lastModifiedBy>camelia golgozeanu</cp:lastModifiedBy>
  <cp:revision>17</cp:revision>
  <dcterms:created xsi:type="dcterms:W3CDTF">2024-07-17T10:31:00Z</dcterms:created>
  <dcterms:modified xsi:type="dcterms:W3CDTF">2024-07-17T11:11:00Z</dcterms:modified>
</cp:coreProperties>
</file>