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FCB15" w14:textId="77777777" w:rsidR="00401A7D" w:rsidRDefault="00401A7D" w:rsidP="00511A3D">
      <w:pPr>
        <w:jc w:val="center"/>
        <w:rPr>
          <w:b/>
          <w:bCs/>
          <w:sz w:val="44"/>
          <w:szCs w:val="44"/>
        </w:rPr>
      </w:pPr>
    </w:p>
    <w:p w14:paraId="5020C9D7" w14:textId="53171DD7" w:rsidR="00401A7D" w:rsidRDefault="00401A7D" w:rsidP="00511A3D">
      <w:pPr>
        <w:jc w:val="center"/>
        <w:rPr>
          <w:b/>
          <w:bCs/>
          <w:sz w:val="44"/>
          <w:szCs w:val="44"/>
        </w:rPr>
      </w:pPr>
      <w:r>
        <w:rPr>
          <w:noProof/>
        </w:rPr>
        <w:drawing>
          <wp:inline distT="0" distB="0" distL="0" distR="0" wp14:anchorId="38E0982C" wp14:editId="1B3AAC60">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17EF9A7A" w14:textId="0DCD10F4" w:rsidR="00511A3D" w:rsidRPr="008C2FC4" w:rsidRDefault="00511A3D" w:rsidP="00401A7D">
      <w:pPr>
        <w:jc w:val="center"/>
        <w:rPr>
          <w:rFonts w:ascii="Arial" w:hAnsi="Arial" w:cs="Arial"/>
          <w:b/>
          <w:bCs/>
          <w:sz w:val="44"/>
          <w:szCs w:val="44"/>
        </w:rPr>
      </w:pPr>
      <w:r w:rsidRPr="008C2FC4">
        <w:rPr>
          <w:rFonts w:ascii="Arial" w:hAnsi="Arial" w:cs="Arial"/>
          <w:b/>
          <w:bCs/>
          <w:sz w:val="44"/>
          <w:szCs w:val="44"/>
        </w:rPr>
        <w:t>Research proposal</w:t>
      </w:r>
    </w:p>
    <w:p w14:paraId="739776E6" w14:textId="77777777" w:rsidR="00401A7D" w:rsidRDefault="00401A7D">
      <w:pPr>
        <w:rPr>
          <w:b/>
          <w:bCs/>
        </w:rPr>
      </w:pPr>
    </w:p>
    <w:p w14:paraId="265DB6BE" w14:textId="77777777" w:rsidR="00401A7D" w:rsidRDefault="00401A7D">
      <w:pPr>
        <w:rPr>
          <w:b/>
          <w:bCs/>
        </w:rPr>
      </w:pPr>
    </w:p>
    <w:p w14:paraId="2F5AF8FE" w14:textId="77777777" w:rsidR="00401A7D" w:rsidRDefault="00401A7D">
      <w:pPr>
        <w:rPr>
          <w:b/>
          <w:bCs/>
        </w:rPr>
      </w:pPr>
    </w:p>
    <w:p w14:paraId="3F0B115D" w14:textId="77777777" w:rsidR="00401A7D" w:rsidRDefault="00401A7D" w:rsidP="00401A7D">
      <w:pPr>
        <w:jc w:val="center"/>
        <w:rPr>
          <w:b/>
          <w:bCs/>
          <w:sz w:val="32"/>
          <w:szCs w:val="32"/>
        </w:rPr>
      </w:pPr>
    </w:p>
    <w:p w14:paraId="4604D393" w14:textId="00630766" w:rsidR="00511A3D" w:rsidRPr="008C2FC4" w:rsidRDefault="00401A7D" w:rsidP="00401A7D">
      <w:pPr>
        <w:jc w:val="center"/>
        <w:rPr>
          <w:rFonts w:ascii="Arial" w:hAnsi="Arial" w:cs="Arial"/>
          <w:sz w:val="32"/>
          <w:szCs w:val="32"/>
        </w:rPr>
      </w:pPr>
      <w:r w:rsidRPr="008C2FC4">
        <w:rPr>
          <w:rFonts w:ascii="Arial" w:hAnsi="Arial" w:cs="Arial"/>
          <w:b/>
          <w:bCs/>
          <w:sz w:val="32"/>
          <w:szCs w:val="32"/>
        </w:rPr>
        <w:t xml:space="preserve">Perimenopause and Menopause: </w:t>
      </w:r>
      <w:r w:rsidR="00511A3D" w:rsidRPr="00BB0CE1">
        <w:rPr>
          <w:rFonts w:ascii="Arial" w:hAnsi="Arial" w:cs="Arial"/>
          <w:sz w:val="32"/>
          <w:szCs w:val="32"/>
        </w:rPr>
        <w:t>The Lack of information available to women before they experience symptoms.</w:t>
      </w:r>
    </w:p>
    <w:p w14:paraId="36A4E96F" w14:textId="77777777" w:rsidR="00401A7D" w:rsidRDefault="00401A7D" w:rsidP="00401A7D">
      <w:pPr>
        <w:jc w:val="center"/>
      </w:pPr>
    </w:p>
    <w:p w14:paraId="51277728" w14:textId="77777777" w:rsidR="00401A7D" w:rsidRDefault="00401A7D"/>
    <w:p w14:paraId="6261E398" w14:textId="77777777" w:rsidR="00401A7D" w:rsidRDefault="00401A7D"/>
    <w:p w14:paraId="5E7ACADD" w14:textId="77777777" w:rsidR="00401A7D" w:rsidRDefault="00401A7D" w:rsidP="00401A7D">
      <w:pPr>
        <w:jc w:val="center"/>
        <w:rPr>
          <w:rFonts w:ascii="Arial" w:hAnsi="Arial" w:cs="Arial"/>
          <w:b/>
          <w:sz w:val="22"/>
          <w:szCs w:val="22"/>
        </w:rPr>
      </w:pPr>
    </w:p>
    <w:p w14:paraId="5BC5B0C6" w14:textId="77777777" w:rsidR="00401A7D" w:rsidRDefault="00401A7D" w:rsidP="00401A7D">
      <w:pPr>
        <w:jc w:val="center"/>
        <w:rPr>
          <w:rFonts w:ascii="Arial" w:hAnsi="Arial" w:cs="Arial"/>
          <w:b/>
          <w:sz w:val="22"/>
          <w:szCs w:val="22"/>
        </w:rPr>
      </w:pPr>
    </w:p>
    <w:p w14:paraId="1E2AEE15" w14:textId="77777777" w:rsidR="00401A7D" w:rsidRDefault="00401A7D" w:rsidP="00401A7D">
      <w:pPr>
        <w:jc w:val="center"/>
        <w:rPr>
          <w:rFonts w:ascii="Arial" w:hAnsi="Arial" w:cs="Arial"/>
          <w:b/>
          <w:sz w:val="22"/>
          <w:szCs w:val="22"/>
        </w:rPr>
      </w:pPr>
    </w:p>
    <w:p w14:paraId="3D45928D" w14:textId="77777777" w:rsidR="00401A7D" w:rsidRDefault="00401A7D" w:rsidP="00401A7D">
      <w:pPr>
        <w:jc w:val="center"/>
        <w:rPr>
          <w:rFonts w:ascii="Arial" w:hAnsi="Arial" w:cs="Arial"/>
          <w:b/>
          <w:sz w:val="22"/>
          <w:szCs w:val="22"/>
        </w:rPr>
      </w:pPr>
    </w:p>
    <w:p w14:paraId="66699B9F" w14:textId="77777777" w:rsidR="00401A7D" w:rsidRDefault="00401A7D" w:rsidP="00401A7D">
      <w:pPr>
        <w:jc w:val="center"/>
        <w:rPr>
          <w:rFonts w:ascii="Arial" w:hAnsi="Arial" w:cs="Arial"/>
          <w:b/>
          <w:sz w:val="22"/>
          <w:szCs w:val="22"/>
        </w:rPr>
      </w:pPr>
    </w:p>
    <w:p w14:paraId="68ECAFFB" w14:textId="3113F9F9" w:rsidR="00401A7D" w:rsidRDefault="00401A7D" w:rsidP="00401A7D">
      <w:pPr>
        <w:jc w:val="center"/>
        <w:rPr>
          <w:rFonts w:ascii="Arial" w:hAnsi="Arial" w:cs="Arial"/>
          <w:b/>
          <w:sz w:val="22"/>
          <w:szCs w:val="22"/>
        </w:rPr>
      </w:pPr>
      <w:r>
        <w:rPr>
          <w:rFonts w:ascii="Arial" w:hAnsi="Arial" w:cs="Arial"/>
          <w:b/>
          <w:sz w:val="22"/>
          <w:szCs w:val="22"/>
        </w:rPr>
        <w:t>Module</w:t>
      </w:r>
      <w:r w:rsidRPr="00953B01">
        <w:rPr>
          <w:rFonts w:ascii="Arial" w:hAnsi="Arial" w:cs="Arial"/>
          <w:b/>
          <w:sz w:val="22"/>
          <w:szCs w:val="22"/>
        </w:rPr>
        <w:t xml:space="preserve">: </w:t>
      </w:r>
      <w:r>
        <w:rPr>
          <w:rFonts w:ascii="Arial" w:hAnsi="Arial" w:cs="Arial"/>
          <w:b/>
          <w:sz w:val="22"/>
          <w:szCs w:val="22"/>
        </w:rPr>
        <w:t>Introduction to independent research skills</w:t>
      </w:r>
      <w:r w:rsidRPr="0004138C">
        <w:rPr>
          <w:rFonts w:ascii="Arial" w:hAnsi="Arial" w:cs="Arial"/>
          <w:b/>
          <w:sz w:val="22"/>
          <w:szCs w:val="22"/>
        </w:rPr>
        <w:t xml:space="preserve"> </w:t>
      </w:r>
      <w:r w:rsidRPr="00F667E8">
        <w:rPr>
          <w:rFonts w:ascii="Arial" w:hAnsi="Arial" w:cs="Arial"/>
          <w:b/>
          <w:sz w:val="22"/>
          <w:szCs w:val="22"/>
        </w:rPr>
        <w:t>BMHP50</w:t>
      </w:r>
      <w:r>
        <w:rPr>
          <w:rFonts w:ascii="Arial" w:hAnsi="Arial" w:cs="Arial"/>
          <w:b/>
          <w:sz w:val="22"/>
          <w:szCs w:val="22"/>
        </w:rPr>
        <w:t>19</w:t>
      </w:r>
    </w:p>
    <w:p w14:paraId="5B282CA3" w14:textId="5DC61787" w:rsidR="00401A7D" w:rsidRDefault="00EC3729" w:rsidP="00401A7D">
      <w:pPr>
        <w:jc w:val="center"/>
        <w:rPr>
          <w:rFonts w:ascii="Arial" w:hAnsi="Arial" w:cs="Arial"/>
          <w:b/>
          <w:sz w:val="22"/>
          <w:szCs w:val="22"/>
        </w:rPr>
      </w:pPr>
      <w:r>
        <w:rPr>
          <w:rFonts w:ascii="Arial" w:hAnsi="Arial" w:cs="Arial"/>
          <w:b/>
          <w:sz w:val="22"/>
          <w:szCs w:val="22"/>
        </w:rPr>
        <w:t>Component 1: Research Proposal</w:t>
      </w:r>
    </w:p>
    <w:p w14:paraId="2F455E1B" w14:textId="5A24117A" w:rsidR="00401A7D" w:rsidRDefault="00401A7D" w:rsidP="00401A7D">
      <w:pPr>
        <w:jc w:val="center"/>
        <w:rPr>
          <w:rFonts w:ascii="Arial" w:hAnsi="Arial" w:cs="Arial"/>
          <w:b/>
          <w:sz w:val="22"/>
          <w:szCs w:val="22"/>
        </w:rPr>
      </w:pPr>
      <w:r>
        <w:rPr>
          <w:rFonts w:ascii="Arial" w:hAnsi="Arial" w:cs="Arial"/>
          <w:b/>
          <w:sz w:val="22"/>
          <w:szCs w:val="22"/>
        </w:rPr>
        <w:t xml:space="preserve">Lecturer: </w:t>
      </w:r>
      <w:r>
        <w:rPr>
          <w:rFonts w:ascii="Arial" w:hAnsi="Arial" w:cs="Arial"/>
          <w:b/>
          <w:sz w:val="22"/>
          <w:szCs w:val="22"/>
        </w:rPr>
        <w:t>Phil Jones</w:t>
      </w:r>
    </w:p>
    <w:p w14:paraId="71611E42" w14:textId="2FC96F8C" w:rsidR="00401A7D" w:rsidRDefault="00401A7D" w:rsidP="00401A7D">
      <w:pPr>
        <w:jc w:val="center"/>
        <w:rPr>
          <w:rFonts w:ascii="Arial" w:hAnsi="Arial" w:cs="Arial"/>
          <w:b/>
          <w:sz w:val="22"/>
          <w:szCs w:val="22"/>
        </w:rPr>
      </w:pPr>
      <w:r>
        <w:rPr>
          <w:rFonts w:ascii="Arial" w:hAnsi="Arial" w:cs="Arial"/>
          <w:b/>
          <w:sz w:val="22"/>
          <w:szCs w:val="22"/>
        </w:rPr>
        <w:t>Submission date: 1</w:t>
      </w:r>
      <w:r>
        <w:rPr>
          <w:rFonts w:ascii="Arial" w:hAnsi="Arial" w:cs="Arial"/>
          <w:b/>
          <w:sz w:val="22"/>
          <w:szCs w:val="22"/>
        </w:rPr>
        <w:t>9</w:t>
      </w:r>
      <w:r>
        <w:rPr>
          <w:rFonts w:ascii="Arial" w:hAnsi="Arial" w:cs="Arial"/>
          <w:b/>
          <w:sz w:val="22"/>
          <w:szCs w:val="22"/>
          <w:vertAlign w:val="superscript"/>
        </w:rPr>
        <w:t>th</w:t>
      </w:r>
      <w:r>
        <w:rPr>
          <w:rFonts w:ascii="Arial" w:hAnsi="Arial" w:cs="Arial"/>
          <w:b/>
          <w:sz w:val="22"/>
          <w:szCs w:val="22"/>
        </w:rPr>
        <w:t xml:space="preserve"> </w:t>
      </w:r>
      <w:r>
        <w:rPr>
          <w:rFonts w:ascii="Arial" w:hAnsi="Arial" w:cs="Arial"/>
          <w:b/>
          <w:sz w:val="22"/>
          <w:szCs w:val="22"/>
        </w:rPr>
        <w:t>February</w:t>
      </w:r>
      <w:r>
        <w:rPr>
          <w:rFonts w:ascii="Arial" w:hAnsi="Arial" w:cs="Arial"/>
          <w:b/>
          <w:sz w:val="22"/>
          <w:szCs w:val="22"/>
        </w:rPr>
        <w:t xml:space="preserve"> 202</w:t>
      </w:r>
      <w:r>
        <w:rPr>
          <w:rFonts w:ascii="Arial" w:hAnsi="Arial" w:cs="Arial"/>
          <w:b/>
          <w:sz w:val="22"/>
          <w:szCs w:val="22"/>
        </w:rPr>
        <w:t>6</w:t>
      </w:r>
    </w:p>
    <w:p w14:paraId="6474DB65" w14:textId="2C3B1353" w:rsidR="00401A7D" w:rsidRDefault="00401A7D" w:rsidP="00401A7D">
      <w:pPr>
        <w:jc w:val="center"/>
        <w:rPr>
          <w:rFonts w:ascii="Arial" w:hAnsi="Arial" w:cs="Arial"/>
          <w:b/>
          <w:sz w:val="22"/>
          <w:szCs w:val="22"/>
        </w:rPr>
      </w:pPr>
      <w:r>
        <w:rPr>
          <w:rFonts w:ascii="Arial" w:hAnsi="Arial" w:cs="Arial"/>
          <w:b/>
          <w:sz w:val="22"/>
          <w:szCs w:val="22"/>
        </w:rPr>
        <w:t>Student name: Precious Lewis</w:t>
      </w:r>
    </w:p>
    <w:p w14:paraId="72119412" w14:textId="77777777" w:rsidR="00401A7D" w:rsidRDefault="00401A7D" w:rsidP="00401A7D">
      <w:pPr>
        <w:jc w:val="center"/>
        <w:rPr>
          <w:rFonts w:ascii="Arial Nova" w:eastAsia="Arial Nova" w:hAnsi="Arial Nova" w:cs="Arial Nova"/>
          <w:sz w:val="72"/>
          <w:szCs w:val="72"/>
        </w:rPr>
      </w:pPr>
      <w:r>
        <w:rPr>
          <w:rFonts w:ascii="Arial" w:hAnsi="Arial" w:cs="Arial"/>
          <w:b/>
          <w:sz w:val="22"/>
          <w:szCs w:val="22"/>
        </w:rPr>
        <w:t>Student number: 2328179</w:t>
      </w:r>
    </w:p>
    <w:p w14:paraId="6BE3BB9A" w14:textId="77777777" w:rsidR="009D37E1" w:rsidRDefault="009D37E1">
      <w:pPr>
        <w:rPr>
          <w:rFonts w:ascii="Arial" w:hAnsi="Arial" w:cs="Arial"/>
          <w:b/>
          <w:bCs/>
        </w:rPr>
      </w:pPr>
    </w:p>
    <w:p w14:paraId="6EB3A187" w14:textId="6C14C412" w:rsidR="007D0CEF" w:rsidRPr="00B82DA6" w:rsidRDefault="009D37E1" w:rsidP="009D37E1">
      <w:pPr>
        <w:jc w:val="center"/>
        <w:rPr>
          <w:rFonts w:ascii="Arial" w:hAnsi="Arial" w:cs="Arial"/>
          <w:b/>
          <w:bCs/>
          <w:sz w:val="28"/>
          <w:szCs w:val="28"/>
        </w:rPr>
      </w:pPr>
      <w:r w:rsidRPr="00B82DA6">
        <w:rPr>
          <w:rFonts w:ascii="Arial" w:hAnsi="Arial" w:cs="Arial"/>
          <w:b/>
          <w:bCs/>
          <w:sz w:val="28"/>
          <w:szCs w:val="28"/>
        </w:rPr>
        <w:lastRenderedPageBreak/>
        <w:t xml:space="preserve"> Proposal</w:t>
      </w:r>
      <w:r w:rsidR="005C265D" w:rsidRPr="00B82DA6">
        <w:rPr>
          <w:rFonts w:ascii="Arial" w:hAnsi="Arial" w:cs="Arial"/>
          <w:b/>
          <w:bCs/>
          <w:sz w:val="28"/>
          <w:szCs w:val="28"/>
        </w:rPr>
        <w:t xml:space="preserve"> </w:t>
      </w:r>
    </w:p>
    <w:p w14:paraId="672D92DF" w14:textId="4E540F27" w:rsidR="009D37E1" w:rsidRDefault="005C265D" w:rsidP="009D37E1">
      <w:pPr>
        <w:rPr>
          <w:rFonts w:ascii="Arial" w:hAnsi="Arial" w:cs="Arial"/>
        </w:rPr>
      </w:pPr>
      <w:bookmarkStart w:id="0" w:name="_Hlk219984317"/>
      <w:r w:rsidRPr="005C265D">
        <w:rPr>
          <w:rFonts w:ascii="Arial" w:hAnsi="Arial" w:cs="Arial"/>
          <w:b/>
          <w:bCs/>
        </w:rPr>
        <w:t>Perimenopause and Menopause: The Lack of information available to women before they experience symptoms</w:t>
      </w:r>
      <w:r w:rsidRPr="005C265D">
        <w:rPr>
          <w:rFonts w:ascii="Arial" w:hAnsi="Arial" w:cs="Arial"/>
        </w:rPr>
        <w:t>.</w:t>
      </w:r>
      <w:bookmarkEnd w:id="0"/>
    </w:p>
    <w:p w14:paraId="3FEB68D5" w14:textId="77777777" w:rsidR="000E423D" w:rsidRDefault="000E423D" w:rsidP="000E423D">
      <w:pPr>
        <w:pStyle w:val="NormalWeb"/>
      </w:pPr>
      <w:r>
        <w:t>This topic is deeply personal to me as I navigate perimenopause. I have realized that the transition involves far more than just the widely discussed "hot flushes." My own journey led me to research the physiological changes occurring within my body, uncovering an extensive list of symptoms often overlooked in general health discourse. In this proposal, while I recognize the distinction between perimenopause and menopause, I will use the term "menopause" to encompass the entire transition.</w:t>
      </w:r>
    </w:p>
    <w:p w14:paraId="45219280" w14:textId="77777777" w:rsidR="000E423D" w:rsidRDefault="000E423D" w:rsidP="000E423D">
      <w:pPr>
        <w:pStyle w:val="NormalWeb"/>
      </w:pPr>
      <w:r>
        <w:t>The menopausal transition is a protracted and often disruptive physiological process that can span over a decade, affecting the vast majority of women. To ensure effective care, clinicians must maintain a high index of suspicion to identify early perimenopausal markers. Timely recognition is crucial for implementing evidence-based therapeutic strategies, such as Hormone Therapy (HT), which can mitigate the symptomatic burden and preserve a patient’s quality of life (Santoro et al., 2020).</w:t>
      </w:r>
    </w:p>
    <w:p w14:paraId="33FE15DD" w14:textId="77777777" w:rsidR="000E423D" w:rsidRDefault="000E423D" w:rsidP="000E423D">
      <w:pPr>
        <w:pStyle w:val="NormalWeb"/>
      </w:pPr>
      <w:r>
        <w:t>While menopause typically impacts women aged 45 and older, it can occur much earlier. Approximately 1% to 4% of women experience early or premature menopause before age 40. This is significantly rarer in younger demographics, affecting 0.1% of women in their 30s and only 0.01% of those in their 20s (Cleveland Clinic, 2022). Furthermore, menopause can be medically induced through interventions such as hysterectomies, oophorectomies, or chemotherapy. Notably, in 50% of premature menopause cases, no definitive cause is found (Cleveland Clinic, 2022).</w:t>
      </w:r>
    </w:p>
    <w:p w14:paraId="35997F33" w14:textId="77777777" w:rsidR="000E423D" w:rsidRDefault="000E423D" w:rsidP="000E423D">
      <w:pPr>
        <w:pStyle w:val="NormalWeb"/>
      </w:pPr>
      <w:r>
        <w:rPr>
          <w:b/>
          <w:bCs/>
        </w:rPr>
        <w:t>Common Symptoms of the Menopausal Transition:</w:t>
      </w:r>
    </w:p>
    <w:p w14:paraId="5CB19F0B" w14:textId="77777777" w:rsidR="000E423D" w:rsidRDefault="000E423D" w:rsidP="000E423D">
      <w:pPr>
        <w:pStyle w:val="NormalWeb"/>
        <w:numPr>
          <w:ilvl w:val="0"/>
          <w:numId w:val="3"/>
        </w:numPr>
      </w:pPr>
      <w:r>
        <w:rPr>
          <w:b/>
          <w:bCs/>
        </w:rPr>
        <w:t>Vasomotor:</w:t>
      </w:r>
      <w:r>
        <w:t xml:space="preserve"> Hot and cold flushes, night sweats, and palpitations.</w:t>
      </w:r>
    </w:p>
    <w:p w14:paraId="252F48D5" w14:textId="77777777" w:rsidR="000E423D" w:rsidRDefault="000E423D" w:rsidP="000E423D">
      <w:pPr>
        <w:pStyle w:val="NormalWeb"/>
        <w:numPr>
          <w:ilvl w:val="0"/>
          <w:numId w:val="3"/>
        </w:numPr>
      </w:pPr>
      <w:r>
        <w:rPr>
          <w:b/>
          <w:bCs/>
        </w:rPr>
        <w:t>Cognitive &amp; Emotional:</w:t>
      </w:r>
      <w:r>
        <w:t xml:space="preserve"> Brain fog, fatigue, sleep deprivation, and melancholy.</w:t>
      </w:r>
    </w:p>
    <w:p w14:paraId="2209D312" w14:textId="77777777" w:rsidR="000E423D" w:rsidRDefault="000E423D" w:rsidP="000E423D">
      <w:pPr>
        <w:pStyle w:val="NormalWeb"/>
        <w:numPr>
          <w:ilvl w:val="0"/>
          <w:numId w:val="3"/>
        </w:numPr>
      </w:pPr>
      <w:r>
        <w:rPr>
          <w:b/>
          <w:bCs/>
        </w:rPr>
        <w:t>Physical:</w:t>
      </w:r>
      <w:r>
        <w:t xml:space="preserve"> Irregular periods, itchy skin, muscle aches, joint pain, hair loss, and increased abdominal fat or bloating.</w:t>
      </w:r>
    </w:p>
    <w:p w14:paraId="6DF31C26" w14:textId="77777777" w:rsidR="000E423D" w:rsidRDefault="000E423D" w:rsidP="000E423D">
      <w:pPr>
        <w:pStyle w:val="NormalWeb"/>
        <w:numPr>
          <w:ilvl w:val="0"/>
          <w:numId w:val="3"/>
        </w:numPr>
      </w:pPr>
      <w:r>
        <w:rPr>
          <w:b/>
          <w:bCs/>
        </w:rPr>
        <w:t>Oral &amp; Sexual Health:</w:t>
      </w:r>
      <w:r>
        <w:t xml:space="preserve"> Sensitive teeth, painful gums, reduced libido, and vaginal dryness (NHS, 2025).</w:t>
      </w:r>
    </w:p>
    <w:p w14:paraId="228BCA01" w14:textId="77777777" w:rsidR="000E423D" w:rsidRDefault="000E423D" w:rsidP="000E423D">
      <w:pPr>
        <w:pStyle w:val="NormalWeb"/>
      </w:pPr>
      <w:r>
        <w:t>The extensive nature of this list means women often experience a cluster of symptoms long before receiving a formal diagnosis. Through informal conversations with friends and family, I have identified a pervasive lack of proactive information. Many women expressed frustration at the lack of exposure to these facts, leaving them in a state of confusion. Without prior knowledge, many fear they are experiencing a mental health crisis or a terminal illness. Because the "change" varies so significantly—with some women experiencing no symptoms and others experiencing nearly all of them—comprehensive education is essential to ensure women can accurately communicate their needs to medical professionals.</w:t>
      </w:r>
    </w:p>
    <w:p w14:paraId="164382B0" w14:textId="77777777" w:rsidR="00061D7A" w:rsidRDefault="00061D7A" w:rsidP="007D0CEF">
      <w:pPr>
        <w:rPr>
          <w:rFonts w:cs="Arial"/>
          <w:b/>
          <w:bCs/>
        </w:rPr>
      </w:pPr>
    </w:p>
    <w:p w14:paraId="1532AC26" w14:textId="77777777" w:rsidR="00061D7A" w:rsidRDefault="00061D7A" w:rsidP="007D0CEF">
      <w:pPr>
        <w:rPr>
          <w:rFonts w:cs="Arial"/>
          <w:b/>
          <w:bCs/>
        </w:rPr>
      </w:pPr>
    </w:p>
    <w:p w14:paraId="0E47104C" w14:textId="77777777" w:rsidR="00061D7A" w:rsidRDefault="00061D7A" w:rsidP="007D0CEF">
      <w:pPr>
        <w:rPr>
          <w:rFonts w:cs="Arial"/>
          <w:b/>
          <w:bCs/>
        </w:rPr>
      </w:pPr>
    </w:p>
    <w:p w14:paraId="22408F64" w14:textId="77777777" w:rsidR="00061D7A" w:rsidRDefault="00061D7A" w:rsidP="007D0CEF">
      <w:pPr>
        <w:rPr>
          <w:rFonts w:cs="Arial"/>
          <w:b/>
          <w:bCs/>
        </w:rPr>
      </w:pPr>
    </w:p>
    <w:p w14:paraId="52C4A47C" w14:textId="77777777" w:rsidR="00061D7A" w:rsidRDefault="00061D7A" w:rsidP="007D0CEF">
      <w:pPr>
        <w:rPr>
          <w:rFonts w:cs="Arial"/>
          <w:b/>
          <w:bCs/>
        </w:rPr>
      </w:pPr>
    </w:p>
    <w:p w14:paraId="07EE87EA" w14:textId="73945A4A" w:rsidR="007D0CEF" w:rsidRDefault="009D37E1" w:rsidP="007D0CEF">
      <w:pPr>
        <w:rPr>
          <w:rFonts w:cs="Arial"/>
          <w:b/>
          <w:bCs/>
        </w:rPr>
      </w:pPr>
      <w:r w:rsidRPr="009D37E1">
        <w:rPr>
          <w:rFonts w:cs="Arial"/>
          <w:b/>
          <w:bCs/>
        </w:rPr>
        <w:t>References</w:t>
      </w:r>
    </w:p>
    <w:p w14:paraId="18965F7C" w14:textId="4CFFE9C0" w:rsidR="009D37E1" w:rsidRDefault="009D37E1" w:rsidP="007D0CEF">
      <w:pPr>
        <w:rPr>
          <w:rFonts w:cs="Arial"/>
          <w:b/>
          <w:bCs/>
        </w:rPr>
      </w:pPr>
    </w:p>
    <w:p w14:paraId="43265522" w14:textId="77777777" w:rsidR="00EC037B" w:rsidRDefault="00EC037B" w:rsidP="00EC037B">
      <w:pPr>
        <w:pStyle w:val="NormalWeb"/>
      </w:pPr>
      <w:r>
        <w:t xml:space="preserve">Cleveland Clinic (2022) </w:t>
      </w:r>
      <w:r>
        <w:rPr>
          <w:i/>
          <w:iCs/>
        </w:rPr>
        <w:t>Premature &amp; early menopause: causes, symptoms &amp; treatment</w:t>
      </w:r>
      <w:r>
        <w:t xml:space="preserve">. Available at: </w:t>
      </w:r>
      <w:hyperlink r:id="rId8" w:tgtFrame="_blank" w:history="1">
        <w:r>
          <w:rPr>
            <w:rStyle w:val="Hyperlink"/>
            <w:rFonts w:eastAsiaTheme="majorEastAsia"/>
          </w:rPr>
          <w:t>https://my.clevelandclinic.org/health/diseases/21138-premature-and-early-menopause</w:t>
        </w:r>
      </w:hyperlink>
      <w:r>
        <w:t xml:space="preserve"> (Accessed: 15 January 2026).</w:t>
      </w:r>
    </w:p>
    <w:p w14:paraId="309CD032" w14:textId="77777777" w:rsidR="00EC037B" w:rsidRDefault="00EC037B" w:rsidP="00EC037B">
      <w:pPr>
        <w:pStyle w:val="NormalWeb"/>
      </w:pPr>
      <w:r>
        <w:t xml:space="preserve">NHS (2025) </w:t>
      </w:r>
      <w:r>
        <w:rPr>
          <w:i/>
          <w:iCs/>
        </w:rPr>
        <w:t>Symptoms of menopause</w:t>
      </w:r>
      <w:r>
        <w:t xml:space="preserve">. Available at: </w:t>
      </w:r>
      <w:hyperlink r:id="rId9" w:tgtFrame="_blank" w:history="1">
        <w:r>
          <w:rPr>
            <w:rStyle w:val="Hyperlink"/>
            <w:rFonts w:eastAsiaTheme="majorEastAsia"/>
          </w:rPr>
          <w:t>https://www.nhs.uk/conditions/menopause/symptoms/</w:t>
        </w:r>
      </w:hyperlink>
      <w:r>
        <w:t xml:space="preserve"> (Accessed: 15 January 2026).</w:t>
      </w:r>
    </w:p>
    <w:p w14:paraId="0AEBD5A6" w14:textId="77777777" w:rsidR="00EC037B" w:rsidRDefault="00EC037B" w:rsidP="00EC037B">
      <w:pPr>
        <w:pStyle w:val="NormalWeb"/>
      </w:pPr>
      <w:r>
        <w:t xml:space="preserve">Santoro, N., Roeca, C., Peters, B.A. and Neal-Perry, G. (2020) 'The menopause transition: signs, symptoms, and management options', </w:t>
      </w:r>
      <w:r>
        <w:rPr>
          <w:i/>
          <w:iCs/>
        </w:rPr>
        <w:t>Obstetrics and Gynecology Clinics of North America</w:t>
      </w:r>
      <w:r>
        <w:t>, 47(3), pp. 413–424. doi: 10.1016/j.ogc.2020.04.001.</w:t>
      </w:r>
    </w:p>
    <w:p w14:paraId="146FFFB9" w14:textId="77777777" w:rsidR="00EC037B" w:rsidRDefault="00EC037B" w:rsidP="00EC037B">
      <w:pPr>
        <w:pStyle w:val="NormalWeb"/>
      </w:pPr>
      <w:r>
        <w:t xml:space="preserve">Winter, R. (1996) 'Some principles and procedures for the conduct of action research', in Zuber-Skerritt, O. (ed.) </w:t>
      </w:r>
      <w:r>
        <w:rPr>
          <w:i/>
          <w:iCs/>
        </w:rPr>
        <w:t>New Directions in Action Research</w:t>
      </w:r>
      <w:r>
        <w:t>. London: Falmer Press, pp. 13–27.</w:t>
      </w:r>
    </w:p>
    <w:p w14:paraId="4A648456" w14:textId="10BF3327" w:rsidR="00095064" w:rsidRPr="009D37E1" w:rsidRDefault="00095064" w:rsidP="007D0CEF">
      <w:pPr>
        <w:rPr>
          <w:rFonts w:ascii="Arial" w:hAnsi="Arial" w:cs="Arial"/>
          <w:sz w:val="22"/>
          <w:szCs w:val="22"/>
        </w:rPr>
      </w:pPr>
    </w:p>
    <w:sectPr w:rsidR="00095064" w:rsidRPr="009D37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EAD01" w14:textId="77777777" w:rsidR="00EE5595" w:rsidRDefault="00EE5595" w:rsidP="007D0CEF">
      <w:pPr>
        <w:spacing w:after="0" w:line="240" w:lineRule="auto"/>
      </w:pPr>
      <w:r>
        <w:separator/>
      </w:r>
    </w:p>
  </w:endnote>
  <w:endnote w:type="continuationSeparator" w:id="0">
    <w:p w14:paraId="5DEEAB71" w14:textId="77777777" w:rsidR="00EE5595" w:rsidRDefault="00EE5595" w:rsidP="007D0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07C1E" w14:textId="77777777" w:rsidR="00EE5595" w:rsidRDefault="00EE5595" w:rsidP="007D0CEF">
      <w:pPr>
        <w:spacing w:after="0" w:line="240" w:lineRule="auto"/>
      </w:pPr>
      <w:r>
        <w:separator/>
      </w:r>
    </w:p>
  </w:footnote>
  <w:footnote w:type="continuationSeparator" w:id="0">
    <w:p w14:paraId="29233632" w14:textId="77777777" w:rsidR="00EE5595" w:rsidRDefault="00EE5595" w:rsidP="007D0C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42D49"/>
    <w:multiLevelType w:val="hybridMultilevel"/>
    <w:tmpl w:val="13202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A34FB9"/>
    <w:multiLevelType w:val="hybridMultilevel"/>
    <w:tmpl w:val="66820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E14F0A"/>
    <w:multiLevelType w:val="multilevel"/>
    <w:tmpl w:val="DA601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2343749">
    <w:abstractNumId w:val="0"/>
  </w:num>
  <w:num w:numId="2" w16cid:durableId="742265020">
    <w:abstractNumId w:val="1"/>
  </w:num>
  <w:num w:numId="3" w16cid:durableId="14749109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A3D"/>
    <w:rsid w:val="00061D7A"/>
    <w:rsid w:val="00064173"/>
    <w:rsid w:val="0009155F"/>
    <w:rsid w:val="00095064"/>
    <w:rsid w:val="000B02B3"/>
    <w:rsid w:val="000E423D"/>
    <w:rsid w:val="000E5477"/>
    <w:rsid w:val="000F2D6A"/>
    <w:rsid w:val="001129A4"/>
    <w:rsid w:val="00157004"/>
    <w:rsid w:val="00166506"/>
    <w:rsid w:val="00193935"/>
    <w:rsid w:val="001A48F8"/>
    <w:rsid w:val="001B48AC"/>
    <w:rsid w:val="00201F5C"/>
    <w:rsid w:val="002228C2"/>
    <w:rsid w:val="002E54D6"/>
    <w:rsid w:val="00357E6B"/>
    <w:rsid w:val="00392224"/>
    <w:rsid w:val="00401A7D"/>
    <w:rsid w:val="00426A64"/>
    <w:rsid w:val="00446B3D"/>
    <w:rsid w:val="00467566"/>
    <w:rsid w:val="00493852"/>
    <w:rsid w:val="00511A3D"/>
    <w:rsid w:val="00547E13"/>
    <w:rsid w:val="0055778A"/>
    <w:rsid w:val="005C265D"/>
    <w:rsid w:val="00660F70"/>
    <w:rsid w:val="00772FC4"/>
    <w:rsid w:val="00776424"/>
    <w:rsid w:val="00783AE4"/>
    <w:rsid w:val="0078494B"/>
    <w:rsid w:val="0079071B"/>
    <w:rsid w:val="007B4F46"/>
    <w:rsid w:val="007D0CEF"/>
    <w:rsid w:val="00886127"/>
    <w:rsid w:val="008C2FC4"/>
    <w:rsid w:val="008C6039"/>
    <w:rsid w:val="0094163E"/>
    <w:rsid w:val="00964460"/>
    <w:rsid w:val="009D0637"/>
    <w:rsid w:val="009D0C58"/>
    <w:rsid w:val="009D37E1"/>
    <w:rsid w:val="00A209C4"/>
    <w:rsid w:val="00AD3B5B"/>
    <w:rsid w:val="00AF64EC"/>
    <w:rsid w:val="00B004EE"/>
    <w:rsid w:val="00B10B19"/>
    <w:rsid w:val="00B25E53"/>
    <w:rsid w:val="00B82DA6"/>
    <w:rsid w:val="00BB0CE1"/>
    <w:rsid w:val="00BD3C73"/>
    <w:rsid w:val="00BF5B7C"/>
    <w:rsid w:val="00C10177"/>
    <w:rsid w:val="00C81588"/>
    <w:rsid w:val="00D15BCD"/>
    <w:rsid w:val="00D74732"/>
    <w:rsid w:val="00D80039"/>
    <w:rsid w:val="00DA2DDF"/>
    <w:rsid w:val="00DC4187"/>
    <w:rsid w:val="00E5187F"/>
    <w:rsid w:val="00EC037B"/>
    <w:rsid w:val="00EC3729"/>
    <w:rsid w:val="00EC5257"/>
    <w:rsid w:val="00EE5595"/>
    <w:rsid w:val="00F36A88"/>
    <w:rsid w:val="00F74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23945"/>
  <w15:chartTrackingRefBased/>
  <w15:docId w15:val="{E530AF57-29CC-43EA-B005-D3949F042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A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A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A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A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A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A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A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A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A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A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A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A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A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A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A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A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A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A3D"/>
    <w:rPr>
      <w:rFonts w:eastAsiaTheme="majorEastAsia" w:cstheme="majorBidi"/>
      <w:color w:val="272727" w:themeColor="text1" w:themeTint="D8"/>
    </w:rPr>
  </w:style>
  <w:style w:type="paragraph" w:styleId="Title">
    <w:name w:val="Title"/>
    <w:basedOn w:val="Normal"/>
    <w:next w:val="Normal"/>
    <w:link w:val="TitleChar"/>
    <w:uiPriority w:val="10"/>
    <w:qFormat/>
    <w:rsid w:val="00511A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A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A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A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A3D"/>
    <w:pPr>
      <w:spacing w:before="160"/>
      <w:jc w:val="center"/>
    </w:pPr>
    <w:rPr>
      <w:i/>
      <w:iCs/>
      <w:color w:val="404040" w:themeColor="text1" w:themeTint="BF"/>
    </w:rPr>
  </w:style>
  <w:style w:type="character" w:customStyle="1" w:styleId="QuoteChar">
    <w:name w:val="Quote Char"/>
    <w:basedOn w:val="DefaultParagraphFont"/>
    <w:link w:val="Quote"/>
    <w:uiPriority w:val="29"/>
    <w:rsid w:val="00511A3D"/>
    <w:rPr>
      <w:i/>
      <w:iCs/>
      <w:color w:val="404040" w:themeColor="text1" w:themeTint="BF"/>
    </w:rPr>
  </w:style>
  <w:style w:type="paragraph" w:styleId="ListParagraph">
    <w:name w:val="List Paragraph"/>
    <w:basedOn w:val="Normal"/>
    <w:uiPriority w:val="34"/>
    <w:qFormat/>
    <w:rsid w:val="00511A3D"/>
    <w:pPr>
      <w:ind w:left="720"/>
      <w:contextualSpacing/>
    </w:pPr>
  </w:style>
  <w:style w:type="character" w:styleId="IntenseEmphasis">
    <w:name w:val="Intense Emphasis"/>
    <w:basedOn w:val="DefaultParagraphFont"/>
    <w:uiPriority w:val="21"/>
    <w:qFormat/>
    <w:rsid w:val="00511A3D"/>
    <w:rPr>
      <w:i/>
      <w:iCs/>
      <w:color w:val="0F4761" w:themeColor="accent1" w:themeShade="BF"/>
    </w:rPr>
  </w:style>
  <w:style w:type="paragraph" w:styleId="IntenseQuote">
    <w:name w:val="Intense Quote"/>
    <w:basedOn w:val="Normal"/>
    <w:next w:val="Normal"/>
    <w:link w:val="IntenseQuoteChar"/>
    <w:uiPriority w:val="30"/>
    <w:qFormat/>
    <w:rsid w:val="00511A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A3D"/>
    <w:rPr>
      <w:i/>
      <w:iCs/>
      <w:color w:val="0F4761" w:themeColor="accent1" w:themeShade="BF"/>
    </w:rPr>
  </w:style>
  <w:style w:type="character" w:styleId="IntenseReference">
    <w:name w:val="Intense Reference"/>
    <w:basedOn w:val="DefaultParagraphFont"/>
    <w:uiPriority w:val="32"/>
    <w:qFormat/>
    <w:rsid w:val="00511A3D"/>
    <w:rPr>
      <w:b/>
      <w:bCs/>
      <w:smallCaps/>
      <w:color w:val="0F4761" w:themeColor="accent1" w:themeShade="BF"/>
      <w:spacing w:val="5"/>
    </w:rPr>
  </w:style>
  <w:style w:type="paragraph" w:styleId="Header">
    <w:name w:val="header"/>
    <w:basedOn w:val="Normal"/>
    <w:link w:val="HeaderChar"/>
    <w:uiPriority w:val="99"/>
    <w:unhideWhenUsed/>
    <w:rsid w:val="007D0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CEF"/>
  </w:style>
  <w:style w:type="paragraph" w:styleId="Footer">
    <w:name w:val="footer"/>
    <w:basedOn w:val="Normal"/>
    <w:link w:val="FooterChar"/>
    <w:uiPriority w:val="99"/>
    <w:unhideWhenUsed/>
    <w:rsid w:val="007D0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CEF"/>
  </w:style>
  <w:style w:type="character" w:styleId="Hyperlink">
    <w:name w:val="Hyperlink"/>
    <w:basedOn w:val="DefaultParagraphFont"/>
    <w:uiPriority w:val="99"/>
    <w:semiHidden/>
    <w:unhideWhenUsed/>
    <w:rsid w:val="009D0C58"/>
    <w:rPr>
      <w:color w:val="0000FF"/>
      <w:u w:val="single"/>
    </w:rPr>
  </w:style>
  <w:style w:type="paragraph" w:styleId="NormalWeb">
    <w:name w:val="Normal (Web)"/>
    <w:basedOn w:val="Normal"/>
    <w:uiPriority w:val="99"/>
    <w:semiHidden/>
    <w:unhideWhenUsed/>
    <w:rsid w:val="009D0C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levelandclinic.org/health/diseases/21138-premature-and-early-menopaus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hs.uk/conditions/menopause/sympto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527</Words>
  <Characters>3548</Characters>
  <Application>Microsoft Office Word</Application>
  <DocSecurity>0</DocSecurity>
  <Lines>887</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Lewis (2328179)</dc:creator>
  <cp:keywords/>
  <dc:description/>
  <cp:lastModifiedBy>Precious Lewis (2328179)</cp:lastModifiedBy>
  <cp:revision>4</cp:revision>
  <dcterms:created xsi:type="dcterms:W3CDTF">2026-01-22T14:28:00Z</dcterms:created>
  <dcterms:modified xsi:type="dcterms:W3CDTF">2026-01-22T14:34:00Z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ad59c872-a67d-4591-a613-ba04eaacb7a5</vt:lpwstr>
  </property>
</Properties>
</file>