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0" w:line="276" w:lineRule="auto"/>
        <w:jc w:val="center"/>
        <w:rPr>
          <w:rFonts w:ascii="Arial" w:cs="Arial" w:eastAsia="Arial" w:hAnsi="Arial"/>
          <w:u w:val="single"/>
        </w:rPr>
      </w:pPr>
      <w:r w:rsidDel="00000000" w:rsidR="00000000" w:rsidRPr="00000000">
        <w:rPr>
          <w:rFonts w:ascii="Arial" w:cs="Arial" w:eastAsia="Arial" w:hAnsi="Arial"/>
          <w:u w:val="single"/>
          <w:rtl w:val="0"/>
        </w:rPr>
        <w:t xml:space="preserve">Reference List</w:t>
      </w:r>
    </w:p>
    <w:p w:rsidR="00000000" w:rsidDel="00000000" w:rsidP="00000000" w:rsidRDefault="00000000" w:rsidRPr="00000000" w14:paraId="00000002">
      <w:pPr>
        <w:spacing w:after="0" w:line="276" w:lineRule="auto"/>
        <w:rPr>
          <w:rFonts w:ascii="Arial" w:cs="Arial" w:eastAsia="Arial" w:hAnsi="Arial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after="0" w:line="276" w:lineRule="auto"/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</w:rPr>
      </w:pPr>
      <w:r w:rsidDel="00000000" w:rsidR="00000000" w:rsidRPr="00000000">
        <w:rPr>
          <w:rFonts w:ascii="Arial" w:cs="Arial" w:eastAsia="Arial" w:hAnsi="Arial"/>
          <w:color w:val="0c2340"/>
          <w:sz w:val="24"/>
          <w:szCs w:val="24"/>
          <w:rtl w:val="0"/>
        </w:rPr>
        <w:t xml:space="preserve">“</w:t>
      </w:r>
      <w:r w:rsidDel="00000000" w:rsidR="00000000" w:rsidRPr="00000000"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  <w:rtl w:val="0"/>
        </w:rPr>
        <w:t xml:space="preserve">In old age, cognitive functioning tends to decline substantially after hospitalization even after controlling for illness severity and prehospital cognitive decline.</w:t>
      </w:r>
    </w:p>
    <w:p w:rsidR="00000000" w:rsidDel="00000000" w:rsidP="00000000" w:rsidRDefault="00000000" w:rsidRPr="00000000" w14:paraId="00000004">
      <w:pPr>
        <w:spacing w:after="0" w:line="276" w:lineRule="auto"/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0" w:line="276" w:lineRule="auto"/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</w:rPr>
      </w:pPr>
      <w:r w:rsidDel="00000000" w:rsidR="00000000" w:rsidRPr="00000000"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  <w:rtl w:val="0"/>
        </w:rPr>
        <w:t xml:space="preserve">National Library of Medicine (2012) </w:t>
      </w:r>
      <w:r w:rsidDel="00000000" w:rsidR="00000000" w:rsidRPr="00000000">
        <w:rPr>
          <w:rFonts w:ascii="Times New Roman" w:cs="Times New Roman" w:eastAsia="Times New Roman" w:hAnsi="Times New Roman"/>
          <w:i w:val="1"/>
          <w:iCs w:val="1"/>
          <w:color w:val="1b1b1b"/>
          <w:sz w:val="28"/>
          <w:szCs w:val="28"/>
          <w:highlight w:val="white"/>
          <w:rtl w:val="0"/>
        </w:rPr>
        <w:t xml:space="preserve">Cognitive decline after hospitalisation in a community population of older persons</w:t>
      </w:r>
      <w:r w:rsidDel="00000000" w:rsidR="00000000" w:rsidRPr="00000000"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  <w:rtl w:val="0"/>
        </w:rPr>
        <w:t xml:space="preserve">.</w:t>
      </w:r>
      <w:r w:rsidDel="00000000" w:rsidR="00000000" w:rsidRPr="00000000"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  <w:rtl w:val="0"/>
        </w:rPr>
        <w:t xml:space="preserve"> Available @ </w:t>
      </w:r>
      <w:r w:rsidDel="00000000" w:rsidR="00000000" w:rsidRPr="00000000">
        <w:rPr>
          <w:rFonts w:ascii="Times New Roman" w:cs="Times New Roman" w:eastAsia="Times New Roman" w:hAnsi="Times New Roman"/>
          <w:color w:val="1b1b1b"/>
          <w:sz w:val="28"/>
          <w:szCs w:val="28"/>
          <w:highlight w:val="white"/>
          <w:rtl w:val="0"/>
        </w:rPr>
        <w:t xml:space="preserve">https://pmc.ncbi.nlm.nih.gov/articles/PMC3310309/ (Accessed: 13/11/2025).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0" w:line="276" w:lineRule="auto"/>
        <w:rPr>
          <w:sz w:val="40"/>
          <w:szCs w:val="40"/>
        </w:rPr>
      </w:pPr>
      <w:r w:rsidDel="00000000" w:rsidR="00000000" w:rsidRPr="00000000">
        <w:rPr>
          <w:rtl w:val="0"/>
        </w:rPr>
      </w:r>
    </w:p>
    <w:sectPr>
      <w:headerReference r:id="rId7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  <w:font w:name="Times New Roman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07">
    <w:pPr>
      <w:rPr>
        <w:sz w:val="40"/>
        <w:szCs w:val="40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0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09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Calibri" w:cs="Calibri" w:eastAsia="Calibri" w:hAnsi="Calibri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bCs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 w:default="1">
    <w:name w:val="Default Paragraph Font"/>
    <w:uiPriority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table" w:styleId="TableGrid">
    <w:name w:val="Table Grid"/>
    <w:basedOn w:val="TableNormal"/>
    <w:uiPriority w:val="39"/>
    <w:rsid w:val="005F184F"/>
    <w:pPr>
      <w:spacing w:after="0" w:line="240" w:lineRule="auto"/>
    </w:p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table" w:styleId="GridTable4-Accent5">
    <w:name w:val="Grid Table 4 Accent 5"/>
    <w:basedOn w:val="TableNormal"/>
    <w:uiPriority w:val="49"/>
    <w:rsid w:val="005C5458"/>
    <w:pPr>
      <w:spacing w:after="0" w:line="240" w:lineRule="auto"/>
    </w:pPr>
    <w:tblPr>
      <w:tblStyleRowBandSize w:val="1"/>
      <w:tblStyleColBandSize w:val="1"/>
      <w:tblBorders>
        <w:top w:color="9cc2e5" w:space="0" w:sz="4" w:themeColor="accent5" w:themeTint="000099" w:val="single"/>
        <w:left w:color="9cc2e5" w:space="0" w:sz="4" w:themeColor="accent5" w:themeTint="000099" w:val="single"/>
        <w:bottom w:color="9cc2e5" w:space="0" w:sz="4" w:themeColor="accent5" w:themeTint="000099" w:val="single"/>
        <w:right w:color="9cc2e5" w:space="0" w:sz="4" w:themeColor="accent5" w:themeTint="000099" w:val="single"/>
        <w:insideH w:color="9cc2e5" w:space="0" w:sz="4" w:themeColor="accent5" w:themeTint="000099" w:val="single"/>
        <w:insideV w:color="9cc2e5" w:space="0" w:sz="4" w:themeColor="accent5" w:themeTint="000099" w:val="single"/>
      </w:tblBorders>
    </w:tblPr>
    <w:tblStylePr w:type="firstRow">
      <w:rPr>
        <w:b w:val="1"/>
        <w:bCs w:val="1"/>
        <w:color w:val="ffffff" w:themeColor="background1"/>
      </w:rPr>
      <w:tblPr/>
      <w:tcPr>
        <w:tcBorders>
          <w:top w:color="5b9bd5" w:space="0" w:sz="4" w:themeColor="accent5" w:val="single"/>
          <w:left w:color="5b9bd5" w:space="0" w:sz="4" w:themeColor="accent5" w:val="single"/>
          <w:bottom w:color="5b9bd5" w:space="0" w:sz="4" w:themeColor="accent5" w:val="single"/>
          <w:right w:color="5b9bd5" w:space="0" w:sz="4" w:themeColor="accent5" w:val="single"/>
          <w:insideH w:space="0" w:sz="0" w:val="nil"/>
          <w:insideV w:space="0" w:sz="0" w:val="nil"/>
        </w:tcBorders>
        <w:shd w:color="auto" w:fill="5b9bd5" w:themeFill="accent5" w:val="clear"/>
      </w:tcPr>
    </w:tblStylePr>
    <w:tblStylePr w:type="lastRow">
      <w:rPr>
        <w:b w:val="1"/>
        <w:bCs w:val="1"/>
      </w:rPr>
      <w:tblPr/>
      <w:tcPr>
        <w:tcBorders>
          <w:top w:color="5b9bd5" w:space="0" w:sz="4" w:themeColor="accent5" w:val="double"/>
        </w:tcBorders>
      </w:tcPr>
    </w:tblStylePr>
    <w:tblStylePr w:type="firstCol">
      <w:rPr>
        <w:b w:val="1"/>
        <w:bCs w:val="1"/>
      </w:rPr>
    </w:tblStylePr>
    <w:tblStylePr w:type="lastCol">
      <w:rPr>
        <w:b w:val="1"/>
        <w:bCs w:val="1"/>
      </w:rPr>
    </w:tblStylePr>
    <w:tblStylePr w:type="band1Vert">
      <w:tblPr/>
      <w:tcPr>
        <w:shd w:color="auto" w:fill="deeaf6" w:themeFill="accent5" w:themeFillTint="000033" w:val="clear"/>
      </w:tcPr>
    </w:tblStylePr>
    <w:tblStylePr w:type="band1Horz">
      <w:tblPr/>
      <w:tcPr>
        <w:shd w:color="auto" w:fill="deeaf6" w:themeFill="accent5" w:themeFillTint="000033" w:val="clear"/>
      </w:tcPr>
    </w:tblStylePr>
  </w:style>
  <w:style w:type="paragraph" w:styleId="Header">
    <w:name w:val="header"/>
    <w:basedOn w:val="Normal"/>
    <w:link w:val="HeaderChar"/>
    <w:uiPriority w:val="99"/>
    <w:unhideWhenUsed w:val="1"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3115B"/>
  </w:style>
  <w:style w:type="paragraph" w:styleId="Footer">
    <w:name w:val="footer"/>
    <w:basedOn w:val="Normal"/>
    <w:link w:val="FooterChar"/>
    <w:uiPriority w:val="99"/>
    <w:unhideWhenUsed w:val="1"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3115B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SNVrsn4yaz3hDkUMC4sAWJwKh1Q==">CgMxLjA4AHIhMTJxRzM3SHgzcmNybkZrVmQzazN2YWFwZFpxWW9jVXll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2023-10-04T10:29:00Z</dcterms:created>
  <dc:creator>Donna Morgan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