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175B" w14:textId="605C5623" w:rsidR="00B44D3A" w:rsidRDefault="00B44D3A" w:rsidP="00B44D3A">
      <w:r>
        <w:t>Ashley Mc Fee</w:t>
      </w:r>
    </w:p>
    <w:p w14:paraId="5161769F" w14:textId="78822960" w:rsidR="00B44D3A" w:rsidRDefault="00B44D3A" w:rsidP="00B44D3A">
      <w:r>
        <w:t>Seventeenth Century Literature: Unities and Dualities</w:t>
      </w:r>
    </w:p>
    <w:p w14:paraId="347A514B" w14:textId="1B852463" w:rsidR="00B44D3A" w:rsidRDefault="00B44D3A" w:rsidP="00B44D3A">
      <w:r>
        <w:t>Dr Peter Mitchell</w:t>
      </w:r>
    </w:p>
    <w:p w14:paraId="5DD1B21F" w14:textId="34DD11D5" w:rsidR="00B44D3A" w:rsidRDefault="00B44D3A" w:rsidP="00B44D3A">
      <w:r>
        <w:t>16 October 2022</w:t>
      </w:r>
    </w:p>
    <w:p w14:paraId="1DC6C958" w14:textId="504D43FB" w:rsidR="00B44D3A" w:rsidRDefault="00B44D3A" w:rsidP="00B44D3A">
      <w:pPr>
        <w:rPr>
          <w:b/>
          <w:bCs/>
          <w:u w:val="single"/>
        </w:rPr>
      </w:pPr>
    </w:p>
    <w:p w14:paraId="0F7E0673" w14:textId="32A27748" w:rsidR="00B44D3A" w:rsidRPr="00B44D3A" w:rsidRDefault="00B44D3A" w:rsidP="00B44D3A">
      <w:pPr>
        <w:rPr>
          <w:b/>
          <w:bCs/>
          <w:u w:val="single"/>
        </w:rPr>
      </w:pPr>
      <w:r w:rsidRPr="00B44D3A">
        <w:rPr>
          <w:b/>
          <w:bCs/>
          <w:u w:val="single"/>
        </w:rPr>
        <w:t>Compare the values and attitudes encountered in the country house poems of Thomas Carew and Andrew Marvell</w:t>
      </w:r>
    </w:p>
    <w:p w14:paraId="2978BE8C" w14:textId="51A23382" w:rsidR="00A5559F" w:rsidRDefault="00A458E3" w:rsidP="00B44D3A">
      <w:pPr>
        <w:ind w:firstLine="720"/>
      </w:pPr>
      <w:r w:rsidRPr="000F2C68">
        <w:t xml:space="preserve">The seventeenth century saw the rise of multidimensional poets and different poetic styles. These poets have lived on through their verses and have influenced modern writing. Poetic styles which saw its rise during the seventeenth century are </w:t>
      </w:r>
      <w:r w:rsidR="00A13E43" w:rsidRPr="000F2C68">
        <w:t xml:space="preserve">Caroline </w:t>
      </w:r>
      <w:r w:rsidRPr="000F2C68">
        <w:t>courtly</w:t>
      </w:r>
      <w:r w:rsidR="00A13E43" w:rsidRPr="000F2C68">
        <w:t>(cavalier)</w:t>
      </w:r>
      <w:r w:rsidRPr="000F2C68">
        <w:t xml:space="preserve"> poetry and </w:t>
      </w:r>
      <w:r w:rsidR="00A13E43" w:rsidRPr="000F2C68">
        <w:t xml:space="preserve">metaphysical poetry. While the former was used as an expression of love, pleasures and the glamour of the Caroline era, the latter was an expression of important subject affairs during the seventeenth century. Courtly poets or Cavaliers were concentrated on delicate imagery and diction, whereas metaphysical poets utilized a mixture of conceit and wit to </w:t>
      </w:r>
      <w:r w:rsidR="008A43A4" w:rsidRPr="000F2C68">
        <w:t>give meaning to</w:t>
      </w:r>
      <w:r w:rsidR="00A13E43" w:rsidRPr="000F2C68">
        <w:t xml:space="preserve"> their thoughts and images. </w:t>
      </w:r>
      <w:r w:rsidR="008A43A4" w:rsidRPr="000F2C68">
        <w:t xml:space="preserve">The world of courtly poetry was largely influenced by Ben Jonson, who was then prominent in the careers of Richard Lovelace and Thomas Carew. </w:t>
      </w:r>
      <w:proofErr w:type="spellStart"/>
      <w:r w:rsidR="008A43A4" w:rsidRPr="000F2C68">
        <w:t>Dr.</w:t>
      </w:r>
      <w:proofErr w:type="spellEnd"/>
      <w:r w:rsidR="008A43A4" w:rsidRPr="000F2C68">
        <w:t xml:space="preserve"> John Donne, John Milton and Andrew Marvell are best remembered for their metaphysical poetry. While there was the rise of great poets and </w:t>
      </w:r>
      <w:r w:rsidR="00EA6F7C" w:rsidRPr="000F2C68">
        <w:t xml:space="preserve">poetic styles, the seventeenth century also witnessed Civil Wars fought between supporters of King Charles </w:t>
      </w:r>
      <w:r w:rsidR="00BB7FDC">
        <w:rPr>
          <w:b/>
          <w:bCs/>
          <w:color w:val="202122"/>
          <w:sz w:val="25"/>
          <w:szCs w:val="25"/>
          <w:shd w:val="clear" w:color="auto" w:fill="FFFFFF"/>
        </w:rPr>
        <w:t>I</w:t>
      </w:r>
      <w:r w:rsidR="00EA6F7C" w:rsidRPr="000F2C68">
        <w:t xml:space="preserve"> (Royalist) and parliament. </w:t>
      </w:r>
      <w:r w:rsidR="00195380" w:rsidRPr="000F2C68">
        <w:t>Like many people, poets were affiliated with political assemblies and often wrote poems which reflected their association. Thomas Carew and Andrew Marvell are no different as they both stood on opposite ends of the political spectrum. Thomas Carew, although he died before the beginning of the Civil Wars</w:t>
      </w:r>
      <w:r w:rsidR="0033410C">
        <w:t>,</w:t>
      </w:r>
      <w:r w:rsidR="00195380" w:rsidRPr="000F2C68">
        <w:t xml:space="preserve"> would have been a staunch Royalist</w:t>
      </w:r>
      <w:r w:rsidR="007C358B">
        <w:t xml:space="preserve">, </w:t>
      </w:r>
      <w:r w:rsidR="007C358B" w:rsidRPr="000F2C68">
        <w:t>whereas</w:t>
      </w:r>
      <w:r w:rsidR="00195380" w:rsidRPr="000F2C68">
        <w:t xml:space="preserve"> Andrew Marvell was described as anti-royalist</w:t>
      </w:r>
      <w:r w:rsidR="00CE5727">
        <w:t>, however there are no conclusive evidence to his political affiliations</w:t>
      </w:r>
      <w:r w:rsidR="00530B01" w:rsidRPr="000F2C68">
        <w:t>. The diversion of both poets began with their political differences, the</w:t>
      </w:r>
      <w:r w:rsidR="007C358B">
        <w:t>ir</w:t>
      </w:r>
      <w:r w:rsidR="00530B01" w:rsidRPr="000F2C68">
        <w:t xml:space="preserve"> poetic styles and continued along with their takes on country- house poems. </w:t>
      </w:r>
      <w:r w:rsidR="00865946" w:rsidRPr="000F2C68">
        <w:t>Country house poems were odes to owners and by extension the house ‘and of the whole way of life of which the country house was the centre</w:t>
      </w:r>
      <w:r w:rsidR="000F2C68">
        <w:t>.</w:t>
      </w:r>
      <w:r w:rsidR="00865946" w:rsidRPr="000F2C68">
        <w:t>’</w:t>
      </w:r>
      <w:r w:rsidR="000F2C68" w:rsidRPr="000F2C68">
        <w:rPr>
          <w:rStyle w:val="FootnoteReference"/>
          <w:sz w:val="24"/>
          <w:szCs w:val="24"/>
        </w:rPr>
        <w:footnoteReference w:id="1"/>
      </w:r>
      <w:r w:rsidR="00A43821">
        <w:t xml:space="preserve"> Carew writes a country house poem, “</w:t>
      </w:r>
      <w:r w:rsidR="00A43821">
        <w:rPr>
          <w:i/>
          <w:iCs/>
        </w:rPr>
        <w:t>To Saxham”</w:t>
      </w:r>
      <w:r w:rsidR="00CF0F03">
        <w:rPr>
          <w:i/>
          <w:iCs/>
        </w:rPr>
        <w:t>,</w:t>
      </w:r>
      <w:r w:rsidR="00A43821">
        <w:rPr>
          <w:i/>
          <w:iCs/>
        </w:rPr>
        <w:t xml:space="preserve"> </w:t>
      </w:r>
      <w:r w:rsidR="00A43821">
        <w:t>to Sir John Croft, the owner of a country house, Little Saxham</w:t>
      </w:r>
      <w:r w:rsidR="00BB7FDC">
        <w:t xml:space="preserve"> where</w:t>
      </w:r>
      <w:r w:rsidR="00A43821">
        <w:t xml:space="preserve"> King Charles </w:t>
      </w:r>
      <w:r w:rsidR="00BB7FDC">
        <w:rPr>
          <w:b/>
          <w:bCs/>
          <w:color w:val="202122"/>
          <w:sz w:val="25"/>
          <w:szCs w:val="25"/>
          <w:shd w:val="clear" w:color="auto" w:fill="FFFFFF"/>
        </w:rPr>
        <w:t>I</w:t>
      </w:r>
      <w:r w:rsidR="00A43821">
        <w:t xml:space="preserve"> </w:t>
      </w:r>
      <w:r w:rsidR="00BB7FDC">
        <w:t>resided for some time.</w:t>
      </w:r>
      <w:r w:rsidR="00A43821">
        <w:t xml:space="preserve"> </w:t>
      </w:r>
      <w:r w:rsidR="00BB7FDC">
        <w:t>Similarly, Marvell’s “</w:t>
      </w:r>
      <w:r w:rsidR="00BB7FDC" w:rsidRPr="00BB7FDC">
        <w:rPr>
          <w:i/>
          <w:iCs/>
        </w:rPr>
        <w:t>Upon Appleton House”</w:t>
      </w:r>
      <w:r w:rsidR="00BB7FDC">
        <w:rPr>
          <w:i/>
          <w:iCs/>
        </w:rPr>
        <w:t xml:space="preserve"> </w:t>
      </w:r>
      <w:r w:rsidR="00BB7FDC">
        <w:t xml:space="preserve">was written to Lord Thomas Fairfax, after Marvell </w:t>
      </w:r>
      <w:r w:rsidR="00BB7FDC">
        <w:lastRenderedPageBreak/>
        <w:t xml:space="preserve">tutored the Lord’s daughter. </w:t>
      </w:r>
      <w:r w:rsidR="00FB460B">
        <w:t xml:space="preserve">Each poem was written during different periods of the seventeenth century, which is a consequence of the attitudes attributed by the poet in their writing. While both poems adapt the natural order of country house poetry, both poets display dissimilar attitudes throughout his work. Along with these attitudes, there is a depiction of varying values approached by each poet. Carew’s authorship of was done sometime before the Civil Wars in Britain as opposed to Marvell, whose was written sometime after the first Civil War. </w:t>
      </w:r>
      <w:r w:rsidR="00BB7FDC">
        <w:t>In this essay</w:t>
      </w:r>
      <w:r w:rsidR="005F11E8">
        <w:t>,</w:t>
      </w:r>
      <w:r w:rsidR="00BB7FDC">
        <w:t xml:space="preserve"> I will highlight the contrasting attitudes presented in each poem as it were</w:t>
      </w:r>
      <w:r w:rsidR="00FB460B">
        <w:t xml:space="preserve"> with</w:t>
      </w:r>
      <w:r w:rsidR="00BB7FDC">
        <w:t xml:space="preserve"> the </w:t>
      </w:r>
      <w:r w:rsidR="00E73C72">
        <w:t xml:space="preserve">social environment in which they inhabit and the ways in which Carew and Marvell </w:t>
      </w:r>
      <w:r w:rsidR="00457587">
        <w:t xml:space="preserve">uses literary features to develop </w:t>
      </w:r>
      <w:r w:rsidR="00FB460B">
        <w:t>the</w:t>
      </w:r>
      <w:r w:rsidR="00457587">
        <w:t xml:space="preserve"> attitudes</w:t>
      </w:r>
      <w:r w:rsidR="00FB460B">
        <w:t xml:space="preserve"> and </w:t>
      </w:r>
      <w:r w:rsidR="00D02391">
        <w:t xml:space="preserve">to </w:t>
      </w:r>
      <w:r w:rsidR="00FB460B">
        <w:t>consider the values interwoven</w:t>
      </w:r>
      <w:r w:rsidR="00951BB9">
        <w:t>.</w:t>
      </w:r>
    </w:p>
    <w:p w14:paraId="3B0FA1E9" w14:textId="560FDC40" w:rsidR="00951BB9" w:rsidRDefault="00951BB9" w:rsidP="00B44D3A">
      <w:r>
        <w:t>Thomas Carew’s approach in</w:t>
      </w:r>
      <w:r>
        <w:rPr>
          <w:i/>
          <w:iCs/>
        </w:rPr>
        <w:t xml:space="preserve"> “To Saxham” </w:t>
      </w:r>
      <w:r w:rsidR="008F62B0">
        <w:t>illustrates</w:t>
      </w:r>
      <w:r>
        <w:t xml:space="preserve"> </w:t>
      </w:r>
      <w:r w:rsidR="008F62B0">
        <w:t xml:space="preserve">genuine admiration for the country-house. </w:t>
      </w:r>
      <w:r w:rsidR="00437F17">
        <w:t>It is first highlighted in the structure of the poem. The use of enjambment is consistent in his writing; creating a free-flowing movement within every line, suggesting well thought out ideas. It does not suggest that Carew must think about his words; they come naturally and are what he believes. It translates over into the diction he uses to describe the house and its surroundings. In</w:t>
      </w:r>
      <w:r w:rsidR="008F62B0">
        <w:t xml:space="preserve"> the first ten lines he presents the readers with an overview of the residence by describing it as “Art of thyself so delicate.”</w:t>
      </w:r>
      <w:r w:rsidR="008F62B0">
        <w:rPr>
          <w:rStyle w:val="FootnoteReference"/>
          <w:sz w:val="24"/>
          <w:szCs w:val="24"/>
        </w:rPr>
        <w:footnoteReference w:id="2"/>
      </w:r>
      <w:r w:rsidR="008F62B0">
        <w:t>He goes further by describing the roof of the house as having “inward happiness</w:t>
      </w:r>
      <w:r w:rsidR="008F538F">
        <w:t>”</w:t>
      </w:r>
      <w:r w:rsidR="008F62B0">
        <w:t>.</w:t>
      </w:r>
      <w:r w:rsidR="00577DCB">
        <w:t xml:space="preserve"> This suggests that the house is void of any outer interference</w:t>
      </w:r>
      <w:r w:rsidR="0033410C">
        <w:t xml:space="preserve"> which would cause unhappiness or tension</w:t>
      </w:r>
      <w:r w:rsidR="00577DCB">
        <w:t>.</w:t>
      </w:r>
      <w:r w:rsidR="008F62B0">
        <w:t xml:space="preserve"> The diction he employs solidifies his admiration of the dwelling </w:t>
      </w:r>
      <w:r w:rsidR="0033410C">
        <w:t>by giving the</w:t>
      </w:r>
      <w:r w:rsidR="008F62B0">
        <w:t xml:space="preserve"> features </w:t>
      </w:r>
      <w:r w:rsidR="0033410C">
        <w:t>a sense</w:t>
      </w:r>
      <w:r w:rsidR="008F538F">
        <w:t xml:space="preserve"> of perfection, untouched even by the seasons</w:t>
      </w:r>
      <w:r w:rsidR="0033410C">
        <w:t>,</w:t>
      </w:r>
      <w:r w:rsidR="0075797E">
        <w:t xml:space="preserve"> as </w:t>
      </w:r>
      <w:r w:rsidR="00577DCB">
        <w:t>McGuire describe</w:t>
      </w:r>
      <w:r w:rsidR="0075797E">
        <w:t>s Saxham as “a paradise within, immune to both natural adversity of inclement weather and to the vagaries of socio-political climate.”</w:t>
      </w:r>
      <w:r w:rsidR="0075797E">
        <w:rPr>
          <w:rStyle w:val="FootnoteReference"/>
          <w:sz w:val="24"/>
          <w:szCs w:val="24"/>
        </w:rPr>
        <w:footnoteReference w:id="3"/>
      </w:r>
      <w:r w:rsidR="0075797E">
        <w:t xml:space="preserve"> </w:t>
      </w:r>
      <w:r w:rsidR="00597973">
        <w:t xml:space="preserve">His ingenious is displayed in the deployment of words </w:t>
      </w:r>
      <w:r w:rsidR="00402A8E">
        <w:t>like</w:t>
      </w:r>
      <w:r w:rsidR="00597973">
        <w:t xml:space="preserve"> ‘sun’ and ‘fire’ as descriptive elements of Croft’s house and by extension Croft himself.</w:t>
      </w:r>
      <w:r w:rsidR="00402A8E">
        <w:t xml:space="preserve"> These words suggest power, superiority and in some cases, necessity</w:t>
      </w:r>
      <w:r w:rsidR="005D4FA5">
        <w:t>; “a necessary function in society.”</w:t>
      </w:r>
      <w:r w:rsidR="005D4FA5">
        <w:rPr>
          <w:rStyle w:val="FootnoteReference"/>
          <w:sz w:val="24"/>
          <w:szCs w:val="24"/>
        </w:rPr>
        <w:footnoteReference w:id="4"/>
      </w:r>
      <w:r w:rsidR="0033410C">
        <w:t xml:space="preserve"> </w:t>
      </w:r>
      <w:r w:rsidR="00402A8E">
        <w:t>There is clear indication that Carew sees Croft as superior to most</w:t>
      </w:r>
      <w:r w:rsidR="00CF0F03">
        <w:t>,</w:t>
      </w:r>
      <w:r w:rsidR="00402A8E">
        <w:t xml:space="preserve"> and much of it is because of his</w:t>
      </w:r>
      <w:r w:rsidR="0033410C">
        <w:t xml:space="preserve"> altruism</w:t>
      </w:r>
      <w:r w:rsidR="00402A8E">
        <w:t xml:space="preserve">. </w:t>
      </w:r>
      <w:r w:rsidR="001C1BD5">
        <w:t xml:space="preserve">Carew’s awe extends to referring to Croft and his house in spiritual </w:t>
      </w:r>
      <w:r w:rsidR="00597973">
        <w:t>metaphoric language</w:t>
      </w:r>
      <w:r w:rsidR="001C1BD5">
        <w:t>. He describes Croft’s possessions as blessing from the prayers of the poor because of his generosity. In a step further, he sees the house as</w:t>
      </w:r>
      <w:r w:rsidR="00CF0F03">
        <w:t xml:space="preserve"> a</w:t>
      </w:r>
      <w:r w:rsidR="001C1BD5">
        <w:t xml:space="preserve"> representation of Noah’s Ark, an instrument for the preservation of human and animal life. In lines 19-2</w:t>
      </w:r>
      <w:r w:rsidR="0057410E">
        <w:t>8</w:t>
      </w:r>
      <w:r w:rsidR="001C1BD5">
        <w:t xml:space="preserve"> he states:</w:t>
      </w:r>
    </w:p>
    <w:p w14:paraId="37FA42E7" w14:textId="393437A0" w:rsidR="001C1BD5" w:rsidRPr="001C1BD5" w:rsidRDefault="001C1BD5" w:rsidP="00B44D3A">
      <w:pPr>
        <w:pStyle w:val="NoSpacing"/>
      </w:pPr>
      <w:r>
        <w:lastRenderedPageBreak/>
        <w:tab/>
      </w:r>
      <w:r w:rsidRPr="001C1BD5">
        <w:t>Or else the birds, fearing the snow</w:t>
      </w:r>
    </w:p>
    <w:p w14:paraId="2346D8B5" w14:textId="5D9A665D" w:rsidR="001C1BD5" w:rsidRPr="001C1BD5" w:rsidRDefault="001C1BD5" w:rsidP="00B44D3A">
      <w:pPr>
        <w:pStyle w:val="NoSpacing"/>
      </w:pPr>
      <w:r w:rsidRPr="001C1BD5">
        <w:tab/>
        <w:t>Might to another deluge grow,</w:t>
      </w:r>
    </w:p>
    <w:p w14:paraId="0755EC9C" w14:textId="59548A09" w:rsidR="001C1BD5" w:rsidRPr="001C1BD5" w:rsidRDefault="001C1BD5" w:rsidP="00B44D3A">
      <w:pPr>
        <w:pStyle w:val="NoSpacing"/>
      </w:pPr>
      <w:r w:rsidRPr="001C1BD5">
        <w:tab/>
        <w:t>The pheasant, partridge, and the lark</w:t>
      </w:r>
    </w:p>
    <w:p w14:paraId="4C175DAF" w14:textId="2A82F3DE" w:rsidR="0057410E" w:rsidRDefault="001C1BD5" w:rsidP="00B44D3A">
      <w:pPr>
        <w:pStyle w:val="NoSpacing"/>
      </w:pPr>
      <w:r w:rsidRPr="001C1BD5">
        <w:tab/>
        <w:t>Flew to thy house, as to the Ark.</w:t>
      </w:r>
    </w:p>
    <w:p w14:paraId="0D08EDC4" w14:textId="23AD580B" w:rsidR="0057410E" w:rsidRDefault="0057410E" w:rsidP="00B44D3A">
      <w:pPr>
        <w:pStyle w:val="NoSpacing"/>
        <w:ind w:firstLine="720"/>
      </w:pPr>
      <w:r>
        <w:t>The willing ox of himself came</w:t>
      </w:r>
    </w:p>
    <w:p w14:paraId="2A9621CA" w14:textId="77777777" w:rsidR="0057410E" w:rsidRDefault="0057410E" w:rsidP="00B44D3A">
      <w:pPr>
        <w:pStyle w:val="NoSpacing"/>
      </w:pPr>
      <w:r>
        <w:tab/>
        <w:t>Home to the slaughter with the lamb,</w:t>
      </w:r>
    </w:p>
    <w:p w14:paraId="5C9B14F4" w14:textId="77777777" w:rsidR="0057410E" w:rsidRDefault="0057410E" w:rsidP="00B44D3A">
      <w:pPr>
        <w:pStyle w:val="NoSpacing"/>
      </w:pPr>
      <w:r>
        <w:tab/>
        <w:t>And every beast did thither bring</w:t>
      </w:r>
    </w:p>
    <w:p w14:paraId="447FB4EC" w14:textId="77777777" w:rsidR="0057410E" w:rsidRDefault="0057410E" w:rsidP="00B44D3A">
      <w:pPr>
        <w:pStyle w:val="NoSpacing"/>
      </w:pPr>
      <w:r>
        <w:tab/>
        <w:t>Himself, to be an offering.</w:t>
      </w:r>
    </w:p>
    <w:p w14:paraId="724CAB3B" w14:textId="77777777" w:rsidR="0057410E" w:rsidRDefault="0057410E" w:rsidP="00B44D3A">
      <w:pPr>
        <w:pStyle w:val="NoSpacing"/>
      </w:pPr>
      <w:r>
        <w:tab/>
        <w:t>The scaly herd more pleasure took,</w:t>
      </w:r>
    </w:p>
    <w:p w14:paraId="0251ED0D" w14:textId="7CD24BDC" w:rsidR="0057410E" w:rsidRDefault="0057410E" w:rsidP="00B44D3A">
      <w:pPr>
        <w:pStyle w:val="NoSpacing"/>
      </w:pPr>
      <w:r>
        <w:tab/>
        <w:t>Bathed in thy dish than in the brook.</w:t>
      </w:r>
      <w:r w:rsidR="007872BD">
        <w:rPr>
          <w:rStyle w:val="FootnoteReference"/>
          <w:sz w:val="24"/>
          <w:szCs w:val="24"/>
        </w:rPr>
        <w:footnoteReference w:id="5"/>
      </w:r>
    </w:p>
    <w:p w14:paraId="5E10D963" w14:textId="77777777" w:rsidR="00542B2F" w:rsidRDefault="00542B2F" w:rsidP="00B44D3A"/>
    <w:p w14:paraId="1D09580B" w14:textId="1A38270D" w:rsidR="00B44D3A" w:rsidRDefault="00542B2F" w:rsidP="00B44D3A">
      <w:r>
        <w:t>The religious reference is not used loosely</w:t>
      </w:r>
      <w:r w:rsidR="001C4CA1">
        <w:t>,</w:t>
      </w:r>
      <w:r>
        <w:t xml:space="preserve"> as it is an indication that the poet sees Croft as an embodiment of a saviour on a mission to rescue the less fortunate</w:t>
      </w:r>
      <w:r w:rsidR="00CF0F03">
        <w:t>,</w:t>
      </w:r>
      <w:r>
        <w:t xml:space="preserve"> and because of his goodwill his blessing will be multiplied ten-fold.</w:t>
      </w:r>
      <w:r w:rsidR="00A700CF">
        <w:t xml:space="preserve"> Carew’s biblical references expand as animals are willing to offer themselves as sacrificial lambs if it means escaping from their misfortunes. There is a sense that Carew becomes allegorical</w:t>
      </w:r>
      <w:r w:rsidR="001C4CA1">
        <w:t>,</w:t>
      </w:r>
      <w:r w:rsidR="00A700CF">
        <w:t xml:space="preserve"> as these animals willing to sacrifice themselves are </w:t>
      </w:r>
      <w:r w:rsidR="001C4CA1">
        <w:t>illustrative</w:t>
      </w:r>
      <w:r w:rsidR="00A700CF">
        <w:t xml:space="preserve"> </w:t>
      </w:r>
      <w:r w:rsidR="00D02391">
        <w:t xml:space="preserve">of humans </w:t>
      </w:r>
      <w:r w:rsidR="00A700CF">
        <w:t xml:space="preserve">living in </w:t>
      </w:r>
      <w:r w:rsidR="005035E4">
        <w:t>hopeless circumstances</w:t>
      </w:r>
      <w:r w:rsidR="001C4CA1">
        <w:t xml:space="preserve"> and keen to reject it by any means</w:t>
      </w:r>
      <w:r w:rsidR="005035E4">
        <w:t xml:space="preserve">. </w:t>
      </w:r>
      <w:r w:rsidR="00D02391">
        <w:t>Care</w:t>
      </w:r>
      <w:r w:rsidR="0057410E">
        <w:t>w</w:t>
      </w:r>
      <w:r w:rsidR="00D02391">
        <w:t xml:space="preserve"> maintains his veneration of Croft throughout his work, aligning him with biblical qualities and placing him on a pedestal of altruism.</w:t>
      </w:r>
      <w:r w:rsidR="007872BD">
        <w:t xml:space="preserve"> It does not serve as an acknowledgement of religion as a social construct, rather it only becomes self-serving. Hibbard describes Carew’s as lacking religious framework.</w:t>
      </w:r>
      <w:r w:rsidR="007872BD">
        <w:rPr>
          <w:rStyle w:val="FootnoteReference"/>
          <w:sz w:val="24"/>
          <w:szCs w:val="24"/>
        </w:rPr>
        <w:footnoteReference w:id="6"/>
      </w:r>
      <w:r w:rsidR="00AC46D1">
        <w:t xml:space="preserve"> It gives an outward view of the ways in which royalists of the seventeenth century saw religion leading up to the Civil Wars and the call for the monarchy to be removed as head of the church. During the time predating the Civil Wars, tension among royalists and parliament supporters were at an all-time high, with parliament supporter</w:t>
      </w:r>
      <w:r w:rsidR="00BD5805">
        <w:t xml:space="preserve">s of the view that the church and state should be made separate entities. Carew’s choice to use religion as a prop to depict Croft with a god complex </w:t>
      </w:r>
      <w:r w:rsidR="00CF0F03">
        <w:t>i</w:t>
      </w:r>
      <w:r w:rsidR="00BD5805">
        <w:t xml:space="preserve">s an indication of why the voices were adamant in the removal. What can be inferred is that </w:t>
      </w:r>
      <w:r w:rsidR="004E5E1B">
        <w:t>monarchy and royalists saw themselves as both God and man. He</w:t>
      </w:r>
      <w:r w:rsidR="00D02391">
        <w:t xml:space="preserve"> neither considers the implications of the power he has conferred to Croft within these </w:t>
      </w:r>
      <w:r w:rsidR="0057410E">
        <w:t>lines,</w:t>
      </w:r>
      <w:r w:rsidR="00D02391">
        <w:t xml:space="preserve"> nor does he </w:t>
      </w:r>
      <w:r w:rsidR="005D4FA5">
        <w:t>give attention</w:t>
      </w:r>
      <w:r w:rsidR="00D02391">
        <w:t xml:space="preserve"> to the social inequalities associated with these powers.</w:t>
      </w:r>
      <w:r w:rsidR="00597973">
        <w:t xml:space="preserve"> He does not consider how problematic it is to have people and animals willingly suffer in their misery and in the end be made martyrs because they have no other option.</w:t>
      </w:r>
      <w:r w:rsidR="00D02391">
        <w:t xml:space="preserve">  </w:t>
      </w:r>
      <w:r w:rsidR="007872BD">
        <w:t>There is no real outlook on society as Hibbard sees it has having “no view of society as a whole.”</w:t>
      </w:r>
      <w:r w:rsidR="007872BD">
        <w:rPr>
          <w:rStyle w:val="FootnoteReference"/>
          <w:sz w:val="24"/>
          <w:szCs w:val="24"/>
        </w:rPr>
        <w:footnoteReference w:id="7"/>
      </w:r>
      <w:r w:rsidR="0075797E">
        <w:t xml:space="preserve"> </w:t>
      </w:r>
      <w:r w:rsidR="001C4CA1">
        <w:t xml:space="preserve">This poem written before the Civil War and about the time </w:t>
      </w:r>
      <w:r w:rsidR="001C4CA1">
        <w:lastRenderedPageBreak/>
        <w:t xml:space="preserve">tensions were rising between royal supporters and parliament supporters is merely an opportunity to pontificate about the superiority of aristocracy and delegitimize the qualifying issues of common people within the society.  </w:t>
      </w:r>
      <w:r w:rsidR="0075797E">
        <w:t>McGuire refers to</w:t>
      </w:r>
      <w:r w:rsidR="0033410C">
        <w:t xml:space="preserve"> Carew’s</w:t>
      </w:r>
      <w:r w:rsidR="0075797E">
        <w:t xml:space="preserve"> admiration of Croft and his house as “a symbol of aristocratic powers and prerogatives.”</w:t>
      </w:r>
      <w:r w:rsidR="0075797E">
        <w:rPr>
          <w:rStyle w:val="FootnoteReference"/>
          <w:sz w:val="24"/>
          <w:szCs w:val="24"/>
        </w:rPr>
        <w:footnoteReference w:id="8"/>
      </w:r>
      <w:r w:rsidR="00E961AE">
        <w:t xml:space="preserve"> The dénouement of Carew’s verse serves as a description of Little Saxham as an open home welcoming “pilgrim.” He provides an allusion by using beams of light as beckoning people who need help, reiterating his point that Saxham is a necessity for people who lack the resources in which Saxham can give to them. In essence, “Saxham is treated as a beacon of light and warmth in a cold dark world.”</w:t>
      </w:r>
      <w:r w:rsidR="00E961AE">
        <w:rPr>
          <w:rStyle w:val="FootnoteReference"/>
          <w:sz w:val="24"/>
          <w:szCs w:val="24"/>
        </w:rPr>
        <w:footnoteReference w:id="9"/>
      </w:r>
    </w:p>
    <w:p w14:paraId="5190743A" w14:textId="255BE2DA" w:rsidR="00CC3824" w:rsidRDefault="00930B66" w:rsidP="00B44D3A">
      <w:pPr>
        <w:ind w:firstLine="720"/>
      </w:pPr>
      <w:r>
        <w:t>Interwoven in</w:t>
      </w:r>
      <w:r w:rsidR="00CF0F03">
        <w:t>to</w:t>
      </w:r>
      <w:r>
        <w:t xml:space="preserve"> Carew’s work are values which are validated by his attitude throughout the entirety of his lyrics. The values of societal status and reputation are two of the more composed values Carew exhibits. Croft’s status in society validates his claim of altruism, as it is purposefully placed within the poem. Carew elevates </w:t>
      </w:r>
      <w:r w:rsidR="007A358C">
        <w:t xml:space="preserve">Saxham and by extension Croft to a position of supremacy, giving him what could only be defined as a god complex. Status and power allow Saxham the opportunity to dictate the outcome of underprivilege communities and their struggles. To invalidate the </w:t>
      </w:r>
      <w:r w:rsidR="0027655D">
        <w:t>kindness</w:t>
      </w:r>
      <w:r w:rsidR="007A358C">
        <w:t xml:space="preserve"> of Saxham would undoubtedly be ignorant, however, as Carew points out the generosity, there is an underlying factor that is not mentioned; that because of the power Saxham holds over </w:t>
      </w:r>
      <w:r w:rsidR="00556734">
        <w:t>the people and even animals, this power offers him the right to withhold his graciousness</w:t>
      </w:r>
      <w:r w:rsidR="007A358C">
        <w:t xml:space="preserve">.  There are clear distinctions between power dynamics and societal status, </w:t>
      </w:r>
      <w:r w:rsidR="00CF0F03">
        <w:t>though</w:t>
      </w:r>
      <w:r w:rsidR="007A358C">
        <w:t xml:space="preserve">, Carew’s ultimate focus is appealing to the aristocracy. </w:t>
      </w:r>
      <w:r w:rsidR="00556734">
        <w:t xml:space="preserve">Saxham’s status then validates </w:t>
      </w:r>
      <w:r w:rsidR="00A52881">
        <w:t>its</w:t>
      </w:r>
      <w:r w:rsidR="00556734">
        <w:t xml:space="preserve"> reputation</w:t>
      </w:r>
      <w:r w:rsidR="00A52881">
        <w:t xml:space="preserve"> in society</w:t>
      </w:r>
      <w:r w:rsidR="00CC3824">
        <w:t>.</w:t>
      </w:r>
    </w:p>
    <w:p w14:paraId="755B1021" w14:textId="5CFC1262" w:rsidR="00A73654" w:rsidRDefault="00CC3824" w:rsidP="00B44D3A">
      <w:r>
        <w:tab/>
        <w:t xml:space="preserve">Contrastingly, Andrew Marvell’s poem strays </w:t>
      </w:r>
      <w:r w:rsidR="0027655D">
        <w:t>from Carew’s admiration</w:t>
      </w:r>
      <w:r>
        <w:t xml:space="preserve"> to an attitude which can be described as </w:t>
      </w:r>
      <w:r w:rsidR="0027655D">
        <w:t>duplicity. While Carew’s attitude is constant throughout the poem, Marvell’s posture changes just around the midpoint of “</w:t>
      </w:r>
      <w:r w:rsidR="0027655D">
        <w:rPr>
          <w:i/>
          <w:iCs/>
        </w:rPr>
        <w:t xml:space="preserve">Upon Appleton House.” </w:t>
      </w:r>
      <w:r w:rsidR="0027655D">
        <w:t xml:space="preserve">Although there are changes in his position, the structure of his poem remains orderly and with purpose; it is not overly emphasized. </w:t>
      </w:r>
      <w:r w:rsidR="003B650B">
        <w:t>The structure of the poem can be considered reflecting the structure of the house, in line 26-27 he says, “…all things are composed here/Like Nature, orderly and near….”</w:t>
      </w:r>
      <w:r w:rsidR="00E5537E">
        <w:rPr>
          <w:rStyle w:val="FootnoteReference"/>
          <w:sz w:val="24"/>
          <w:szCs w:val="24"/>
        </w:rPr>
        <w:footnoteReference w:id="10"/>
      </w:r>
      <w:r w:rsidR="008F6F2B">
        <w:t xml:space="preserve"> Loughlin characterizes </w:t>
      </w:r>
      <w:r w:rsidR="008F6F2B">
        <w:rPr>
          <w:i/>
          <w:iCs/>
        </w:rPr>
        <w:t xml:space="preserve">Upon Appleton House </w:t>
      </w:r>
      <w:r w:rsidR="008F6F2B">
        <w:t>as “having its own claim to the structural integrity.”</w:t>
      </w:r>
      <w:r w:rsidR="008F6F2B">
        <w:rPr>
          <w:rStyle w:val="FootnoteReference"/>
          <w:sz w:val="24"/>
          <w:szCs w:val="24"/>
        </w:rPr>
        <w:footnoteReference w:id="11"/>
      </w:r>
      <w:r w:rsidR="008F6F2B">
        <w:t xml:space="preserve"> </w:t>
      </w:r>
      <w:r w:rsidR="003B650B">
        <w:t>The first display of duplicity is found in the opening stanzas of “</w:t>
      </w:r>
      <w:r w:rsidR="003B650B">
        <w:rPr>
          <w:i/>
          <w:iCs/>
        </w:rPr>
        <w:t>Upon Appleton House”</w:t>
      </w:r>
      <w:r w:rsidR="003B650B">
        <w:t xml:space="preserve">, where in the first couplet of stanza one, he refers to the house as having a sober frame. </w:t>
      </w:r>
      <w:r w:rsidR="003B650B">
        <w:lastRenderedPageBreak/>
        <w:t>He says, “Within this sober frame expect/Work of no foreign architect.”</w:t>
      </w:r>
      <w:r w:rsidR="00E5537E">
        <w:rPr>
          <w:rStyle w:val="FootnoteReference"/>
          <w:sz w:val="24"/>
          <w:szCs w:val="24"/>
        </w:rPr>
        <w:footnoteReference w:id="12"/>
      </w:r>
      <w:r w:rsidR="003B650B">
        <w:t xml:space="preserve"> His use of ‘sober’, suggests humility in the way the house was constructed; </w:t>
      </w:r>
      <w:r w:rsidR="00460978">
        <w:t>its features are not extravagant</w:t>
      </w:r>
      <w:r w:rsidR="004C1778">
        <w:t>; everything is in moderation</w:t>
      </w:r>
      <w:r w:rsidR="00460978">
        <w:t>.</w:t>
      </w:r>
      <w:r w:rsidR="00F25B63">
        <w:t xml:space="preserve"> Lord refers to it as being “alternative to those vacant and expansive styles sarcastically dismissed at the start of the poem.”</w:t>
      </w:r>
      <w:r w:rsidR="00F25B63">
        <w:rPr>
          <w:rStyle w:val="FootnoteReference"/>
          <w:sz w:val="24"/>
          <w:szCs w:val="24"/>
        </w:rPr>
        <w:footnoteReference w:id="13"/>
      </w:r>
      <w:r w:rsidR="00D9570A">
        <w:t xml:space="preserve"> Cousins describes it as being unpretentious in appearance.</w:t>
      </w:r>
      <w:r w:rsidR="00D9570A">
        <w:rPr>
          <w:rStyle w:val="FootnoteReference"/>
          <w:sz w:val="24"/>
          <w:szCs w:val="24"/>
        </w:rPr>
        <w:footnoteReference w:id="14"/>
      </w:r>
      <w:r w:rsidR="00460978">
        <w:t xml:space="preserve"> While Marvell seems to be paying the house and by extension its owner a compliment, there appears an underlying meaning in the use of the word sober. On the account that it indeed </w:t>
      </w:r>
      <w:r w:rsidR="005D5A42">
        <w:t>suggests</w:t>
      </w:r>
      <w:r w:rsidR="00460978">
        <w:t xml:space="preserve"> lack of profligacy</w:t>
      </w:r>
      <w:r w:rsidR="005D5A42">
        <w:t>, it also proposes that people are capable of building houses of normal stature rather than inebriated by the power they possess and</w:t>
      </w:r>
      <w:r w:rsidR="00CF0F03">
        <w:t>,</w:t>
      </w:r>
      <w:r w:rsidR="005D5A42">
        <w:t xml:space="preserve"> </w:t>
      </w:r>
      <w:r w:rsidR="00A10FB5">
        <w:t xml:space="preserve">the exercising of </w:t>
      </w:r>
      <w:r w:rsidR="005D5A42">
        <w:t xml:space="preserve">such power </w:t>
      </w:r>
      <w:r w:rsidR="00A10FB5">
        <w:t>through the</w:t>
      </w:r>
      <w:r w:rsidR="005D5A42">
        <w:t xml:space="preserve"> constructi</w:t>
      </w:r>
      <w:r w:rsidR="00A10FB5">
        <w:t>on of</w:t>
      </w:r>
      <w:r w:rsidR="005D5A42">
        <w:t xml:space="preserve"> grandiose homes.</w:t>
      </w:r>
      <w:r w:rsidR="004C1778">
        <w:t xml:space="preserve"> While Carew’s work took liberty in mentioning Croft’s generosity and hospitality on multiple occasions</w:t>
      </w:r>
      <w:r w:rsidR="00A10FB5">
        <w:t>,</w:t>
      </w:r>
      <w:r w:rsidR="004C1778">
        <w:t xml:space="preserve"> thereby it </w:t>
      </w:r>
      <w:r w:rsidR="00D9570A">
        <w:t>becom</w:t>
      </w:r>
      <w:r w:rsidR="00A10FB5">
        <w:t>ing</w:t>
      </w:r>
      <w:r w:rsidR="004C1778">
        <w:t xml:space="preserve"> the central focus of his poem, Cousins mentions that Marvell’s representation </w:t>
      </w:r>
      <w:r w:rsidR="00BA12EB">
        <w:t>sees “Fairfax not as primarily courteous and charitable, nor as an epitome of the virtues, but as virtually embodying the Calvinist idea of moderation….”</w:t>
      </w:r>
      <w:r w:rsidR="00D9570A">
        <w:rPr>
          <w:rStyle w:val="FootnoteReference"/>
          <w:sz w:val="24"/>
          <w:szCs w:val="24"/>
        </w:rPr>
        <w:footnoteReference w:id="15"/>
      </w:r>
      <w:r w:rsidR="005D5A42">
        <w:t xml:space="preserve"> This view is compounded in stanza two, “Why should of all thing man unruled/Such unproportioned dwellings build?”</w:t>
      </w:r>
      <w:r w:rsidR="00E5537E">
        <w:rPr>
          <w:rStyle w:val="FootnoteReference"/>
          <w:sz w:val="24"/>
          <w:szCs w:val="24"/>
        </w:rPr>
        <w:footnoteReference w:id="16"/>
      </w:r>
      <w:r w:rsidR="005D5A42">
        <w:t xml:space="preserve"> There seems to be an attack on </w:t>
      </w:r>
      <w:r w:rsidR="004C1778">
        <w:t>royalist society</w:t>
      </w:r>
      <w:r w:rsidR="005D5A42">
        <w:t xml:space="preserve"> by referring to them as ‘unruled’ due to their status in social </w:t>
      </w:r>
      <w:r w:rsidR="003851B3">
        <w:t xml:space="preserve">hierarchies and for building ‘unproportionate’ dwelling, an inference of them flaunting their financial independence. </w:t>
      </w:r>
      <w:r w:rsidR="00E034D2">
        <w:t xml:space="preserve">While he compliments Fairfax on his house not conforming to the typical aristocratic home, he undercuts upper-class society. Marvell continues to compliment Fairfax’s home by employing other forms of his diction. In lines 29, 38, and 57 he uses, ‘stoop’, </w:t>
      </w:r>
      <w:r w:rsidR="00E5537E">
        <w:t>‘dwarfish’ and ‘lowness’ respectively as a suggestion of the humbleness of the abode; never boasting even with its proximity to power. The house is not a reflection of Fairfax’s position in society. Yet behind his complimentary state, Marvell continues to take subtle jabs at the upper-class society of the seventeenth century.</w:t>
      </w:r>
      <w:r w:rsidR="00BA12EB">
        <w:t xml:space="preserve"> His attitude can be said to have stemmed from the environment in which he writes and the period of when he writes. Written sometime during the commonwealth parliament era, Marvell writes from an anti-royalist perspective.</w:t>
      </w:r>
      <w:r w:rsidR="00A73654">
        <w:t xml:space="preserve"> He writes in lines 28-30:</w:t>
      </w:r>
    </w:p>
    <w:p w14:paraId="484D5C2B" w14:textId="77777777" w:rsidR="00A73654" w:rsidRDefault="00A73654" w:rsidP="00B44D3A">
      <w:pPr>
        <w:pStyle w:val="NoSpacing"/>
        <w:ind w:firstLine="720"/>
      </w:pPr>
      <w:r>
        <w:t>Of that more sober age and mind,</w:t>
      </w:r>
    </w:p>
    <w:p w14:paraId="6359DDC0" w14:textId="77777777" w:rsidR="00A73654" w:rsidRDefault="00A73654" w:rsidP="00B44D3A">
      <w:pPr>
        <w:pStyle w:val="NoSpacing"/>
        <w:ind w:firstLine="720"/>
      </w:pPr>
      <w:r>
        <w:t>When larger-sized men did stoop</w:t>
      </w:r>
    </w:p>
    <w:p w14:paraId="04573B50" w14:textId="204E9D9C" w:rsidR="00930B66" w:rsidRDefault="00A73654" w:rsidP="00B44D3A">
      <w:pPr>
        <w:pStyle w:val="NoSpacing"/>
        <w:ind w:firstLine="720"/>
      </w:pPr>
      <w:r>
        <w:lastRenderedPageBreak/>
        <w:t>To enter at a narrow loop.</w:t>
      </w:r>
      <w:r>
        <w:rPr>
          <w:rStyle w:val="FootnoteReference"/>
          <w:sz w:val="24"/>
          <w:szCs w:val="24"/>
        </w:rPr>
        <w:footnoteReference w:id="17"/>
      </w:r>
      <w:r w:rsidR="00BC4EF5">
        <w:t xml:space="preserve"> </w:t>
      </w:r>
    </w:p>
    <w:p w14:paraId="03012432" w14:textId="77777777" w:rsidR="00A73654" w:rsidRDefault="00A73654" w:rsidP="00B44D3A"/>
    <w:p w14:paraId="711C4ADA" w14:textId="12BD4369" w:rsidR="00D75014" w:rsidRDefault="00A73654" w:rsidP="00B44D3A">
      <w:r>
        <w:t>Marvell deploys his use of wit in these lines to demonstrate the humbleness of Fairfax’s house. He mentions how larger men would have to lower themselves to get past the doors of the house as the house lacks in height. However, larger-sized men could be interpretated in dualities. It can be inferred as men physical</w:t>
      </w:r>
      <w:r w:rsidR="00A10FB5">
        <w:t xml:space="preserve">ly </w:t>
      </w:r>
      <w:r>
        <w:t>too big to enter the house</w:t>
      </w:r>
      <w:r w:rsidR="00A10FB5">
        <w:t>, which then requires them to adjust themselves to do so</w:t>
      </w:r>
      <w:r>
        <w:t xml:space="preserve">. The second meaning </w:t>
      </w:r>
      <w:r w:rsidR="00A10FB5">
        <w:t>can be suggesting that</w:t>
      </w:r>
      <w:r>
        <w:t xml:space="preserve"> upper-class men </w:t>
      </w:r>
      <w:proofErr w:type="gramStart"/>
      <w:r>
        <w:t>hav</w:t>
      </w:r>
      <w:r w:rsidR="00A10FB5">
        <w:t>e</w:t>
      </w:r>
      <w:r>
        <w:t xml:space="preserve"> to</w:t>
      </w:r>
      <w:proofErr w:type="gramEnd"/>
      <w:r>
        <w:t xml:space="preserve"> lower their status because</w:t>
      </w:r>
      <w:r w:rsidR="00A10FB5">
        <w:t xml:space="preserve"> the house’s humbleness</w:t>
      </w:r>
      <w:r>
        <w:t xml:space="preserve"> does not match the luxury that many of them possess. </w:t>
      </w:r>
      <w:r w:rsidR="00B44D3A">
        <w:t xml:space="preserve"> </w:t>
      </w:r>
      <w:r w:rsidR="00A250DA">
        <w:t>In Saxham, Carew utilizes religion as a means of praising Croft; comparing him in the context of a saviour, to which Hibbards is not particularly fond of as he describes the work as having “no religious framework.”</w:t>
      </w:r>
      <w:r w:rsidR="00A250DA">
        <w:rPr>
          <w:rStyle w:val="FootnoteReference"/>
          <w:sz w:val="24"/>
          <w:szCs w:val="24"/>
        </w:rPr>
        <w:footnoteReference w:id="18"/>
      </w:r>
      <w:r w:rsidR="00F25B63">
        <w:t xml:space="preserve"> </w:t>
      </w:r>
      <w:r w:rsidR="00A250DA">
        <w:t xml:space="preserve">On the contrary, Marvell’s </w:t>
      </w:r>
      <w:r w:rsidR="00A250DA">
        <w:rPr>
          <w:i/>
          <w:iCs/>
        </w:rPr>
        <w:t>“Upon Appleton House”</w:t>
      </w:r>
      <w:r w:rsidR="00A250DA">
        <w:t xml:space="preserve"> fairs differently, as the central focus of stanzas 11 to 38 is the religious culture in Nun Appleton House. The opening stanzas are </w:t>
      </w:r>
      <w:r w:rsidR="00A10FB5">
        <w:t xml:space="preserve">a </w:t>
      </w:r>
      <w:r w:rsidR="00A250DA">
        <w:t xml:space="preserve">description of the house separate from its occupants, whereas the stanzas </w:t>
      </w:r>
      <w:r w:rsidR="002F29FF">
        <w:t xml:space="preserve">which follow </w:t>
      </w:r>
      <w:proofErr w:type="gramStart"/>
      <w:r w:rsidR="002F29FF">
        <w:t>are a reflection of</w:t>
      </w:r>
      <w:proofErr w:type="gramEnd"/>
      <w:r w:rsidR="002F29FF">
        <w:t xml:space="preserve"> the occupants</w:t>
      </w:r>
      <w:r w:rsidR="0085250C">
        <w:t>.</w:t>
      </w:r>
      <w:r w:rsidR="00F25B63">
        <w:t xml:space="preserve"> In this case, the house is a dwelling of “innocence” and “place of preparation for a heavenly destiny.”</w:t>
      </w:r>
      <w:r w:rsidR="00F25B63">
        <w:rPr>
          <w:rStyle w:val="FootnoteReference"/>
          <w:sz w:val="24"/>
          <w:szCs w:val="24"/>
        </w:rPr>
        <w:footnoteReference w:id="19"/>
      </w:r>
      <w:r w:rsidR="0085250C">
        <w:t xml:space="preserve"> Marvell considers the life of the house at the time it was a nunnery through </w:t>
      </w:r>
      <w:r w:rsidR="00C31A08">
        <w:t xml:space="preserve">a new voice. Even with the change in speaker, Marvell maintains the same attitude </w:t>
      </w:r>
      <w:r w:rsidR="00A10FB5">
        <w:t>with an addition of playfulness</w:t>
      </w:r>
      <w:r w:rsidR="00C31A08">
        <w:t xml:space="preserve">. It is depicted </w:t>
      </w:r>
      <w:proofErr w:type="gramStart"/>
      <w:r w:rsidR="00C31A08">
        <w:t>through the use of</w:t>
      </w:r>
      <w:proofErr w:type="gramEnd"/>
      <w:r w:rsidR="00C31A08">
        <w:t xml:space="preserve"> religious themes. In line 99, the house is labelled as a “holy leisure”</w:t>
      </w:r>
      <w:r w:rsidR="00C31A08">
        <w:rPr>
          <w:rStyle w:val="FootnoteReference"/>
          <w:sz w:val="24"/>
          <w:szCs w:val="24"/>
        </w:rPr>
        <w:footnoteReference w:id="20"/>
      </w:r>
      <w:r w:rsidR="00C31A08">
        <w:t xml:space="preserve"> where the nuns live ‘innocently.’ This is a suggestion of the house being pure; there is no sin in sight. The tone used seems playful yet matter of fact as “innocently”</w:t>
      </w:r>
      <w:r w:rsidR="00A10FB5">
        <w:t>,</w:t>
      </w:r>
      <w:r w:rsidR="00C31A08">
        <w:t xml:space="preserve"> reiterates the religious sacrament of being chaste</w:t>
      </w:r>
      <w:r w:rsidR="00A21FF2">
        <w:t>, where “virginal state of innocence is the aesthetic and ethical norm”</w:t>
      </w:r>
      <w:r w:rsidR="00A21FF2">
        <w:rPr>
          <w:rStyle w:val="FootnoteReference"/>
          <w:sz w:val="24"/>
          <w:szCs w:val="24"/>
        </w:rPr>
        <w:footnoteReference w:id="21"/>
      </w:r>
      <w:r w:rsidR="00C31A08">
        <w:t>. This becomes relevant in lines 101 and 102:</w:t>
      </w:r>
      <w:r w:rsidR="00C31A08">
        <w:tab/>
      </w:r>
    </w:p>
    <w:p w14:paraId="7E5C64A1" w14:textId="17033531" w:rsidR="00C31A08" w:rsidRDefault="00C31A08" w:rsidP="00B44D3A">
      <w:pPr>
        <w:pStyle w:val="NoSpacing"/>
        <w:ind w:firstLine="720"/>
      </w:pPr>
      <w:r>
        <w:t>These bars inclose that wider den</w:t>
      </w:r>
    </w:p>
    <w:p w14:paraId="3DA2C447" w14:textId="5C96BF13" w:rsidR="00B44D3A" w:rsidRDefault="00C31A08" w:rsidP="00177E60">
      <w:pPr>
        <w:ind w:firstLine="720"/>
      </w:pPr>
      <w:r>
        <w:t>Of th</w:t>
      </w:r>
      <w:r w:rsidR="00D75014">
        <w:t>ose wild creatures called men.</w:t>
      </w:r>
      <w:r w:rsidR="00D75014">
        <w:rPr>
          <w:rStyle w:val="FootnoteReference"/>
          <w:sz w:val="24"/>
          <w:szCs w:val="24"/>
        </w:rPr>
        <w:footnoteReference w:id="22"/>
      </w:r>
    </w:p>
    <w:p w14:paraId="3EBA3333" w14:textId="0AC90BB9" w:rsidR="00083CB8" w:rsidRDefault="00D75014" w:rsidP="00B44D3A">
      <w:r>
        <w:t xml:space="preserve">Marvell is succinct in his </w:t>
      </w:r>
      <w:r w:rsidR="007C358B">
        <w:t>use of wit</w:t>
      </w:r>
      <w:r>
        <w:t xml:space="preserve"> as he </w:t>
      </w:r>
      <w:r w:rsidR="00083CB8">
        <w:t>portrays</w:t>
      </w:r>
      <w:r>
        <w:t xml:space="preserve"> men as “wild creatures.” He is familiar with the culture of the seventeenth century and the desires of men wanting to fulfil their sexual pleasures and to compare them to wild animals is fitting as animals are instinctive in fulfilling their impulses. It goes further as the speaker, who in this section of the poem appears to be a nun, therefore Marvell’s lines are given through them. The thoughts of the nunnery’s position </w:t>
      </w:r>
      <w:r w:rsidR="00A03722">
        <w:lastRenderedPageBreak/>
        <w:t>are</w:t>
      </w:r>
      <w:r>
        <w:t xml:space="preserve"> important </w:t>
      </w:r>
      <w:r w:rsidR="00A03722">
        <w:t xml:space="preserve">as readers are given a first-hand account of the religious outlook on purity and the desire to remain chaste. The nun </w:t>
      </w:r>
      <w:r w:rsidR="00A912BA">
        <w:t>refers</w:t>
      </w:r>
      <w:r w:rsidR="00A03722">
        <w:t xml:space="preserve"> to</w:t>
      </w:r>
      <w:r w:rsidR="00A912BA">
        <w:t xml:space="preserve"> the house as ‘bars inclose’ making the house an instrument which keeps them from committing sinful desires. Marvell continues to make religion a </w:t>
      </w:r>
      <w:r w:rsidR="00A10FB5">
        <w:t>f</w:t>
      </w:r>
      <w:r w:rsidR="00A912BA">
        <w:t>ocal point as he utilizes words such as ‘shining armour white’, ‘virgin, and, ‘chaste’, to visualize religiosity in the nunnery. Within this section of the poem, religion serves as a reminder to reject the vices. These vices are inclusive of lust and greed. As nuns they were to maintain chastity; to abstain from sexual encounters with men or</w:t>
      </w:r>
      <w:r w:rsidR="00A10FB5">
        <w:t>,</w:t>
      </w:r>
      <w:r w:rsidR="00A912BA">
        <w:t xml:space="preserve"> as Andrew puts it ’wild creatures.’ The point of the nunnery was to be a sanctuary for the women as they focused on maintaining their service to religion, which seems to be their moral compass</w:t>
      </w:r>
      <w:r w:rsidR="00F90A92">
        <w:t>; not as being “religion personified</w:t>
      </w:r>
      <w:r w:rsidR="00A10FB5">
        <w:t>.</w:t>
      </w:r>
      <w:r w:rsidR="00F90A92">
        <w:t>”</w:t>
      </w:r>
      <w:r w:rsidR="00A912BA">
        <w:t xml:space="preserve"> Whereas Carew sees Little Saxham as ‘Noah’s Ark</w:t>
      </w:r>
      <w:r w:rsidR="00357E1A">
        <w:t xml:space="preserve">’ because of </w:t>
      </w:r>
      <w:r w:rsidR="00F90A92">
        <w:t xml:space="preserve">Croft’s altruism, there is no condition to the safety found in the Nun Appleton. Marvell writes from the perspective of an anti-royalist in the seventeenth century, therefore his point of view on the matter of religion differs from that of Carew. He makes it a point to highlight the seriousness of religion to the nuns. In doing so, the underlying message seems to reflect one that shares to royalist the value placed on most people in society and that it should not be self-serving. He </w:t>
      </w:r>
      <w:r w:rsidR="00083CB8">
        <w:t>further emphasizes the value of religion in lines 225 to 227</w:t>
      </w:r>
      <w:r w:rsidR="00B44D3A">
        <w:t>:</w:t>
      </w:r>
      <w:r w:rsidR="00083CB8">
        <w:tab/>
      </w:r>
    </w:p>
    <w:p w14:paraId="244F8593" w14:textId="6F3CEA24" w:rsidR="00083CB8" w:rsidRDefault="00083CB8" w:rsidP="00B44D3A">
      <w:pPr>
        <w:pStyle w:val="NoSpacing"/>
      </w:pPr>
      <w:r>
        <w:tab/>
        <w:t>What should he do? He would respect</w:t>
      </w:r>
    </w:p>
    <w:p w14:paraId="0EEF5DB1" w14:textId="1DA46588" w:rsidR="00083CB8" w:rsidRDefault="00083CB8" w:rsidP="00B44D3A">
      <w:pPr>
        <w:pStyle w:val="NoSpacing"/>
      </w:pPr>
      <w:r>
        <w:tab/>
        <w:t>Religion, but not right neglect:</w:t>
      </w:r>
    </w:p>
    <w:p w14:paraId="22CB2FDD" w14:textId="5DD37AAB" w:rsidR="005C5864" w:rsidRDefault="00083CB8" w:rsidP="00177E60">
      <w:r>
        <w:tab/>
        <w:t>For first religion taught him right,</w:t>
      </w:r>
      <w:r>
        <w:rPr>
          <w:rStyle w:val="FootnoteReference"/>
          <w:sz w:val="24"/>
          <w:szCs w:val="24"/>
        </w:rPr>
        <w:footnoteReference w:id="23"/>
      </w:r>
    </w:p>
    <w:p w14:paraId="5F6F8EA7" w14:textId="718E378D" w:rsidR="00307ED4" w:rsidRDefault="005C5864" w:rsidP="00B44D3A">
      <w:r>
        <w:t xml:space="preserve">While William Fairfax’s mission was to marry </w:t>
      </w:r>
      <w:r w:rsidR="0087753D">
        <w:t>Isabel</w:t>
      </w:r>
      <w:r>
        <w:t xml:space="preserve"> Thwaites, he found that he had to go through both the legal process, as well as the religious one to achieve what he wanted. Although they differed in religious beliefs what could be seen as mutual respect</w:t>
      </w:r>
      <w:r w:rsidR="00177E60">
        <w:t>, was his willingness to abide by her religious beliefs even with his opposing views.</w:t>
      </w:r>
      <w:r>
        <w:t xml:space="preserve"> Religion seems to have been a complex discourse during the seventeenth century as some people saw religio</w:t>
      </w:r>
      <w:r w:rsidR="00177E60">
        <w:t>us rituals</w:t>
      </w:r>
      <w:r>
        <w:t xml:space="preserve"> as sacred whereas others saw it as a ‘dystopia disguised as an ideal society informed by Christian belief</w:t>
      </w:r>
      <w:r w:rsidR="0087753D">
        <w:t>.’</w:t>
      </w:r>
      <w:r w:rsidR="0087753D">
        <w:rPr>
          <w:rStyle w:val="FootnoteReference"/>
          <w:sz w:val="24"/>
          <w:szCs w:val="24"/>
        </w:rPr>
        <w:footnoteReference w:id="24"/>
      </w:r>
    </w:p>
    <w:p w14:paraId="56FBE374" w14:textId="0A564BA6" w:rsidR="00307ED4" w:rsidRPr="00307ED4" w:rsidRDefault="00307ED4" w:rsidP="00B44D3A">
      <w:pPr>
        <w:ind w:firstLine="720"/>
      </w:pPr>
      <w:r>
        <w:rPr>
          <w:i/>
          <w:iCs/>
        </w:rPr>
        <w:t xml:space="preserve">Upon Appleton House </w:t>
      </w:r>
      <w:r>
        <w:t xml:space="preserve">portrays the values of freedom to religious beliefs as well as humility. Marvell’s poem astutely brings about the discourse of religious beliefs. Through the introduction of a new speaker, he represents the value of belief as he gives who resided in the house the position to discuss their religiosity.  In the section of the poem, the nun discusses the importance of </w:t>
      </w:r>
      <w:r>
        <w:lastRenderedPageBreak/>
        <w:t>religion in their culture, and the ways they go about respecting these beliefs. Humility is another value which derives from the poem. It is a recurring theme which Marvell places strong emphasis on and can be consider</w:t>
      </w:r>
      <w:r w:rsidR="00177E60">
        <w:t>ed</w:t>
      </w:r>
      <w:r>
        <w:t xml:space="preserve"> </w:t>
      </w:r>
      <w:r w:rsidR="00177E60">
        <w:t>the</w:t>
      </w:r>
      <w:r>
        <w:t xml:space="preserve"> </w:t>
      </w:r>
      <w:r w:rsidR="00177E60">
        <w:t>basis</w:t>
      </w:r>
      <w:r>
        <w:t xml:space="preserve"> of his country house poem. The depiction of humility is </w:t>
      </w:r>
      <w:r w:rsidR="00177E60">
        <w:t>vital</w:t>
      </w:r>
      <w:r>
        <w:t xml:space="preserve"> as it is not only a reflection of the house but also one of Lord Fairfax. The “architectural styles and religious rituals”</w:t>
      </w:r>
      <w:r>
        <w:rPr>
          <w:rStyle w:val="FootnoteReference"/>
          <w:sz w:val="24"/>
          <w:szCs w:val="24"/>
        </w:rPr>
        <w:footnoteReference w:id="25"/>
      </w:r>
      <w:r>
        <w:t xml:space="preserve">can </w:t>
      </w:r>
      <w:r w:rsidR="006816D8">
        <w:t>be seen as the values of Marvell’s poem.</w:t>
      </w:r>
    </w:p>
    <w:p w14:paraId="6AD821CE" w14:textId="163E8AAC" w:rsidR="006F686B" w:rsidRPr="00A56AF3" w:rsidRDefault="006F686B" w:rsidP="00B44D3A">
      <w:pPr>
        <w:ind w:firstLine="720"/>
      </w:pPr>
      <w:r>
        <w:t>Ultimately, the attitude of a poet has an impact on the way readers interpret their work. It opens a space for literary discourse. Both Carew and Marvell are influential in the way they write and create environments to analyse their work. As poets with diverging poetic styles, Carew as a courtly poet and Marvell as a metaphysical poet, their approach to country-house poetry contrasts each other. It is related to their political affiliations</w:t>
      </w:r>
      <w:r w:rsidR="00A56AF3">
        <w:t xml:space="preserve">. In the seventeenth century their differences were highlighted due to the political climate in which they existed; </w:t>
      </w:r>
      <w:r w:rsidR="00177E60">
        <w:t xml:space="preserve">during </w:t>
      </w:r>
      <w:r w:rsidR="00A56AF3">
        <w:t xml:space="preserve">the rise of Civil Wars in </w:t>
      </w:r>
      <w:r w:rsidR="00177E60">
        <w:t xml:space="preserve">the </w:t>
      </w:r>
      <w:r w:rsidR="00A56AF3">
        <w:t xml:space="preserve">United Kingdom. Carew writes his country-house poem, </w:t>
      </w:r>
      <w:r w:rsidR="00A56AF3">
        <w:rPr>
          <w:i/>
          <w:iCs/>
        </w:rPr>
        <w:t>To Saxham</w:t>
      </w:r>
      <w:r w:rsidR="00177E60">
        <w:rPr>
          <w:i/>
          <w:iCs/>
        </w:rPr>
        <w:t>,</w:t>
      </w:r>
      <w:r w:rsidR="00A56AF3">
        <w:t xml:space="preserve"> </w:t>
      </w:r>
      <w:r w:rsidR="00177E60">
        <w:t>all through</w:t>
      </w:r>
      <w:r w:rsidR="00A56AF3">
        <w:t xml:space="preserve"> the period in which there was growing religious and social tensions in the UK. On the other hand, Marvell’s </w:t>
      </w:r>
      <w:r w:rsidR="00A56AF3">
        <w:rPr>
          <w:i/>
          <w:iCs/>
        </w:rPr>
        <w:t>“Upon Appleton House”</w:t>
      </w:r>
      <w:r w:rsidR="00A56AF3">
        <w:t xml:space="preserve"> takes shape after the Civil Wars, in the time the country was transitioning from the monarchy </w:t>
      </w:r>
      <w:proofErr w:type="gramStart"/>
      <w:r w:rsidR="00A56AF3">
        <w:t>being in charge of</w:t>
      </w:r>
      <w:proofErr w:type="gramEnd"/>
      <w:r w:rsidR="00A56AF3">
        <w:t xml:space="preserve"> both church and state</w:t>
      </w:r>
      <w:r w:rsidR="00177E60">
        <w:t>,</w:t>
      </w:r>
      <w:r w:rsidR="00A56AF3">
        <w:t xml:space="preserve"> to Commonwealth parliament. Each period influenced the attitudes undertaken in the poems. In </w:t>
      </w:r>
      <w:r w:rsidR="00A56AF3">
        <w:rPr>
          <w:i/>
          <w:iCs/>
        </w:rPr>
        <w:t xml:space="preserve">Saxham, </w:t>
      </w:r>
      <w:r w:rsidR="00A56AF3">
        <w:t>Carew’s attitude can be described as having admiration for the house, Little Saxham and the owner, Sir John Croft. He utilizes diction to convey his position throughout the poem.</w:t>
      </w:r>
      <w:r w:rsidR="00BE0120">
        <w:t xml:space="preserve"> Rather than discussing the qualities of the house extensively, much of Carew’s emphasis was placed on conveying Croft’s generosity and what he can offer because of his proximity to power. Carew does not consider the social </w:t>
      </w:r>
      <w:r w:rsidR="00177E60">
        <w:t>and religious discourses</w:t>
      </w:r>
      <w:r w:rsidR="00BE0120">
        <w:t xml:space="preserve"> which were plaguing his society. More of his attitude is displayed when he applies religious references which epitomizes Croft as a supreme being. The entirety of his poem is spent appealing to the aristocracy. Where Carew’s poem is a dedication to the </w:t>
      </w:r>
      <w:r w:rsidR="00177E60">
        <w:t>gentry</w:t>
      </w:r>
      <w:r w:rsidR="00BE0120">
        <w:t xml:space="preserve">, Marvell’s spends much of his poem </w:t>
      </w:r>
      <w:r w:rsidR="00546326">
        <w:t xml:space="preserve">acknowledging the </w:t>
      </w:r>
      <w:r w:rsidR="00BE0120">
        <w:t xml:space="preserve">social and religious issues </w:t>
      </w:r>
      <w:r w:rsidR="00546326">
        <w:t xml:space="preserve">of his society. His attitude in the first section of the poem reflects duplicity. While he compliments Lord Fairfax’s country house, Nun Appleton, he appears to be facetious towards the monarchy and royalist supporters. He views Fairfax’s house as having been built with humility and in moderation; the same way he views Fairfax. Whereas he sees other members of the upper-class society as frivolous in the way they build extravagant houses and their position out in society. Marvell’s depiction of religion also contrasts Carew’s. In Carew’s poem, religion is depicted from a self-serving position, while Marvell highlights the significance of religion in the </w:t>
      </w:r>
      <w:r w:rsidR="00546326">
        <w:lastRenderedPageBreak/>
        <w:t>house and to the occupants as well. He sees religion as a feature of the house. In the monologue of the nun, Marvell’s attitude through the speaker, can be seen as playful, while maintaining his duplicity</w:t>
      </w:r>
      <w:r w:rsidR="007C358B">
        <w:t>. The attitudes in each poem are important to the interpretation of the work and can only be identified if readers take into consideration the environment and the literary features in which poets like Marvell and Carew employ.</w:t>
      </w:r>
    </w:p>
    <w:p w14:paraId="3BECAB5C" w14:textId="4AB4B3FF" w:rsidR="006A3461" w:rsidRDefault="006F686B" w:rsidP="00B44D3A">
      <w:r>
        <w:tab/>
      </w:r>
    </w:p>
    <w:p w14:paraId="116A23FE" w14:textId="77777777" w:rsidR="006A3461" w:rsidRDefault="006A3461">
      <w:r>
        <w:br w:type="page"/>
      </w:r>
    </w:p>
    <w:p w14:paraId="215811EF" w14:textId="0097D7DE" w:rsidR="006F686B" w:rsidRDefault="006A3461" w:rsidP="00B44D3A">
      <w:pPr>
        <w:rPr>
          <w:b/>
          <w:bCs/>
          <w:sz w:val="32"/>
          <w:szCs w:val="32"/>
          <w:u w:val="single"/>
        </w:rPr>
      </w:pPr>
      <w:r w:rsidRPr="006A3461">
        <w:rPr>
          <w:b/>
          <w:bCs/>
          <w:sz w:val="32"/>
          <w:szCs w:val="32"/>
          <w:u w:val="single"/>
        </w:rPr>
        <w:lastRenderedPageBreak/>
        <w:t>Bibliography</w:t>
      </w:r>
    </w:p>
    <w:p w14:paraId="4542DE6C" w14:textId="501B5366" w:rsidR="006A3461" w:rsidRPr="006A3461" w:rsidRDefault="006A3461" w:rsidP="006A3461">
      <w:pPr>
        <w:pStyle w:val="ListParagraph"/>
        <w:numPr>
          <w:ilvl w:val="0"/>
          <w:numId w:val="1"/>
        </w:numPr>
        <w:rPr>
          <w:color w:val="000000"/>
          <w:sz w:val="24"/>
          <w:szCs w:val="24"/>
          <w:shd w:val="clear" w:color="auto" w:fill="FFFFFF"/>
        </w:rPr>
      </w:pPr>
      <w:proofErr w:type="spellStart"/>
      <w:r w:rsidRPr="006A3461">
        <w:rPr>
          <w:color w:val="000000"/>
          <w:sz w:val="24"/>
          <w:szCs w:val="24"/>
          <w:shd w:val="clear" w:color="auto" w:fill="FFFFFF"/>
        </w:rPr>
        <w:t>Condren</w:t>
      </w:r>
      <w:proofErr w:type="spellEnd"/>
      <w:r w:rsidRPr="006A3461">
        <w:rPr>
          <w:color w:val="000000"/>
          <w:sz w:val="24"/>
          <w:szCs w:val="24"/>
          <w:shd w:val="clear" w:color="auto" w:fill="FFFFFF"/>
        </w:rPr>
        <w:t xml:space="preserve">, </w:t>
      </w:r>
      <w:proofErr w:type="spellStart"/>
      <w:r w:rsidRPr="006A3461">
        <w:rPr>
          <w:color w:val="000000"/>
          <w:sz w:val="24"/>
          <w:szCs w:val="24"/>
          <w:shd w:val="clear" w:color="auto" w:fill="FFFFFF"/>
        </w:rPr>
        <w:t>Conal</w:t>
      </w:r>
      <w:proofErr w:type="spellEnd"/>
      <w:r w:rsidRPr="006A3461">
        <w:rPr>
          <w:color w:val="000000"/>
          <w:sz w:val="24"/>
          <w:szCs w:val="24"/>
          <w:shd w:val="clear" w:color="auto" w:fill="FFFFFF"/>
        </w:rPr>
        <w:t>, and A. D Cousins, </w:t>
      </w:r>
      <w:r w:rsidRPr="006A3461">
        <w:rPr>
          <w:i/>
          <w:iCs/>
          <w:color w:val="000000"/>
          <w:sz w:val="24"/>
          <w:szCs w:val="24"/>
          <w:shd w:val="clear" w:color="auto" w:fill="FFFFFF"/>
        </w:rPr>
        <w:t xml:space="preserve">The Political Identity </w:t>
      </w:r>
      <w:proofErr w:type="gramStart"/>
      <w:r w:rsidRPr="006A3461">
        <w:rPr>
          <w:i/>
          <w:iCs/>
          <w:color w:val="000000"/>
          <w:sz w:val="24"/>
          <w:szCs w:val="24"/>
          <w:shd w:val="clear" w:color="auto" w:fill="FFFFFF"/>
        </w:rPr>
        <w:t>Of</w:t>
      </w:r>
      <w:proofErr w:type="gramEnd"/>
      <w:r w:rsidRPr="006A3461">
        <w:rPr>
          <w:i/>
          <w:iCs/>
          <w:color w:val="000000"/>
          <w:sz w:val="24"/>
          <w:szCs w:val="24"/>
          <w:shd w:val="clear" w:color="auto" w:fill="FFFFFF"/>
        </w:rPr>
        <w:t xml:space="preserve"> Andrew Marvell</w:t>
      </w:r>
      <w:r w:rsidRPr="006A3461">
        <w:rPr>
          <w:color w:val="000000"/>
          <w:sz w:val="24"/>
          <w:szCs w:val="24"/>
          <w:shd w:val="clear" w:color="auto" w:fill="FFFFFF"/>
        </w:rPr>
        <w:t xml:space="preserve"> (Aldershot, Hants, England: </w:t>
      </w:r>
      <w:proofErr w:type="spellStart"/>
      <w:r w:rsidRPr="006A3461">
        <w:rPr>
          <w:color w:val="000000"/>
          <w:sz w:val="24"/>
          <w:szCs w:val="24"/>
          <w:shd w:val="clear" w:color="auto" w:fill="FFFFFF"/>
        </w:rPr>
        <w:t>Scolar</w:t>
      </w:r>
      <w:proofErr w:type="spellEnd"/>
      <w:r w:rsidRPr="006A3461">
        <w:rPr>
          <w:color w:val="000000"/>
          <w:sz w:val="24"/>
          <w:szCs w:val="24"/>
          <w:shd w:val="clear" w:color="auto" w:fill="FFFFFF"/>
        </w:rPr>
        <w:t xml:space="preserve"> Press, 1990)</w:t>
      </w:r>
    </w:p>
    <w:p w14:paraId="315BAE8D" w14:textId="50A1D1B0" w:rsidR="006A3461" w:rsidRPr="006A3461" w:rsidRDefault="006A3461" w:rsidP="006A3461">
      <w:pPr>
        <w:pStyle w:val="ListParagraph"/>
        <w:numPr>
          <w:ilvl w:val="0"/>
          <w:numId w:val="1"/>
        </w:numPr>
        <w:rPr>
          <w:color w:val="000000"/>
          <w:sz w:val="24"/>
          <w:szCs w:val="24"/>
          <w:shd w:val="clear" w:color="auto" w:fill="FFFFFF"/>
        </w:rPr>
      </w:pPr>
      <w:r w:rsidRPr="006A3461">
        <w:rPr>
          <w:color w:val="000000"/>
          <w:sz w:val="24"/>
          <w:szCs w:val="24"/>
          <w:shd w:val="clear" w:color="auto" w:fill="FFFFFF"/>
        </w:rPr>
        <w:t xml:space="preserve">Hibbard, G. R., "The Country House Poem </w:t>
      </w:r>
      <w:proofErr w:type="gramStart"/>
      <w:r w:rsidRPr="006A3461">
        <w:rPr>
          <w:color w:val="000000"/>
          <w:sz w:val="24"/>
          <w:szCs w:val="24"/>
          <w:shd w:val="clear" w:color="auto" w:fill="FFFFFF"/>
        </w:rPr>
        <w:t>Of</w:t>
      </w:r>
      <w:proofErr w:type="gramEnd"/>
      <w:r w:rsidRPr="006A3461">
        <w:rPr>
          <w:color w:val="000000"/>
          <w:sz w:val="24"/>
          <w:szCs w:val="24"/>
          <w:shd w:val="clear" w:color="auto" w:fill="FFFFFF"/>
        </w:rPr>
        <w:t xml:space="preserve"> The Seventeenth Century", </w:t>
      </w:r>
      <w:r w:rsidRPr="006A3461">
        <w:rPr>
          <w:i/>
          <w:iCs/>
          <w:color w:val="000000"/>
          <w:sz w:val="24"/>
          <w:szCs w:val="24"/>
          <w:shd w:val="clear" w:color="auto" w:fill="FFFFFF"/>
        </w:rPr>
        <w:t>Journal Of The Warburg And Courtauld Institutes</w:t>
      </w:r>
      <w:r w:rsidRPr="006A3461">
        <w:rPr>
          <w:color w:val="000000"/>
          <w:sz w:val="24"/>
          <w:szCs w:val="24"/>
          <w:shd w:val="clear" w:color="auto" w:fill="FFFFFF"/>
        </w:rPr>
        <w:t xml:space="preserve">, 19 (1956), 159 &lt;https://doi.org/10.2307/750248&gt; </w:t>
      </w:r>
    </w:p>
    <w:p w14:paraId="25441E7B" w14:textId="553C3671" w:rsidR="006A3461" w:rsidRPr="006A3461" w:rsidRDefault="006A3461" w:rsidP="006A3461">
      <w:pPr>
        <w:pStyle w:val="ListParagraph"/>
        <w:numPr>
          <w:ilvl w:val="0"/>
          <w:numId w:val="1"/>
        </w:numPr>
        <w:rPr>
          <w:color w:val="000000"/>
          <w:sz w:val="24"/>
          <w:szCs w:val="24"/>
          <w:shd w:val="clear" w:color="auto" w:fill="FFFFFF"/>
        </w:rPr>
      </w:pPr>
      <w:r w:rsidRPr="006A3461">
        <w:rPr>
          <w:color w:val="000000"/>
          <w:sz w:val="24"/>
          <w:szCs w:val="24"/>
          <w:shd w:val="clear" w:color="auto" w:fill="FFFFFF"/>
        </w:rPr>
        <w:t xml:space="preserve">Lord, George </w:t>
      </w:r>
      <w:proofErr w:type="spellStart"/>
      <w:proofErr w:type="gramStart"/>
      <w:r w:rsidRPr="006A3461">
        <w:rPr>
          <w:color w:val="000000"/>
          <w:sz w:val="24"/>
          <w:szCs w:val="24"/>
          <w:shd w:val="clear" w:color="auto" w:fill="FFFFFF"/>
        </w:rPr>
        <w:t>deForest</w:t>
      </w:r>
      <w:proofErr w:type="spellEnd"/>
      <w:proofErr w:type="gramEnd"/>
      <w:r w:rsidRPr="006A3461">
        <w:rPr>
          <w:color w:val="000000"/>
          <w:sz w:val="24"/>
          <w:szCs w:val="24"/>
          <w:shd w:val="clear" w:color="auto" w:fill="FFFFFF"/>
        </w:rPr>
        <w:t xml:space="preserve">, T. S Eliot, J Hollander, J. H Summers, George </w:t>
      </w:r>
      <w:proofErr w:type="spellStart"/>
      <w:r w:rsidRPr="006A3461">
        <w:rPr>
          <w:color w:val="000000"/>
          <w:sz w:val="24"/>
          <w:szCs w:val="24"/>
          <w:shd w:val="clear" w:color="auto" w:fill="FFFFFF"/>
        </w:rPr>
        <w:t>deForest</w:t>
      </w:r>
      <w:proofErr w:type="spellEnd"/>
      <w:r w:rsidRPr="006A3461">
        <w:rPr>
          <w:color w:val="000000"/>
          <w:sz w:val="24"/>
          <w:szCs w:val="24"/>
          <w:shd w:val="clear" w:color="auto" w:fill="FFFFFF"/>
        </w:rPr>
        <w:t xml:space="preserve"> Lord, and Harold E Toliver and others, </w:t>
      </w:r>
      <w:r w:rsidRPr="006A3461">
        <w:rPr>
          <w:i/>
          <w:iCs/>
          <w:color w:val="000000"/>
          <w:sz w:val="24"/>
          <w:szCs w:val="24"/>
          <w:shd w:val="clear" w:color="auto" w:fill="FFFFFF"/>
        </w:rPr>
        <w:t>Andrew Marvell</w:t>
      </w:r>
      <w:r w:rsidRPr="006A3461">
        <w:rPr>
          <w:color w:val="000000"/>
          <w:sz w:val="24"/>
          <w:szCs w:val="24"/>
          <w:shd w:val="clear" w:color="auto" w:fill="FFFFFF"/>
        </w:rPr>
        <w:t> (New Jersey: Prentice-Hall, 1968)</w:t>
      </w:r>
    </w:p>
    <w:p w14:paraId="4152248F" w14:textId="1C7F4FB4" w:rsidR="006A3461" w:rsidRPr="006A3461" w:rsidRDefault="006A3461" w:rsidP="006A3461">
      <w:pPr>
        <w:pStyle w:val="ListParagraph"/>
        <w:numPr>
          <w:ilvl w:val="0"/>
          <w:numId w:val="1"/>
        </w:numPr>
        <w:rPr>
          <w:color w:val="000000"/>
          <w:sz w:val="24"/>
          <w:szCs w:val="24"/>
          <w:shd w:val="clear" w:color="auto" w:fill="FFFFFF"/>
        </w:rPr>
      </w:pPr>
      <w:r w:rsidRPr="006A3461">
        <w:rPr>
          <w:color w:val="000000"/>
          <w:sz w:val="24"/>
          <w:szCs w:val="24"/>
          <w:shd w:val="clear" w:color="auto" w:fill="FFFFFF"/>
        </w:rPr>
        <w:t xml:space="preserve">Marvell, Andrew, and Elizabeth Story </w:t>
      </w:r>
      <w:proofErr w:type="spellStart"/>
      <w:r w:rsidRPr="006A3461">
        <w:rPr>
          <w:color w:val="000000"/>
          <w:sz w:val="24"/>
          <w:szCs w:val="24"/>
          <w:shd w:val="clear" w:color="auto" w:fill="FFFFFF"/>
        </w:rPr>
        <w:t>Donno</w:t>
      </w:r>
      <w:proofErr w:type="spellEnd"/>
      <w:r w:rsidRPr="006A3461">
        <w:rPr>
          <w:color w:val="000000"/>
          <w:sz w:val="24"/>
          <w:szCs w:val="24"/>
          <w:shd w:val="clear" w:color="auto" w:fill="FFFFFF"/>
        </w:rPr>
        <w:t>, </w:t>
      </w:r>
      <w:r w:rsidRPr="006A3461">
        <w:rPr>
          <w:i/>
          <w:iCs/>
          <w:color w:val="000000"/>
          <w:sz w:val="24"/>
          <w:szCs w:val="24"/>
          <w:shd w:val="clear" w:color="auto" w:fill="FFFFFF"/>
        </w:rPr>
        <w:t>The Complete Poems</w:t>
      </w:r>
      <w:r w:rsidRPr="006A3461">
        <w:rPr>
          <w:color w:val="000000"/>
          <w:sz w:val="24"/>
          <w:szCs w:val="24"/>
          <w:shd w:val="clear" w:color="auto" w:fill="FFFFFF"/>
        </w:rPr>
        <w:t> (London: Penguin, 2005)</w:t>
      </w:r>
    </w:p>
    <w:p w14:paraId="5C4103FD" w14:textId="05C47428" w:rsidR="006A3461" w:rsidRPr="00B2298F" w:rsidRDefault="006A3461" w:rsidP="006A3461">
      <w:pPr>
        <w:pStyle w:val="ListParagraph"/>
        <w:numPr>
          <w:ilvl w:val="0"/>
          <w:numId w:val="1"/>
        </w:numPr>
        <w:rPr>
          <w:sz w:val="40"/>
          <w:szCs w:val="40"/>
        </w:rPr>
      </w:pPr>
      <w:r w:rsidRPr="006A3461">
        <w:rPr>
          <w:color w:val="000000"/>
          <w:sz w:val="24"/>
          <w:szCs w:val="24"/>
          <w:shd w:val="clear" w:color="auto" w:fill="FFFFFF"/>
        </w:rPr>
        <w:t xml:space="preserve">McGuire, Mary Ann C., "The Cavalier Country-House Poem: Mutations </w:t>
      </w:r>
      <w:proofErr w:type="gramStart"/>
      <w:r w:rsidRPr="006A3461">
        <w:rPr>
          <w:color w:val="000000"/>
          <w:sz w:val="24"/>
          <w:szCs w:val="24"/>
          <w:shd w:val="clear" w:color="auto" w:fill="FFFFFF"/>
        </w:rPr>
        <w:t>On</w:t>
      </w:r>
      <w:proofErr w:type="gramEnd"/>
      <w:r w:rsidRPr="006A3461">
        <w:rPr>
          <w:color w:val="000000"/>
          <w:sz w:val="24"/>
          <w:szCs w:val="24"/>
          <w:shd w:val="clear" w:color="auto" w:fill="FFFFFF"/>
        </w:rPr>
        <w:t xml:space="preserve"> A Jonsonian Tradition", </w:t>
      </w:r>
      <w:r w:rsidRPr="006A3461">
        <w:rPr>
          <w:i/>
          <w:iCs/>
          <w:color w:val="000000"/>
          <w:sz w:val="24"/>
          <w:szCs w:val="24"/>
          <w:shd w:val="clear" w:color="auto" w:fill="FFFFFF"/>
        </w:rPr>
        <w:t>Studies In English Literature, 1500-1900</w:t>
      </w:r>
      <w:r w:rsidRPr="006A3461">
        <w:rPr>
          <w:color w:val="000000"/>
          <w:sz w:val="24"/>
          <w:szCs w:val="24"/>
          <w:shd w:val="clear" w:color="auto" w:fill="FFFFFF"/>
        </w:rPr>
        <w:t xml:space="preserve">, 19 (1979), 93 </w:t>
      </w:r>
      <w:hyperlink r:id="rId8" w:history="1">
        <w:r w:rsidRPr="006A3461">
          <w:rPr>
            <w:rStyle w:val="Hyperlink"/>
            <w:sz w:val="24"/>
            <w:szCs w:val="24"/>
            <w:shd w:val="clear" w:color="auto" w:fill="FFFFFF"/>
          </w:rPr>
          <w:t>https://doi.org/10.2307/450387</w:t>
        </w:r>
      </w:hyperlink>
    </w:p>
    <w:p w14:paraId="5CA8DFD2" w14:textId="28D9E2AD" w:rsidR="00B2298F" w:rsidRPr="00B2298F" w:rsidRDefault="00B2298F" w:rsidP="006A3461">
      <w:pPr>
        <w:pStyle w:val="ListParagraph"/>
        <w:numPr>
          <w:ilvl w:val="0"/>
          <w:numId w:val="1"/>
        </w:numPr>
        <w:rPr>
          <w:sz w:val="48"/>
          <w:szCs w:val="48"/>
        </w:rPr>
      </w:pPr>
      <w:r w:rsidRPr="00B2298F">
        <w:rPr>
          <w:color w:val="000000"/>
          <w:sz w:val="24"/>
          <w:szCs w:val="24"/>
          <w:shd w:val="clear" w:color="auto" w:fill="FFFFFF"/>
        </w:rPr>
        <w:t>"Thomas Carew. To Saxham.", </w:t>
      </w:r>
      <w:r w:rsidRPr="00B2298F">
        <w:rPr>
          <w:i/>
          <w:iCs/>
          <w:color w:val="000000"/>
          <w:sz w:val="24"/>
          <w:szCs w:val="24"/>
          <w:shd w:val="clear" w:color="auto" w:fill="FFFFFF"/>
        </w:rPr>
        <w:t>Luminarium.Org</w:t>
      </w:r>
      <w:r w:rsidRPr="00B2298F">
        <w:rPr>
          <w:color w:val="000000"/>
          <w:sz w:val="24"/>
          <w:szCs w:val="24"/>
          <w:shd w:val="clear" w:color="auto" w:fill="FFFFFF"/>
        </w:rPr>
        <w:t>, 2022 &lt;http://www.luminarium.org/sevenlit/carew/saxham.htm&gt; [Accessed 14 October 2022]</w:t>
      </w:r>
    </w:p>
    <w:p w14:paraId="01E26EFB" w14:textId="77777777" w:rsidR="006A3461" w:rsidRPr="006A3461" w:rsidRDefault="006A3461" w:rsidP="006A3461">
      <w:pPr>
        <w:pStyle w:val="ListParagraph"/>
        <w:rPr>
          <w:sz w:val="40"/>
          <w:szCs w:val="40"/>
        </w:rPr>
      </w:pPr>
    </w:p>
    <w:sectPr w:rsidR="006A3461" w:rsidRPr="006A34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6AEF8" w14:textId="77777777" w:rsidR="00FC680F" w:rsidRDefault="00FC680F" w:rsidP="000F2C68">
      <w:pPr>
        <w:spacing w:after="0" w:line="240" w:lineRule="auto"/>
      </w:pPr>
      <w:r>
        <w:separator/>
      </w:r>
    </w:p>
  </w:endnote>
  <w:endnote w:type="continuationSeparator" w:id="0">
    <w:p w14:paraId="27E0AAB3" w14:textId="77777777" w:rsidR="00FC680F" w:rsidRDefault="00FC680F" w:rsidP="000F2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44FE5" w14:textId="77777777" w:rsidR="00FC680F" w:rsidRDefault="00FC680F" w:rsidP="000F2C68">
      <w:pPr>
        <w:spacing w:after="0" w:line="240" w:lineRule="auto"/>
      </w:pPr>
      <w:r>
        <w:separator/>
      </w:r>
    </w:p>
  </w:footnote>
  <w:footnote w:type="continuationSeparator" w:id="0">
    <w:p w14:paraId="5EE8ADBD" w14:textId="77777777" w:rsidR="00FC680F" w:rsidRDefault="00FC680F" w:rsidP="000F2C68">
      <w:pPr>
        <w:spacing w:after="0" w:line="240" w:lineRule="auto"/>
      </w:pPr>
      <w:r>
        <w:continuationSeparator/>
      </w:r>
    </w:p>
  </w:footnote>
  <w:footnote w:id="1">
    <w:p w14:paraId="14FE089A" w14:textId="7FFB4E6C" w:rsidR="000F2C68" w:rsidRPr="000F2C68" w:rsidRDefault="000F2C68">
      <w:pPr>
        <w:pStyle w:val="FootnoteText"/>
        <w:rPr>
          <w:lang w:val="en-US"/>
        </w:rPr>
      </w:pPr>
      <w:r w:rsidRPr="000F2C68">
        <w:rPr>
          <w:rStyle w:val="FootnoteReference"/>
        </w:rPr>
        <w:footnoteRef/>
      </w:r>
      <w:r w:rsidRPr="000F2C68">
        <w:t xml:space="preserve"> </w:t>
      </w:r>
      <w:r w:rsidRPr="000F2C68">
        <w:rPr>
          <w:color w:val="000000"/>
          <w:shd w:val="clear" w:color="auto" w:fill="FFFFFF"/>
        </w:rPr>
        <w:t xml:space="preserve">G. R. Hibbard, "The Country House Poem </w:t>
      </w:r>
      <w:proofErr w:type="gramStart"/>
      <w:r w:rsidRPr="000F2C68">
        <w:rPr>
          <w:color w:val="000000"/>
          <w:shd w:val="clear" w:color="auto" w:fill="FFFFFF"/>
        </w:rPr>
        <w:t>Of</w:t>
      </w:r>
      <w:proofErr w:type="gramEnd"/>
      <w:r w:rsidRPr="000F2C68">
        <w:rPr>
          <w:color w:val="000000"/>
          <w:shd w:val="clear" w:color="auto" w:fill="FFFFFF"/>
        </w:rPr>
        <w:t xml:space="preserve"> The Seventeenth Century", </w:t>
      </w:r>
      <w:r w:rsidRPr="000F2C68">
        <w:rPr>
          <w:i/>
          <w:iCs/>
          <w:color w:val="000000"/>
          <w:shd w:val="clear" w:color="auto" w:fill="FFFFFF"/>
        </w:rPr>
        <w:t>Journal Of The Warburg And Courtauld Institutes</w:t>
      </w:r>
      <w:r w:rsidRPr="000F2C68">
        <w:rPr>
          <w:color w:val="000000"/>
          <w:shd w:val="clear" w:color="auto" w:fill="FFFFFF"/>
        </w:rPr>
        <w:t xml:space="preserve">, 19.1-2 (1956), 159 </w:t>
      </w:r>
    </w:p>
  </w:footnote>
  <w:footnote w:id="2">
    <w:p w14:paraId="1D6F3363" w14:textId="0F519215" w:rsidR="008F62B0" w:rsidRPr="008F62B0" w:rsidRDefault="008F62B0">
      <w:pPr>
        <w:pStyle w:val="FootnoteText"/>
        <w:rPr>
          <w:lang w:val="en-US"/>
        </w:rPr>
      </w:pPr>
      <w:r>
        <w:rPr>
          <w:rStyle w:val="FootnoteReference"/>
        </w:rPr>
        <w:footnoteRef/>
      </w:r>
      <w:r>
        <w:t xml:space="preserve"> </w:t>
      </w:r>
      <w:r w:rsidR="005D4FA5" w:rsidRPr="00BB0E0D">
        <w:rPr>
          <w:color w:val="000000"/>
          <w:shd w:val="clear" w:color="auto" w:fill="FFFFFF"/>
        </w:rPr>
        <w:t xml:space="preserve">Thomas </w:t>
      </w:r>
      <w:r w:rsidR="00E961AE" w:rsidRPr="00BB0E0D">
        <w:rPr>
          <w:color w:val="000000"/>
          <w:shd w:val="clear" w:color="auto" w:fill="FFFFFF"/>
        </w:rPr>
        <w:t>Carew.</w:t>
      </w:r>
      <w:r w:rsidR="00E961AE">
        <w:rPr>
          <w:color w:val="000000"/>
          <w:shd w:val="clear" w:color="auto" w:fill="FFFFFF"/>
        </w:rPr>
        <w:t xml:space="preserve"> “To</w:t>
      </w:r>
      <w:r w:rsidR="005D4FA5">
        <w:rPr>
          <w:color w:val="000000"/>
          <w:shd w:val="clear" w:color="auto" w:fill="FFFFFF"/>
        </w:rPr>
        <w:t xml:space="preserve"> Saxham</w:t>
      </w:r>
      <w:r w:rsidR="005D4FA5" w:rsidRPr="00BB0E0D">
        <w:rPr>
          <w:color w:val="000000"/>
          <w:shd w:val="clear" w:color="auto" w:fill="FFFFFF"/>
        </w:rPr>
        <w:t>.", </w:t>
      </w:r>
      <w:r w:rsidR="005D4FA5" w:rsidRPr="00BB0E0D">
        <w:rPr>
          <w:i/>
          <w:iCs/>
          <w:color w:val="000000"/>
          <w:shd w:val="clear" w:color="auto" w:fill="FFFFFF"/>
        </w:rPr>
        <w:t>Luminarium.Org</w:t>
      </w:r>
      <w:r w:rsidR="005D4FA5" w:rsidRPr="00BB0E0D">
        <w:rPr>
          <w:color w:val="000000"/>
          <w:shd w:val="clear" w:color="auto" w:fill="FFFFFF"/>
        </w:rPr>
        <w:t>, 2022</w:t>
      </w:r>
    </w:p>
  </w:footnote>
  <w:footnote w:id="3">
    <w:p w14:paraId="358D7624" w14:textId="44881943" w:rsidR="0075797E" w:rsidRPr="0075797E" w:rsidRDefault="0075797E">
      <w:pPr>
        <w:pStyle w:val="FootnoteText"/>
        <w:rPr>
          <w:lang w:val="en-US"/>
        </w:rPr>
      </w:pPr>
      <w:r>
        <w:rPr>
          <w:rStyle w:val="FootnoteReference"/>
        </w:rPr>
        <w:footnoteRef/>
      </w:r>
      <w:r>
        <w:t xml:space="preserve"> </w:t>
      </w:r>
      <w:r w:rsidRPr="00063988">
        <w:rPr>
          <w:color w:val="000000"/>
          <w:shd w:val="clear" w:color="auto" w:fill="FFFFFF"/>
        </w:rPr>
        <w:t xml:space="preserve">Mary Ann C. McGuire, "The Cavalier Country-House Poem: Mutations </w:t>
      </w:r>
      <w:proofErr w:type="gramStart"/>
      <w:r w:rsidRPr="00063988">
        <w:rPr>
          <w:color w:val="000000"/>
          <w:shd w:val="clear" w:color="auto" w:fill="FFFFFF"/>
        </w:rPr>
        <w:t>On</w:t>
      </w:r>
      <w:proofErr w:type="gramEnd"/>
      <w:r w:rsidRPr="00063988">
        <w:rPr>
          <w:color w:val="000000"/>
          <w:shd w:val="clear" w:color="auto" w:fill="FFFFFF"/>
        </w:rPr>
        <w:t xml:space="preserve"> A Jonsonian Tradition", </w:t>
      </w:r>
      <w:r w:rsidRPr="00063988">
        <w:rPr>
          <w:i/>
          <w:iCs/>
          <w:color w:val="000000"/>
          <w:shd w:val="clear" w:color="auto" w:fill="FFFFFF"/>
        </w:rPr>
        <w:t>Studies In English Literature, 1500-1900</w:t>
      </w:r>
      <w:r w:rsidRPr="00063988">
        <w:rPr>
          <w:color w:val="000000"/>
          <w:shd w:val="clear" w:color="auto" w:fill="FFFFFF"/>
        </w:rPr>
        <w:t>, 19.1 (1979), 9</w:t>
      </w:r>
      <w:r>
        <w:rPr>
          <w:color w:val="000000"/>
          <w:shd w:val="clear" w:color="auto" w:fill="FFFFFF"/>
        </w:rPr>
        <w:t>9</w:t>
      </w:r>
      <w:r w:rsidRPr="00063988">
        <w:rPr>
          <w:color w:val="000000"/>
          <w:shd w:val="clear" w:color="auto" w:fill="FFFFFF"/>
        </w:rPr>
        <w:t xml:space="preserve"> &lt;https://doi.org/10.2307/450387&gt;.</w:t>
      </w:r>
    </w:p>
  </w:footnote>
  <w:footnote w:id="4">
    <w:p w14:paraId="672C7078" w14:textId="4B7E1B38" w:rsidR="005D4FA5" w:rsidRPr="00063988" w:rsidRDefault="005D4FA5">
      <w:pPr>
        <w:pStyle w:val="FootnoteText"/>
        <w:rPr>
          <w:lang w:val="en-US"/>
        </w:rPr>
      </w:pPr>
      <w:r w:rsidRPr="00063988">
        <w:rPr>
          <w:rStyle w:val="FootnoteReference"/>
        </w:rPr>
        <w:footnoteRef/>
      </w:r>
      <w:r w:rsidRPr="00063988">
        <w:t xml:space="preserve"> </w:t>
      </w:r>
      <w:r w:rsidR="00063988" w:rsidRPr="00063988">
        <w:rPr>
          <w:color w:val="000000"/>
          <w:shd w:val="clear" w:color="auto" w:fill="FFFFFF"/>
        </w:rPr>
        <w:t xml:space="preserve">Mary Ann C. McGuire, "The Cavalier Country-House Poem: Mutations </w:t>
      </w:r>
      <w:proofErr w:type="gramStart"/>
      <w:r w:rsidR="00063988" w:rsidRPr="00063988">
        <w:rPr>
          <w:color w:val="000000"/>
          <w:shd w:val="clear" w:color="auto" w:fill="FFFFFF"/>
        </w:rPr>
        <w:t>On</w:t>
      </w:r>
      <w:proofErr w:type="gramEnd"/>
      <w:r w:rsidR="00063988" w:rsidRPr="00063988">
        <w:rPr>
          <w:color w:val="000000"/>
          <w:shd w:val="clear" w:color="auto" w:fill="FFFFFF"/>
        </w:rPr>
        <w:t xml:space="preserve"> A Jonsonian Tradition", </w:t>
      </w:r>
      <w:r w:rsidR="0075797E">
        <w:rPr>
          <w:color w:val="000000"/>
          <w:shd w:val="clear" w:color="auto" w:fill="FFFFFF"/>
        </w:rPr>
        <w:t>97</w:t>
      </w:r>
      <w:r w:rsidR="00063988" w:rsidRPr="00063988">
        <w:rPr>
          <w:color w:val="000000"/>
          <w:shd w:val="clear" w:color="auto" w:fill="FFFFFF"/>
        </w:rPr>
        <w:t>.</w:t>
      </w:r>
    </w:p>
  </w:footnote>
  <w:footnote w:id="5">
    <w:p w14:paraId="2AB52A50" w14:textId="2EAD60A3" w:rsidR="007872BD" w:rsidRPr="007872BD" w:rsidRDefault="007872BD">
      <w:pPr>
        <w:pStyle w:val="FootnoteText"/>
        <w:rPr>
          <w:lang w:val="en-US"/>
        </w:rPr>
      </w:pPr>
      <w:r>
        <w:rPr>
          <w:rStyle w:val="FootnoteReference"/>
        </w:rPr>
        <w:footnoteRef/>
      </w:r>
      <w:r>
        <w:t xml:space="preserve"> </w:t>
      </w:r>
      <w:r w:rsidR="005D4FA5" w:rsidRPr="00BB0E0D">
        <w:rPr>
          <w:color w:val="000000"/>
          <w:shd w:val="clear" w:color="auto" w:fill="FFFFFF"/>
        </w:rPr>
        <w:t xml:space="preserve">Thomas </w:t>
      </w:r>
      <w:r w:rsidR="00E961AE" w:rsidRPr="00BB0E0D">
        <w:rPr>
          <w:color w:val="000000"/>
          <w:shd w:val="clear" w:color="auto" w:fill="FFFFFF"/>
        </w:rPr>
        <w:t>Carew.</w:t>
      </w:r>
      <w:r w:rsidR="00E961AE">
        <w:rPr>
          <w:color w:val="000000"/>
          <w:shd w:val="clear" w:color="auto" w:fill="FFFFFF"/>
        </w:rPr>
        <w:t xml:space="preserve"> “To</w:t>
      </w:r>
      <w:r w:rsidR="005D4FA5">
        <w:rPr>
          <w:color w:val="000000"/>
          <w:shd w:val="clear" w:color="auto" w:fill="FFFFFF"/>
        </w:rPr>
        <w:t xml:space="preserve"> Saxham</w:t>
      </w:r>
      <w:r w:rsidR="005D4FA5" w:rsidRPr="00BB0E0D">
        <w:rPr>
          <w:color w:val="000000"/>
          <w:shd w:val="clear" w:color="auto" w:fill="FFFFFF"/>
        </w:rPr>
        <w:t>.", </w:t>
      </w:r>
      <w:r w:rsidR="005D4FA5" w:rsidRPr="00BB0E0D">
        <w:rPr>
          <w:i/>
          <w:iCs/>
          <w:color w:val="000000"/>
          <w:shd w:val="clear" w:color="auto" w:fill="FFFFFF"/>
        </w:rPr>
        <w:t>Luminarium.Org</w:t>
      </w:r>
      <w:r w:rsidR="005D4FA5" w:rsidRPr="00BB0E0D">
        <w:rPr>
          <w:color w:val="000000"/>
          <w:shd w:val="clear" w:color="auto" w:fill="FFFFFF"/>
        </w:rPr>
        <w:t>, 2022</w:t>
      </w:r>
    </w:p>
  </w:footnote>
  <w:footnote w:id="6">
    <w:p w14:paraId="002934F1" w14:textId="1D6D7F4B" w:rsidR="007872BD" w:rsidRPr="007872BD" w:rsidRDefault="007872BD">
      <w:pPr>
        <w:pStyle w:val="FootnoteText"/>
        <w:rPr>
          <w:lang w:val="en-US"/>
        </w:rPr>
      </w:pPr>
      <w:r>
        <w:rPr>
          <w:rStyle w:val="FootnoteReference"/>
        </w:rPr>
        <w:footnoteRef/>
      </w:r>
      <w:r>
        <w:t xml:space="preserve"> </w:t>
      </w:r>
      <w:r w:rsidRPr="000F2C68">
        <w:rPr>
          <w:color w:val="000000"/>
          <w:shd w:val="clear" w:color="auto" w:fill="FFFFFF"/>
        </w:rPr>
        <w:t xml:space="preserve">G. R. Hibbard, </w:t>
      </w:r>
      <w:r>
        <w:rPr>
          <w:color w:val="000000"/>
          <w:shd w:val="clear" w:color="auto" w:fill="FFFFFF"/>
        </w:rPr>
        <w:t>“</w:t>
      </w:r>
      <w:r w:rsidRPr="000F2C68">
        <w:rPr>
          <w:color w:val="000000"/>
          <w:shd w:val="clear" w:color="auto" w:fill="FFFFFF"/>
        </w:rPr>
        <w:t xml:space="preserve">The Country House Poem </w:t>
      </w:r>
      <w:proofErr w:type="gramStart"/>
      <w:r w:rsidRPr="000F2C68">
        <w:rPr>
          <w:color w:val="000000"/>
          <w:shd w:val="clear" w:color="auto" w:fill="FFFFFF"/>
        </w:rPr>
        <w:t>Of</w:t>
      </w:r>
      <w:proofErr w:type="gramEnd"/>
      <w:r w:rsidRPr="000F2C68">
        <w:rPr>
          <w:color w:val="000000"/>
          <w:shd w:val="clear" w:color="auto" w:fill="FFFFFF"/>
        </w:rPr>
        <w:t xml:space="preserve"> The Seventeenth Century</w:t>
      </w:r>
      <w:r>
        <w:rPr>
          <w:color w:val="000000"/>
          <w:shd w:val="clear" w:color="auto" w:fill="FFFFFF"/>
        </w:rPr>
        <w:t>”, p.166</w:t>
      </w:r>
    </w:p>
  </w:footnote>
  <w:footnote w:id="7">
    <w:p w14:paraId="5BC82237" w14:textId="49C278FB" w:rsidR="007872BD" w:rsidRPr="007872BD" w:rsidRDefault="007872BD">
      <w:pPr>
        <w:pStyle w:val="FootnoteText"/>
        <w:rPr>
          <w:lang w:val="en-US"/>
        </w:rPr>
      </w:pPr>
      <w:r>
        <w:rPr>
          <w:rStyle w:val="FootnoteReference"/>
        </w:rPr>
        <w:footnoteRef/>
      </w:r>
      <w:r>
        <w:t xml:space="preserve"> </w:t>
      </w:r>
      <w:r w:rsidRPr="000F2C68">
        <w:rPr>
          <w:color w:val="000000"/>
          <w:shd w:val="clear" w:color="auto" w:fill="FFFFFF"/>
        </w:rPr>
        <w:t xml:space="preserve">G. R. Hibbard, "The Country House Poem </w:t>
      </w:r>
      <w:proofErr w:type="gramStart"/>
      <w:r w:rsidRPr="000F2C68">
        <w:rPr>
          <w:color w:val="000000"/>
          <w:shd w:val="clear" w:color="auto" w:fill="FFFFFF"/>
        </w:rPr>
        <w:t>Of</w:t>
      </w:r>
      <w:proofErr w:type="gramEnd"/>
      <w:r w:rsidRPr="000F2C68">
        <w:rPr>
          <w:color w:val="000000"/>
          <w:shd w:val="clear" w:color="auto" w:fill="FFFFFF"/>
        </w:rPr>
        <w:t xml:space="preserve"> The Seventeenth Century</w:t>
      </w:r>
      <w:r>
        <w:rPr>
          <w:color w:val="000000"/>
          <w:shd w:val="clear" w:color="auto" w:fill="FFFFFF"/>
        </w:rPr>
        <w:t>”, p.</w:t>
      </w:r>
      <w:r w:rsidRPr="000F2C68">
        <w:rPr>
          <w:color w:val="000000"/>
          <w:shd w:val="clear" w:color="auto" w:fill="FFFFFF"/>
        </w:rPr>
        <w:t xml:space="preserve"> </w:t>
      </w:r>
      <w:r>
        <w:rPr>
          <w:color w:val="000000"/>
          <w:shd w:val="clear" w:color="auto" w:fill="FFFFFF"/>
        </w:rPr>
        <w:t>166</w:t>
      </w:r>
    </w:p>
  </w:footnote>
  <w:footnote w:id="8">
    <w:p w14:paraId="63434104" w14:textId="2573A18E" w:rsidR="0075797E" w:rsidRPr="0075797E" w:rsidRDefault="0075797E">
      <w:pPr>
        <w:pStyle w:val="FootnoteText"/>
        <w:rPr>
          <w:lang w:val="en-US"/>
        </w:rPr>
      </w:pPr>
      <w:r>
        <w:rPr>
          <w:rStyle w:val="FootnoteReference"/>
        </w:rPr>
        <w:footnoteRef/>
      </w:r>
      <w:r>
        <w:t xml:space="preserve"> </w:t>
      </w:r>
      <w:r w:rsidR="00B3487C" w:rsidRPr="00063988">
        <w:rPr>
          <w:color w:val="000000"/>
          <w:shd w:val="clear" w:color="auto" w:fill="FFFFFF"/>
        </w:rPr>
        <w:t xml:space="preserve">Mary Ann C. McGuire, "The Cavalier Country-House Poem: Mutations </w:t>
      </w:r>
      <w:proofErr w:type="gramStart"/>
      <w:r w:rsidR="00B3487C" w:rsidRPr="00063988">
        <w:rPr>
          <w:color w:val="000000"/>
          <w:shd w:val="clear" w:color="auto" w:fill="FFFFFF"/>
        </w:rPr>
        <w:t>On</w:t>
      </w:r>
      <w:proofErr w:type="gramEnd"/>
      <w:r w:rsidR="00B3487C" w:rsidRPr="00063988">
        <w:rPr>
          <w:color w:val="000000"/>
          <w:shd w:val="clear" w:color="auto" w:fill="FFFFFF"/>
        </w:rPr>
        <w:t xml:space="preserve"> A Jonsonian Tradition", </w:t>
      </w:r>
      <w:r w:rsidR="00B3487C">
        <w:rPr>
          <w:color w:val="000000"/>
          <w:shd w:val="clear" w:color="auto" w:fill="FFFFFF"/>
        </w:rPr>
        <w:t>97</w:t>
      </w:r>
      <w:r w:rsidR="00B3487C" w:rsidRPr="00063988">
        <w:rPr>
          <w:color w:val="000000"/>
          <w:shd w:val="clear" w:color="auto" w:fill="FFFFFF"/>
        </w:rPr>
        <w:t>.</w:t>
      </w:r>
    </w:p>
  </w:footnote>
  <w:footnote w:id="9">
    <w:p w14:paraId="4C871EC0" w14:textId="2128E713" w:rsidR="00E961AE" w:rsidRPr="00E961AE" w:rsidRDefault="00E961AE">
      <w:pPr>
        <w:pStyle w:val="FootnoteText"/>
        <w:rPr>
          <w:lang w:val="en-US"/>
        </w:rPr>
      </w:pPr>
      <w:r>
        <w:rPr>
          <w:rStyle w:val="FootnoteReference"/>
        </w:rPr>
        <w:footnoteRef/>
      </w:r>
      <w:r>
        <w:t xml:space="preserve"> </w:t>
      </w:r>
      <w:r w:rsidR="00AA3510">
        <w:t xml:space="preserve"> </w:t>
      </w:r>
      <w:r w:rsidRPr="00063988">
        <w:rPr>
          <w:color w:val="000000"/>
          <w:shd w:val="clear" w:color="auto" w:fill="FFFFFF"/>
        </w:rPr>
        <w:t xml:space="preserve">Mary Ann C. McGuire, "The Cavalier Country-House Poem: Mutations </w:t>
      </w:r>
      <w:proofErr w:type="gramStart"/>
      <w:r w:rsidRPr="00063988">
        <w:rPr>
          <w:color w:val="000000"/>
          <w:shd w:val="clear" w:color="auto" w:fill="FFFFFF"/>
        </w:rPr>
        <w:t>On</w:t>
      </w:r>
      <w:proofErr w:type="gramEnd"/>
      <w:r w:rsidRPr="00063988">
        <w:rPr>
          <w:color w:val="000000"/>
          <w:shd w:val="clear" w:color="auto" w:fill="FFFFFF"/>
        </w:rPr>
        <w:t xml:space="preserve"> A Jonsonian Tradition", </w:t>
      </w:r>
      <w:r>
        <w:rPr>
          <w:color w:val="000000"/>
          <w:shd w:val="clear" w:color="auto" w:fill="FFFFFF"/>
        </w:rPr>
        <w:t>99</w:t>
      </w:r>
      <w:r w:rsidRPr="00063988">
        <w:rPr>
          <w:color w:val="000000"/>
          <w:shd w:val="clear" w:color="auto" w:fill="FFFFFF"/>
        </w:rPr>
        <w:t>.</w:t>
      </w:r>
    </w:p>
  </w:footnote>
  <w:footnote w:id="10">
    <w:p w14:paraId="5ED0B123" w14:textId="1F2403CB" w:rsidR="00E5537E" w:rsidRPr="00BD52EB" w:rsidRDefault="00E5537E">
      <w:pPr>
        <w:pStyle w:val="FootnoteText"/>
        <w:rPr>
          <w:lang w:val="en-US"/>
        </w:rPr>
      </w:pPr>
      <w:r>
        <w:rPr>
          <w:rStyle w:val="FootnoteReference"/>
        </w:rPr>
        <w:footnoteRef/>
      </w:r>
      <w:r>
        <w:t xml:space="preserve"> </w:t>
      </w:r>
      <w:r w:rsidR="00BD52EB" w:rsidRPr="00BD52EB">
        <w:rPr>
          <w:color w:val="000000"/>
          <w:shd w:val="clear" w:color="auto" w:fill="FFFFFF"/>
        </w:rPr>
        <w:t xml:space="preserve">Andrew Marvell and Elizabeth Story </w:t>
      </w:r>
      <w:proofErr w:type="spellStart"/>
      <w:r w:rsidR="00BD52EB" w:rsidRPr="00BD52EB">
        <w:rPr>
          <w:color w:val="000000"/>
          <w:shd w:val="clear" w:color="auto" w:fill="FFFFFF"/>
        </w:rPr>
        <w:t>Donno</w:t>
      </w:r>
      <w:proofErr w:type="spellEnd"/>
      <w:r w:rsidR="00BD52EB" w:rsidRPr="00BD52EB">
        <w:rPr>
          <w:color w:val="000000"/>
          <w:shd w:val="clear" w:color="auto" w:fill="FFFFFF"/>
        </w:rPr>
        <w:t>, </w:t>
      </w:r>
      <w:r w:rsidR="00BD52EB" w:rsidRPr="00BD52EB">
        <w:rPr>
          <w:i/>
          <w:iCs/>
          <w:color w:val="000000"/>
          <w:shd w:val="clear" w:color="auto" w:fill="FFFFFF"/>
        </w:rPr>
        <w:t>The Complete Poems</w:t>
      </w:r>
      <w:r w:rsidR="00BD52EB" w:rsidRPr="00BD52EB">
        <w:rPr>
          <w:color w:val="000000"/>
          <w:shd w:val="clear" w:color="auto" w:fill="FFFFFF"/>
        </w:rPr>
        <w:t> (London: Penguin, 2005).</w:t>
      </w:r>
    </w:p>
  </w:footnote>
  <w:footnote w:id="11">
    <w:p w14:paraId="5B2744EE" w14:textId="708774D2" w:rsidR="008F6F2B" w:rsidRPr="008F6F2B" w:rsidRDefault="008F6F2B">
      <w:pPr>
        <w:pStyle w:val="FootnoteText"/>
        <w:rPr>
          <w:lang w:val="en-US"/>
        </w:rPr>
      </w:pPr>
      <w:r>
        <w:rPr>
          <w:rStyle w:val="FootnoteReference"/>
        </w:rPr>
        <w:footnoteRef/>
      </w:r>
      <w:r>
        <w:t xml:space="preserve"> </w:t>
      </w:r>
      <w:r w:rsidRPr="008F6F2B">
        <w:rPr>
          <w:color w:val="000000"/>
          <w:shd w:val="clear" w:color="auto" w:fill="FFFFFF"/>
        </w:rPr>
        <w:t xml:space="preserve">George </w:t>
      </w:r>
      <w:proofErr w:type="spellStart"/>
      <w:r w:rsidRPr="008F6F2B">
        <w:rPr>
          <w:color w:val="000000"/>
          <w:shd w:val="clear" w:color="auto" w:fill="FFFFFF"/>
        </w:rPr>
        <w:t>deForest</w:t>
      </w:r>
      <w:proofErr w:type="spellEnd"/>
      <w:r w:rsidRPr="008F6F2B">
        <w:rPr>
          <w:color w:val="000000"/>
          <w:shd w:val="clear" w:color="auto" w:fill="FFFFFF"/>
        </w:rPr>
        <w:t xml:space="preserve"> Lord </w:t>
      </w:r>
      <w:r>
        <w:rPr>
          <w:color w:val="000000"/>
          <w:shd w:val="clear" w:color="auto" w:fill="FFFFFF"/>
        </w:rPr>
        <w:t>et al</w:t>
      </w:r>
      <w:r w:rsidRPr="008F6F2B">
        <w:rPr>
          <w:color w:val="000000"/>
          <w:shd w:val="clear" w:color="auto" w:fill="FFFFFF"/>
        </w:rPr>
        <w:t>, </w:t>
      </w:r>
      <w:r w:rsidRPr="008F6F2B">
        <w:rPr>
          <w:i/>
          <w:iCs/>
          <w:color w:val="000000"/>
          <w:shd w:val="clear" w:color="auto" w:fill="FFFFFF"/>
        </w:rPr>
        <w:t>Andrew Marvell</w:t>
      </w:r>
      <w:r w:rsidRPr="008F6F2B">
        <w:rPr>
          <w:color w:val="000000"/>
          <w:shd w:val="clear" w:color="auto" w:fill="FFFFFF"/>
        </w:rPr>
        <w:t> (New Jersey: Prentice-Hall, 1968).</w:t>
      </w:r>
    </w:p>
  </w:footnote>
  <w:footnote w:id="12">
    <w:p w14:paraId="1745D9AA" w14:textId="3564D05A" w:rsidR="00E5537E" w:rsidRPr="00BD52EB" w:rsidRDefault="00E5537E">
      <w:pPr>
        <w:pStyle w:val="FootnoteText"/>
        <w:rPr>
          <w:lang w:val="en-US"/>
        </w:rPr>
      </w:pPr>
      <w:r w:rsidRPr="00BD52EB">
        <w:rPr>
          <w:rStyle w:val="FootnoteReference"/>
        </w:rPr>
        <w:footnoteRef/>
      </w:r>
      <w:r w:rsidRPr="00BD52EB">
        <w:t xml:space="preserve"> </w:t>
      </w:r>
      <w:r w:rsidR="00BD52EB" w:rsidRPr="00BD52EB">
        <w:rPr>
          <w:color w:val="000000"/>
          <w:shd w:val="clear" w:color="auto" w:fill="FFFFFF"/>
        </w:rPr>
        <w:t xml:space="preserve">Andrew Marvell and Elizabeth Story </w:t>
      </w:r>
      <w:proofErr w:type="spellStart"/>
      <w:r w:rsidR="00BD52EB" w:rsidRPr="00BD52EB">
        <w:rPr>
          <w:color w:val="000000"/>
          <w:shd w:val="clear" w:color="auto" w:fill="FFFFFF"/>
        </w:rPr>
        <w:t>Donno</w:t>
      </w:r>
      <w:proofErr w:type="spellEnd"/>
      <w:r w:rsidR="00BD52EB" w:rsidRPr="00BD52EB">
        <w:rPr>
          <w:color w:val="000000"/>
          <w:shd w:val="clear" w:color="auto" w:fill="FFFFFF"/>
        </w:rPr>
        <w:t>, </w:t>
      </w:r>
      <w:r w:rsidR="00BD52EB" w:rsidRPr="00BD52EB">
        <w:rPr>
          <w:i/>
          <w:iCs/>
          <w:color w:val="000000"/>
          <w:shd w:val="clear" w:color="auto" w:fill="FFFFFF"/>
        </w:rPr>
        <w:t>The Complete Poems</w:t>
      </w:r>
      <w:r w:rsidR="00BD52EB" w:rsidRPr="00BD52EB">
        <w:rPr>
          <w:color w:val="000000"/>
          <w:shd w:val="clear" w:color="auto" w:fill="FFFFFF"/>
        </w:rPr>
        <w:t> (London: Penguin, 2005).</w:t>
      </w:r>
    </w:p>
  </w:footnote>
  <w:footnote w:id="13">
    <w:p w14:paraId="38B3E586" w14:textId="448067D2" w:rsidR="00F25B63" w:rsidRPr="00F25B63" w:rsidRDefault="00F25B63">
      <w:pPr>
        <w:pStyle w:val="FootnoteText"/>
        <w:rPr>
          <w:lang w:val="en-US"/>
        </w:rPr>
      </w:pPr>
      <w:r>
        <w:rPr>
          <w:rStyle w:val="FootnoteReference"/>
        </w:rPr>
        <w:footnoteRef/>
      </w:r>
      <w:r>
        <w:t xml:space="preserve"> </w:t>
      </w:r>
      <w:r w:rsidRPr="008F6F2B">
        <w:rPr>
          <w:color w:val="000000"/>
          <w:shd w:val="clear" w:color="auto" w:fill="FFFFFF"/>
        </w:rPr>
        <w:t xml:space="preserve">George </w:t>
      </w:r>
      <w:proofErr w:type="spellStart"/>
      <w:r w:rsidRPr="008F6F2B">
        <w:rPr>
          <w:color w:val="000000"/>
          <w:shd w:val="clear" w:color="auto" w:fill="FFFFFF"/>
        </w:rPr>
        <w:t>deForest</w:t>
      </w:r>
      <w:proofErr w:type="spellEnd"/>
      <w:r w:rsidRPr="008F6F2B">
        <w:rPr>
          <w:color w:val="000000"/>
          <w:shd w:val="clear" w:color="auto" w:fill="FFFFFF"/>
        </w:rPr>
        <w:t xml:space="preserve"> Lord </w:t>
      </w:r>
      <w:r>
        <w:rPr>
          <w:color w:val="000000"/>
          <w:shd w:val="clear" w:color="auto" w:fill="FFFFFF"/>
        </w:rPr>
        <w:t>et al</w:t>
      </w:r>
      <w:r w:rsidRPr="008F6F2B">
        <w:rPr>
          <w:color w:val="000000"/>
          <w:shd w:val="clear" w:color="auto" w:fill="FFFFFF"/>
        </w:rPr>
        <w:t>, </w:t>
      </w:r>
      <w:r w:rsidRPr="008F6F2B">
        <w:rPr>
          <w:i/>
          <w:iCs/>
          <w:color w:val="000000"/>
          <w:shd w:val="clear" w:color="auto" w:fill="FFFFFF"/>
        </w:rPr>
        <w:t>Andrew Marvell</w:t>
      </w:r>
      <w:r w:rsidRPr="008F6F2B">
        <w:rPr>
          <w:color w:val="000000"/>
          <w:shd w:val="clear" w:color="auto" w:fill="FFFFFF"/>
        </w:rPr>
        <w:t> (New Jersey: Prentice-Hall, 1968).</w:t>
      </w:r>
    </w:p>
  </w:footnote>
  <w:footnote w:id="14">
    <w:p w14:paraId="611DB169" w14:textId="051498D1" w:rsidR="00D9570A" w:rsidRPr="00AA3510" w:rsidRDefault="00D9570A">
      <w:pPr>
        <w:pStyle w:val="FootnoteText"/>
        <w:rPr>
          <w:lang w:val="en-US"/>
        </w:rPr>
      </w:pPr>
      <w:r>
        <w:rPr>
          <w:rStyle w:val="FootnoteReference"/>
        </w:rPr>
        <w:footnoteRef/>
      </w:r>
      <w:r>
        <w:t xml:space="preserve"> </w:t>
      </w:r>
      <w:proofErr w:type="spellStart"/>
      <w:r w:rsidR="00AA3510" w:rsidRPr="00AA3510">
        <w:rPr>
          <w:color w:val="000000"/>
          <w:shd w:val="clear" w:color="auto" w:fill="FFFFFF"/>
        </w:rPr>
        <w:t>Conal</w:t>
      </w:r>
      <w:proofErr w:type="spellEnd"/>
      <w:r w:rsidR="00AA3510" w:rsidRPr="00AA3510">
        <w:rPr>
          <w:color w:val="000000"/>
          <w:shd w:val="clear" w:color="auto" w:fill="FFFFFF"/>
        </w:rPr>
        <w:t xml:space="preserve"> </w:t>
      </w:r>
      <w:proofErr w:type="spellStart"/>
      <w:r w:rsidR="00AA3510" w:rsidRPr="00AA3510">
        <w:rPr>
          <w:color w:val="000000"/>
          <w:shd w:val="clear" w:color="auto" w:fill="FFFFFF"/>
        </w:rPr>
        <w:t>Condren</w:t>
      </w:r>
      <w:proofErr w:type="spellEnd"/>
      <w:r w:rsidR="00AA3510" w:rsidRPr="00AA3510">
        <w:rPr>
          <w:color w:val="000000"/>
          <w:shd w:val="clear" w:color="auto" w:fill="FFFFFF"/>
        </w:rPr>
        <w:t xml:space="preserve"> and A. D Cousins, </w:t>
      </w:r>
      <w:r w:rsidR="00AA3510" w:rsidRPr="00AA3510">
        <w:rPr>
          <w:i/>
          <w:iCs/>
          <w:color w:val="000000"/>
          <w:shd w:val="clear" w:color="auto" w:fill="FFFFFF"/>
        </w:rPr>
        <w:t xml:space="preserve">The Political Identity </w:t>
      </w:r>
      <w:proofErr w:type="gramStart"/>
      <w:r w:rsidR="00AA3510" w:rsidRPr="00AA3510">
        <w:rPr>
          <w:i/>
          <w:iCs/>
          <w:color w:val="000000"/>
          <w:shd w:val="clear" w:color="auto" w:fill="FFFFFF"/>
        </w:rPr>
        <w:t>Of</w:t>
      </w:r>
      <w:proofErr w:type="gramEnd"/>
      <w:r w:rsidR="00AA3510" w:rsidRPr="00AA3510">
        <w:rPr>
          <w:i/>
          <w:iCs/>
          <w:color w:val="000000"/>
          <w:shd w:val="clear" w:color="auto" w:fill="FFFFFF"/>
        </w:rPr>
        <w:t xml:space="preserve"> Andrew Marvell</w:t>
      </w:r>
      <w:r w:rsidR="00AA3510" w:rsidRPr="00AA3510">
        <w:rPr>
          <w:color w:val="000000"/>
          <w:shd w:val="clear" w:color="auto" w:fill="FFFFFF"/>
        </w:rPr>
        <w:t xml:space="preserve"> (Aldershot, Hants, England: </w:t>
      </w:r>
      <w:proofErr w:type="spellStart"/>
      <w:r w:rsidR="00AA3510" w:rsidRPr="00AA3510">
        <w:rPr>
          <w:color w:val="000000"/>
          <w:shd w:val="clear" w:color="auto" w:fill="FFFFFF"/>
        </w:rPr>
        <w:t>Scolar</w:t>
      </w:r>
      <w:proofErr w:type="spellEnd"/>
      <w:r w:rsidR="00AA3510" w:rsidRPr="00AA3510">
        <w:rPr>
          <w:color w:val="000000"/>
          <w:shd w:val="clear" w:color="auto" w:fill="FFFFFF"/>
        </w:rPr>
        <w:t xml:space="preserve"> Press, 1990).</w:t>
      </w:r>
    </w:p>
  </w:footnote>
  <w:footnote w:id="15">
    <w:p w14:paraId="7456B9C1" w14:textId="53A8E664" w:rsidR="00D9570A" w:rsidRPr="00AA3510" w:rsidRDefault="00D9570A">
      <w:pPr>
        <w:pStyle w:val="FootnoteText"/>
        <w:rPr>
          <w:lang w:val="en-US"/>
        </w:rPr>
      </w:pPr>
      <w:r w:rsidRPr="00AA3510">
        <w:rPr>
          <w:rStyle w:val="FootnoteReference"/>
        </w:rPr>
        <w:footnoteRef/>
      </w:r>
      <w:r w:rsidRPr="00AA3510">
        <w:t xml:space="preserve"> </w:t>
      </w:r>
      <w:proofErr w:type="spellStart"/>
      <w:r w:rsidR="00AA3510" w:rsidRPr="00AA3510">
        <w:rPr>
          <w:color w:val="000000"/>
          <w:shd w:val="clear" w:color="auto" w:fill="FFFFFF"/>
        </w:rPr>
        <w:t>Conal</w:t>
      </w:r>
      <w:proofErr w:type="spellEnd"/>
      <w:r w:rsidR="00AA3510" w:rsidRPr="00AA3510">
        <w:rPr>
          <w:color w:val="000000"/>
          <w:shd w:val="clear" w:color="auto" w:fill="FFFFFF"/>
        </w:rPr>
        <w:t xml:space="preserve"> </w:t>
      </w:r>
      <w:proofErr w:type="spellStart"/>
      <w:r w:rsidR="00AA3510" w:rsidRPr="00AA3510">
        <w:rPr>
          <w:color w:val="000000"/>
          <w:shd w:val="clear" w:color="auto" w:fill="FFFFFF"/>
        </w:rPr>
        <w:t>Condren</w:t>
      </w:r>
      <w:proofErr w:type="spellEnd"/>
      <w:r w:rsidR="00AA3510" w:rsidRPr="00AA3510">
        <w:rPr>
          <w:color w:val="000000"/>
          <w:shd w:val="clear" w:color="auto" w:fill="FFFFFF"/>
        </w:rPr>
        <w:t xml:space="preserve"> and A. D Cousins, </w:t>
      </w:r>
      <w:r w:rsidR="00AA3510" w:rsidRPr="00AA3510">
        <w:rPr>
          <w:i/>
          <w:iCs/>
          <w:color w:val="000000"/>
          <w:shd w:val="clear" w:color="auto" w:fill="FFFFFF"/>
        </w:rPr>
        <w:t xml:space="preserve">The Political Identity </w:t>
      </w:r>
      <w:proofErr w:type="gramStart"/>
      <w:r w:rsidR="00AA3510" w:rsidRPr="00AA3510">
        <w:rPr>
          <w:i/>
          <w:iCs/>
          <w:color w:val="000000"/>
          <w:shd w:val="clear" w:color="auto" w:fill="FFFFFF"/>
        </w:rPr>
        <w:t>Of</w:t>
      </w:r>
      <w:proofErr w:type="gramEnd"/>
      <w:r w:rsidR="00AA3510" w:rsidRPr="00AA3510">
        <w:rPr>
          <w:i/>
          <w:iCs/>
          <w:color w:val="000000"/>
          <w:shd w:val="clear" w:color="auto" w:fill="FFFFFF"/>
        </w:rPr>
        <w:t xml:space="preserve"> Andrew Marvell</w:t>
      </w:r>
      <w:r w:rsidR="00AA3510" w:rsidRPr="00AA3510">
        <w:rPr>
          <w:color w:val="000000"/>
          <w:shd w:val="clear" w:color="auto" w:fill="FFFFFF"/>
        </w:rPr>
        <w:t xml:space="preserve"> (Aldershot, Hants, England: </w:t>
      </w:r>
      <w:proofErr w:type="spellStart"/>
      <w:r w:rsidR="00AA3510" w:rsidRPr="00AA3510">
        <w:rPr>
          <w:color w:val="000000"/>
          <w:shd w:val="clear" w:color="auto" w:fill="FFFFFF"/>
        </w:rPr>
        <w:t>Scolar</w:t>
      </w:r>
      <w:proofErr w:type="spellEnd"/>
      <w:r w:rsidR="00AA3510" w:rsidRPr="00AA3510">
        <w:rPr>
          <w:color w:val="000000"/>
          <w:shd w:val="clear" w:color="auto" w:fill="FFFFFF"/>
        </w:rPr>
        <w:t xml:space="preserve"> Press, 1990).</w:t>
      </w:r>
    </w:p>
  </w:footnote>
  <w:footnote w:id="16">
    <w:p w14:paraId="23CC98BA" w14:textId="713E4CD1" w:rsidR="00E5537E" w:rsidRPr="00BD52EB" w:rsidRDefault="00E5537E">
      <w:pPr>
        <w:pStyle w:val="FootnoteText"/>
        <w:rPr>
          <w:lang w:val="en-US"/>
        </w:rPr>
      </w:pPr>
      <w:r w:rsidRPr="00BD52EB">
        <w:rPr>
          <w:rStyle w:val="FootnoteReference"/>
        </w:rPr>
        <w:footnoteRef/>
      </w:r>
      <w:r w:rsidRPr="00BD52EB">
        <w:t xml:space="preserve"> </w:t>
      </w:r>
      <w:r w:rsidR="00BD52EB" w:rsidRPr="00BD52EB">
        <w:rPr>
          <w:color w:val="000000"/>
          <w:shd w:val="clear" w:color="auto" w:fill="FFFFFF"/>
        </w:rPr>
        <w:t xml:space="preserve">Andrew Marvell and Elizabeth Story </w:t>
      </w:r>
      <w:proofErr w:type="spellStart"/>
      <w:r w:rsidR="00BD52EB" w:rsidRPr="00BD52EB">
        <w:rPr>
          <w:color w:val="000000"/>
          <w:shd w:val="clear" w:color="auto" w:fill="FFFFFF"/>
        </w:rPr>
        <w:t>Donno</w:t>
      </w:r>
      <w:proofErr w:type="spellEnd"/>
      <w:r w:rsidR="00BD52EB" w:rsidRPr="00BD52EB">
        <w:rPr>
          <w:color w:val="000000"/>
          <w:shd w:val="clear" w:color="auto" w:fill="FFFFFF"/>
        </w:rPr>
        <w:t>, </w:t>
      </w:r>
      <w:r w:rsidR="00BD52EB" w:rsidRPr="00BD52EB">
        <w:rPr>
          <w:i/>
          <w:iCs/>
          <w:color w:val="000000"/>
          <w:shd w:val="clear" w:color="auto" w:fill="FFFFFF"/>
        </w:rPr>
        <w:t>The Complete Poems</w:t>
      </w:r>
      <w:r w:rsidR="00BD52EB" w:rsidRPr="00BD52EB">
        <w:rPr>
          <w:color w:val="000000"/>
          <w:shd w:val="clear" w:color="auto" w:fill="FFFFFF"/>
        </w:rPr>
        <w:t> (London: Penguin, 2005).</w:t>
      </w:r>
    </w:p>
  </w:footnote>
  <w:footnote w:id="17">
    <w:p w14:paraId="0B9FB6EA" w14:textId="01DA690A" w:rsidR="00A73654" w:rsidRPr="00A73654" w:rsidRDefault="00A73654">
      <w:pPr>
        <w:pStyle w:val="FootnoteText"/>
        <w:rPr>
          <w:lang w:val="en-US"/>
        </w:rPr>
      </w:pPr>
      <w:r>
        <w:rPr>
          <w:rStyle w:val="FootnoteReference"/>
        </w:rPr>
        <w:footnoteRef/>
      </w:r>
      <w:r>
        <w:t xml:space="preserve"> </w:t>
      </w:r>
      <w:r w:rsidR="007D2C62" w:rsidRPr="00BD52EB">
        <w:rPr>
          <w:color w:val="000000"/>
          <w:shd w:val="clear" w:color="auto" w:fill="FFFFFF"/>
        </w:rPr>
        <w:t xml:space="preserve">Andrew Marvell and Elizabeth Story </w:t>
      </w:r>
      <w:proofErr w:type="spellStart"/>
      <w:r w:rsidR="007D2C62" w:rsidRPr="00BD52EB">
        <w:rPr>
          <w:color w:val="000000"/>
          <w:shd w:val="clear" w:color="auto" w:fill="FFFFFF"/>
        </w:rPr>
        <w:t>Donno</w:t>
      </w:r>
      <w:proofErr w:type="spellEnd"/>
      <w:r w:rsidR="007D2C62" w:rsidRPr="00BD52EB">
        <w:rPr>
          <w:color w:val="000000"/>
          <w:shd w:val="clear" w:color="auto" w:fill="FFFFFF"/>
        </w:rPr>
        <w:t>, </w:t>
      </w:r>
      <w:r w:rsidR="007D2C62" w:rsidRPr="00BD52EB">
        <w:rPr>
          <w:i/>
          <w:iCs/>
          <w:color w:val="000000"/>
          <w:shd w:val="clear" w:color="auto" w:fill="FFFFFF"/>
        </w:rPr>
        <w:t>The Complete Poems</w:t>
      </w:r>
      <w:r w:rsidR="007D2C62" w:rsidRPr="00BD52EB">
        <w:rPr>
          <w:color w:val="000000"/>
          <w:shd w:val="clear" w:color="auto" w:fill="FFFFFF"/>
        </w:rPr>
        <w:t> (London: Penguin, 2005).</w:t>
      </w:r>
    </w:p>
  </w:footnote>
  <w:footnote w:id="18">
    <w:p w14:paraId="62A78797" w14:textId="1FA38C5A" w:rsidR="00A250DA" w:rsidRPr="00A250DA" w:rsidRDefault="00A250DA">
      <w:pPr>
        <w:pStyle w:val="FootnoteText"/>
        <w:rPr>
          <w:lang w:val="en-US"/>
        </w:rPr>
      </w:pPr>
      <w:r>
        <w:rPr>
          <w:rStyle w:val="FootnoteReference"/>
        </w:rPr>
        <w:footnoteRef/>
      </w:r>
      <w:r>
        <w:t xml:space="preserve"> </w:t>
      </w:r>
      <w:r w:rsidR="00A03722" w:rsidRPr="00BD52EB">
        <w:rPr>
          <w:color w:val="000000"/>
          <w:shd w:val="clear" w:color="auto" w:fill="FFFFFF"/>
        </w:rPr>
        <w:t xml:space="preserve">Andrew Marvell and Elizabeth Story </w:t>
      </w:r>
      <w:proofErr w:type="spellStart"/>
      <w:r w:rsidR="00A03722" w:rsidRPr="00BD52EB">
        <w:rPr>
          <w:color w:val="000000"/>
          <w:shd w:val="clear" w:color="auto" w:fill="FFFFFF"/>
        </w:rPr>
        <w:t>Donno</w:t>
      </w:r>
      <w:proofErr w:type="spellEnd"/>
      <w:r w:rsidR="00A03722" w:rsidRPr="00BD52EB">
        <w:rPr>
          <w:color w:val="000000"/>
          <w:shd w:val="clear" w:color="auto" w:fill="FFFFFF"/>
        </w:rPr>
        <w:t>, </w:t>
      </w:r>
      <w:r w:rsidR="00A03722" w:rsidRPr="00BD52EB">
        <w:rPr>
          <w:i/>
          <w:iCs/>
          <w:color w:val="000000"/>
          <w:shd w:val="clear" w:color="auto" w:fill="FFFFFF"/>
        </w:rPr>
        <w:t>The Complete Poems</w:t>
      </w:r>
      <w:r w:rsidR="00A03722" w:rsidRPr="00BD52EB">
        <w:rPr>
          <w:color w:val="000000"/>
          <w:shd w:val="clear" w:color="auto" w:fill="FFFFFF"/>
        </w:rPr>
        <w:t> (London: Penguin, 2005).</w:t>
      </w:r>
    </w:p>
  </w:footnote>
  <w:footnote w:id="19">
    <w:p w14:paraId="17AB18F2" w14:textId="0F1CBA9A" w:rsidR="00F25B63" w:rsidRPr="00F25B63" w:rsidRDefault="00F25B63">
      <w:pPr>
        <w:pStyle w:val="FootnoteText"/>
        <w:rPr>
          <w:lang w:val="en-US"/>
        </w:rPr>
      </w:pPr>
      <w:r>
        <w:rPr>
          <w:rStyle w:val="FootnoteReference"/>
        </w:rPr>
        <w:footnoteRef/>
      </w:r>
      <w:r>
        <w:t xml:space="preserve"> </w:t>
      </w:r>
      <w:r w:rsidRPr="008F6F2B">
        <w:rPr>
          <w:color w:val="000000"/>
          <w:shd w:val="clear" w:color="auto" w:fill="FFFFFF"/>
        </w:rPr>
        <w:t xml:space="preserve">George </w:t>
      </w:r>
      <w:proofErr w:type="spellStart"/>
      <w:r w:rsidRPr="008F6F2B">
        <w:rPr>
          <w:color w:val="000000"/>
          <w:shd w:val="clear" w:color="auto" w:fill="FFFFFF"/>
        </w:rPr>
        <w:t>deForest</w:t>
      </w:r>
      <w:proofErr w:type="spellEnd"/>
      <w:r w:rsidRPr="008F6F2B">
        <w:rPr>
          <w:color w:val="000000"/>
          <w:shd w:val="clear" w:color="auto" w:fill="FFFFFF"/>
        </w:rPr>
        <w:t xml:space="preserve"> Lord </w:t>
      </w:r>
      <w:r>
        <w:rPr>
          <w:color w:val="000000"/>
          <w:shd w:val="clear" w:color="auto" w:fill="FFFFFF"/>
        </w:rPr>
        <w:t>et al</w:t>
      </w:r>
      <w:r w:rsidRPr="008F6F2B">
        <w:rPr>
          <w:color w:val="000000"/>
          <w:shd w:val="clear" w:color="auto" w:fill="FFFFFF"/>
        </w:rPr>
        <w:t>, </w:t>
      </w:r>
      <w:r w:rsidRPr="008F6F2B">
        <w:rPr>
          <w:i/>
          <w:iCs/>
          <w:color w:val="000000"/>
          <w:shd w:val="clear" w:color="auto" w:fill="FFFFFF"/>
        </w:rPr>
        <w:t>Andrew Marvell</w:t>
      </w:r>
      <w:r w:rsidRPr="008F6F2B">
        <w:rPr>
          <w:color w:val="000000"/>
          <w:shd w:val="clear" w:color="auto" w:fill="FFFFFF"/>
        </w:rPr>
        <w:t> (New Jersey: Prentice-Hall, 1968).</w:t>
      </w:r>
    </w:p>
  </w:footnote>
  <w:footnote w:id="20">
    <w:p w14:paraId="4FCE5B48" w14:textId="604C0ECB" w:rsidR="00C31A08" w:rsidRPr="00C31A08" w:rsidRDefault="00C31A08">
      <w:pPr>
        <w:pStyle w:val="FootnoteText"/>
        <w:rPr>
          <w:lang w:val="en-US"/>
        </w:rPr>
      </w:pPr>
      <w:r>
        <w:rPr>
          <w:rStyle w:val="FootnoteReference"/>
        </w:rPr>
        <w:footnoteRef/>
      </w:r>
      <w:r>
        <w:t xml:space="preserve"> </w:t>
      </w:r>
      <w:r w:rsidR="00A03722" w:rsidRPr="00BD52EB">
        <w:rPr>
          <w:color w:val="000000"/>
          <w:shd w:val="clear" w:color="auto" w:fill="FFFFFF"/>
        </w:rPr>
        <w:t xml:space="preserve">Andrew Marvell and Elizabeth Story </w:t>
      </w:r>
      <w:proofErr w:type="spellStart"/>
      <w:r w:rsidR="00A03722" w:rsidRPr="00BD52EB">
        <w:rPr>
          <w:color w:val="000000"/>
          <w:shd w:val="clear" w:color="auto" w:fill="FFFFFF"/>
        </w:rPr>
        <w:t>Donno</w:t>
      </w:r>
      <w:proofErr w:type="spellEnd"/>
      <w:r w:rsidR="00A03722" w:rsidRPr="00BD52EB">
        <w:rPr>
          <w:color w:val="000000"/>
          <w:shd w:val="clear" w:color="auto" w:fill="FFFFFF"/>
        </w:rPr>
        <w:t>, </w:t>
      </w:r>
      <w:r w:rsidR="00A03722" w:rsidRPr="00BD52EB">
        <w:rPr>
          <w:i/>
          <w:iCs/>
          <w:color w:val="000000"/>
          <w:shd w:val="clear" w:color="auto" w:fill="FFFFFF"/>
        </w:rPr>
        <w:t>The Complete Poems</w:t>
      </w:r>
      <w:r w:rsidR="00A03722" w:rsidRPr="00BD52EB">
        <w:rPr>
          <w:color w:val="000000"/>
          <w:shd w:val="clear" w:color="auto" w:fill="FFFFFF"/>
        </w:rPr>
        <w:t> (London: Penguin, 2005).</w:t>
      </w:r>
    </w:p>
  </w:footnote>
  <w:footnote w:id="21">
    <w:p w14:paraId="5887021D" w14:textId="407C2DE0" w:rsidR="00A21FF2" w:rsidRPr="00A21FF2" w:rsidRDefault="00A21FF2">
      <w:pPr>
        <w:pStyle w:val="FootnoteText"/>
        <w:rPr>
          <w:lang w:val="en-US"/>
        </w:rPr>
      </w:pPr>
      <w:r>
        <w:rPr>
          <w:rStyle w:val="FootnoteReference"/>
        </w:rPr>
        <w:footnoteRef/>
      </w:r>
      <w:r>
        <w:t xml:space="preserve"> </w:t>
      </w:r>
      <w:r w:rsidRPr="008F6F2B">
        <w:rPr>
          <w:color w:val="000000"/>
          <w:shd w:val="clear" w:color="auto" w:fill="FFFFFF"/>
        </w:rPr>
        <w:t xml:space="preserve">George </w:t>
      </w:r>
      <w:proofErr w:type="spellStart"/>
      <w:r w:rsidRPr="008F6F2B">
        <w:rPr>
          <w:color w:val="000000"/>
          <w:shd w:val="clear" w:color="auto" w:fill="FFFFFF"/>
        </w:rPr>
        <w:t>deForest</w:t>
      </w:r>
      <w:proofErr w:type="spellEnd"/>
      <w:r w:rsidRPr="008F6F2B">
        <w:rPr>
          <w:color w:val="000000"/>
          <w:shd w:val="clear" w:color="auto" w:fill="FFFFFF"/>
        </w:rPr>
        <w:t xml:space="preserve"> Lord </w:t>
      </w:r>
      <w:r>
        <w:rPr>
          <w:color w:val="000000"/>
          <w:shd w:val="clear" w:color="auto" w:fill="FFFFFF"/>
        </w:rPr>
        <w:t>et al</w:t>
      </w:r>
      <w:r w:rsidRPr="008F6F2B">
        <w:rPr>
          <w:color w:val="000000"/>
          <w:shd w:val="clear" w:color="auto" w:fill="FFFFFF"/>
        </w:rPr>
        <w:t>, </w:t>
      </w:r>
      <w:r w:rsidRPr="008F6F2B">
        <w:rPr>
          <w:i/>
          <w:iCs/>
          <w:color w:val="000000"/>
          <w:shd w:val="clear" w:color="auto" w:fill="FFFFFF"/>
        </w:rPr>
        <w:t>Andrew Marvell</w:t>
      </w:r>
      <w:r w:rsidRPr="008F6F2B">
        <w:rPr>
          <w:color w:val="000000"/>
          <w:shd w:val="clear" w:color="auto" w:fill="FFFFFF"/>
        </w:rPr>
        <w:t> (New Jersey: Prentice-Hall, 1968).</w:t>
      </w:r>
    </w:p>
  </w:footnote>
  <w:footnote w:id="22">
    <w:p w14:paraId="261BFFC6" w14:textId="73BA6194" w:rsidR="00D75014" w:rsidRPr="00D75014" w:rsidRDefault="00D75014">
      <w:pPr>
        <w:pStyle w:val="FootnoteText"/>
        <w:rPr>
          <w:lang w:val="en-US"/>
        </w:rPr>
      </w:pPr>
      <w:r>
        <w:rPr>
          <w:rStyle w:val="FootnoteReference"/>
        </w:rPr>
        <w:footnoteRef/>
      </w:r>
      <w:r>
        <w:t xml:space="preserve"> </w:t>
      </w:r>
      <w:r w:rsidR="00A03722" w:rsidRPr="00BD52EB">
        <w:rPr>
          <w:color w:val="000000"/>
          <w:shd w:val="clear" w:color="auto" w:fill="FFFFFF"/>
        </w:rPr>
        <w:t xml:space="preserve">Andrew Marvell and Elizabeth Story </w:t>
      </w:r>
      <w:proofErr w:type="spellStart"/>
      <w:r w:rsidR="00A03722" w:rsidRPr="00BD52EB">
        <w:rPr>
          <w:color w:val="000000"/>
          <w:shd w:val="clear" w:color="auto" w:fill="FFFFFF"/>
        </w:rPr>
        <w:t>Donno</w:t>
      </w:r>
      <w:proofErr w:type="spellEnd"/>
      <w:r w:rsidR="00A03722" w:rsidRPr="00BD52EB">
        <w:rPr>
          <w:color w:val="000000"/>
          <w:shd w:val="clear" w:color="auto" w:fill="FFFFFF"/>
        </w:rPr>
        <w:t>, </w:t>
      </w:r>
      <w:r w:rsidR="00A03722" w:rsidRPr="00BD52EB">
        <w:rPr>
          <w:i/>
          <w:iCs/>
          <w:color w:val="000000"/>
          <w:shd w:val="clear" w:color="auto" w:fill="FFFFFF"/>
        </w:rPr>
        <w:t>The Complete Poems</w:t>
      </w:r>
      <w:r w:rsidR="00A03722" w:rsidRPr="00BD52EB">
        <w:rPr>
          <w:color w:val="000000"/>
          <w:shd w:val="clear" w:color="auto" w:fill="FFFFFF"/>
        </w:rPr>
        <w:t> (London: Penguin, 2005).</w:t>
      </w:r>
    </w:p>
  </w:footnote>
  <w:footnote w:id="23">
    <w:p w14:paraId="2CA00C67" w14:textId="114493F6" w:rsidR="00083CB8" w:rsidRPr="00083CB8" w:rsidRDefault="00083CB8">
      <w:pPr>
        <w:pStyle w:val="FootnoteText"/>
        <w:rPr>
          <w:lang w:val="en-US"/>
        </w:rPr>
      </w:pPr>
      <w:r>
        <w:rPr>
          <w:rStyle w:val="FootnoteReference"/>
        </w:rPr>
        <w:footnoteRef/>
      </w:r>
      <w:r>
        <w:t xml:space="preserve"> </w:t>
      </w:r>
      <w:r w:rsidR="0087753D" w:rsidRPr="00BD52EB">
        <w:rPr>
          <w:color w:val="000000"/>
          <w:shd w:val="clear" w:color="auto" w:fill="FFFFFF"/>
        </w:rPr>
        <w:t xml:space="preserve">Andrew Marvell and Elizabeth Story </w:t>
      </w:r>
      <w:proofErr w:type="spellStart"/>
      <w:r w:rsidR="0087753D" w:rsidRPr="00BD52EB">
        <w:rPr>
          <w:color w:val="000000"/>
          <w:shd w:val="clear" w:color="auto" w:fill="FFFFFF"/>
        </w:rPr>
        <w:t>Donno</w:t>
      </w:r>
      <w:proofErr w:type="spellEnd"/>
      <w:r w:rsidR="0087753D" w:rsidRPr="00BD52EB">
        <w:rPr>
          <w:color w:val="000000"/>
          <w:shd w:val="clear" w:color="auto" w:fill="FFFFFF"/>
        </w:rPr>
        <w:t>, </w:t>
      </w:r>
      <w:r w:rsidR="0087753D" w:rsidRPr="00BD52EB">
        <w:rPr>
          <w:i/>
          <w:iCs/>
          <w:color w:val="000000"/>
          <w:shd w:val="clear" w:color="auto" w:fill="FFFFFF"/>
        </w:rPr>
        <w:t>The Complete Poems</w:t>
      </w:r>
      <w:r w:rsidR="0087753D" w:rsidRPr="00BD52EB">
        <w:rPr>
          <w:color w:val="000000"/>
          <w:shd w:val="clear" w:color="auto" w:fill="FFFFFF"/>
        </w:rPr>
        <w:t> (London: Penguin, 2005).</w:t>
      </w:r>
    </w:p>
  </w:footnote>
  <w:footnote w:id="24">
    <w:p w14:paraId="28A890DB" w14:textId="144AA5CD" w:rsidR="0087753D" w:rsidRPr="00AA3510" w:rsidRDefault="0087753D" w:rsidP="0087753D">
      <w:pPr>
        <w:pStyle w:val="FootnoteText"/>
        <w:rPr>
          <w:lang w:val="en-US"/>
        </w:rPr>
      </w:pPr>
      <w:r>
        <w:rPr>
          <w:rStyle w:val="FootnoteReference"/>
        </w:rPr>
        <w:footnoteRef/>
      </w:r>
      <w:r w:rsidR="0050001A">
        <w:rPr>
          <w:color w:val="000000"/>
          <w:shd w:val="clear" w:color="auto" w:fill="FFFFFF"/>
        </w:rPr>
        <w:t xml:space="preserve"> </w:t>
      </w:r>
      <w:proofErr w:type="spellStart"/>
      <w:r w:rsidRPr="00AA3510">
        <w:rPr>
          <w:color w:val="000000"/>
          <w:shd w:val="clear" w:color="auto" w:fill="FFFFFF"/>
        </w:rPr>
        <w:t>Conal</w:t>
      </w:r>
      <w:proofErr w:type="spellEnd"/>
      <w:r w:rsidRPr="00AA3510">
        <w:rPr>
          <w:color w:val="000000"/>
          <w:shd w:val="clear" w:color="auto" w:fill="FFFFFF"/>
        </w:rPr>
        <w:t xml:space="preserve"> </w:t>
      </w:r>
      <w:proofErr w:type="spellStart"/>
      <w:r w:rsidRPr="00AA3510">
        <w:rPr>
          <w:color w:val="000000"/>
          <w:shd w:val="clear" w:color="auto" w:fill="FFFFFF"/>
        </w:rPr>
        <w:t>Condren</w:t>
      </w:r>
      <w:proofErr w:type="spellEnd"/>
      <w:r w:rsidRPr="00AA3510">
        <w:rPr>
          <w:color w:val="000000"/>
          <w:shd w:val="clear" w:color="auto" w:fill="FFFFFF"/>
        </w:rPr>
        <w:t xml:space="preserve"> and A. D Cousins, </w:t>
      </w:r>
      <w:r w:rsidRPr="00AA3510">
        <w:rPr>
          <w:i/>
          <w:iCs/>
          <w:color w:val="000000"/>
          <w:shd w:val="clear" w:color="auto" w:fill="FFFFFF"/>
        </w:rPr>
        <w:t xml:space="preserve">The Political Identity </w:t>
      </w:r>
      <w:proofErr w:type="gramStart"/>
      <w:r w:rsidRPr="00AA3510">
        <w:rPr>
          <w:i/>
          <w:iCs/>
          <w:color w:val="000000"/>
          <w:shd w:val="clear" w:color="auto" w:fill="FFFFFF"/>
        </w:rPr>
        <w:t>Of</w:t>
      </w:r>
      <w:proofErr w:type="gramEnd"/>
      <w:r w:rsidRPr="00AA3510">
        <w:rPr>
          <w:i/>
          <w:iCs/>
          <w:color w:val="000000"/>
          <w:shd w:val="clear" w:color="auto" w:fill="FFFFFF"/>
        </w:rPr>
        <w:t xml:space="preserve"> Andrew Marvell</w:t>
      </w:r>
      <w:r w:rsidRPr="00AA3510">
        <w:rPr>
          <w:color w:val="000000"/>
          <w:shd w:val="clear" w:color="auto" w:fill="FFFFFF"/>
        </w:rPr>
        <w:t xml:space="preserve"> (Aldershot, Hants, England: </w:t>
      </w:r>
      <w:proofErr w:type="spellStart"/>
      <w:r w:rsidRPr="00AA3510">
        <w:rPr>
          <w:color w:val="000000"/>
          <w:shd w:val="clear" w:color="auto" w:fill="FFFFFF"/>
        </w:rPr>
        <w:t>Scolar</w:t>
      </w:r>
      <w:proofErr w:type="spellEnd"/>
      <w:r w:rsidRPr="00AA3510">
        <w:rPr>
          <w:color w:val="000000"/>
          <w:shd w:val="clear" w:color="auto" w:fill="FFFFFF"/>
        </w:rPr>
        <w:t xml:space="preserve"> Press, 1990).</w:t>
      </w:r>
    </w:p>
    <w:p w14:paraId="05CE39DC" w14:textId="65C9F806" w:rsidR="0087753D" w:rsidRPr="0087753D" w:rsidRDefault="0087753D">
      <w:pPr>
        <w:pStyle w:val="FootnoteText"/>
        <w:rPr>
          <w:lang w:val="en-US"/>
        </w:rPr>
      </w:pPr>
    </w:p>
  </w:footnote>
  <w:footnote w:id="25">
    <w:p w14:paraId="3690FC6A" w14:textId="04F362FB" w:rsidR="00307ED4" w:rsidRPr="00307ED4" w:rsidRDefault="00307ED4">
      <w:pPr>
        <w:pStyle w:val="FootnoteText"/>
        <w:rPr>
          <w:lang w:val="en-US"/>
        </w:rPr>
      </w:pPr>
      <w:r>
        <w:rPr>
          <w:rStyle w:val="FootnoteReference"/>
        </w:rPr>
        <w:footnoteRef/>
      </w:r>
      <w:r>
        <w:t xml:space="preserve"> </w:t>
      </w:r>
      <w:r w:rsidR="006816D8" w:rsidRPr="008F6F2B">
        <w:rPr>
          <w:color w:val="000000"/>
          <w:shd w:val="clear" w:color="auto" w:fill="FFFFFF"/>
        </w:rPr>
        <w:t xml:space="preserve">George </w:t>
      </w:r>
      <w:proofErr w:type="spellStart"/>
      <w:r w:rsidR="006816D8" w:rsidRPr="008F6F2B">
        <w:rPr>
          <w:color w:val="000000"/>
          <w:shd w:val="clear" w:color="auto" w:fill="FFFFFF"/>
        </w:rPr>
        <w:t>deForest</w:t>
      </w:r>
      <w:proofErr w:type="spellEnd"/>
      <w:r w:rsidR="006816D8" w:rsidRPr="008F6F2B">
        <w:rPr>
          <w:color w:val="000000"/>
          <w:shd w:val="clear" w:color="auto" w:fill="FFFFFF"/>
        </w:rPr>
        <w:t xml:space="preserve"> Lord </w:t>
      </w:r>
      <w:r w:rsidR="006816D8">
        <w:rPr>
          <w:color w:val="000000"/>
          <w:shd w:val="clear" w:color="auto" w:fill="FFFFFF"/>
        </w:rPr>
        <w:t>et al</w:t>
      </w:r>
      <w:r w:rsidR="006816D8" w:rsidRPr="008F6F2B">
        <w:rPr>
          <w:color w:val="000000"/>
          <w:shd w:val="clear" w:color="auto" w:fill="FFFFFF"/>
        </w:rPr>
        <w:t>, </w:t>
      </w:r>
      <w:r w:rsidR="006816D8" w:rsidRPr="008F6F2B">
        <w:rPr>
          <w:i/>
          <w:iCs/>
          <w:color w:val="000000"/>
          <w:shd w:val="clear" w:color="auto" w:fill="FFFFFF"/>
        </w:rPr>
        <w:t>Andrew Marvell</w:t>
      </w:r>
      <w:r w:rsidR="006816D8" w:rsidRPr="008F6F2B">
        <w:rPr>
          <w:color w:val="000000"/>
          <w:shd w:val="clear" w:color="auto" w:fill="FFFFFF"/>
        </w:rPr>
        <w:t> (New Jersey: Prentice-Hall, 1968).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C503C"/>
    <w:multiLevelType w:val="hybridMultilevel"/>
    <w:tmpl w:val="8B4685B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35A1F90"/>
    <w:multiLevelType w:val="hybridMultilevel"/>
    <w:tmpl w:val="2EEEB55C"/>
    <w:lvl w:ilvl="0" w:tplc="1CB4AB52">
      <w:start w:val="1"/>
      <w:numFmt w:val="decimal"/>
      <w:lvlText w:val="%1."/>
      <w:lvlJc w:val="left"/>
      <w:pPr>
        <w:ind w:left="720" w:hanging="360"/>
      </w:pPr>
      <w:rPr>
        <w:rFonts w:hint="default"/>
        <w:sz w:val="28"/>
        <w:szCs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21393617">
    <w:abstractNumId w:val="1"/>
  </w:num>
  <w:num w:numId="2" w16cid:durableId="65661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58E3"/>
    <w:rsid w:val="00063988"/>
    <w:rsid w:val="00083CB8"/>
    <w:rsid w:val="000F2C68"/>
    <w:rsid w:val="00104DA4"/>
    <w:rsid w:val="00177E60"/>
    <w:rsid w:val="0018511E"/>
    <w:rsid w:val="00195380"/>
    <w:rsid w:val="001A05B3"/>
    <w:rsid w:val="001C1BD5"/>
    <w:rsid w:val="001C4CA1"/>
    <w:rsid w:val="00271E83"/>
    <w:rsid w:val="00273E38"/>
    <w:rsid w:val="0027655D"/>
    <w:rsid w:val="002F2173"/>
    <w:rsid w:val="002F29FF"/>
    <w:rsid w:val="003028FB"/>
    <w:rsid w:val="00307ED4"/>
    <w:rsid w:val="00323CE3"/>
    <w:rsid w:val="0033410C"/>
    <w:rsid w:val="00357E1A"/>
    <w:rsid w:val="003851B3"/>
    <w:rsid w:val="003B2CF4"/>
    <w:rsid w:val="003B650B"/>
    <w:rsid w:val="003D1C34"/>
    <w:rsid w:val="00402A8E"/>
    <w:rsid w:val="00437F17"/>
    <w:rsid w:val="00457587"/>
    <w:rsid w:val="00460978"/>
    <w:rsid w:val="004C1778"/>
    <w:rsid w:val="004E5E1B"/>
    <w:rsid w:val="0050001A"/>
    <w:rsid w:val="00501238"/>
    <w:rsid w:val="005035E4"/>
    <w:rsid w:val="00510B6E"/>
    <w:rsid w:val="00530B01"/>
    <w:rsid w:val="00542B2F"/>
    <w:rsid w:val="00546326"/>
    <w:rsid w:val="00556734"/>
    <w:rsid w:val="0057410E"/>
    <w:rsid w:val="00577DCB"/>
    <w:rsid w:val="0058008E"/>
    <w:rsid w:val="00585BD9"/>
    <w:rsid w:val="00597973"/>
    <w:rsid w:val="005C5864"/>
    <w:rsid w:val="005D4FA5"/>
    <w:rsid w:val="005D5A42"/>
    <w:rsid w:val="005F11E8"/>
    <w:rsid w:val="006816D8"/>
    <w:rsid w:val="0068459B"/>
    <w:rsid w:val="006A3461"/>
    <w:rsid w:val="006B1100"/>
    <w:rsid w:val="006F358A"/>
    <w:rsid w:val="006F686B"/>
    <w:rsid w:val="007354DD"/>
    <w:rsid w:val="0075797E"/>
    <w:rsid w:val="00784931"/>
    <w:rsid w:val="007872BD"/>
    <w:rsid w:val="007A358C"/>
    <w:rsid w:val="007C358B"/>
    <w:rsid w:val="007D2C62"/>
    <w:rsid w:val="008433F8"/>
    <w:rsid w:val="0085250C"/>
    <w:rsid w:val="00865946"/>
    <w:rsid w:val="0087753D"/>
    <w:rsid w:val="008A43A4"/>
    <w:rsid w:val="008F538F"/>
    <w:rsid w:val="008F62B0"/>
    <w:rsid w:val="008F6F2B"/>
    <w:rsid w:val="00930B66"/>
    <w:rsid w:val="00951BB9"/>
    <w:rsid w:val="009641E0"/>
    <w:rsid w:val="00A03722"/>
    <w:rsid w:val="00A10FB5"/>
    <w:rsid w:val="00A13E43"/>
    <w:rsid w:val="00A21FF2"/>
    <w:rsid w:val="00A250DA"/>
    <w:rsid w:val="00A318AF"/>
    <w:rsid w:val="00A43821"/>
    <w:rsid w:val="00A458E3"/>
    <w:rsid w:val="00A52881"/>
    <w:rsid w:val="00A5559F"/>
    <w:rsid w:val="00A56AF3"/>
    <w:rsid w:val="00A700CF"/>
    <w:rsid w:val="00A73654"/>
    <w:rsid w:val="00A83C31"/>
    <w:rsid w:val="00A912BA"/>
    <w:rsid w:val="00AA3510"/>
    <w:rsid w:val="00AC46D1"/>
    <w:rsid w:val="00B2298F"/>
    <w:rsid w:val="00B3487C"/>
    <w:rsid w:val="00B44941"/>
    <w:rsid w:val="00B44D3A"/>
    <w:rsid w:val="00BA12EB"/>
    <w:rsid w:val="00BA4222"/>
    <w:rsid w:val="00BB7FDC"/>
    <w:rsid w:val="00BC4EF5"/>
    <w:rsid w:val="00BD52EB"/>
    <w:rsid w:val="00BD5805"/>
    <w:rsid w:val="00BE0120"/>
    <w:rsid w:val="00C31A08"/>
    <w:rsid w:val="00C81E69"/>
    <w:rsid w:val="00CC2551"/>
    <w:rsid w:val="00CC3824"/>
    <w:rsid w:val="00CE5727"/>
    <w:rsid w:val="00CF0F03"/>
    <w:rsid w:val="00D02391"/>
    <w:rsid w:val="00D75014"/>
    <w:rsid w:val="00D9570A"/>
    <w:rsid w:val="00E034D2"/>
    <w:rsid w:val="00E5537E"/>
    <w:rsid w:val="00E73C72"/>
    <w:rsid w:val="00E961AE"/>
    <w:rsid w:val="00EA6F7C"/>
    <w:rsid w:val="00F15C5F"/>
    <w:rsid w:val="00F25B63"/>
    <w:rsid w:val="00F3192C"/>
    <w:rsid w:val="00F90A92"/>
    <w:rsid w:val="00FB460B"/>
    <w:rsid w:val="00FC680F"/>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D12C3"/>
  <w15:docId w15:val="{01242487-CA3D-4B2E-8F38-D4C0566A9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F2C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2C68"/>
    <w:rPr>
      <w:sz w:val="20"/>
      <w:szCs w:val="20"/>
      <w:lang w:val="en-GB"/>
    </w:rPr>
  </w:style>
  <w:style w:type="character" w:styleId="FootnoteReference">
    <w:name w:val="footnote reference"/>
    <w:basedOn w:val="DefaultParagraphFont"/>
    <w:uiPriority w:val="99"/>
    <w:semiHidden/>
    <w:unhideWhenUsed/>
    <w:rsid w:val="000F2C68"/>
    <w:rPr>
      <w:vertAlign w:val="superscript"/>
    </w:rPr>
  </w:style>
  <w:style w:type="character" w:styleId="PlaceholderText">
    <w:name w:val="Placeholder Text"/>
    <w:basedOn w:val="DefaultParagraphFont"/>
    <w:uiPriority w:val="99"/>
    <w:semiHidden/>
    <w:rsid w:val="00A43821"/>
    <w:rPr>
      <w:color w:val="808080"/>
    </w:rPr>
  </w:style>
  <w:style w:type="paragraph" w:styleId="NoSpacing">
    <w:name w:val="No Spacing"/>
    <w:uiPriority w:val="1"/>
    <w:qFormat/>
    <w:rsid w:val="001C1BD5"/>
    <w:pPr>
      <w:spacing w:after="0" w:line="240" w:lineRule="auto"/>
    </w:pPr>
    <w:rPr>
      <w:lang w:val="en-GB"/>
    </w:rPr>
  </w:style>
  <w:style w:type="character" w:styleId="Hyperlink">
    <w:name w:val="Hyperlink"/>
    <w:basedOn w:val="DefaultParagraphFont"/>
    <w:uiPriority w:val="99"/>
    <w:unhideWhenUsed/>
    <w:rsid w:val="006A3461"/>
    <w:rPr>
      <w:color w:val="0563C1" w:themeColor="hyperlink"/>
      <w:u w:val="single"/>
    </w:rPr>
  </w:style>
  <w:style w:type="paragraph" w:styleId="ListParagraph">
    <w:name w:val="List Paragraph"/>
    <w:basedOn w:val="Normal"/>
    <w:uiPriority w:val="34"/>
    <w:qFormat/>
    <w:rsid w:val="006A34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5038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540C9-4881-42D7-B4ED-BFCF31B15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2</cp:revision>
  <dcterms:created xsi:type="dcterms:W3CDTF">2022-10-16T17:42:00Z</dcterms:created>
  <dcterms:modified xsi:type="dcterms:W3CDTF">2022-10-16T17:42:00Z</dcterms:modified>
</cp:coreProperties>
</file>