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8B785" w14:textId="6202B3EA" w:rsidR="005B544D" w:rsidRDefault="00174383" w:rsidP="00174383">
      <w:pPr>
        <w:jc w:val="center"/>
        <w:rPr>
          <w:b/>
          <w:bCs/>
          <w:sz w:val="36"/>
          <w:szCs w:val="36"/>
        </w:rPr>
      </w:pPr>
      <w:r>
        <w:rPr>
          <w:b/>
          <w:bCs/>
          <w:sz w:val="36"/>
          <w:szCs w:val="36"/>
        </w:rPr>
        <w:t>Free Movement of Goods – Questions</w:t>
      </w:r>
    </w:p>
    <w:p w14:paraId="2D41F6A8" w14:textId="1CBD0BB3" w:rsidR="00174383" w:rsidRDefault="00174383" w:rsidP="00174383">
      <w:pPr>
        <w:jc w:val="center"/>
        <w:rPr>
          <w:b/>
          <w:bCs/>
          <w:sz w:val="36"/>
          <w:szCs w:val="36"/>
        </w:rPr>
      </w:pPr>
    </w:p>
    <w:p w14:paraId="1B7696E4" w14:textId="094E9B83" w:rsidR="00174383" w:rsidRPr="00211CE4" w:rsidRDefault="00174383" w:rsidP="00174383">
      <w:pPr>
        <w:pStyle w:val="ListParagraph"/>
        <w:numPr>
          <w:ilvl w:val="0"/>
          <w:numId w:val="1"/>
        </w:numPr>
        <w:rPr>
          <w:sz w:val="36"/>
          <w:szCs w:val="36"/>
        </w:rPr>
      </w:pPr>
      <w:r>
        <w:rPr>
          <w:sz w:val="36"/>
          <w:szCs w:val="36"/>
        </w:rPr>
        <w:t xml:space="preserve">How significant is market access to the application of </w:t>
      </w:r>
      <w:r>
        <w:rPr>
          <w:b/>
          <w:sz w:val="36"/>
          <w:szCs w:val="36"/>
        </w:rPr>
        <w:t>Art 34</w:t>
      </w:r>
      <w:r>
        <w:rPr>
          <w:bCs/>
          <w:sz w:val="36"/>
          <w:szCs w:val="36"/>
        </w:rPr>
        <w:t>?</w:t>
      </w:r>
    </w:p>
    <w:p w14:paraId="27B0A544" w14:textId="0328DA43" w:rsidR="00211CE4" w:rsidRPr="00211CE4" w:rsidRDefault="00211CE4" w:rsidP="00211CE4">
      <w:pPr>
        <w:pStyle w:val="ListParagraph"/>
        <w:rPr>
          <w:bCs/>
          <w:i/>
          <w:iCs/>
          <w:sz w:val="36"/>
          <w:szCs w:val="36"/>
        </w:rPr>
      </w:pPr>
      <w:r>
        <w:rPr>
          <w:bCs/>
          <w:i/>
          <w:iCs/>
          <w:sz w:val="36"/>
          <w:szCs w:val="36"/>
        </w:rPr>
        <w:t xml:space="preserve">Market access for importers is a very important factor but it is not an overarching principle that dictates the application of </w:t>
      </w:r>
      <w:r>
        <w:rPr>
          <w:b/>
          <w:i/>
          <w:iCs/>
          <w:sz w:val="36"/>
          <w:szCs w:val="36"/>
        </w:rPr>
        <w:t>Art 34</w:t>
      </w:r>
      <w:r>
        <w:rPr>
          <w:bCs/>
          <w:sz w:val="36"/>
          <w:szCs w:val="36"/>
        </w:rPr>
        <w:t xml:space="preserve">.  </w:t>
      </w:r>
      <w:r>
        <w:rPr>
          <w:bCs/>
          <w:i/>
          <w:iCs/>
          <w:sz w:val="36"/>
          <w:szCs w:val="36"/>
        </w:rPr>
        <w:t xml:space="preserve">First, </w:t>
      </w:r>
      <w:r>
        <w:rPr>
          <w:b/>
          <w:i/>
          <w:iCs/>
          <w:sz w:val="36"/>
          <w:szCs w:val="36"/>
        </w:rPr>
        <w:t xml:space="preserve">Art 34 </w:t>
      </w:r>
      <w:r>
        <w:rPr>
          <w:bCs/>
          <w:i/>
          <w:iCs/>
          <w:sz w:val="36"/>
          <w:szCs w:val="36"/>
        </w:rPr>
        <w:t xml:space="preserve">is wider than issues of market access.  Second, in the context of selling arrangements, impeded market access can be used to identify a different impact in fact so that the measure is within </w:t>
      </w:r>
      <w:r>
        <w:rPr>
          <w:b/>
          <w:i/>
          <w:iCs/>
          <w:sz w:val="36"/>
          <w:szCs w:val="36"/>
        </w:rPr>
        <w:t xml:space="preserve">Art 34.  </w:t>
      </w:r>
      <w:r>
        <w:rPr>
          <w:bCs/>
          <w:i/>
          <w:iCs/>
          <w:sz w:val="36"/>
          <w:szCs w:val="36"/>
        </w:rPr>
        <w:t xml:space="preserve">A different impact in law will be another reason for bringing the selling arrangement within </w:t>
      </w:r>
      <w:r>
        <w:rPr>
          <w:b/>
          <w:i/>
          <w:iCs/>
          <w:sz w:val="36"/>
          <w:szCs w:val="36"/>
        </w:rPr>
        <w:t xml:space="preserve">Art 34.  </w:t>
      </w:r>
      <w:r>
        <w:rPr>
          <w:bCs/>
          <w:i/>
          <w:iCs/>
          <w:sz w:val="36"/>
          <w:szCs w:val="36"/>
        </w:rPr>
        <w:t>Finally, “other rules that restrict market access” is a new category of indistinctly applicable measure along with rules on selling arrangements and those on product characteristics.</w:t>
      </w:r>
    </w:p>
    <w:p w14:paraId="34797763" w14:textId="77777777" w:rsidR="00174383" w:rsidRPr="00174383" w:rsidRDefault="00174383" w:rsidP="00174383">
      <w:pPr>
        <w:pStyle w:val="ListParagraph"/>
        <w:rPr>
          <w:sz w:val="36"/>
          <w:szCs w:val="36"/>
        </w:rPr>
      </w:pPr>
    </w:p>
    <w:p w14:paraId="36FE3459" w14:textId="5149F104" w:rsidR="00174383" w:rsidRPr="00211CE4" w:rsidRDefault="00174383" w:rsidP="00174383">
      <w:pPr>
        <w:pStyle w:val="ListParagraph"/>
        <w:numPr>
          <w:ilvl w:val="0"/>
          <w:numId w:val="1"/>
        </w:numPr>
        <w:rPr>
          <w:sz w:val="36"/>
          <w:szCs w:val="36"/>
        </w:rPr>
      </w:pPr>
      <w:r>
        <w:rPr>
          <w:bCs/>
          <w:sz w:val="36"/>
          <w:szCs w:val="36"/>
        </w:rPr>
        <w:t xml:space="preserve">To what extent does </w:t>
      </w:r>
      <w:r>
        <w:rPr>
          <w:b/>
          <w:sz w:val="36"/>
          <w:szCs w:val="36"/>
        </w:rPr>
        <w:t xml:space="preserve">Art 34 </w:t>
      </w:r>
      <w:r>
        <w:rPr>
          <w:bCs/>
          <w:sz w:val="36"/>
          <w:szCs w:val="36"/>
        </w:rPr>
        <w:t>apply to restrictions imposed by private individuals?</w:t>
      </w:r>
    </w:p>
    <w:p w14:paraId="1CAFF489" w14:textId="2B67A463" w:rsidR="00211CE4" w:rsidRPr="00211CE4" w:rsidRDefault="00211CE4" w:rsidP="00211CE4">
      <w:pPr>
        <w:pStyle w:val="ListParagraph"/>
        <w:rPr>
          <w:bCs/>
          <w:i/>
          <w:iCs/>
          <w:sz w:val="36"/>
          <w:szCs w:val="36"/>
        </w:rPr>
      </w:pPr>
      <w:r>
        <w:rPr>
          <w:bCs/>
          <w:i/>
          <w:iCs/>
          <w:sz w:val="36"/>
          <w:szCs w:val="36"/>
        </w:rPr>
        <w:t xml:space="preserve">Traditionally, </w:t>
      </w:r>
      <w:r>
        <w:rPr>
          <w:b/>
          <w:i/>
          <w:iCs/>
          <w:sz w:val="36"/>
          <w:szCs w:val="36"/>
        </w:rPr>
        <w:t xml:space="preserve">Art 34 </w:t>
      </w:r>
      <w:r>
        <w:rPr>
          <w:bCs/>
          <w:i/>
          <w:iCs/>
          <w:sz w:val="36"/>
          <w:szCs w:val="36"/>
        </w:rPr>
        <w:t xml:space="preserve">was taken to apply to measures by Member States.  A wide approach was adopted to include public bodies and semi-public bodies.  In </w:t>
      </w:r>
      <w:r>
        <w:rPr>
          <w:b/>
          <w:i/>
          <w:iCs/>
          <w:sz w:val="36"/>
          <w:szCs w:val="36"/>
        </w:rPr>
        <w:t>Commission v France</w:t>
      </w:r>
      <w:r>
        <w:rPr>
          <w:bCs/>
          <w:i/>
          <w:iCs/>
          <w:sz w:val="36"/>
          <w:szCs w:val="36"/>
        </w:rPr>
        <w:t xml:space="preserve">, the Member State was in breach for its serious and persistent failure to remove the disruption caused by private parties.  The most recent development is from </w:t>
      </w:r>
      <w:r>
        <w:rPr>
          <w:b/>
          <w:i/>
          <w:iCs/>
          <w:sz w:val="36"/>
          <w:szCs w:val="36"/>
        </w:rPr>
        <w:t xml:space="preserve">Fra.bo </w:t>
      </w:r>
      <w:proofErr w:type="spellStart"/>
      <w:r>
        <w:rPr>
          <w:b/>
          <w:i/>
          <w:iCs/>
          <w:sz w:val="36"/>
          <w:szCs w:val="36"/>
        </w:rPr>
        <w:t>SpA</w:t>
      </w:r>
      <w:proofErr w:type="spellEnd"/>
      <w:r>
        <w:rPr>
          <w:b/>
          <w:i/>
          <w:iCs/>
          <w:sz w:val="36"/>
          <w:szCs w:val="36"/>
        </w:rPr>
        <w:t xml:space="preserve">.  </w:t>
      </w:r>
      <w:r>
        <w:rPr>
          <w:bCs/>
          <w:i/>
          <w:iCs/>
          <w:sz w:val="36"/>
          <w:szCs w:val="36"/>
        </w:rPr>
        <w:t xml:space="preserve">Here measures adopted by a private company resulted in that company being in breach of </w:t>
      </w:r>
      <w:r>
        <w:rPr>
          <w:b/>
          <w:i/>
          <w:iCs/>
          <w:sz w:val="36"/>
          <w:szCs w:val="36"/>
        </w:rPr>
        <w:t xml:space="preserve">Art 34.  </w:t>
      </w:r>
      <w:r>
        <w:rPr>
          <w:bCs/>
          <w:i/>
          <w:iCs/>
          <w:sz w:val="36"/>
          <w:szCs w:val="36"/>
        </w:rPr>
        <w:t xml:space="preserve">The reasoning was based on the “legislative and regulatory context” in which the company operated.  This meant it restricted free </w:t>
      </w:r>
      <w:r>
        <w:rPr>
          <w:bCs/>
          <w:i/>
          <w:iCs/>
          <w:sz w:val="36"/>
          <w:szCs w:val="36"/>
        </w:rPr>
        <w:lastRenderedPageBreak/>
        <w:t>movement in the same way as a measure by a Member State.  This was a limited form of horizontal direct effect.</w:t>
      </w:r>
    </w:p>
    <w:p w14:paraId="3D330C18" w14:textId="77777777" w:rsidR="00174383" w:rsidRPr="00174383" w:rsidRDefault="00174383" w:rsidP="00174383">
      <w:pPr>
        <w:rPr>
          <w:sz w:val="36"/>
          <w:szCs w:val="36"/>
        </w:rPr>
      </w:pPr>
    </w:p>
    <w:p w14:paraId="7F42F4EA" w14:textId="421A3BB6" w:rsidR="00174383" w:rsidRPr="00211CE4" w:rsidRDefault="00174383" w:rsidP="00174383">
      <w:pPr>
        <w:pStyle w:val="ListParagraph"/>
        <w:numPr>
          <w:ilvl w:val="0"/>
          <w:numId w:val="1"/>
        </w:numPr>
        <w:rPr>
          <w:sz w:val="36"/>
          <w:szCs w:val="36"/>
        </w:rPr>
      </w:pPr>
      <w:r>
        <w:rPr>
          <w:bCs/>
          <w:sz w:val="36"/>
          <w:szCs w:val="36"/>
        </w:rPr>
        <w:t xml:space="preserve">Why was the </w:t>
      </w:r>
      <w:r>
        <w:rPr>
          <w:b/>
          <w:i/>
          <w:iCs/>
          <w:sz w:val="36"/>
          <w:szCs w:val="36"/>
        </w:rPr>
        <w:t xml:space="preserve">Cassis </w:t>
      </w:r>
      <w:r>
        <w:rPr>
          <w:bCs/>
          <w:sz w:val="36"/>
          <w:szCs w:val="36"/>
        </w:rPr>
        <w:t>approach too wide and in need of refinement?</w:t>
      </w:r>
    </w:p>
    <w:p w14:paraId="0371957B" w14:textId="359D1618" w:rsidR="00211CE4" w:rsidRPr="00EA21C1" w:rsidRDefault="00211CE4" w:rsidP="00211CE4">
      <w:pPr>
        <w:pStyle w:val="ListParagraph"/>
        <w:rPr>
          <w:bCs/>
          <w:i/>
          <w:iCs/>
          <w:sz w:val="36"/>
          <w:szCs w:val="36"/>
        </w:rPr>
      </w:pPr>
      <w:r>
        <w:rPr>
          <w:bCs/>
          <w:i/>
          <w:iCs/>
          <w:sz w:val="36"/>
          <w:szCs w:val="36"/>
        </w:rPr>
        <w:t xml:space="preserve">The </w:t>
      </w:r>
      <w:r>
        <w:rPr>
          <w:b/>
          <w:i/>
          <w:iCs/>
          <w:sz w:val="36"/>
          <w:szCs w:val="36"/>
        </w:rPr>
        <w:t xml:space="preserve">Cassis </w:t>
      </w:r>
      <w:r>
        <w:rPr>
          <w:bCs/>
          <w:i/>
          <w:iCs/>
          <w:sz w:val="36"/>
          <w:szCs w:val="36"/>
        </w:rPr>
        <w:t xml:space="preserve">approach was based on the </w:t>
      </w:r>
      <w:proofErr w:type="spellStart"/>
      <w:r>
        <w:rPr>
          <w:b/>
          <w:i/>
          <w:iCs/>
          <w:sz w:val="36"/>
          <w:szCs w:val="36"/>
        </w:rPr>
        <w:t>Dassonville</w:t>
      </w:r>
      <w:proofErr w:type="spellEnd"/>
      <w:r>
        <w:rPr>
          <w:b/>
          <w:i/>
          <w:iCs/>
          <w:sz w:val="36"/>
          <w:szCs w:val="36"/>
        </w:rPr>
        <w:t xml:space="preserve"> </w:t>
      </w:r>
      <w:r>
        <w:rPr>
          <w:bCs/>
          <w:i/>
          <w:iCs/>
          <w:sz w:val="36"/>
          <w:szCs w:val="36"/>
        </w:rPr>
        <w:t xml:space="preserve">formula, which is extremely wide – making it easy to find a breach.  The </w:t>
      </w:r>
      <w:proofErr w:type="spellStart"/>
      <w:r>
        <w:rPr>
          <w:b/>
          <w:i/>
          <w:iCs/>
          <w:sz w:val="36"/>
          <w:szCs w:val="36"/>
        </w:rPr>
        <w:t>Dassonville</w:t>
      </w:r>
      <w:proofErr w:type="spellEnd"/>
      <w:r>
        <w:rPr>
          <w:b/>
          <w:i/>
          <w:iCs/>
          <w:sz w:val="36"/>
          <w:szCs w:val="36"/>
        </w:rPr>
        <w:t xml:space="preserve"> </w:t>
      </w:r>
      <w:r>
        <w:rPr>
          <w:bCs/>
          <w:i/>
          <w:iCs/>
          <w:sz w:val="36"/>
          <w:szCs w:val="36"/>
        </w:rPr>
        <w:t xml:space="preserve">formula did not make a distinction between </w:t>
      </w:r>
      <w:r w:rsidR="00EA21C1">
        <w:rPr>
          <w:bCs/>
          <w:i/>
          <w:iCs/>
          <w:sz w:val="36"/>
          <w:szCs w:val="36"/>
        </w:rPr>
        <w:t xml:space="preserve">national rules that apply to imports only and rules that apply irrespective of origin.  So, in </w:t>
      </w:r>
      <w:r w:rsidR="00EA21C1">
        <w:rPr>
          <w:b/>
          <w:i/>
          <w:iCs/>
          <w:sz w:val="36"/>
          <w:szCs w:val="36"/>
        </w:rPr>
        <w:t>Cassis</w:t>
      </w:r>
      <w:r w:rsidR="00EA21C1">
        <w:rPr>
          <w:bCs/>
          <w:i/>
          <w:iCs/>
          <w:sz w:val="36"/>
          <w:szCs w:val="36"/>
        </w:rPr>
        <w:t xml:space="preserve">, the </w:t>
      </w:r>
      <w:proofErr w:type="spellStart"/>
      <w:r w:rsidR="00EA21C1">
        <w:rPr>
          <w:b/>
          <w:i/>
          <w:iCs/>
          <w:sz w:val="36"/>
          <w:szCs w:val="36"/>
        </w:rPr>
        <w:t>Dassonville</w:t>
      </w:r>
      <w:proofErr w:type="spellEnd"/>
      <w:r w:rsidR="00EA21C1">
        <w:rPr>
          <w:b/>
          <w:i/>
          <w:iCs/>
          <w:sz w:val="36"/>
          <w:szCs w:val="36"/>
        </w:rPr>
        <w:t xml:space="preserve"> </w:t>
      </w:r>
      <w:r w:rsidR="00EA21C1">
        <w:rPr>
          <w:bCs/>
          <w:i/>
          <w:iCs/>
          <w:sz w:val="36"/>
          <w:szCs w:val="36"/>
        </w:rPr>
        <w:t xml:space="preserve">formula was used to apply to indistinctly applicable measures to find a prima facie breach.  The problem was that if found a prima facie breach even when the national rules simply imposed an equal burden on imports and domestic products.  For </w:t>
      </w:r>
      <w:proofErr w:type="gramStart"/>
      <w:r w:rsidR="00EA21C1">
        <w:rPr>
          <w:bCs/>
          <w:i/>
          <w:iCs/>
          <w:sz w:val="36"/>
          <w:szCs w:val="36"/>
        </w:rPr>
        <w:t>example</w:t>
      </w:r>
      <w:proofErr w:type="gramEnd"/>
      <w:r w:rsidR="00EA21C1">
        <w:rPr>
          <w:bCs/>
          <w:i/>
          <w:iCs/>
          <w:sz w:val="36"/>
          <w:szCs w:val="36"/>
        </w:rPr>
        <w:t xml:space="preserve"> in cases like </w:t>
      </w:r>
      <w:proofErr w:type="spellStart"/>
      <w:r w:rsidR="00EA21C1">
        <w:rPr>
          <w:b/>
          <w:i/>
          <w:iCs/>
          <w:sz w:val="36"/>
          <w:szCs w:val="36"/>
        </w:rPr>
        <w:t>Cinetheque</w:t>
      </w:r>
      <w:proofErr w:type="spellEnd"/>
      <w:r w:rsidR="00EA21C1">
        <w:rPr>
          <w:b/>
          <w:i/>
          <w:iCs/>
          <w:sz w:val="36"/>
          <w:szCs w:val="36"/>
        </w:rPr>
        <w:t xml:space="preserve"> </w:t>
      </w:r>
      <w:r w:rsidR="00EA21C1">
        <w:rPr>
          <w:bCs/>
          <w:i/>
          <w:iCs/>
          <w:sz w:val="36"/>
          <w:szCs w:val="36"/>
        </w:rPr>
        <w:t xml:space="preserve">and </w:t>
      </w:r>
      <w:r w:rsidR="00EA21C1">
        <w:rPr>
          <w:b/>
          <w:i/>
          <w:iCs/>
          <w:sz w:val="36"/>
          <w:szCs w:val="36"/>
        </w:rPr>
        <w:t>Torfaen</w:t>
      </w:r>
      <w:r w:rsidR="00EA21C1">
        <w:rPr>
          <w:bCs/>
          <w:i/>
          <w:iCs/>
          <w:sz w:val="36"/>
          <w:szCs w:val="36"/>
        </w:rPr>
        <w:t xml:space="preserve">, there was a prima facie breach.  However, the rules in those cases simply reduced the overall volume of sales but the impact was no greater for importers than domestic producers.  It was felt that such national rules should have been outside </w:t>
      </w:r>
      <w:r w:rsidR="00EA21C1">
        <w:rPr>
          <w:b/>
          <w:i/>
          <w:iCs/>
          <w:sz w:val="36"/>
          <w:szCs w:val="36"/>
        </w:rPr>
        <w:t>Art 34</w:t>
      </w:r>
      <w:r w:rsidR="00EA21C1">
        <w:rPr>
          <w:bCs/>
          <w:i/>
          <w:iCs/>
          <w:sz w:val="36"/>
          <w:szCs w:val="36"/>
        </w:rPr>
        <w:t xml:space="preserve">.  On that basis, the CJ signalled a change in approach in </w:t>
      </w:r>
      <w:r w:rsidR="00EA21C1">
        <w:rPr>
          <w:b/>
          <w:i/>
          <w:iCs/>
          <w:sz w:val="36"/>
          <w:szCs w:val="36"/>
        </w:rPr>
        <w:t>Keck</w:t>
      </w:r>
      <w:r w:rsidR="00EA21C1">
        <w:rPr>
          <w:bCs/>
          <w:i/>
          <w:iCs/>
          <w:sz w:val="36"/>
          <w:szCs w:val="36"/>
        </w:rPr>
        <w:t>.</w:t>
      </w:r>
      <w:bookmarkStart w:id="0" w:name="_GoBack"/>
      <w:bookmarkEnd w:id="0"/>
    </w:p>
    <w:sectPr w:rsidR="00211CE4" w:rsidRPr="00EA21C1"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05145"/>
    <w:multiLevelType w:val="hybridMultilevel"/>
    <w:tmpl w:val="88942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383"/>
    <w:rsid w:val="00174383"/>
    <w:rsid w:val="00211CE4"/>
    <w:rsid w:val="005C6E88"/>
    <w:rsid w:val="00804729"/>
    <w:rsid w:val="00880DB3"/>
    <w:rsid w:val="00EA2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C18374"/>
  <w15:chartTrackingRefBased/>
  <w15:docId w15:val="{15F415B0-A545-4E4C-9FA2-F5F84EBE4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3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367</Words>
  <Characters>2095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H15HolmesT</cp:lastModifiedBy>
  <cp:revision>2</cp:revision>
  <dcterms:created xsi:type="dcterms:W3CDTF">2020-03-07T12:12:00Z</dcterms:created>
  <dcterms:modified xsi:type="dcterms:W3CDTF">2020-03-07T12:12:00Z</dcterms:modified>
</cp:coreProperties>
</file>