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23CD3" w14:textId="46C22FAC" w:rsidR="00646ECA" w:rsidRDefault="00565661" w:rsidP="00565661">
      <w:pPr>
        <w:pStyle w:val="Title"/>
      </w:pPr>
      <w:r>
        <w:rPr>
          <w:noProof/>
        </w:rPr>
        <w:drawing>
          <wp:inline distT="0" distB="0" distL="0" distR="0" wp14:anchorId="4D256B5F" wp14:editId="4FEC5DCA">
            <wp:extent cx="2999740" cy="1095375"/>
            <wp:effectExtent l="0" t="0" r="0" b="0"/>
            <wp:docPr id="3961609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406838" w14:textId="77777777" w:rsidR="00565661" w:rsidRDefault="00565661" w:rsidP="00565661"/>
    <w:p w14:paraId="0A8B97DA" w14:textId="77777777" w:rsidR="00565661" w:rsidRDefault="00565661" w:rsidP="00565661"/>
    <w:p w14:paraId="6DC709BF" w14:textId="382CFD80" w:rsidR="00565661" w:rsidRDefault="00565661" w:rsidP="00565661">
      <w:pPr>
        <w:pStyle w:val="Title"/>
      </w:pPr>
    </w:p>
    <w:p w14:paraId="2E63463E" w14:textId="77777777" w:rsidR="00565661" w:rsidRDefault="00565661" w:rsidP="00565661"/>
    <w:p w14:paraId="327B7E4D" w14:textId="77777777" w:rsidR="00565661" w:rsidRPr="00565661" w:rsidRDefault="00565661" w:rsidP="00565661">
      <w:pPr>
        <w:tabs>
          <w:tab w:val="left" w:pos="6540"/>
        </w:tabs>
        <w:spacing w:before="0" w:after="220" w:line="360" w:lineRule="auto"/>
        <w:ind w:left="426"/>
        <w:rPr>
          <w:rFonts w:eastAsia="Century Schoolbook" w:cs="Arial"/>
          <w:sz w:val="28"/>
          <w:szCs w:val="28"/>
        </w:rPr>
      </w:pPr>
      <w:r w:rsidRPr="00565661">
        <w:rPr>
          <w:rFonts w:eastAsia="Century Schoolbook" w:cs="Arial"/>
          <w:b/>
          <w:bCs/>
          <w:sz w:val="28"/>
          <w:szCs w:val="28"/>
        </w:rPr>
        <w:t>Student name</w:t>
      </w:r>
      <w:r w:rsidRPr="00565661">
        <w:rPr>
          <w:rFonts w:eastAsia="Century Schoolbook" w:cs="Arial"/>
          <w:sz w:val="28"/>
          <w:szCs w:val="28"/>
        </w:rPr>
        <w:t>: Monica Ana Oprea</w:t>
      </w:r>
    </w:p>
    <w:p w14:paraId="46A91249" w14:textId="77777777" w:rsidR="00565661" w:rsidRPr="00565661" w:rsidRDefault="00565661" w:rsidP="00565661">
      <w:pPr>
        <w:tabs>
          <w:tab w:val="left" w:pos="6540"/>
        </w:tabs>
        <w:spacing w:before="0" w:after="220" w:line="360" w:lineRule="auto"/>
        <w:ind w:left="426"/>
        <w:rPr>
          <w:rFonts w:eastAsia="Century Schoolbook" w:cs="Arial"/>
          <w:sz w:val="28"/>
          <w:szCs w:val="28"/>
        </w:rPr>
      </w:pPr>
      <w:r w:rsidRPr="00565661">
        <w:rPr>
          <w:rFonts w:eastAsia="Century Schoolbook" w:cs="Arial"/>
          <w:b/>
          <w:bCs/>
          <w:sz w:val="28"/>
          <w:szCs w:val="28"/>
        </w:rPr>
        <w:t>Student ID</w:t>
      </w:r>
      <w:r w:rsidRPr="00565661">
        <w:rPr>
          <w:rFonts w:eastAsia="Century Schoolbook" w:cs="Arial"/>
          <w:sz w:val="28"/>
          <w:szCs w:val="28"/>
        </w:rPr>
        <w:t>: 2315596</w:t>
      </w:r>
    </w:p>
    <w:p w14:paraId="5F2F4AD7" w14:textId="77777777" w:rsidR="00565661" w:rsidRPr="00565661" w:rsidRDefault="00565661" w:rsidP="00565661">
      <w:pPr>
        <w:tabs>
          <w:tab w:val="left" w:pos="6540"/>
        </w:tabs>
        <w:spacing w:before="0" w:after="220" w:line="360" w:lineRule="auto"/>
        <w:ind w:left="426"/>
        <w:rPr>
          <w:rFonts w:eastAsia="Century Schoolbook" w:cs="Arial"/>
          <w:sz w:val="28"/>
          <w:szCs w:val="28"/>
        </w:rPr>
      </w:pPr>
    </w:p>
    <w:p w14:paraId="34570F85" w14:textId="77777777" w:rsidR="00565661" w:rsidRPr="00565661" w:rsidRDefault="00565661" w:rsidP="00565661">
      <w:pPr>
        <w:tabs>
          <w:tab w:val="left" w:pos="6540"/>
        </w:tabs>
        <w:spacing w:before="0" w:after="220" w:line="360" w:lineRule="auto"/>
        <w:ind w:left="426"/>
        <w:rPr>
          <w:rFonts w:eastAsia="Century Schoolbook" w:cs="Arial"/>
          <w:sz w:val="28"/>
          <w:szCs w:val="28"/>
        </w:rPr>
      </w:pPr>
      <w:r w:rsidRPr="00565661">
        <w:rPr>
          <w:rFonts w:eastAsia="Century Schoolbook" w:cs="Arial"/>
          <w:b/>
          <w:bCs/>
          <w:sz w:val="28"/>
          <w:szCs w:val="28"/>
        </w:rPr>
        <w:t>Module name</w:t>
      </w:r>
      <w:r w:rsidRPr="00565661">
        <w:rPr>
          <w:rFonts w:eastAsia="Century Schoolbook" w:cs="Arial"/>
          <w:sz w:val="28"/>
          <w:szCs w:val="28"/>
        </w:rPr>
        <w:t>: Empowering the older person</w:t>
      </w:r>
    </w:p>
    <w:p w14:paraId="0AFB2CFF" w14:textId="77777777" w:rsidR="00565661" w:rsidRPr="00565661" w:rsidRDefault="00565661" w:rsidP="00565661">
      <w:pPr>
        <w:tabs>
          <w:tab w:val="left" w:pos="6540"/>
        </w:tabs>
        <w:spacing w:before="0" w:after="220" w:line="360" w:lineRule="auto"/>
        <w:ind w:left="426"/>
        <w:rPr>
          <w:rFonts w:eastAsia="Century Schoolbook" w:cs="Arial"/>
          <w:sz w:val="28"/>
          <w:szCs w:val="28"/>
        </w:rPr>
      </w:pPr>
      <w:r w:rsidRPr="00565661">
        <w:rPr>
          <w:rFonts w:eastAsia="Century Schoolbook" w:cs="Arial"/>
          <w:b/>
          <w:bCs/>
          <w:sz w:val="28"/>
          <w:szCs w:val="28"/>
        </w:rPr>
        <w:t>Module code</w:t>
      </w:r>
      <w:r w:rsidRPr="00565661">
        <w:rPr>
          <w:rFonts w:eastAsia="Century Schoolbook" w:cs="Arial"/>
          <w:sz w:val="28"/>
          <w:szCs w:val="28"/>
        </w:rPr>
        <w:t>: BHLP6027</w:t>
      </w:r>
    </w:p>
    <w:p w14:paraId="60F9F7A5" w14:textId="2EE0C821" w:rsidR="00565661" w:rsidRDefault="00565661" w:rsidP="00565661">
      <w:pPr>
        <w:tabs>
          <w:tab w:val="left" w:pos="6540"/>
        </w:tabs>
        <w:spacing w:before="0" w:after="220" w:line="360" w:lineRule="auto"/>
        <w:ind w:left="426"/>
        <w:rPr>
          <w:rFonts w:eastAsia="Century Schoolbook" w:cs="Arial"/>
          <w:sz w:val="28"/>
          <w:szCs w:val="28"/>
        </w:rPr>
      </w:pPr>
      <w:r w:rsidRPr="00565661">
        <w:rPr>
          <w:rFonts w:eastAsia="Century Schoolbook" w:cs="Arial"/>
          <w:b/>
          <w:bCs/>
          <w:sz w:val="28"/>
          <w:szCs w:val="28"/>
        </w:rPr>
        <w:t>Lecturer’s name</w:t>
      </w:r>
      <w:r w:rsidRPr="00565661">
        <w:rPr>
          <w:rFonts w:eastAsia="Century Schoolbook" w:cs="Arial"/>
          <w:sz w:val="28"/>
          <w:szCs w:val="28"/>
        </w:rPr>
        <w:t xml:space="preserve">: </w:t>
      </w:r>
      <w:r>
        <w:rPr>
          <w:rFonts w:eastAsia="Century Schoolbook" w:cs="Arial"/>
          <w:sz w:val="28"/>
          <w:szCs w:val="28"/>
        </w:rPr>
        <w:t xml:space="preserve">Dr </w:t>
      </w:r>
      <w:r w:rsidRPr="00565661">
        <w:rPr>
          <w:rFonts w:eastAsia="Century Schoolbook" w:cs="Arial"/>
          <w:sz w:val="28"/>
          <w:szCs w:val="28"/>
        </w:rPr>
        <w:t>Laila Surani</w:t>
      </w:r>
    </w:p>
    <w:p w14:paraId="1B1F48D8" w14:textId="2DE72A26" w:rsidR="00565661" w:rsidRDefault="00565661" w:rsidP="00565661">
      <w:pPr>
        <w:tabs>
          <w:tab w:val="left" w:pos="6540"/>
        </w:tabs>
        <w:spacing w:before="0" w:after="220" w:line="360" w:lineRule="auto"/>
        <w:ind w:left="426"/>
        <w:rPr>
          <w:rFonts w:eastAsia="Century Schoolbook" w:cs="Arial"/>
          <w:sz w:val="28"/>
          <w:szCs w:val="28"/>
        </w:rPr>
      </w:pPr>
    </w:p>
    <w:p w14:paraId="1848BE70" w14:textId="77777777" w:rsidR="00565661" w:rsidRDefault="00565661">
      <w:pPr>
        <w:spacing w:before="0" w:after="160" w:line="259" w:lineRule="auto"/>
        <w:rPr>
          <w:rFonts w:eastAsia="Century Schoolbook" w:cs="Arial"/>
          <w:sz w:val="28"/>
          <w:szCs w:val="28"/>
        </w:rPr>
      </w:pPr>
      <w:r>
        <w:rPr>
          <w:rFonts w:eastAsia="Century Schoolbook" w:cs="Arial"/>
          <w:sz w:val="28"/>
          <w:szCs w:val="28"/>
        </w:rPr>
        <w:br w:type="page"/>
      </w:r>
    </w:p>
    <w:p w14:paraId="4BEDAEE9" w14:textId="39E4FBE6" w:rsidR="00565661" w:rsidRPr="00565661" w:rsidRDefault="00565661" w:rsidP="00565661">
      <w:pPr>
        <w:pStyle w:val="Title"/>
        <w:jc w:val="center"/>
        <w:rPr>
          <w:color w:val="45B0E1" w:themeColor="accent1" w:themeTint="99"/>
        </w:rPr>
      </w:pPr>
      <w:r w:rsidRPr="00565661">
        <w:rPr>
          <w:color w:val="45B0E1" w:themeColor="accent1" w:themeTint="99"/>
        </w:rPr>
        <w:lastRenderedPageBreak/>
        <w:t xml:space="preserve">Digital Health Tools </w:t>
      </w:r>
      <w:r w:rsidRPr="00565661">
        <w:rPr>
          <w:color w:val="45B0E1" w:themeColor="accent1" w:themeTint="99"/>
        </w:rPr>
        <w:t xml:space="preserve">- </w:t>
      </w:r>
      <w:r w:rsidRPr="00565661">
        <w:rPr>
          <w:color w:val="45B0E1" w:themeColor="accent1" w:themeTint="99"/>
        </w:rPr>
        <w:t>apps and devices</w:t>
      </w:r>
      <w:r w:rsidRPr="00565661">
        <w:rPr>
          <w:color w:val="45B0E1" w:themeColor="accent1" w:themeTint="99"/>
        </w:rPr>
        <w:t xml:space="preserve">: </w:t>
      </w:r>
      <w:r w:rsidRPr="00565661">
        <w:rPr>
          <w:color w:val="45B0E1" w:themeColor="accent1" w:themeTint="99"/>
        </w:rPr>
        <w:t>source of empowerment for older adults</w:t>
      </w:r>
    </w:p>
    <w:p w14:paraId="796EF231" w14:textId="3D459A41" w:rsidR="00565661" w:rsidRPr="00565661" w:rsidRDefault="00565661" w:rsidP="00565661">
      <w:pPr>
        <w:jc w:val="both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                                 A PRO ARGUMENT </w:t>
      </w:r>
    </w:p>
    <w:p w14:paraId="6275AC10" w14:textId="77777777" w:rsidR="00565661" w:rsidRDefault="00565661" w:rsidP="00565661">
      <w:pPr>
        <w:pStyle w:val="Subtitle"/>
        <w:jc w:val="both"/>
        <w:rPr>
          <w:rFonts w:ascii="Arial" w:hAnsi="Arial" w:cs="Arial"/>
          <w:b/>
          <w:bCs/>
        </w:rPr>
      </w:pPr>
    </w:p>
    <w:p w14:paraId="38ED7EDD" w14:textId="77777777" w:rsidR="00565661" w:rsidRDefault="00565661" w:rsidP="00565661">
      <w:pPr>
        <w:pStyle w:val="Subtitle"/>
        <w:jc w:val="both"/>
        <w:rPr>
          <w:rFonts w:ascii="Arial" w:hAnsi="Arial" w:cs="Arial"/>
          <w:b/>
          <w:bCs/>
        </w:rPr>
      </w:pPr>
    </w:p>
    <w:p w14:paraId="546C6D54" w14:textId="77777777" w:rsidR="00565661" w:rsidRDefault="00565661" w:rsidP="00565661">
      <w:pPr>
        <w:pStyle w:val="Subtitle"/>
        <w:jc w:val="both"/>
        <w:rPr>
          <w:rFonts w:ascii="Arial" w:hAnsi="Arial" w:cs="Arial"/>
          <w:b/>
          <w:bCs/>
        </w:rPr>
      </w:pPr>
    </w:p>
    <w:p w14:paraId="62002053" w14:textId="77777777" w:rsidR="00565661" w:rsidRDefault="00565661" w:rsidP="00565661">
      <w:pPr>
        <w:pStyle w:val="Subtitle"/>
        <w:jc w:val="both"/>
        <w:rPr>
          <w:rFonts w:ascii="Arial" w:hAnsi="Arial" w:cs="Arial"/>
          <w:b/>
          <w:bCs/>
        </w:rPr>
      </w:pPr>
    </w:p>
    <w:p w14:paraId="46272806" w14:textId="5EAB0588" w:rsidR="00565661" w:rsidRDefault="00565661" w:rsidP="00565661">
      <w:pPr>
        <w:pStyle w:val="Subtitle"/>
        <w:jc w:val="both"/>
        <w:rPr>
          <w:rFonts w:ascii="Arial" w:hAnsi="Arial" w:cs="Arial"/>
          <w:b/>
          <w:bCs/>
        </w:rPr>
      </w:pPr>
      <w:r w:rsidRPr="00565661">
        <w:rPr>
          <w:rFonts w:ascii="Arial" w:hAnsi="Arial" w:cs="Arial"/>
          <w:b/>
          <w:bCs/>
        </w:rPr>
        <w:t xml:space="preserve">References: </w:t>
      </w:r>
    </w:p>
    <w:p w14:paraId="62EDB178" w14:textId="56BEB840" w:rsidR="006B5C78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proofErr w:type="spellStart"/>
      <w:r w:rsidRPr="006B5C78">
        <w:rPr>
          <w:rFonts w:eastAsia="Times New Roman" w:cs="Arial"/>
          <w:sz w:val="22"/>
          <w:szCs w:val="22"/>
          <w:lang w:eastAsia="en-GB"/>
        </w:rPr>
        <w:t>Abdelhameed</w:t>
      </w:r>
      <w:proofErr w:type="spellEnd"/>
      <w:r w:rsidRPr="006B5C78">
        <w:rPr>
          <w:rFonts w:eastAsia="Times New Roman" w:cs="Arial"/>
          <w:sz w:val="22"/>
          <w:szCs w:val="22"/>
          <w:lang w:eastAsia="en-GB"/>
        </w:rPr>
        <w:t xml:space="preserve">, F.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et al.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 (2023) “Health Outcomes Following Engagement With a Digital Health Tool Among People With Prediabetes and Type 2 Diabetes: Prospective Evaluation Study,”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JMIR diabetes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, 8, p. e47224. Available at: </w:t>
      </w:r>
      <w:hyperlink r:id="rId9" w:history="1">
        <w:r w:rsidRPr="006B5C78">
          <w:rPr>
            <w:rStyle w:val="Hyperlink"/>
            <w:rFonts w:eastAsia="Times New Roman" w:cs="Arial"/>
            <w:sz w:val="22"/>
            <w:szCs w:val="22"/>
            <w:lang w:eastAsia="en-GB"/>
          </w:rPr>
          <w:t>https://doi.org/10.2196/47224</w:t>
        </w:r>
      </w:hyperlink>
      <w:r w:rsidR="00110C8E">
        <w:rPr>
          <w:rFonts w:eastAsia="Times New Roman" w:cs="Arial"/>
          <w:sz w:val="22"/>
          <w:szCs w:val="22"/>
          <w:lang w:eastAsia="en-GB"/>
        </w:rPr>
        <w:t xml:space="preserve"> </w:t>
      </w:r>
      <w:r w:rsidR="00110C8E" w:rsidRPr="006B5C78">
        <w:rPr>
          <w:rFonts w:cs="Arial"/>
          <w:sz w:val="22"/>
          <w:szCs w:val="22"/>
        </w:rPr>
        <w:t xml:space="preserve">(Accessed: </w:t>
      </w:r>
      <w:r w:rsidR="00AD3BA8">
        <w:rPr>
          <w:rFonts w:cs="Arial"/>
          <w:sz w:val="22"/>
          <w:szCs w:val="22"/>
        </w:rPr>
        <w:t>30 March</w:t>
      </w:r>
      <w:r w:rsidR="00110C8E" w:rsidRPr="006B5C78">
        <w:rPr>
          <w:rFonts w:cs="Arial"/>
          <w:sz w:val="22"/>
          <w:szCs w:val="22"/>
        </w:rPr>
        <w:t xml:space="preserve"> 2026).</w:t>
      </w:r>
    </w:p>
    <w:p w14:paraId="53BE4340" w14:textId="77777777" w:rsidR="006B5C78" w:rsidRPr="006B5C78" w:rsidRDefault="006B5C78" w:rsidP="006B5C78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2"/>
          <w:szCs w:val="22"/>
        </w:rPr>
      </w:pPr>
      <w:r w:rsidRPr="006B5C78">
        <w:rPr>
          <w:rFonts w:cs="Arial"/>
          <w:sz w:val="22"/>
          <w:szCs w:val="22"/>
        </w:rPr>
        <w:t xml:space="preserve">Andreoni, G. and </w:t>
      </w:r>
      <w:proofErr w:type="spellStart"/>
      <w:r w:rsidRPr="006B5C78">
        <w:rPr>
          <w:rFonts w:cs="Arial"/>
          <w:sz w:val="22"/>
          <w:szCs w:val="22"/>
        </w:rPr>
        <w:t>Mambretti</w:t>
      </w:r>
      <w:proofErr w:type="spellEnd"/>
      <w:r w:rsidRPr="006B5C78">
        <w:rPr>
          <w:rFonts w:cs="Arial"/>
          <w:sz w:val="22"/>
          <w:szCs w:val="22"/>
        </w:rPr>
        <w:t xml:space="preserve">, C. (eds.) (2021) Digital Health Technology for Better Aging: A Multidisciplinary Approach. Cham: Springer. Available at: </w:t>
      </w:r>
      <w:hyperlink r:id="rId10" w:history="1">
        <w:r w:rsidRPr="006B5C78">
          <w:rPr>
            <w:rStyle w:val="Hyperlink"/>
            <w:rFonts w:cs="Arial"/>
            <w:sz w:val="22"/>
            <w:szCs w:val="22"/>
          </w:rPr>
          <w:t>https://link.springer.com/book/10.1007/978-3-030-72663-8</w:t>
        </w:r>
      </w:hyperlink>
      <w:r w:rsidRPr="006B5C78">
        <w:rPr>
          <w:rFonts w:cs="Arial"/>
          <w:sz w:val="22"/>
          <w:szCs w:val="22"/>
        </w:rPr>
        <w:t xml:space="preserve"> </w:t>
      </w:r>
      <w:r w:rsidRPr="006B5C78">
        <w:rPr>
          <w:rFonts w:cs="Arial"/>
          <w:sz w:val="22"/>
          <w:szCs w:val="22"/>
        </w:rPr>
        <w:t>(Accessed: 9 April 2026).</w:t>
      </w:r>
    </w:p>
    <w:p w14:paraId="4526D55A" w14:textId="59B289B3" w:rsidR="006B5C78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r w:rsidRPr="006B5C78">
        <w:rPr>
          <w:rFonts w:eastAsia="Times New Roman" w:cs="Arial"/>
          <w:sz w:val="22"/>
          <w:szCs w:val="22"/>
          <w:lang w:eastAsia="en-GB"/>
        </w:rPr>
        <w:t xml:space="preserve">Cen, C.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et al.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 (2025) “Interactive interfaces and wearable technologies for enhancing health management among older adults: a systematic review,”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 xml:space="preserve">Frontiers in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Medicine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, 12, p. 1724828. Available at: </w:t>
      </w:r>
      <w:hyperlink r:id="rId11" w:history="1">
        <w:r w:rsidRPr="006B5C78">
          <w:rPr>
            <w:rStyle w:val="Hyperlink"/>
            <w:rFonts w:eastAsia="Times New Roman" w:cs="Arial"/>
            <w:sz w:val="22"/>
            <w:szCs w:val="22"/>
            <w:lang w:eastAsia="en-GB"/>
          </w:rPr>
          <w:t>https://doi.org/10.3389/fmed.2025.1724828</w:t>
        </w:r>
      </w:hyperlink>
      <w:r w:rsidRPr="006B5C78">
        <w:rPr>
          <w:rFonts w:eastAsia="Times New Roman" w:cs="Arial"/>
          <w:sz w:val="22"/>
          <w:szCs w:val="22"/>
          <w:lang w:eastAsia="en-GB"/>
        </w:rPr>
        <w:t>.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 </w:t>
      </w:r>
      <w:r w:rsidR="00AD3BA8" w:rsidRPr="006B5C78">
        <w:rPr>
          <w:rFonts w:cs="Arial"/>
          <w:sz w:val="22"/>
          <w:szCs w:val="22"/>
        </w:rPr>
        <w:t xml:space="preserve">(Accessed: </w:t>
      </w:r>
      <w:r w:rsidR="00AD3BA8">
        <w:rPr>
          <w:rFonts w:cs="Arial"/>
          <w:sz w:val="22"/>
          <w:szCs w:val="22"/>
        </w:rPr>
        <w:t>27</w:t>
      </w:r>
      <w:r w:rsidR="00AD3BA8">
        <w:rPr>
          <w:rFonts w:cs="Arial"/>
          <w:sz w:val="22"/>
          <w:szCs w:val="22"/>
        </w:rPr>
        <w:t xml:space="preserve"> March</w:t>
      </w:r>
      <w:r w:rsidR="00AD3BA8" w:rsidRPr="006B5C78">
        <w:rPr>
          <w:rFonts w:cs="Arial"/>
          <w:sz w:val="22"/>
          <w:szCs w:val="22"/>
        </w:rPr>
        <w:t xml:space="preserve"> 2026).</w:t>
      </w:r>
    </w:p>
    <w:p w14:paraId="7DD3B522" w14:textId="045DF6F0" w:rsidR="006B5C78" w:rsidRPr="006B5C78" w:rsidRDefault="006B5C78" w:rsidP="006B5C78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2"/>
          <w:szCs w:val="22"/>
        </w:rPr>
      </w:pPr>
      <w:r w:rsidRPr="006B5C78">
        <w:rPr>
          <w:rFonts w:cs="Arial"/>
          <w:sz w:val="22"/>
          <w:szCs w:val="22"/>
        </w:rPr>
        <w:t xml:space="preserve"> </w:t>
      </w:r>
      <w:r w:rsidRPr="006B5C78">
        <w:rPr>
          <w:rFonts w:cs="Arial"/>
          <w:sz w:val="22"/>
          <w:szCs w:val="22"/>
        </w:rPr>
        <w:t xml:space="preserve">Chadwick, H., Laverty, L., Finnigan, R., Elias, R., Farrington, K., Caskey, F.J. and van der Veer, S.N. (2024) ‘Engagement with digital health technologies among older people living in socially deprived areas: qualitative study of influencing factors’, </w:t>
      </w:r>
      <w:r w:rsidRPr="006B5C78">
        <w:rPr>
          <w:rFonts w:cs="Arial"/>
          <w:i/>
          <w:iCs/>
          <w:sz w:val="22"/>
          <w:szCs w:val="22"/>
        </w:rPr>
        <w:t>JMIR Formative Research</w:t>
      </w:r>
      <w:r w:rsidRPr="006B5C78">
        <w:rPr>
          <w:rFonts w:cs="Arial"/>
          <w:sz w:val="22"/>
          <w:szCs w:val="22"/>
        </w:rPr>
        <w:t xml:space="preserve">, 8, e60483. Available at: </w:t>
      </w:r>
      <w:hyperlink r:id="rId12" w:history="1">
        <w:r w:rsidRPr="006B5C78">
          <w:rPr>
            <w:rStyle w:val="Hyperlink"/>
            <w:rFonts w:cs="Arial"/>
            <w:sz w:val="22"/>
            <w:szCs w:val="22"/>
          </w:rPr>
          <w:t>https://doi.org/10.2196/60483</w:t>
        </w:r>
      </w:hyperlink>
      <w:r w:rsidRPr="006B5C78">
        <w:rPr>
          <w:rFonts w:cs="Arial"/>
          <w:sz w:val="22"/>
          <w:szCs w:val="22"/>
        </w:rPr>
        <w:t xml:space="preserve"> </w:t>
      </w:r>
      <w:r w:rsidRPr="006B5C78">
        <w:rPr>
          <w:rFonts w:cs="Arial"/>
          <w:sz w:val="22"/>
          <w:szCs w:val="22"/>
        </w:rPr>
        <w:t xml:space="preserve">(Accessed: </w:t>
      </w:r>
      <w:r w:rsidR="00110C8E">
        <w:rPr>
          <w:rFonts w:cs="Arial"/>
          <w:sz w:val="22"/>
          <w:szCs w:val="22"/>
        </w:rPr>
        <w:t>2</w:t>
      </w:r>
      <w:r w:rsidRPr="006B5C78">
        <w:rPr>
          <w:rFonts w:cs="Arial"/>
          <w:sz w:val="22"/>
          <w:szCs w:val="22"/>
        </w:rPr>
        <w:t xml:space="preserve"> April 2026).</w:t>
      </w:r>
    </w:p>
    <w:p w14:paraId="3DD8D895" w14:textId="4F4CC500" w:rsidR="006B5C78" w:rsidRPr="006B5C78" w:rsidRDefault="006B5C78" w:rsidP="006B5C78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2"/>
          <w:szCs w:val="22"/>
        </w:rPr>
      </w:pPr>
      <w:r w:rsidRPr="006B5C78">
        <w:rPr>
          <w:rFonts w:cs="Arial"/>
          <w:sz w:val="22"/>
          <w:szCs w:val="22"/>
        </w:rPr>
        <w:t xml:space="preserve">Chadwick, H., Laverty, L., Finnigan, R., </w:t>
      </w:r>
      <w:r w:rsidRPr="006B5C78">
        <w:rPr>
          <w:rFonts w:cs="Arial"/>
          <w:i/>
          <w:iCs/>
          <w:sz w:val="22"/>
          <w:szCs w:val="22"/>
        </w:rPr>
        <w:t>et al.</w:t>
      </w:r>
      <w:r w:rsidRPr="006B5C78">
        <w:rPr>
          <w:rFonts w:cs="Arial"/>
          <w:sz w:val="22"/>
          <w:szCs w:val="22"/>
        </w:rPr>
        <w:t xml:space="preserve"> (2024) ‘Engagement with digital health technologies among older people in deprived UK areas’, </w:t>
      </w:r>
      <w:r w:rsidRPr="006B5C78">
        <w:rPr>
          <w:rFonts w:cs="Arial"/>
          <w:i/>
          <w:iCs/>
          <w:sz w:val="22"/>
          <w:szCs w:val="22"/>
        </w:rPr>
        <w:t>JMIR Formative Research,</w:t>
      </w:r>
      <w:r w:rsidRPr="006B5C78">
        <w:rPr>
          <w:rFonts w:cs="Arial"/>
          <w:sz w:val="22"/>
          <w:szCs w:val="22"/>
        </w:rPr>
        <w:t xml:space="preserve"> 8, e60483. Available at: </w:t>
      </w:r>
      <w:hyperlink r:id="rId13" w:history="1">
        <w:r w:rsidRPr="006B5C78">
          <w:rPr>
            <w:rStyle w:val="Hyperlink"/>
            <w:rFonts w:cs="Arial"/>
            <w:sz w:val="22"/>
            <w:szCs w:val="22"/>
          </w:rPr>
          <w:t>https://doi.org/10.2196/60483</w:t>
        </w:r>
      </w:hyperlink>
      <w:r w:rsidRPr="006B5C78">
        <w:rPr>
          <w:rFonts w:cs="Arial"/>
          <w:sz w:val="22"/>
          <w:szCs w:val="22"/>
        </w:rPr>
        <w:t xml:space="preserve">  </w:t>
      </w:r>
      <w:r w:rsidRPr="006B5C78">
        <w:rPr>
          <w:rFonts w:cs="Arial"/>
          <w:sz w:val="22"/>
          <w:szCs w:val="22"/>
        </w:rPr>
        <w:t xml:space="preserve">(Accessed: </w:t>
      </w:r>
      <w:r w:rsidR="00AD3BA8">
        <w:rPr>
          <w:rFonts w:cs="Arial"/>
          <w:sz w:val="22"/>
          <w:szCs w:val="22"/>
        </w:rPr>
        <w:t>2</w:t>
      </w:r>
      <w:r w:rsidRPr="006B5C78">
        <w:rPr>
          <w:rFonts w:cs="Arial"/>
          <w:sz w:val="22"/>
          <w:szCs w:val="22"/>
        </w:rPr>
        <w:t xml:space="preserve"> April 2026).</w:t>
      </w:r>
    </w:p>
    <w:p w14:paraId="42F99017" w14:textId="2A8523EC" w:rsidR="006B5C78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proofErr w:type="spellStart"/>
      <w:r w:rsidRPr="006B5C78">
        <w:rPr>
          <w:rFonts w:eastAsia="Times New Roman" w:cs="Arial"/>
          <w:sz w:val="22"/>
          <w:szCs w:val="22"/>
          <w:lang w:eastAsia="en-GB"/>
        </w:rPr>
        <w:t>Dellkvist</w:t>
      </w:r>
      <w:proofErr w:type="spellEnd"/>
      <w:r w:rsidRPr="006B5C78">
        <w:rPr>
          <w:rFonts w:eastAsia="Times New Roman" w:cs="Arial"/>
          <w:sz w:val="22"/>
          <w:szCs w:val="22"/>
          <w:lang w:eastAsia="en-GB"/>
        </w:rPr>
        <w:t xml:space="preserve">, H.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et al.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 (2024) “The use of a digital life story to support person-centred care of older adults with dementia: A scoping review,”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Digital health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, 10, p. 20552076241241231. Available at: </w:t>
      </w:r>
      <w:hyperlink r:id="rId14" w:history="1">
        <w:r w:rsidRPr="006B5C78">
          <w:rPr>
            <w:rStyle w:val="Hyperlink"/>
            <w:rFonts w:eastAsia="Times New Roman" w:cs="Arial"/>
            <w:sz w:val="22"/>
            <w:szCs w:val="22"/>
            <w:lang w:eastAsia="en-GB"/>
          </w:rPr>
          <w:t>https://doi.org/10.1177/20552076241241231</w:t>
        </w:r>
      </w:hyperlink>
      <w:r w:rsidR="00AD3BA8">
        <w:rPr>
          <w:rFonts w:eastAsia="Times New Roman" w:cs="Arial"/>
          <w:sz w:val="22"/>
          <w:szCs w:val="22"/>
          <w:lang w:eastAsia="en-GB"/>
        </w:rPr>
        <w:t xml:space="preserve"> </w:t>
      </w:r>
      <w:r w:rsidR="00AD3BA8" w:rsidRPr="006B5C78">
        <w:rPr>
          <w:rFonts w:cs="Arial"/>
          <w:sz w:val="22"/>
          <w:szCs w:val="22"/>
        </w:rPr>
        <w:t xml:space="preserve">(Accessed: </w:t>
      </w:r>
      <w:r w:rsidR="00AD3BA8">
        <w:rPr>
          <w:rFonts w:cs="Arial"/>
          <w:sz w:val="22"/>
          <w:szCs w:val="22"/>
        </w:rPr>
        <w:t>27</w:t>
      </w:r>
      <w:r w:rsidR="00AD3BA8">
        <w:rPr>
          <w:rFonts w:cs="Arial"/>
          <w:sz w:val="22"/>
          <w:szCs w:val="22"/>
        </w:rPr>
        <w:t xml:space="preserve"> March</w:t>
      </w:r>
      <w:r w:rsidR="00AD3BA8" w:rsidRPr="006B5C78">
        <w:rPr>
          <w:rFonts w:cs="Arial"/>
          <w:sz w:val="22"/>
          <w:szCs w:val="22"/>
        </w:rPr>
        <w:t xml:space="preserve"> 2026).</w:t>
      </w:r>
    </w:p>
    <w:p w14:paraId="7B199287" w14:textId="022D7B21" w:rsidR="006B5C78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r w:rsidRPr="006B5C78">
        <w:rPr>
          <w:rFonts w:eastAsia="Times New Roman" w:cs="Arial"/>
          <w:sz w:val="22"/>
          <w:szCs w:val="22"/>
          <w:lang w:eastAsia="en-GB"/>
        </w:rPr>
        <w:lastRenderedPageBreak/>
        <w:t xml:space="preserve">Ferguson, S.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et al.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 (2025) “Feasibility of Ambient Sensing Technology for Fall Detection in People with Cognitive Changes,”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Alzheimer’s &amp; dementia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, 21(S4). Available at: </w:t>
      </w:r>
      <w:hyperlink r:id="rId15" w:history="1">
        <w:r w:rsidRPr="006B5C78">
          <w:rPr>
            <w:rStyle w:val="Hyperlink"/>
            <w:rFonts w:eastAsia="Times New Roman" w:cs="Arial"/>
            <w:sz w:val="22"/>
            <w:szCs w:val="22"/>
            <w:lang w:eastAsia="en-GB"/>
          </w:rPr>
          <w:t>https://doi.org/10.1002/alz70858_101697</w:t>
        </w:r>
      </w:hyperlink>
      <w:r w:rsidR="000A28B0">
        <w:rPr>
          <w:rFonts w:eastAsia="Times New Roman" w:cs="Arial"/>
          <w:sz w:val="22"/>
          <w:szCs w:val="22"/>
          <w:lang w:eastAsia="en-GB"/>
        </w:rPr>
        <w:t xml:space="preserve"> </w:t>
      </w:r>
      <w:r w:rsidR="000A28B0" w:rsidRPr="006B5C78">
        <w:rPr>
          <w:rFonts w:cs="Arial"/>
          <w:sz w:val="22"/>
          <w:szCs w:val="22"/>
        </w:rPr>
        <w:t xml:space="preserve">(Accessed: </w:t>
      </w:r>
      <w:r w:rsidR="000A28B0">
        <w:rPr>
          <w:rFonts w:cs="Arial"/>
          <w:sz w:val="22"/>
          <w:szCs w:val="22"/>
        </w:rPr>
        <w:t>30 March</w:t>
      </w:r>
      <w:r w:rsidR="000A28B0" w:rsidRPr="006B5C78">
        <w:rPr>
          <w:rFonts w:cs="Arial"/>
          <w:sz w:val="22"/>
          <w:szCs w:val="22"/>
        </w:rPr>
        <w:t xml:space="preserve"> 2026).</w:t>
      </w:r>
    </w:p>
    <w:p w14:paraId="1F172C85" w14:textId="1E00059B" w:rsidR="006B5C78" w:rsidRPr="006B5C78" w:rsidRDefault="006B5C78" w:rsidP="006B5C78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2"/>
          <w:szCs w:val="22"/>
        </w:rPr>
      </w:pPr>
      <w:r w:rsidRPr="006B5C78">
        <w:rPr>
          <w:rFonts w:cs="Arial"/>
          <w:sz w:val="22"/>
          <w:szCs w:val="22"/>
        </w:rPr>
        <w:t xml:space="preserve"> </w:t>
      </w:r>
      <w:r w:rsidRPr="006B5C78">
        <w:rPr>
          <w:rFonts w:cs="Arial"/>
          <w:sz w:val="22"/>
          <w:szCs w:val="22"/>
        </w:rPr>
        <w:t xml:space="preserve">Fothergill, L., Philip, K.E.J., Davies, L., </w:t>
      </w:r>
      <w:r w:rsidRPr="006B5C78">
        <w:rPr>
          <w:rFonts w:cs="Arial"/>
          <w:i/>
          <w:iCs/>
          <w:sz w:val="22"/>
          <w:szCs w:val="22"/>
        </w:rPr>
        <w:t>et al</w:t>
      </w:r>
      <w:r w:rsidRPr="006B5C78">
        <w:rPr>
          <w:rFonts w:cs="Arial"/>
          <w:sz w:val="22"/>
          <w:szCs w:val="22"/>
        </w:rPr>
        <w:t xml:space="preserve">. (2025) ‘Understanding how, for whom and under what circumstances telecare can support older people to remain independent at home: a realist review’, </w:t>
      </w:r>
      <w:r w:rsidRPr="006B5C78">
        <w:rPr>
          <w:rFonts w:cs="Arial"/>
          <w:i/>
          <w:iCs/>
          <w:sz w:val="22"/>
          <w:szCs w:val="22"/>
        </w:rPr>
        <w:t>Age and Ageing</w:t>
      </w:r>
      <w:r w:rsidRPr="006B5C78">
        <w:rPr>
          <w:rFonts w:cs="Arial"/>
          <w:sz w:val="22"/>
          <w:szCs w:val="22"/>
        </w:rPr>
        <w:t xml:space="preserve">. Available at: https://pmc.ncbi.nlm.nih.gov/articles/PMC11771067/ (Accessed: </w:t>
      </w:r>
      <w:r w:rsidR="000A28B0">
        <w:rPr>
          <w:rFonts w:cs="Arial"/>
          <w:sz w:val="22"/>
          <w:szCs w:val="22"/>
        </w:rPr>
        <w:t>2</w:t>
      </w:r>
      <w:r w:rsidRPr="006B5C78">
        <w:rPr>
          <w:rFonts w:cs="Arial"/>
          <w:sz w:val="22"/>
          <w:szCs w:val="22"/>
        </w:rPr>
        <w:t xml:space="preserve"> April 2026).</w:t>
      </w:r>
    </w:p>
    <w:p w14:paraId="5713BE4F" w14:textId="6C224E67" w:rsidR="006B5C78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proofErr w:type="spellStart"/>
      <w:r w:rsidRPr="006B5C78">
        <w:rPr>
          <w:rFonts w:eastAsia="Times New Roman" w:cs="Arial"/>
          <w:sz w:val="22"/>
          <w:szCs w:val="22"/>
          <w:lang w:eastAsia="en-GB"/>
        </w:rPr>
        <w:t>Hamiduzzaman</w:t>
      </w:r>
      <w:proofErr w:type="spellEnd"/>
      <w:r w:rsidRPr="006B5C78">
        <w:rPr>
          <w:rFonts w:eastAsia="Times New Roman" w:cs="Arial"/>
          <w:sz w:val="22"/>
          <w:szCs w:val="22"/>
          <w:lang w:eastAsia="en-GB"/>
        </w:rPr>
        <w:t xml:space="preserve">, M.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et al.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 (2025) “Virtual Healthcare for Older Adults With Preventable Chronic Conditions: A Meta-synthesis of Quality Aspects,”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Journal of applied gerontology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, 44(7), pp. 1089–1108. Available at: </w:t>
      </w:r>
      <w:hyperlink r:id="rId16" w:history="1">
        <w:r w:rsidRPr="006B5C78">
          <w:rPr>
            <w:rStyle w:val="Hyperlink"/>
            <w:rFonts w:eastAsia="Times New Roman" w:cs="Arial"/>
            <w:sz w:val="22"/>
            <w:szCs w:val="22"/>
            <w:lang w:eastAsia="en-GB"/>
          </w:rPr>
          <w:t>https://doi.org/10.1177/07334648241296791</w:t>
        </w:r>
      </w:hyperlink>
      <w:r w:rsidR="000A28B0">
        <w:rPr>
          <w:rFonts w:eastAsia="Times New Roman" w:cs="Arial"/>
          <w:sz w:val="22"/>
          <w:szCs w:val="22"/>
          <w:lang w:eastAsia="en-GB"/>
        </w:rPr>
        <w:t xml:space="preserve"> </w:t>
      </w:r>
      <w:r w:rsidR="000A28B0" w:rsidRPr="006B5C78">
        <w:rPr>
          <w:rFonts w:cs="Arial"/>
          <w:sz w:val="22"/>
          <w:szCs w:val="22"/>
        </w:rPr>
        <w:t>(Accessed:</w:t>
      </w:r>
      <w:r w:rsidR="000A28B0">
        <w:rPr>
          <w:rFonts w:cs="Arial"/>
          <w:sz w:val="22"/>
          <w:szCs w:val="22"/>
        </w:rPr>
        <w:t xml:space="preserve"> 27</w:t>
      </w:r>
      <w:r w:rsidR="000A28B0">
        <w:rPr>
          <w:rFonts w:cs="Arial"/>
          <w:sz w:val="22"/>
          <w:szCs w:val="22"/>
        </w:rPr>
        <w:t xml:space="preserve"> March</w:t>
      </w:r>
      <w:r w:rsidR="000A28B0" w:rsidRPr="006B5C78">
        <w:rPr>
          <w:rFonts w:cs="Arial"/>
          <w:sz w:val="22"/>
          <w:szCs w:val="22"/>
        </w:rPr>
        <w:t xml:space="preserve"> 2026).</w:t>
      </w:r>
    </w:p>
    <w:p w14:paraId="2B78CE4B" w14:textId="48F069FB" w:rsidR="006B5C78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proofErr w:type="spellStart"/>
      <w:r w:rsidRPr="006B5C78">
        <w:rPr>
          <w:rFonts w:eastAsia="Times New Roman" w:cs="Arial"/>
          <w:sz w:val="22"/>
          <w:szCs w:val="22"/>
          <w:lang w:eastAsia="en-GB"/>
        </w:rPr>
        <w:t>Hamiduzzaman</w:t>
      </w:r>
      <w:proofErr w:type="spellEnd"/>
      <w:r w:rsidRPr="006B5C78">
        <w:rPr>
          <w:rFonts w:eastAsia="Times New Roman" w:cs="Arial"/>
          <w:sz w:val="22"/>
          <w:szCs w:val="22"/>
          <w:lang w:eastAsia="en-GB"/>
        </w:rPr>
        <w:t xml:space="preserve">, M.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et al.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 (2025) “Virtual Healthcare for Older Adults With Preventable Chronic Conditions: A Meta-synthesis of Quality Aspects,”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Journal of applied gerontology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, 44(7), pp. 1089–1108. Available at: </w:t>
      </w:r>
      <w:hyperlink r:id="rId17" w:history="1">
        <w:r w:rsidRPr="006B5C78">
          <w:rPr>
            <w:rStyle w:val="Hyperlink"/>
            <w:rFonts w:eastAsia="Times New Roman" w:cs="Arial"/>
            <w:sz w:val="22"/>
            <w:szCs w:val="22"/>
            <w:lang w:eastAsia="en-GB"/>
          </w:rPr>
          <w:t>https://doi.org/10.1177/07334648241296791</w:t>
        </w:r>
      </w:hyperlink>
      <w:r w:rsidR="000A28B0">
        <w:rPr>
          <w:rFonts w:eastAsia="Times New Roman" w:cs="Arial"/>
          <w:sz w:val="22"/>
          <w:szCs w:val="22"/>
          <w:lang w:eastAsia="en-GB"/>
        </w:rPr>
        <w:t xml:space="preserve"> </w:t>
      </w:r>
      <w:r w:rsidR="000A28B0" w:rsidRPr="006B5C78">
        <w:rPr>
          <w:rFonts w:cs="Arial"/>
          <w:sz w:val="22"/>
          <w:szCs w:val="22"/>
        </w:rPr>
        <w:t xml:space="preserve">(Accessed: </w:t>
      </w:r>
      <w:r w:rsidR="000A28B0">
        <w:rPr>
          <w:rFonts w:cs="Arial"/>
          <w:sz w:val="22"/>
          <w:szCs w:val="22"/>
        </w:rPr>
        <w:t>30 March</w:t>
      </w:r>
      <w:r w:rsidR="000A28B0" w:rsidRPr="006B5C78">
        <w:rPr>
          <w:rFonts w:cs="Arial"/>
          <w:sz w:val="22"/>
          <w:szCs w:val="22"/>
        </w:rPr>
        <w:t xml:space="preserve"> 2026).</w:t>
      </w:r>
    </w:p>
    <w:p w14:paraId="548ED4CF" w14:textId="47506A07" w:rsidR="006B5C78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r w:rsidRPr="006B5C78">
        <w:rPr>
          <w:rFonts w:eastAsia="Times New Roman" w:cs="Arial"/>
          <w:sz w:val="22"/>
          <w:szCs w:val="22"/>
          <w:lang w:eastAsia="en-GB"/>
        </w:rPr>
        <w:t xml:space="preserve">Hasani, E. (2026) “Design of an Event-Driven, Low-Power Wearable Fall Detection Device for Hospital Use in Older Adults: A Proof-of-Concept,” </w:t>
      </w:r>
      <w:proofErr w:type="spellStart"/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Curēus</w:t>
      </w:r>
      <w:proofErr w:type="spellEnd"/>
      <w:r w:rsidRPr="006B5C78">
        <w:rPr>
          <w:rFonts w:eastAsia="Times New Roman" w:cs="Arial"/>
          <w:i/>
          <w:iCs/>
          <w:sz w:val="22"/>
          <w:szCs w:val="22"/>
          <w:lang w:eastAsia="en-GB"/>
        </w:rPr>
        <w:t xml:space="preserve"> (Palo Alto, CA)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, 18(2), p. e103024. Available at: </w:t>
      </w:r>
      <w:hyperlink r:id="rId18" w:history="1">
        <w:r w:rsidRPr="006B5C78">
          <w:rPr>
            <w:rStyle w:val="Hyperlink"/>
            <w:rFonts w:eastAsia="Times New Roman" w:cs="Arial"/>
            <w:sz w:val="22"/>
            <w:szCs w:val="22"/>
            <w:lang w:eastAsia="en-GB"/>
          </w:rPr>
          <w:t>https://doi.org/10.7759/cureus.103024</w:t>
        </w:r>
      </w:hyperlink>
      <w:r w:rsidRPr="006B5C78">
        <w:rPr>
          <w:rFonts w:eastAsia="Times New Roman" w:cs="Arial"/>
          <w:sz w:val="22"/>
          <w:szCs w:val="22"/>
          <w:lang w:eastAsia="en-GB"/>
        </w:rPr>
        <w:t xml:space="preserve"> </w:t>
      </w:r>
      <w:r w:rsidR="000A28B0" w:rsidRPr="006B5C78">
        <w:rPr>
          <w:rFonts w:cs="Arial"/>
          <w:sz w:val="22"/>
          <w:szCs w:val="22"/>
        </w:rPr>
        <w:t xml:space="preserve">(Accessed: </w:t>
      </w:r>
      <w:r w:rsidR="000A28B0">
        <w:rPr>
          <w:rFonts w:cs="Arial"/>
          <w:sz w:val="22"/>
          <w:szCs w:val="22"/>
        </w:rPr>
        <w:t>30 March</w:t>
      </w:r>
      <w:r w:rsidR="000A28B0" w:rsidRPr="006B5C78">
        <w:rPr>
          <w:rFonts w:cs="Arial"/>
          <w:sz w:val="22"/>
          <w:szCs w:val="22"/>
        </w:rPr>
        <w:t xml:space="preserve"> 2026).</w:t>
      </w:r>
    </w:p>
    <w:p w14:paraId="0686E092" w14:textId="77777777" w:rsidR="006B5C78" w:rsidRPr="006B5C78" w:rsidRDefault="006B5C78" w:rsidP="006B5C78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2"/>
          <w:szCs w:val="22"/>
        </w:rPr>
      </w:pPr>
      <w:r w:rsidRPr="006B5C78">
        <w:rPr>
          <w:rFonts w:cs="Arial"/>
          <w:sz w:val="22"/>
          <w:szCs w:val="22"/>
        </w:rPr>
        <w:t xml:space="preserve">Jarke, J. (2020) ‘Introduction’, </w:t>
      </w:r>
      <w:r w:rsidRPr="006B5C78">
        <w:rPr>
          <w:rFonts w:cs="Arial"/>
          <w:i/>
          <w:iCs/>
          <w:sz w:val="22"/>
          <w:szCs w:val="22"/>
        </w:rPr>
        <w:t>in Co-creating Digital Public Services for an Ageing Society</w:t>
      </w:r>
      <w:r w:rsidRPr="006B5C78">
        <w:rPr>
          <w:rFonts w:cs="Arial"/>
          <w:sz w:val="22"/>
          <w:szCs w:val="22"/>
        </w:rPr>
        <w:t xml:space="preserve">. Cham: Springer, pp. 1–4. Available at: </w:t>
      </w:r>
      <w:hyperlink r:id="rId19" w:history="1">
        <w:r w:rsidRPr="006B5C78">
          <w:rPr>
            <w:rStyle w:val="Hyperlink"/>
            <w:rFonts w:cs="Arial"/>
            <w:sz w:val="22"/>
            <w:szCs w:val="22"/>
          </w:rPr>
          <w:t>https://doi.org/10.1007/978-3-030-52873-7_1</w:t>
        </w:r>
      </w:hyperlink>
      <w:r w:rsidRPr="006B5C78">
        <w:rPr>
          <w:rFonts w:cs="Arial"/>
          <w:sz w:val="22"/>
          <w:szCs w:val="22"/>
        </w:rPr>
        <w:t xml:space="preserve"> </w:t>
      </w:r>
      <w:r w:rsidRPr="006B5C78">
        <w:rPr>
          <w:rFonts w:cs="Arial"/>
          <w:sz w:val="22"/>
          <w:szCs w:val="22"/>
        </w:rPr>
        <w:t>(Accessed: 9 April 2026).</w:t>
      </w:r>
    </w:p>
    <w:p w14:paraId="7F61EC92" w14:textId="3B26288C" w:rsidR="006B5C78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r w:rsidRPr="006B5C78">
        <w:rPr>
          <w:rFonts w:eastAsia="Times New Roman" w:cs="Arial"/>
          <w:sz w:val="22"/>
          <w:szCs w:val="22"/>
          <w:lang w:eastAsia="en-GB"/>
        </w:rPr>
        <w:t xml:space="preserve">Jones, A.M. and Jones, D.R. (2022) “A Novel Bayesian General Medical Diagnostic Assistant Achieves Superior Accuracy With Sparse History: A Performance Comparison of 7 Online Diagnostic Aids and Physicians,”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 xml:space="preserve">Frontiers in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Artificial Intelligence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, 5, p. 727486. Available at: </w:t>
      </w:r>
      <w:hyperlink r:id="rId20" w:history="1">
        <w:r w:rsidRPr="006B5C78">
          <w:rPr>
            <w:rStyle w:val="Hyperlink"/>
            <w:rFonts w:eastAsia="Times New Roman" w:cs="Arial"/>
            <w:sz w:val="22"/>
            <w:szCs w:val="22"/>
            <w:lang w:eastAsia="en-GB"/>
          </w:rPr>
          <w:t>https://doi.org/10.3389/frai.2022.727486</w:t>
        </w:r>
      </w:hyperlink>
      <w:r w:rsidR="000A28B0">
        <w:rPr>
          <w:rFonts w:eastAsia="Times New Roman" w:cs="Arial"/>
          <w:sz w:val="22"/>
          <w:szCs w:val="22"/>
          <w:lang w:eastAsia="en-GB"/>
        </w:rPr>
        <w:t xml:space="preserve"> 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 </w:t>
      </w:r>
      <w:r w:rsidR="000A28B0" w:rsidRPr="006B5C78">
        <w:rPr>
          <w:rFonts w:cs="Arial"/>
          <w:sz w:val="22"/>
          <w:szCs w:val="22"/>
        </w:rPr>
        <w:t xml:space="preserve">(Accessed: </w:t>
      </w:r>
      <w:r w:rsidR="000A28B0">
        <w:rPr>
          <w:rFonts w:cs="Arial"/>
          <w:sz w:val="22"/>
          <w:szCs w:val="22"/>
        </w:rPr>
        <w:t>24</w:t>
      </w:r>
      <w:r w:rsidR="000A28B0">
        <w:rPr>
          <w:rFonts w:cs="Arial"/>
          <w:sz w:val="22"/>
          <w:szCs w:val="22"/>
        </w:rPr>
        <w:t xml:space="preserve"> March</w:t>
      </w:r>
      <w:r w:rsidR="000A28B0" w:rsidRPr="006B5C78">
        <w:rPr>
          <w:rFonts w:cs="Arial"/>
          <w:sz w:val="22"/>
          <w:szCs w:val="22"/>
        </w:rPr>
        <w:t xml:space="preserve"> 2026).</w:t>
      </w:r>
    </w:p>
    <w:p w14:paraId="6ABD8B55" w14:textId="46F77384" w:rsidR="006B5C78" w:rsidRPr="006B5C78" w:rsidRDefault="006B5C78" w:rsidP="006B5C78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2"/>
          <w:szCs w:val="22"/>
        </w:rPr>
      </w:pPr>
      <w:proofErr w:type="spellStart"/>
      <w:r w:rsidRPr="006B5C78">
        <w:rPr>
          <w:rFonts w:cs="Arial"/>
          <w:sz w:val="22"/>
          <w:szCs w:val="22"/>
        </w:rPr>
        <w:t>Kunonga</w:t>
      </w:r>
      <w:proofErr w:type="spellEnd"/>
      <w:r w:rsidRPr="006B5C78">
        <w:rPr>
          <w:rFonts w:cs="Arial"/>
          <w:sz w:val="22"/>
          <w:szCs w:val="22"/>
        </w:rPr>
        <w:t xml:space="preserve">, T.P., Spiers, G., Beyer, F., </w:t>
      </w:r>
      <w:r w:rsidRPr="006B5C78">
        <w:rPr>
          <w:rFonts w:cs="Arial"/>
          <w:i/>
          <w:iCs/>
          <w:sz w:val="22"/>
          <w:szCs w:val="22"/>
        </w:rPr>
        <w:t>et al.</w:t>
      </w:r>
      <w:r w:rsidRPr="006B5C78">
        <w:rPr>
          <w:rFonts w:cs="Arial"/>
          <w:sz w:val="22"/>
          <w:szCs w:val="22"/>
        </w:rPr>
        <w:t xml:space="preserve"> (2021) ‘Effects of digital technologies on older people’s access to health and social care: umbrella review’, </w:t>
      </w:r>
      <w:r w:rsidRPr="006B5C78">
        <w:rPr>
          <w:rFonts w:cs="Arial"/>
          <w:i/>
          <w:iCs/>
          <w:sz w:val="22"/>
          <w:szCs w:val="22"/>
        </w:rPr>
        <w:t>Journal of Medical Internet Research</w:t>
      </w:r>
      <w:r w:rsidRPr="006B5C78">
        <w:rPr>
          <w:rFonts w:cs="Arial"/>
          <w:sz w:val="22"/>
          <w:szCs w:val="22"/>
        </w:rPr>
        <w:t xml:space="preserve">, 23(11), e25887. Available at: </w:t>
      </w:r>
      <w:hyperlink r:id="rId21" w:history="1">
        <w:r w:rsidRPr="006B5C78">
          <w:rPr>
            <w:rStyle w:val="Hyperlink"/>
            <w:rFonts w:cs="Arial"/>
            <w:sz w:val="22"/>
            <w:szCs w:val="22"/>
          </w:rPr>
          <w:t>https://www.jmir.org/2021/11/e25887/</w:t>
        </w:r>
      </w:hyperlink>
      <w:r w:rsidRPr="006B5C78">
        <w:rPr>
          <w:rFonts w:cs="Arial"/>
          <w:sz w:val="22"/>
          <w:szCs w:val="22"/>
        </w:rPr>
        <w:t xml:space="preserve"> </w:t>
      </w:r>
      <w:r w:rsidRPr="006B5C78">
        <w:rPr>
          <w:rFonts w:cs="Arial"/>
          <w:sz w:val="22"/>
          <w:szCs w:val="22"/>
        </w:rPr>
        <w:t xml:space="preserve">(Accessed: </w:t>
      </w:r>
      <w:r w:rsidR="00110C8E">
        <w:rPr>
          <w:rFonts w:cs="Arial"/>
          <w:sz w:val="22"/>
          <w:szCs w:val="22"/>
        </w:rPr>
        <w:t>3</w:t>
      </w:r>
      <w:r w:rsidRPr="006B5C78">
        <w:rPr>
          <w:rFonts w:cs="Arial"/>
          <w:sz w:val="22"/>
          <w:szCs w:val="22"/>
        </w:rPr>
        <w:t xml:space="preserve"> April 2026).</w:t>
      </w:r>
    </w:p>
    <w:p w14:paraId="0497241C" w14:textId="6453D2DD" w:rsidR="006B5C78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r w:rsidRPr="006B5C78">
        <w:rPr>
          <w:rFonts w:eastAsia="Times New Roman" w:cs="Arial"/>
          <w:sz w:val="22"/>
          <w:szCs w:val="22"/>
          <w:lang w:eastAsia="en-GB"/>
        </w:rPr>
        <w:t xml:space="preserve">Lim, J.Y.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et al.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 (2026) “Digital Self</w:t>
      </w:r>
      <w:r w:rsidRPr="006B5C78">
        <w:rPr>
          <w:rFonts w:ascii="Cambria Math" w:eastAsia="Times New Roman" w:hAnsi="Cambria Math" w:cs="Cambria Math"/>
          <w:sz w:val="22"/>
          <w:szCs w:val="22"/>
          <w:lang w:eastAsia="en-GB"/>
        </w:rPr>
        <w:t>‐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Assessment of Physical Performance to Promote Independence in Older Adults: Development, Usability, and Validity,”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Journal of the American Geriatrics Society (JAGS)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, 74(3), pp. 648–657. Available at: </w:t>
      </w:r>
      <w:hyperlink r:id="rId22" w:history="1">
        <w:r w:rsidRPr="006B5C78">
          <w:rPr>
            <w:rStyle w:val="Hyperlink"/>
            <w:rFonts w:eastAsia="Times New Roman" w:cs="Arial"/>
            <w:sz w:val="22"/>
            <w:szCs w:val="22"/>
            <w:lang w:eastAsia="en-GB"/>
          </w:rPr>
          <w:t>https://doi.org/10.1111/jgs.70263</w:t>
        </w:r>
      </w:hyperlink>
      <w:r w:rsidR="000A28B0">
        <w:rPr>
          <w:rFonts w:eastAsia="Times New Roman" w:cs="Arial"/>
          <w:sz w:val="22"/>
          <w:szCs w:val="22"/>
          <w:lang w:eastAsia="en-GB"/>
        </w:rPr>
        <w:t xml:space="preserve"> </w:t>
      </w:r>
      <w:r w:rsidR="000A28B0" w:rsidRPr="006B5C78">
        <w:rPr>
          <w:rFonts w:cs="Arial"/>
          <w:sz w:val="22"/>
          <w:szCs w:val="22"/>
        </w:rPr>
        <w:t xml:space="preserve">(Accessed: </w:t>
      </w:r>
      <w:r w:rsidR="00A02A4F">
        <w:rPr>
          <w:rFonts w:cs="Arial"/>
          <w:sz w:val="22"/>
          <w:szCs w:val="22"/>
        </w:rPr>
        <w:t>24</w:t>
      </w:r>
      <w:r w:rsidR="000A28B0">
        <w:rPr>
          <w:rFonts w:cs="Arial"/>
          <w:sz w:val="22"/>
          <w:szCs w:val="22"/>
        </w:rPr>
        <w:t xml:space="preserve"> March</w:t>
      </w:r>
      <w:r w:rsidR="000A28B0" w:rsidRPr="006B5C78">
        <w:rPr>
          <w:rFonts w:cs="Arial"/>
          <w:sz w:val="22"/>
          <w:szCs w:val="22"/>
        </w:rPr>
        <w:t xml:space="preserve"> 2026).</w:t>
      </w:r>
    </w:p>
    <w:p w14:paraId="3550ECB0" w14:textId="3F1FF05E" w:rsidR="006B5C78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r w:rsidRPr="006B5C78">
        <w:rPr>
          <w:rFonts w:eastAsia="Times New Roman" w:cs="Arial"/>
          <w:sz w:val="22"/>
          <w:szCs w:val="22"/>
          <w:lang w:eastAsia="en-GB"/>
        </w:rPr>
        <w:t xml:space="preserve">Masala, G.L. and Giorgi, I. (2025) “Artificial Intelligence and Assistive Robotics in Healthcare Services: Applications in Silver Care,”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 xml:space="preserve">International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 xml:space="preserve">Journal of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lastRenderedPageBreak/>
        <w:t>Environmental Research and Public Health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, 22(5), p. 781. Available at: </w:t>
      </w:r>
      <w:hyperlink r:id="rId23" w:history="1">
        <w:r w:rsidRPr="006B5C78">
          <w:rPr>
            <w:rStyle w:val="Hyperlink"/>
            <w:rFonts w:eastAsia="Times New Roman" w:cs="Arial"/>
            <w:sz w:val="22"/>
            <w:szCs w:val="22"/>
            <w:lang w:eastAsia="en-GB"/>
          </w:rPr>
          <w:t>https://doi.org/10.3390/ijerph22050781</w:t>
        </w:r>
      </w:hyperlink>
      <w:r w:rsidRPr="006B5C78">
        <w:rPr>
          <w:rFonts w:eastAsia="Times New Roman" w:cs="Arial"/>
          <w:sz w:val="22"/>
          <w:szCs w:val="22"/>
          <w:lang w:eastAsia="en-GB"/>
        </w:rPr>
        <w:t xml:space="preserve"> </w:t>
      </w:r>
      <w:r w:rsidR="00A02A4F" w:rsidRPr="006B5C78">
        <w:rPr>
          <w:rFonts w:cs="Arial"/>
          <w:sz w:val="22"/>
          <w:szCs w:val="22"/>
        </w:rPr>
        <w:t xml:space="preserve">(Accessed: </w:t>
      </w:r>
      <w:r w:rsidR="00A02A4F">
        <w:rPr>
          <w:rFonts w:cs="Arial"/>
          <w:sz w:val="22"/>
          <w:szCs w:val="22"/>
        </w:rPr>
        <w:t>30 March</w:t>
      </w:r>
      <w:r w:rsidR="00A02A4F" w:rsidRPr="006B5C78">
        <w:rPr>
          <w:rFonts w:cs="Arial"/>
          <w:sz w:val="22"/>
          <w:szCs w:val="22"/>
        </w:rPr>
        <w:t xml:space="preserve"> 2026).</w:t>
      </w:r>
    </w:p>
    <w:p w14:paraId="7C94DD59" w14:textId="77777777" w:rsidR="006B5C78" w:rsidRPr="006B5C78" w:rsidRDefault="006B5C78" w:rsidP="006B5C78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2"/>
          <w:szCs w:val="22"/>
        </w:rPr>
      </w:pPr>
      <w:r w:rsidRPr="006B5C78">
        <w:rPr>
          <w:rFonts w:cs="Arial"/>
          <w:sz w:val="22"/>
          <w:szCs w:val="22"/>
        </w:rPr>
        <w:t xml:space="preserve"> </w:t>
      </w:r>
      <w:r w:rsidRPr="006B5C78">
        <w:rPr>
          <w:rFonts w:cs="Arial"/>
          <w:sz w:val="22"/>
          <w:szCs w:val="22"/>
        </w:rPr>
        <w:t xml:space="preserve">Masoli, J.A.H., Delgado, J., Bowling, A., </w:t>
      </w:r>
      <w:r w:rsidRPr="006B5C78">
        <w:rPr>
          <w:rFonts w:cs="Arial"/>
          <w:i/>
          <w:iCs/>
          <w:sz w:val="22"/>
          <w:szCs w:val="22"/>
        </w:rPr>
        <w:t>et al</w:t>
      </w:r>
      <w:r w:rsidRPr="006B5C78">
        <w:rPr>
          <w:rFonts w:cs="Arial"/>
          <w:sz w:val="22"/>
          <w:szCs w:val="22"/>
        </w:rPr>
        <w:t xml:space="preserve">. (2023) ‘New horizons in the role of digital data in the healthcare of older people’, </w:t>
      </w:r>
      <w:r w:rsidRPr="006B5C78">
        <w:rPr>
          <w:rFonts w:cs="Arial"/>
          <w:i/>
          <w:iCs/>
          <w:sz w:val="22"/>
          <w:szCs w:val="22"/>
        </w:rPr>
        <w:t>Age and Ageing</w:t>
      </w:r>
      <w:r w:rsidRPr="006B5C78">
        <w:rPr>
          <w:rFonts w:cs="Arial"/>
          <w:sz w:val="22"/>
          <w:szCs w:val="22"/>
        </w:rPr>
        <w:t xml:space="preserve">, 52(8). Available at: </w:t>
      </w:r>
      <w:hyperlink r:id="rId24" w:history="1">
        <w:r w:rsidRPr="006B5C78">
          <w:rPr>
            <w:rStyle w:val="Hyperlink"/>
            <w:rFonts w:cs="Arial"/>
            <w:sz w:val="22"/>
            <w:szCs w:val="22"/>
          </w:rPr>
          <w:t>https://orca.cardiff.ac.uk/id/eprint/166826/1/New%20horizons%20in%20the%20role%20of%20digital%20data%20in%20the%20healthcare%20of%20older%20people.pdf</w:t>
        </w:r>
      </w:hyperlink>
      <w:r w:rsidRPr="006B5C78">
        <w:rPr>
          <w:rFonts w:cs="Arial"/>
          <w:sz w:val="22"/>
          <w:szCs w:val="22"/>
        </w:rPr>
        <w:t xml:space="preserve"> </w:t>
      </w:r>
      <w:r w:rsidRPr="006B5C78">
        <w:rPr>
          <w:rFonts w:cs="Arial"/>
          <w:sz w:val="22"/>
          <w:szCs w:val="22"/>
        </w:rPr>
        <w:t xml:space="preserve">(Accessed: </w:t>
      </w:r>
      <w:r w:rsidRPr="006B5C78">
        <w:rPr>
          <w:rFonts w:cs="Arial"/>
          <w:sz w:val="22"/>
          <w:szCs w:val="22"/>
        </w:rPr>
        <w:t>1</w:t>
      </w:r>
      <w:r w:rsidRPr="006B5C78">
        <w:rPr>
          <w:rFonts w:cs="Arial"/>
          <w:sz w:val="22"/>
          <w:szCs w:val="22"/>
        </w:rPr>
        <w:t xml:space="preserve"> April 2026)</w:t>
      </w:r>
      <w:r w:rsidRPr="006B5C78">
        <w:rPr>
          <w:rFonts w:cs="Arial"/>
          <w:sz w:val="22"/>
          <w:szCs w:val="22"/>
        </w:rPr>
        <w:t>.</w:t>
      </w:r>
    </w:p>
    <w:p w14:paraId="75FC8F1F" w14:textId="6637305E" w:rsidR="006B5C78" w:rsidRPr="006B5C78" w:rsidRDefault="006B5C78" w:rsidP="006B5C78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2"/>
          <w:szCs w:val="22"/>
        </w:rPr>
      </w:pPr>
      <w:r w:rsidRPr="006B5C78">
        <w:rPr>
          <w:rFonts w:cs="Arial"/>
          <w:sz w:val="22"/>
          <w:szCs w:val="22"/>
        </w:rPr>
        <w:t xml:space="preserve"> </w:t>
      </w:r>
      <w:r w:rsidRPr="006B5C78">
        <w:rPr>
          <w:rFonts w:cs="Arial"/>
          <w:sz w:val="22"/>
          <w:szCs w:val="22"/>
        </w:rPr>
        <w:t xml:space="preserve">Matthews, K., </w:t>
      </w:r>
      <w:proofErr w:type="spellStart"/>
      <w:r w:rsidRPr="006B5C78">
        <w:rPr>
          <w:rFonts w:cs="Arial"/>
          <w:sz w:val="22"/>
          <w:szCs w:val="22"/>
        </w:rPr>
        <w:t>Nazroo</w:t>
      </w:r>
      <w:proofErr w:type="spellEnd"/>
      <w:r w:rsidRPr="006B5C78">
        <w:rPr>
          <w:rFonts w:cs="Arial"/>
          <w:sz w:val="22"/>
          <w:szCs w:val="22"/>
        </w:rPr>
        <w:t>, J. and Marshall, A. (2019) ‘Digital inclusion in later life: cohort changes in internet use over a ten-year period in England’</w:t>
      </w:r>
      <w:r w:rsidRPr="006B5C78">
        <w:rPr>
          <w:rFonts w:cs="Arial"/>
          <w:i/>
          <w:iCs/>
          <w:sz w:val="22"/>
          <w:szCs w:val="22"/>
        </w:rPr>
        <w:t>, Ageing &amp; Society</w:t>
      </w:r>
      <w:r w:rsidRPr="006B5C78">
        <w:rPr>
          <w:rFonts w:cs="Arial"/>
          <w:sz w:val="22"/>
          <w:szCs w:val="22"/>
        </w:rPr>
        <w:t xml:space="preserve">, 39(9), pp. 1914–1932. Available at: </w:t>
      </w:r>
      <w:hyperlink r:id="rId25" w:history="1">
        <w:r w:rsidRPr="006B5C78">
          <w:rPr>
            <w:rStyle w:val="Hyperlink"/>
            <w:rFonts w:cs="Arial"/>
            <w:sz w:val="22"/>
            <w:szCs w:val="22"/>
          </w:rPr>
          <w:t>https://www.cambridge.org/core/journals/ageing-and-society/article/digital-inclusion-in-later-life-cohort-changes-in-internet-use-over-a-tenyear-period-in-england/777293953F7631DA9CE4AC5D943DDF69</w:t>
        </w:r>
      </w:hyperlink>
      <w:r w:rsidRPr="006B5C78">
        <w:rPr>
          <w:rFonts w:cs="Arial"/>
          <w:sz w:val="22"/>
          <w:szCs w:val="22"/>
        </w:rPr>
        <w:t xml:space="preserve"> </w:t>
      </w:r>
      <w:r w:rsidRPr="006B5C78">
        <w:rPr>
          <w:rFonts w:cs="Arial"/>
          <w:sz w:val="22"/>
          <w:szCs w:val="22"/>
        </w:rPr>
        <w:t xml:space="preserve"> (Accessed: </w:t>
      </w:r>
      <w:r w:rsidR="00110C8E">
        <w:rPr>
          <w:rFonts w:cs="Arial"/>
          <w:sz w:val="22"/>
          <w:szCs w:val="22"/>
        </w:rPr>
        <w:t>3</w:t>
      </w:r>
      <w:r w:rsidRPr="006B5C78">
        <w:rPr>
          <w:rFonts w:cs="Arial"/>
          <w:sz w:val="22"/>
          <w:szCs w:val="22"/>
        </w:rPr>
        <w:t xml:space="preserve"> April 2026).  </w:t>
      </w:r>
    </w:p>
    <w:p w14:paraId="750B98C3" w14:textId="18F98054" w:rsidR="006B5C78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proofErr w:type="spellStart"/>
      <w:r w:rsidRPr="006B5C78">
        <w:rPr>
          <w:rFonts w:eastAsia="Times New Roman" w:cs="Arial"/>
          <w:sz w:val="22"/>
          <w:szCs w:val="22"/>
          <w:lang w:eastAsia="en-GB"/>
        </w:rPr>
        <w:t>Nimmanterdwong</w:t>
      </w:r>
      <w:proofErr w:type="spellEnd"/>
      <w:r w:rsidRPr="006B5C78">
        <w:rPr>
          <w:rFonts w:eastAsia="Times New Roman" w:cs="Arial"/>
          <w:sz w:val="22"/>
          <w:szCs w:val="22"/>
          <w:lang w:eastAsia="en-GB"/>
        </w:rPr>
        <w:t xml:space="preserve">, Z., </w:t>
      </w:r>
      <w:proofErr w:type="spellStart"/>
      <w:r w:rsidRPr="006B5C78">
        <w:rPr>
          <w:rFonts w:eastAsia="Times New Roman" w:cs="Arial"/>
          <w:sz w:val="22"/>
          <w:szCs w:val="22"/>
          <w:lang w:eastAsia="en-GB"/>
        </w:rPr>
        <w:t>Boonviriya</w:t>
      </w:r>
      <w:proofErr w:type="spellEnd"/>
      <w:r w:rsidRPr="006B5C78">
        <w:rPr>
          <w:rFonts w:eastAsia="Times New Roman" w:cs="Arial"/>
          <w:sz w:val="22"/>
          <w:szCs w:val="22"/>
          <w:lang w:eastAsia="en-GB"/>
        </w:rPr>
        <w:t xml:space="preserve">, S. and </w:t>
      </w:r>
      <w:proofErr w:type="spellStart"/>
      <w:r w:rsidRPr="006B5C78">
        <w:rPr>
          <w:rFonts w:eastAsia="Times New Roman" w:cs="Arial"/>
          <w:sz w:val="22"/>
          <w:szCs w:val="22"/>
          <w:lang w:eastAsia="en-GB"/>
        </w:rPr>
        <w:t>Tangkijvanich</w:t>
      </w:r>
      <w:proofErr w:type="spellEnd"/>
      <w:r w:rsidRPr="006B5C78">
        <w:rPr>
          <w:rFonts w:eastAsia="Times New Roman" w:cs="Arial"/>
          <w:sz w:val="22"/>
          <w:szCs w:val="22"/>
          <w:lang w:eastAsia="en-GB"/>
        </w:rPr>
        <w:t>, P. (2022) “</w:t>
      </w:r>
      <w:r w:rsidRPr="006B5C78">
        <w:rPr>
          <w:rFonts w:eastAsia="Times New Roman" w:cs="Arial"/>
          <w:sz w:val="22"/>
          <w:szCs w:val="22"/>
          <w:lang w:eastAsia="en-GB"/>
        </w:rPr>
        <w:t>Human-Centred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 Design of Mobile Health Apps for Older Adults: Systematic Review and Narrative Synthesis,”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 xml:space="preserve">JMIR mHealth and </w:t>
      </w:r>
      <w:proofErr w:type="spellStart"/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uHealth</w:t>
      </w:r>
      <w:proofErr w:type="spellEnd"/>
      <w:r w:rsidRPr="006B5C78">
        <w:rPr>
          <w:rFonts w:eastAsia="Times New Roman" w:cs="Arial"/>
          <w:sz w:val="22"/>
          <w:szCs w:val="22"/>
          <w:lang w:eastAsia="en-GB"/>
        </w:rPr>
        <w:t xml:space="preserve">, 10(1), p. e29512. Available at: </w:t>
      </w:r>
      <w:hyperlink r:id="rId26" w:history="1">
        <w:r w:rsidRPr="006B5C78">
          <w:rPr>
            <w:rStyle w:val="Hyperlink"/>
            <w:rFonts w:eastAsia="Times New Roman" w:cs="Arial"/>
            <w:sz w:val="22"/>
            <w:szCs w:val="22"/>
            <w:lang w:eastAsia="en-GB"/>
          </w:rPr>
          <w:t>https://doi.org/10.2196/29512</w:t>
        </w:r>
      </w:hyperlink>
      <w:r w:rsidR="00A02A4F">
        <w:rPr>
          <w:rFonts w:eastAsia="Times New Roman" w:cs="Arial"/>
          <w:sz w:val="22"/>
          <w:szCs w:val="22"/>
          <w:lang w:eastAsia="en-GB"/>
        </w:rPr>
        <w:t xml:space="preserve"> </w:t>
      </w:r>
      <w:r w:rsidR="00A02A4F" w:rsidRPr="006B5C78">
        <w:rPr>
          <w:rFonts w:cs="Arial"/>
          <w:sz w:val="22"/>
          <w:szCs w:val="22"/>
        </w:rPr>
        <w:t xml:space="preserve">(Accessed: </w:t>
      </w:r>
      <w:r w:rsidR="00A02A4F">
        <w:rPr>
          <w:rFonts w:cs="Arial"/>
          <w:sz w:val="22"/>
          <w:szCs w:val="22"/>
        </w:rPr>
        <w:t>30 March</w:t>
      </w:r>
      <w:r w:rsidR="00A02A4F" w:rsidRPr="006B5C78">
        <w:rPr>
          <w:rFonts w:cs="Arial"/>
          <w:sz w:val="22"/>
          <w:szCs w:val="22"/>
        </w:rPr>
        <w:t xml:space="preserve"> 2026).</w:t>
      </w:r>
    </w:p>
    <w:p w14:paraId="58F05E75" w14:textId="19C171B5" w:rsidR="006B5C78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r w:rsidRPr="006B5C78">
        <w:rPr>
          <w:rFonts w:eastAsia="Times New Roman" w:cs="Arial"/>
          <w:sz w:val="22"/>
          <w:szCs w:val="22"/>
          <w:lang w:eastAsia="en-GB"/>
        </w:rPr>
        <w:t xml:space="preserve">Rana, S.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et al.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 (2025) “A Pilot Program of Virtual Healthcare Delivery to Older Veterans,”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Innovation in aging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, 9(Supplement_2). Available at: </w:t>
      </w:r>
      <w:hyperlink r:id="rId27" w:history="1">
        <w:r w:rsidRPr="006B5C78">
          <w:rPr>
            <w:rStyle w:val="Hyperlink"/>
            <w:rFonts w:eastAsia="Times New Roman" w:cs="Arial"/>
            <w:sz w:val="22"/>
            <w:szCs w:val="22"/>
            <w:lang w:eastAsia="en-GB"/>
          </w:rPr>
          <w:t>https://doi.org/10.1093/geroni/igaf122.3147</w:t>
        </w:r>
      </w:hyperlink>
      <w:r w:rsidR="00A02A4F">
        <w:rPr>
          <w:rFonts w:eastAsia="Times New Roman" w:cs="Arial"/>
          <w:sz w:val="22"/>
          <w:szCs w:val="22"/>
          <w:lang w:eastAsia="en-GB"/>
        </w:rPr>
        <w:t xml:space="preserve"> </w:t>
      </w:r>
      <w:r w:rsidR="00A02A4F" w:rsidRPr="006B5C78">
        <w:rPr>
          <w:rFonts w:cs="Arial"/>
          <w:sz w:val="22"/>
          <w:szCs w:val="22"/>
        </w:rPr>
        <w:t xml:space="preserve">(Accessed: </w:t>
      </w:r>
      <w:r w:rsidR="00A02A4F">
        <w:rPr>
          <w:rFonts w:cs="Arial"/>
          <w:sz w:val="22"/>
          <w:szCs w:val="22"/>
        </w:rPr>
        <w:t>22</w:t>
      </w:r>
      <w:r w:rsidR="00A02A4F">
        <w:rPr>
          <w:rFonts w:cs="Arial"/>
          <w:sz w:val="22"/>
          <w:szCs w:val="22"/>
        </w:rPr>
        <w:t xml:space="preserve"> March</w:t>
      </w:r>
      <w:r w:rsidR="00A02A4F" w:rsidRPr="006B5C78">
        <w:rPr>
          <w:rFonts w:cs="Arial"/>
          <w:sz w:val="22"/>
          <w:szCs w:val="22"/>
        </w:rPr>
        <w:t xml:space="preserve"> 2026).</w:t>
      </w:r>
    </w:p>
    <w:p w14:paraId="1864A4D2" w14:textId="37E917F1" w:rsidR="006B5C78" w:rsidRPr="006B5C78" w:rsidRDefault="006B5C78" w:rsidP="006B5C78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2"/>
          <w:szCs w:val="22"/>
        </w:rPr>
      </w:pPr>
      <w:r w:rsidRPr="006B5C78">
        <w:rPr>
          <w:rFonts w:cs="Arial"/>
          <w:sz w:val="22"/>
          <w:szCs w:val="22"/>
        </w:rPr>
        <w:t xml:space="preserve"> </w:t>
      </w:r>
      <w:r w:rsidRPr="006B5C78">
        <w:rPr>
          <w:rFonts w:cs="Arial"/>
          <w:sz w:val="22"/>
          <w:szCs w:val="22"/>
        </w:rPr>
        <w:t xml:space="preserve">Reidy, C., Morrison, C., Sanders, C., et al. (2025) ‘Qualitative evaluation of the implementation and national roll-out of the NHS App in England’, </w:t>
      </w:r>
      <w:r w:rsidRPr="006B5C78">
        <w:rPr>
          <w:rFonts w:cs="Arial"/>
          <w:i/>
          <w:iCs/>
          <w:sz w:val="22"/>
          <w:szCs w:val="22"/>
        </w:rPr>
        <w:t>BMJ Open</w:t>
      </w:r>
      <w:r w:rsidRPr="006B5C78">
        <w:rPr>
          <w:rFonts w:cs="Arial"/>
          <w:sz w:val="22"/>
          <w:szCs w:val="22"/>
        </w:rPr>
        <w:t xml:space="preserve">. Available at: </w:t>
      </w:r>
      <w:hyperlink r:id="rId28" w:history="1">
        <w:r w:rsidRPr="006B5C78">
          <w:rPr>
            <w:rStyle w:val="Hyperlink"/>
            <w:rFonts w:cs="Arial"/>
            <w:sz w:val="22"/>
            <w:szCs w:val="22"/>
          </w:rPr>
          <w:t>https://pmc.ncbi.nlm.nih.gov/articles/PMC11752663/</w:t>
        </w:r>
      </w:hyperlink>
      <w:r w:rsidRPr="006B5C78">
        <w:rPr>
          <w:rFonts w:cs="Arial"/>
          <w:sz w:val="22"/>
          <w:szCs w:val="22"/>
        </w:rPr>
        <w:t xml:space="preserve"> </w:t>
      </w:r>
      <w:r w:rsidRPr="006B5C78">
        <w:rPr>
          <w:rFonts w:cs="Arial"/>
          <w:sz w:val="22"/>
          <w:szCs w:val="22"/>
        </w:rPr>
        <w:t xml:space="preserve">(Accessed: </w:t>
      </w:r>
      <w:r w:rsidR="00110C8E">
        <w:rPr>
          <w:rFonts w:cs="Arial"/>
          <w:sz w:val="22"/>
          <w:szCs w:val="22"/>
        </w:rPr>
        <w:t xml:space="preserve">1 </w:t>
      </w:r>
      <w:r w:rsidRPr="006B5C78">
        <w:rPr>
          <w:rFonts w:cs="Arial"/>
          <w:sz w:val="22"/>
          <w:szCs w:val="22"/>
        </w:rPr>
        <w:t>April 2026).</w:t>
      </w:r>
    </w:p>
    <w:p w14:paraId="6813B87F" w14:textId="31FB4507" w:rsidR="006B5C78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r w:rsidRPr="006B5C78">
        <w:rPr>
          <w:rFonts w:eastAsia="Times New Roman" w:cs="Arial"/>
          <w:sz w:val="22"/>
          <w:szCs w:val="22"/>
          <w:lang w:eastAsia="en-GB"/>
        </w:rPr>
        <w:t xml:space="preserve">Scalvini, S.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et al.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 (2026) “Is there a possibility of changing lifestyle and physical activity in patients with chronic heart failure and type II diabetes? A telemedicine home-based experience,”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 xml:space="preserve">European 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Heart Journal</w:t>
      </w:r>
      <w:r w:rsidRPr="006B5C78">
        <w:rPr>
          <w:rFonts w:eastAsia="Times New Roman" w:cs="Arial"/>
          <w:i/>
          <w:iCs/>
          <w:sz w:val="22"/>
          <w:szCs w:val="22"/>
          <w:lang w:eastAsia="en-GB"/>
        </w:rPr>
        <w:t>. Digital health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, 7(Supplement_1). Available at: </w:t>
      </w:r>
      <w:hyperlink r:id="rId29" w:history="1">
        <w:r w:rsidRPr="006B5C78">
          <w:rPr>
            <w:rStyle w:val="Hyperlink"/>
            <w:rFonts w:eastAsia="Times New Roman" w:cs="Arial"/>
            <w:sz w:val="22"/>
            <w:szCs w:val="22"/>
            <w:lang w:eastAsia="en-GB"/>
          </w:rPr>
          <w:t>https://doi.org/10.1093/ehjdh/ztaf143.077</w:t>
        </w:r>
      </w:hyperlink>
      <w:r w:rsidRPr="006B5C78">
        <w:rPr>
          <w:rFonts w:eastAsia="Times New Roman" w:cs="Arial"/>
          <w:sz w:val="22"/>
          <w:szCs w:val="22"/>
          <w:lang w:eastAsia="en-GB"/>
        </w:rPr>
        <w:t>.</w:t>
      </w:r>
      <w:r w:rsidRPr="006B5C78">
        <w:rPr>
          <w:rFonts w:eastAsia="Times New Roman" w:cs="Arial"/>
          <w:sz w:val="22"/>
          <w:szCs w:val="22"/>
          <w:lang w:eastAsia="en-GB"/>
        </w:rPr>
        <w:t xml:space="preserve"> </w:t>
      </w:r>
      <w:r w:rsidR="00A02A4F" w:rsidRPr="006B5C78">
        <w:rPr>
          <w:rFonts w:cs="Arial"/>
          <w:sz w:val="22"/>
          <w:szCs w:val="22"/>
        </w:rPr>
        <w:t xml:space="preserve">(Accessed: </w:t>
      </w:r>
      <w:r w:rsidR="00A02A4F">
        <w:rPr>
          <w:rFonts w:cs="Arial"/>
          <w:sz w:val="22"/>
          <w:szCs w:val="22"/>
        </w:rPr>
        <w:t>19</w:t>
      </w:r>
      <w:r w:rsidR="00A02A4F">
        <w:rPr>
          <w:rFonts w:cs="Arial"/>
          <w:sz w:val="22"/>
          <w:szCs w:val="22"/>
        </w:rPr>
        <w:t xml:space="preserve"> March</w:t>
      </w:r>
      <w:r w:rsidR="00A02A4F" w:rsidRPr="006B5C78">
        <w:rPr>
          <w:rFonts w:cs="Arial"/>
          <w:sz w:val="22"/>
          <w:szCs w:val="22"/>
        </w:rPr>
        <w:t xml:space="preserve"> 2026).</w:t>
      </w:r>
    </w:p>
    <w:p w14:paraId="4067B696" w14:textId="676E5F2A" w:rsidR="00E965A0" w:rsidRPr="006B5C78" w:rsidRDefault="006B5C78" w:rsidP="006B5C78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eastAsia="Times New Roman" w:cs="Arial"/>
          <w:sz w:val="22"/>
          <w:szCs w:val="22"/>
          <w:lang w:eastAsia="en-GB"/>
        </w:rPr>
      </w:pPr>
      <w:proofErr w:type="spellStart"/>
      <w:r w:rsidRPr="006B5C78">
        <w:rPr>
          <w:rFonts w:cs="Arial"/>
          <w:sz w:val="22"/>
          <w:szCs w:val="22"/>
        </w:rPr>
        <w:t>Vidiasratri</w:t>
      </w:r>
      <w:proofErr w:type="spellEnd"/>
      <w:r w:rsidRPr="006B5C78">
        <w:rPr>
          <w:rFonts w:cs="Arial"/>
          <w:sz w:val="22"/>
          <w:szCs w:val="22"/>
        </w:rPr>
        <w:t xml:space="preserve">, A.R., Popa, D., Shaw, R.J. and Cadar, D. (2022) ‘The role of digital engagement in the self-rated health of older people in England: Evidence from the English Longitudinal Study of Ageing (ELSA)’, </w:t>
      </w:r>
      <w:r w:rsidRPr="006B5C78">
        <w:rPr>
          <w:rFonts w:cs="Arial"/>
          <w:i/>
          <w:iCs/>
          <w:sz w:val="22"/>
          <w:szCs w:val="22"/>
        </w:rPr>
        <w:t>Journal of Medical Internet Research</w:t>
      </w:r>
      <w:r w:rsidRPr="006B5C78">
        <w:rPr>
          <w:rFonts w:cs="Arial"/>
          <w:sz w:val="22"/>
          <w:szCs w:val="22"/>
        </w:rPr>
        <w:t xml:space="preserve">, 24, e39304. Available at: </w:t>
      </w:r>
      <w:hyperlink r:id="rId30" w:history="1">
        <w:r w:rsidRPr="006B5C78">
          <w:rPr>
            <w:rStyle w:val="Hyperlink"/>
            <w:rFonts w:cs="Arial"/>
            <w:sz w:val="22"/>
            <w:szCs w:val="22"/>
          </w:rPr>
          <w:t>https://pmc.ncbi.nlm.nih.gov/articles/PMC9738189/</w:t>
        </w:r>
      </w:hyperlink>
      <w:r w:rsidRPr="006B5C78">
        <w:rPr>
          <w:rFonts w:cs="Arial"/>
          <w:sz w:val="22"/>
          <w:szCs w:val="22"/>
        </w:rPr>
        <w:t xml:space="preserve"> </w:t>
      </w:r>
      <w:r w:rsidRPr="006B5C78">
        <w:rPr>
          <w:rFonts w:cs="Arial"/>
          <w:sz w:val="22"/>
          <w:szCs w:val="22"/>
        </w:rPr>
        <w:t>(Accessed: 9 April 2026).</w:t>
      </w:r>
    </w:p>
    <w:p w14:paraId="709E59F1" w14:textId="77777777" w:rsidR="00565661" w:rsidRPr="00565661" w:rsidRDefault="00565661" w:rsidP="00565661">
      <w:pPr>
        <w:spacing w:before="0" w:after="220" w:line="240" w:lineRule="auto"/>
        <w:rPr>
          <w:rFonts w:eastAsia="Century Schoolbook" w:cs="Arial"/>
          <w:sz w:val="22"/>
          <w:szCs w:val="22"/>
        </w:rPr>
      </w:pPr>
    </w:p>
    <w:p w14:paraId="289A13F0" w14:textId="77777777" w:rsidR="00565661" w:rsidRPr="00565661" w:rsidRDefault="00565661" w:rsidP="00565661"/>
    <w:sectPr w:rsidR="00565661" w:rsidRPr="005656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82335"/>
    <w:multiLevelType w:val="hybridMultilevel"/>
    <w:tmpl w:val="4DFC2B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056CF8"/>
    <w:multiLevelType w:val="hybridMultilevel"/>
    <w:tmpl w:val="4558B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399887">
    <w:abstractNumId w:val="1"/>
  </w:num>
  <w:num w:numId="2" w16cid:durableId="1785342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661"/>
    <w:rsid w:val="00000491"/>
    <w:rsid w:val="00005D6C"/>
    <w:rsid w:val="000064B4"/>
    <w:rsid w:val="00046A66"/>
    <w:rsid w:val="00056FCF"/>
    <w:rsid w:val="00066B38"/>
    <w:rsid w:val="00082484"/>
    <w:rsid w:val="000A28B0"/>
    <w:rsid w:val="000B51E1"/>
    <w:rsid w:val="000C4C25"/>
    <w:rsid w:val="000D0E32"/>
    <w:rsid w:val="000D3E90"/>
    <w:rsid w:val="000E47E9"/>
    <w:rsid w:val="000F2819"/>
    <w:rsid w:val="000F28BD"/>
    <w:rsid w:val="00110C8E"/>
    <w:rsid w:val="00113941"/>
    <w:rsid w:val="00124098"/>
    <w:rsid w:val="0012597B"/>
    <w:rsid w:val="0012626D"/>
    <w:rsid w:val="001326E0"/>
    <w:rsid w:val="00136F0D"/>
    <w:rsid w:val="00155903"/>
    <w:rsid w:val="00155C7E"/>
    <w:rsid w:val="00157662"/>
    <w:rsid w:val="00167D9F"/>
    <w:rsid w:val="00190FFC"/>
    <w:rsid w:val="001A7530"/>
    <w:rsid w:val="001C4FDA"/>
    <w:rsid w:val="001D7883"/>
    <w:rsid w:val="001F07E7"/>
    <w:rsid w:val="002006E9"/>
    <w:rsid w:val="00201088"/>
    <w:rsid w:val="002128D7"/>
    <w:rsid w:val="00231047"/>
    <w:rsid w:val="00251691"/>
    <w:rsid w:val="0026048F"/>
    <w:rsid w:val="00273BDC"/>
    <w:rsid w:val="002744F6"/>
    <w:rsid w:val="0029120D"/>
    <w:rsid w:val="00295021"/>
    <w:rsid w:val="002955EC"/>
    <w:rsid w:val="002A266C"/>
    <w:rsid w:val="002B788B"/>
    <w:rsid w:val="002C16B5"/>
    <w:rsid w:val="002D0763"/>
    <w:rsid w:val="002D2C4F"/>
    <w:rsid w:val="002D412E"/>
    <w:rsid w:val="002D6B5F"/>
    <w:rsid w:val="002F12DA"/>
    <w:rsid w:val="002F7C5B"/>
    <w:rsid w:val="002F7C79"/>
    <w:rsid w:val="003121E7"/>
    <w:rsid w:val="00323670"/>
    <w:rsid w:val="00333966"/>
    <w:rsid w:val="00346F9E"/>
    <w:rsid w:val="00363EBB"/>
    <w:rsid w:val="00365C1A"/>
    <w:rsid w:val="003828EC"/>
    <w:rsid w:val="00393BC5"/>
    <w:rsid w:val="00396494"/>
    <w:rsid w:val="00397070"/>
    <w:rsid w:val="003A0E66"/>
    <w:rsid w:val="003A2649"/>
    <w:rsid w:val="003A4E11"/>
    <w:rsid w:val="003B33D6"/>
    <w:rsid w:val="003B5B4D"/>
    <w:rsid w:val="003B6137"/>
    <w:rsid w:val="003B6EE6"/>
    <w:rsid w:val="003D052E"/>
    <w:rsid w:val="00401645"/>
    <w:rsid w:val="0041012F"/>
    <w:rsid w:val="0042127E"/>
    <w:rsid w:val="004217C4"/>
    <w:rsid w:val="004273CD"/>
    <w:rsid w:val="004278E9"/>
    <w:rsid w:val="00452D2C"/>
    <w:rsid w:val="004553D5"/>
    <w:rsid w:val="00482845"/>
    <w:rsid w:val="004845E3"/>
    <w:rsid w:val="00491869"/>
    <w:rsid w:val="00492DE6"/>
    <w:rsid w:val="004A165E"/>
    <w:rsid w:val="004B283A"/>
    <w:rsid w:val="004B6447"/>
    <w:rsid w:val="004D2F3E"/>
    <w:rsid w:val="004F2C96"/>
    <w:rsid w:val="004F7845"/>
    <w:rsid w:val="00500679"/>
    <w:rsid w:val="005026CB"/>
    <w:rsid w:val="005046B1"/>
    <w:rsid w:val="0051465A"/>
    <w:rsid w:val="00515138"/>
    <w:rsid w:val="00517B37"/>
    <w:rsid w:val="00526553"/>
    <w:rsid w:val="0053623B"/>
    <w:rsid w:val="00565661"/>
    <w:rsid w:val="00565F08"/>
    <w:rsid w:val="00570242"/>
    <w:rsid w:val="00571622"/>
    <w:rsid w:val="00584E65"/>
    <w:rsid w:val="0058567A"/>
    <w:rsid w:val="005956B4"/>
    <w:rsid w:val="005B7520"/>
    <w:rsid w:val="005C082E"/>
    <w:rsid w:val="005C502B"/>
    <w:rsid w:val="005C72C3"/>
    <w:rsid w:val="005F075D"/>
    <w:rsid w:val="00610827"/>
    <w:rsid w:val="006152AB"/>
    <w:rsid w:val="006255FC"/>
    <w:rsid w:val="00630707"/>
    <w:rsid w:val="00643664"/>
    <w:rsid w:val="00645944"/>
    <w:rsid w:val="00646ECA"/>
    <w:rsid w:val="00660DAA"/>
    <w:rsid w:val="0067301E"/>
    <w:rsid w:val="006774D3"/>
    <w:rsid w:val="00682955"/>
    <w:rsid w:val="00684D05"/>
    <w:rsid w:val="006A0E98"/>
    <w:rsid w:val="006B4847"/>
    <w:rsid w:val="006B525A"/>
    <w:rsid w:val="006B5C78"/>
    <w:rsid w:val="006D282C"/>
    <w:rsid w:val="006D5F50"/>
    <w:rsid w:val="006D78C1"/>
    <w:rsid w:val="00715EFF"/>
    <w:rsid w:val="0071609C"/>
    <w:rsid w:val="0072600C"/>
    <w:rsid w:val="00733456"/>
    <w:rsid w:val="00735B9D"/>
    <w:rsid w:val="007369DE"/>
    <w:rsid w:val="00737E6D"/>
    <w:rsid w:val="00745B68"/>
    <w:rsid w:val="00746A10"/>
    <w:rsid w:val="00774333"/>
    <w:rsid w:val="00776ECC"/>
    <w:rsid w:val="007B768B"/>
    <w:rsid w:val="007C0F3F"/>
    <w:rsid w:val="007F35BC"/>
    <w:rsid w:val="00820A7F"/>
    <w:rsid w:val="00824D5A"/>
    <w:rsid w:val="00825F2D"/>
    <w:rsid w:val="008312B9"/>
    <w:rsid w:val="008473A7"/>
    <w:rsid w:val="00892B42"/>
    <w:rsid w:val="008B1E6D"/>
    <w:rsid w:val="008B2F88"/>
    <w:rsid w:val="008C05A0"/>
    <w:rsid w:val="008D2B2F"/>
    <w:rsid w:val="008E15C2"/>
    <w:rsid w:val="008F2E85"/>
    <w:rsid w:val="008F5979"/>
    <w:rsid w:val="0090082F"/>
    <w:rsid w:val="00903AD7"/>
    <w:rsid w:val="009114FC"/>
    <w:rsid w:val="009243E2"/>
    <w:rsid w:val="00934A2E"/>
    <w:rsid w:val="00956761"/>
    <w:rsid w:val="009567A6"/>
    <w:rsid w:val="009829ED"/>
    <w:rsid w:val="00983447"/>
    <w:rsid w:val="0098616A"/>
    <w:rsid w:val="00993686"/>
    <w:rsid w:val="00994AA4"/>
    <w:rsid w:val="009C33BD"/>
    <w:rsid w:val="009D4BA7"/>
    <w:rsid w:val="009D5552"/>
    <w:rsid w:val="009E0F07"/>
    <w:rsid w:val="009E28B0"/>
    <w:rsid w:val="009E347E"/>
    <w:rsid w:val="00A00E71"/>
    <w:rsid w:val="00A019B0"/>
    <w:rsid w:val="00A02A4F"/>
    <w:rsid w:val="00A04502"/>
    <w:rsid w:val="00A0469C"/>
    <w:rsid w:val="00A06E19"/>
    <w:rsid w:val="00A11559"/>
    <w:rsid w:val="00A13354"/>
    <w:rsid w:val="00A14864"/>
    <w:rsid w:val="00A273FA"/>
    <w:rsid w:val="00A33F5D"/>
    <w:rsid w:val="00A40A56"/>
    <w:rsid w:val="00A45696"/>
    <w:rsid w:val="00A54AC3"/>
    <w:rsid w:val="00A55243"/>
    <w:rsid w:val="00A55CE4"/>
    <w:rsid w:val="00A5765D"/>
    <w:rsid w:val="00A85BE8"/>
    <w:rsid w:val="00AB2F6E"/>
    <w:rsid w:val="00AC18A3"/>
    <w:rsid w:val="00AD05F0"/>
    <w:rsid w:val="00AD3BA8"/>
    <w:rsid w:val="00AE175E"/>
    <w:rsid w:val="00AF1737"/>
    <w:rsid w:val="00AF615C"/>
    <w:rsid w:val="00AF7594"/>
    <w:rsid w:val="00B17802"/>
    <w:rsid w:val="00B3187E"/>
    <w:rsid w:val="00B523DC"/>
    <w:rsid w:val="00B559CD"/>
    <w:rsid w:val="00B628DF"/>
    <w:rsid w:val="00B65269"/>
    <w:rsid w:val="00B660CB"/>
    <w:rsid w:val="00B66ACF"/>
    <w:rsid w:val="00B77AC4"/>
    <w:rsid w:val="00BB03E7"/>
    <w:rsid w:val="00BC0831"/>
    <w:rsid w:val="00BC4573"/>
    <w:rsid w:val="00BE3A83"/>
    <w:rsid w:val="00BE60C4"/>
    <w:rsid w:val="00BF3DAB"/>
    <w:rsid w:val="00C00F40"/>
    <w:rsid w:val="00C13057"/>
    <w:rsid w:val="00C21DD4"/>
    <w:rsid w:val="00C40440"/>
    <w:rsid w:val="00C443DB"/>
    <w:rsid w:val="00C5178A"/>
    <w:rsid w:val="00C52CAB"/>
    <w:rsid w:val="00C53301"/>
    <w:rsid w:val="00C55DAF"/>
    <w:rsid w:val="00C76172"/>
    <w:rsid w:val="00C91705"/>
    <w:rsid w:val="00C95A50"/>
    <w:rsid w:val="00CA2DB5"/>
    <w:rsid w:val="00CC173A"/>
    <w:rsid w:val="00CC22E9"/>
    <w:rsid w:val="00CD0ECA"/>
    <w:rsid w:val="00CD4B3B"/>
    <w:rsid w:val="00D0799F"/>
    <w:rsid w:val="00D1618E"/>
    <w:rsid w:val="00D22E40"/>
    <w:rsid w:val="00D34010"/>
    <w:rsid w:val="00D54303"/>
    <w:rsid w:val="00D56699"/>
    <w:rsid w:val="00D61D24"/>
    <w:rsid w:val="00D6635B"/>
    <w:rsid w:val="00D70395"/>
    <w:rsid w:val="00D73D0F"/>
    <w:rsid w:val="00D84425"/>
    <w:rsid w:val="00D94C63"/>
    <w:rsid w:val="00DA0D66"/>
    <w:rsid w:val="00DE370D"/>
    <w:rsid w:val="00DE5CB8"/>
    <w:rsid w:val="00DE6265"/>
    <w:rsid w:val="00DF0821"/>
    <w:rsid w:val="00E072A5"/>
    <w:rsid w:val="00E232D8"/>
    <w:rsid w:val="00E53EC6"/>
    <w:rsid w:val="00E833B2"/>
    <w:rsid w:val="00E955E5"/>
    <w:rsid w:val="00E965A0"/>
    <w:rsid w:val="00EA6516"/>
    <w:rsid w:val="00EB3DA8"/>
    <w:rsid w:val="00EC0FAC"/>
    <w:rsid w:val="00EF0E62"/>
    <w:rsid w:val="00F3040F"/>
    <w:rsid w:val="00F4753A"/>
    <w:rsid w:val="00F557EE"/>
    <w:rsid w:val="00F74126"/>
    <w:rsid w:val="00F7617A"/>
    <w:rsid w:val="00F830A4"/>
    <w:rsid w:val="00F86B90"/>
    <w:rsid w:val="00F91972"/>
    <w:rsid w:val="00F93358"/>
    <w:rsid w:val="00FA2CA5"/>
    <w:rsid w:val="00FA6226"/>
    <w:rsid w:val="00FB799A"/>
    <w:rsid w:val="00FC20D7"/>
    <w:rsid w:val="00FD1485"/>
    <w:rsid w:val="00FD4F11"/>
    <w:rsid w:val="00FF4DE4"/>
    <w:rsid w:val="00FF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85232"/>
  <w15:chartTrackingRefBased/>
  <w15:docId w15:val="{F8F9C2C9-6B2C-4901-9813-253847ED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705"/>
    <w:pPr>
      <w:spacing w:before="120" w:after="280" w:line="300" w:lineRule="auto"/>
    </w:pPr>
    <w:rPr>
      <w:rFonts w:ascii="Arial" w:eastAsiaTheme="minorEastAsia" w:hAnsi="Arial"/>
      <w:kern w:val="0"/>
      <w:sz w:val="24"/>
      <w:szCs w:val="21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56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56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66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566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566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566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566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5661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5661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170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705"/>
    <w:rPr>
      <w:rFonts w:ascii="Arial" w:eastAsiaTheme="minorEastAsia" w:hAnsi="Arial"/>
      <w:kern w:val="0"/>
      <w:sz w:val="24"/>
      <w:szCs w:val="21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9170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705"/>
    <w:rPr>
      <w:rFonts w:ascii="Arial" w:eastAsiaTheme="minorEastAsia" w:hAnsi="Arial"/>
      <w:kern w:val="0"/>
      <w:sz w:val="24"/>
      <w:szCs w:val="21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C91705"/>
    <w:pPr>
      <w:spacing w:after="8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1705"/>
    <w:rPr>
      <w:rFonts w:ascii="Arial" w:eastAsiaTheme="majorEastAsia" w:hAnsi="Arial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1705"/>
    <w:pPr>
      <w:numPr>
        <w:ilvl w:val="1"/>
      </w:numPr>
      <w:spacing w:after="160"/>
    </w:pPr>
    <w:rPr>
      <w:rFonts w:asciiTheme="minorHAnsi" w:hAnsiTheme="minorHAns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91705"/>
    <w:rPr>
      <w:rFonts w:eastAsiaTheme="minorEastAsia"/>
      <w:color w:val="5A5A5A" w:themeColor="text1" w:themeTint="A5"/>
      <w:spacing w:val="15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C91705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91705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91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table" w:styleId="TableGrid">
    <w:name w:val="Table Grid"/>
    <w:basedOn w:val="TableNormal"/>
    <w:uiPriority w:val="39"/>
    <w:rsid w:val="00C91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C91705"/>
    <w:pPr>
      <w:spacing w:after="0" w:line="240" w:lineRule="auto"/>
    </w:pPr>
    <w:rPr>
      <w:rFonts w:eastAsiaTheme="minorEastAsia"/>
      <w:kern w:val="0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C91705"/>
    <w:rPr>
      <w:rFonts w:eastAsiaTheme="minorEastAsia"/>
      <w:kern w:val="0"/>
      <w:lang w:eastAsia="en-GB"/>
    </w:rPr>
  </w:style>
  <w:style w:type="paragraph" w:styleId="ListParagraph">
    <w:name w:val="List Paragraph"/>
    <w:basedOn w:val="Normal"/>
    <w:uiPriority w:val="34"/>
    <w:qFormat/>
    <w:rsid w:val="00C91705"/>
    <w:pPr>
      <w:ind w:left="720"/>
      <w:contextualSpacing/>
    </w:pPr>
  </w:style>
  <w:style w:type="table" w:styleId="PlainTable1">
    <w:name w:val="Plain Table 1"/>
    <w:basedOn w:val="TableNormal"/>
    <w:uiPriority w:val="41"/>
    <w:rsid w:val="00C9170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C9170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4-Accent4">
    <w:name w:val="Grid Table 4 Accent 4"/>
    <w:basedOn w:val="TableNormal"/>
    <w:uiPriority w:val="49"/>
    <w:rsid w:val="00C91705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9170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65661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5661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661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5661"/>
    <w:rPr>
      <w:rFonts w:eastAsiaTheme="majorEastAsia" w:cstheme="majorBidi"/>
      <w:i/>
      <w:iCs/>
      <w:color w:val="0F4761" w:themeColor="accent1" w:themeShade="BF"/>
      <w:kern w:val="0"/>
      <w:sz w:val="24"/>
      <w:szCs w:val="21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5661"/>
    <w:rPr>
      <w:rFonts w:eastAsiaTheme="majorEastAsia" w:cstheme="majorBidi"/>
      <w:color w:val="0F4761" w:themeColor="accent1" w:themeShade="BF"/>
      <w:kern w:val="0"/>
      <w:sz w:val="24"/>
      <w:szCs w:val="21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5661"/>
    <w:rPr>
      <w:rFonts w:eastAsiaTheme="majorEastAsia" w:cstheme="majorBidi"/>
      <w:i/>
      <w:iCs/>
      <w:color w:val="595959" w:themeColor="text1" w:themeTint="A6"/>
      <w:kern w:val="0"/>
      <w:sz w:val="24"/>
      <w:szCs w:val="21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5661"/>
    <w:rPr>
      <w:rFonts w:eastAsiaTheme="majorEastAsia" w:cstheme="majorBidi"/>
      <w:color w:val="595959" w:themeColor="text1" w:themeTint="A6"/>
      <w:kern w:val="0"/>
      <w:sz w:val="24"/>
      <w:szCs w:val="21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5661"/>
    <w:rPr>
      <w:rFonts w:eastAsiaTheme="majorEastAsia" w:cstheme="majorBidi"/>
      <w:i/>
      <w:iCs/>
      <w:color w:val="272727" w:themeColor="text1" w:themeTint="D8"/>
      <w:kern w:val="0"/>
      <w:sz w:val="24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5661"/>
    <w:rPr>
      <w:rFonts w:eastAsiaTheme="majorEastAsia" w:cstheme="majorBidi"/>
      <w:color w:val="272727" w:themeColor="text1" w:themeTint="D8"/>
      <w:kern w:val="0"/>
      <w:sz w:val="24"/>
      <w:szCs w:val="21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56566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5661"/>
    <w:rPr>
      <w:rFonts w:ascii="Arial" w:eastAsiaTheme="minorEastAsia" w:hAnsi="Arial"/>
      <w:i/>
      <w:iCs/>
      <w:color w:val="404040" w:themeColor="text1" w:themeTint="BF"/>
      <w:kern w:val="0"/>
      <w:sz w:val="24"/>
      <w:szCs w:val="21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5656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56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5661"/>
    <w:rPr>
      <w:rFonts w:ascii="Arial" w:eastAsiaTheme="minorEastAsia" w:hAnsi="Arial"/>
      <w:i/>
      <w:iCs/>
      <w:color w:val="0F4761" w:themeColor="accent1" w:themeShade="BF"/>
      <w:kern w:val="0"/>
      <w:sz w:val="24"/>
      <w:szCs w:val="21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5656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2196/60483" TargetMode="External"/><Relationship Id="rId18" Type="http://schemas.openxmlformats.org/officeDocument/2006/relationships/hyperlink" Target="https://doi.org/10.7759/cureus.103024" TargetMode="External"/><Relationship Id="rId26" Type="http://schemas.openxmlformats.org/officeDocument/2006/relationships/hyperlink" Target="https://doi.org/10.2196/29512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jmir.org/2021/11/e25887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doi.org/10.2196/60483" TargetMode="External"/><Relationship Id="rId17" Type="http://schemas.openxmlformats.org/officeDocument/2006/relationships/hyperlink" Target="https://doi.org/10.1177/07334648241296791" TargetMode="External"/><Relationship Id="rId25" Type="http://schemas.openxmlformats.org/officeDocument/2006/relationships/hyperlink" Target="https://www.cambridge.org/core/journals/ageing-and-society/article/digital-inclusion-in-later-life-cohort-changes-in-internet-use-over-a-tenyear-period-in-england/777293953F7631DA9CE4AC5D943DDF6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77/07334648241296791" TargetMode="External"/><Relationship Id="rId20" Type="http://schemas.openxmlformats.org/officeDocument/2006/relationships/hyperlink" Target="https://doi.org/10.3389/frai.2022.727486" TargetMode="External"/><Relationship Id="rId29" Type="http://schemas.openxmlformats.org/officeDocument/2006/relationships/hyperlink" Target="https://doi.org/10.1093/ehjdh/ztaf143.077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3389/fmed.2025.1724828" TargetMode="External"/><Relationship Id="rId24" Type="http://schemas.openxmlformats.org/officeDocument/2006/relationships/hyperlink" Target="https://orca.cardiff.ac.uk/id/eprint/166826/1/New%20horizons%20in%20the%20role%20of%20digital%20data%20in%20the%20healthcare%20of%20older%20people.pdf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doi.org/10.1002/alz70858_101697" TargetMode="External"/><Relationship Id="rId23" Type="http://schemas.openxmlformats.org/officeDocument/2006/relationships/hyperlink" Target="https://doi.org/10.3390/ijerph22050781" TargetMode="External"/><Relationship Id="rId28" Type="http://schemas.openxmlformats.org/officeDocument/2006/relationships/hyperlink" Target="https://pmc.ncbi.nlm.nih.gov/articles/PMC11752663/" TargetMode="External"/><Relationship Id="rId10" Type="http://schemas.openxmlformats.org/officeDocument/2006/relationships/hyperlink" Target="https://link.springer.com/book/10.1007/978-3-030-72663-8" TargetMode="External"/><Relationship Id="rId19" Type="http://schemas.openxmlformats.org/officeDocument/2006/relationships/hyperlink" Target="https://doi.org/10.1007/978-3-030-52873-7_1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oi.org/10.2196/47224" TargetMode="External"/><Relationship Id="rId14" Type="http://schemas.openxmlformats.org/officeDocument/2006/relationships/hyperlink" Target="https://doi.org/10.1177/20552076241241231" TargetMode="External"/><Relationship Id="rId22" Type="http://schemas.openxmlformats.org/officeDocument/2006/relationships/hyperlink" Target="https://doi.org/10.1111/jgs.70263" TargetMode="External"/><Relationship Id="rId27" Type="http://schemas.openxmlformats.org/officeDocument/2006/relationships/hyperlink" Target="https://doi.org/10.1093/geroni/igaf122.3147" TargetMode="External"/><Relationship Id="rId30" Type="http://schemas.openxmlformats.org/officeDocument/2006/relationships/hyperlink" Target="https://pmc.ncbi.nlm.nih.gov/articles/PMC973818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0d6fbf33265ff3a988744aff247357ff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fc9785593c138c2a40c66b32ca04dffd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F3ED3A71-6413-41F0-9879-824DC35C36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880FCC-3EEE-4AD2-A3B1-9BD24BB239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2831F3-E840-4C05-ABDB-E79E7E5DCE80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Oprea</dc:creator>
  <cp:keywords/>
  <dc:description/>
  <cp:lastModifiedBy>Monica Ana Oprea (2315596)</cp:lastModifiedBy>
  <cp:revision>2</cp:revision>
  <dcterms:created xsi:type="dcterms:W3CDTF">2026-04-09T11:03:00Z</dcterms:created>
  <dcterms:modified xsi:type="dcterms:W3CDTF">2026-04-09T11:03:00Z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f02d7877-5d07-4dc7-9759-3cd37f4a2803</vt:lpwstr>
  </property>
  <property fmtid="{D5CDD505-2E9C-101B-9397-08002B2CF9AE}" pid="3" name="ContentTypeId">
    <vt:lpwstr>0x0101009DA2B97165742847ABC519A905693DF8</vt:lpwstr>
  </property>
</Properties>
</file>