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5535" w:type="dxa"/>
        <w:tblLook w:val="0620" w:firstRow="1" w:lastRow="0" w:firstColumn="0" w:lastColumn="0" w:noHBand="1" w:noVBand="1"/>
      </w:tblPr>
      <w:tblGrid>
        <w:gridCol w:w="5535"/>
      </w:tblGrid>
      <w:tr w:rsidR="374241CD" w:rsidTr="4CD0E453" w14:paraId="39FDD427" w14:textId="77777777">
        <w:trPr>
          <w:trHeight w:val="4185"/>
        </w:trPr>
        <w:tc>
          <w:tcPr>
            <w:tcW w:w="5535" w:type="dxa"/>
            <w:tcMar>
              <w:top w:w="100" w:type="dxa"/>
              <w:left w:w="100" w:type="dxa"/>
              <w:bottom w:w="100" w:type="dxa"/>
              <w:right w:w="100" w:type="dxa"/>
            </w:tcMar>
          </w:tcPr>
          <w:p w:rsidR="374241CD" w:rsidP="4CD0E453" w:rsidRDefault="374241CD" w14:paraId="6D3B0515" w14:textId="6B48E026">
            <w:pPr>
              <w:pStyle w:val="Normal"/>
            </w:pPr>
            <w:r w:rsidR="4D5C13C3">
              <w:drawing>
                <wp:inline wp14:editId="7A3E5490" wp14:anchorId="1B2E3EB6">
                  <wp:extent cx="3400425" cy="1362075"/>
                  <wp:effectExtent l="0" t="0" r="0" b="0"/>
                  <wp:docPr id="3264984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2649849" name="Picture 32649849"/>
                          <pic:cNvPicPr/>
                        </pic:nvPicPr>
                        <pic:blipFill>
                          <a:blip xmlns:r="http://schemas.openxmlformats.org/officeDocument/2006/relationships" r:embed="rId261091130">
                            <a:extLst>
                              <a:ext uri="{28A0092B-C50C-407E-A947-70E740481C1C}">
                                <a14:useLocalDpi xmlns:a14="http://schemas.microsoft.com/office/drawing/2010/main"/>
                              </a:ext>
                            </a:extLst>
                          </a:blip>
                          <a:stretch>
                            <a:fillRect/>
                          </a:stretch>
                        </pic:blipFill>
                        <pic:spPr>
                          <a:xfrm>
                            <a:off x="0" y="0"/>
                            <a:ext cx="3400425" cy="1362075"/>
                          </a:xfrm>
                          <a:prstGeom prst="rect">
                            <a:avLst/>
                          </a:prstGeom>
                        </pic:spPr>
                      </pic:pic>
                    </a:graphicData>
                  </a:graphic>
                </wp:inline>
              </w:drawing>
            </w:r>
          </w:p>
          <w:p w:rsidR="24702CA2" w:rsidP="4CD0E453" w:rsidRDefault="24702CA2" w14:paraId="08880780" w14:textId="1A7A8805">
            <w:pPr>
              <w:pStyle w:val="ListParagraph"/>
              <w:numPr>
                <w:ilvl w:val="0"/>
                <w:numId w:val="1"/>
              </w:numPr>
              <w:rPr>
                <w:rFonts w:ascii="Arial" w:hAnsi="Arial" w:eastAsia="Arial" w:cs="Arial" w:asciiTheme="minorAscii" w:hAnsiTheme="minorAscii" w:eastAsiaTheme="minorAscii" w:cstheme="minorAscii"/>
                <w:color w:val="000000" w:themeColor="text1"/>
              </w:rPr>
            </w:pPr>
            <w:r w:rsidRPr="4CD0E453" w:rsidR="33674B41">
              <w:rPr>
                <w:rFonts w:ascii="Arial" w:hAnsi="Arial" w:eastAsia="Arial" w:cs="Arial" w:asciiTheme="minorAscii" w:hAnsiTheme="minorAscii" w:eastAsiaTheme="minorAscii" w:cstheme="minorAscii"/>
                <w:color w:val="000000" w:themeColor="text1" w:themeTint="FF" w:themeShade="FF"/>
              </w:rPr>
              <w:t>Module Code: BMSW401</w:t>
            </w:r>
            <w:r w:rsidRPr="4CD0E453" w:rsidR="62F9467C">
              <w:rPr>
                <w:rFonts w:ascii="Arial" w:hAnsi="Arial" w:eastAsia="Arial" w:cs="Arial" w:asciiTheme="minorAscii" w:hAnsiTheme="minorAscii" w:eastAsiaTheme="minorAscii" w:cstheme="minorAscii"/>
                <w:color w:val="000000" w:themeColor="text1" w:themeTint="FF" w:themeShade="FF"/>
              </w:rPr>
              <w:t>4</w:t>
            </w:r>
          </w:p>
          <w:p w:rsidR="24702CA2" w:rsidP="4CD0E453" w:rsidRDefault="24702CA2" w14:paraId="00EEDCFE" w14:textId="2766A14B">
            <w:pPr>
              <w:pStyle w:val="ListParagraph"/>
              <w:numPr>
                <w:ilvl w:val="0"/>
                <w:numId w:val="1"/>
              </w:numPr>
              <w:rPr>
                <w:rFonts w:ascii="Arial" w:hAnsi="Arial" w:eastAsia="Arial" w:cs="Arial" w:asciiTheme="minorAscii" w:hAnsiTheme="minorAscii" w:eastAsiaTheme="minorAscii" w:cstheme="minorAscii"/>
                <w:color w:val="000000" w:themeColor="text1"/>
              </w:rPr>
            </w:pPr>
            <w:r w:rsidRPr="4CD0E453" w:rsidR="62F9467C">
              <w:rPr>
                <w:noProof w:val="0"/>
                <w:lang w:val="en-GB"/>
              </w:rPr>
              <w:t>Assignment:</w:t>
            </w:r>
            <w:r w:rsidRPr="4CD0E453" w:rsidR="3476F166">
              <w:rPr>
                <w:rFonts w:ascii="Arial" w:hAnsi="Arial" w:eastAsia="Arial" w:cs="Arial" w:asciiTheme="minorAscii" w:hAnsiTheme="minorAscii" w:eastAsiaTheme="minorAscii" w:cstheme="minorAscii"/>
                <w:color w:val="000000" w:themeColor="text1" w:themeTint="FF" w:themeShade="FF"/>
              </w:rPr>
              <w:t xml:space="preserve"> The effect of Whitewashing in Big</w:t>
            </w:r>
          </w:p>
          <w:p w:rsidR="6148861B" w:rsidP="4CD0E453" w:rsidRDefault="6148861B" w14:paraId="46682920" w14:textId="1BA205A3">
            <w:pPr>
              <w:pStyle w:val="ListParagraph"/>
              <w:numPr>
                <w:ilvl w:val="0"/>
                <w:numId w:val="1"/>
              </w:numPr>
              <w:rPr>
                <w:rFonts w:ascii="Arial" w:hAnsi="Arial" w:eastAsia="Arial" w:cs="Arial" w:asciiTheme="minorAscii" w:hAnsiTheme="minorAscii" w:eastAsiaTheme="minorAscii" w:cstheme="minorAscii"/>
                <w:color w:val="000000" w:themeColor="text1"/>
              </w:rPr>
            </w:pPr>
            <w:r w:rsidRPr="4CD0E453" w:rsidR="3476F166">
              <w:rPr>
                <w:rFonts w:ascii="Arial" w:hAnsi="Arial" w:eastAsia="Arial" w:cs="Arial" w:asciiTheme="minorAscii" w:hAnsiTheme="minorAscii" w:eastAsiaTheme="minorAscii" w:cstheme="minorAscii"/>
                <w:color w:val="000000" w:themeColor="text1" w:themeTint="FF" w:themeShade="FF"/>
              </w:rPr>
              <w:t>-Tech</w:t>
            </w:r>
            <w:r w:rsidRPr="4CD0E453" w:rsidR="33674B41">
              <w:rPr>
                <w:rFonts w:ascii="Arial" w:hAnsi="Arial" w:eastAsia="Arial" w:cs="Arial" w:asciiTheme="minorAscii" w:hAnsiTheme="minorAscii" w:eastAsiaTheme="minorAscii" w:cstheme="minorAscii"/>
                <w:color w:val="000000" w:themeColor="text1" w:themeTint="FF" w:themeShade="FF"/>
              </w:rPr>
              <w:t xml:space="preserve"> </w:t>
            </w:r>
            <w:r w:rsidRPr="4CD0E453" w:rsidR="5F6DF38F">
              <w:rPr>
                <w:rFonts w:ascii="Arial" w:hAnsi="Arial" w:eastAsia="Arial" w:cs="Arial" w:asciiTheme="minorAscii" w:hAnsiTheme="minorAscii" w:eastAsiaTheme="minorAscii" w:cstheme="minorAscii"/>
                <w:color w:val="000000" w:themeColor="text1" w:themeTint="FF" w:themeShade="FF"/>
              </w:rPr>
              <w:t xml:space="preserve"> </w:t>
            </w:r>
          </w:p>
          <w:p w:rsidR="24702CA2" w:rsidP="4CD0E453" w:rsidRDefault="24702CA2" w14:paraId="668F0F8A" w14:textId="70E885C6">
            <w:pPr>
              <w:pStyle w:val="ListParagraph"/>
              <w:numPr>
                <w:ilvl w:val="0"/>
                <w:numId w:val="1"/>
              </w:numPr>
              <w:rPr>
                <w:rFonts w:ascii="Arial" w:hAnsi="Arial" w:eastAsia="Arial" w:cs="Arial" w:asciiTheme="minorAscii" w:hAnsiTheme="minorAscii" w:eastAsiaTheme="minorAscii" w:cstheme="minorAscii"/>
                <w:color w:val="000000" w:themeColor="text1"/>
              </w:rPr>
            </w:pPr>
            <w:r w:rsidRPr="4CD0E453" w:rsidR="33674B41">
              <w:rPr>
                <w:rFonts w:ascii="Arial" w:hAnsi="Arial" w:eastAsia="Arial" w:cs="Arial" w:asciiTheme="minorAscii" w:hAnsiTheme="minorAscii" w:eastAsiaTheme="minorAscii" w:cstheme="minorAscii"/>
                <w:color w:val="000000" w:themeColor="text1" w:themeTint="FF" w:themeShade="FF"/>
              </w:rPr>
              <w:t>Student Name: Stephen Pugsley</w:t>
            </w:r>
          </w:p>
          <w:p w:rsidR="24702CA2" w:rsidP="4CD0E453" w:rsidRDefault="24702CA2" w14:paraId="6834364B" w14:textId="3C5D6EE9">
            <w:pPr>
              <w:pStyle w:val="ListParagraph"/>
              <w:numPr>
                <w:ilvl w:val="0"/>
                <w:numId w:val="1"/>
              </w:numPr>
              <w:rPr>
                <w:rFonts w:ascii="Arial" w:hAnsi="Arial" w:eastAsia="Arial" w:cs="Arial" w:asciiTheme="minorAscii" w:hAnsiTheme="minorAscii" w:eastAsiaTheme="minorAscii" w:cstheme="minorAscii"/>
                <w:color w:val="000000" w:themeColor="text1"/>
              </w:rPr>
            </w:pPr>
            <w:r w:rsidRPr="4CD0E453" w:rsidR="33674B41">
              <w:rPr>
                <w:rFonts w:ascii="Arial" w:hAnsi="Arial" w:eastAsia="Arial" w:cs="Arial" w:asciiTheme="minorAscii" w:hAnsiTheme="minorAscii" w:eastAsiaTheme="minorAscii" w:cstheme="minorAscii"/>
                <w:color w:val="000000" w:themeColor="text1" w:themeTint="FF" w:themeShade="FF"/>
              </w:rPr>
              <w:t>Student Number: 2511445</w:t>
            </w:r>
          </w:p>
          <w:p w:rsidR="33674B41" w:rsidP="4CD0E453" w:rsidRDefault="33674B41" w14:paraId="3CB4C183" w14:textId="56BD4585">
            <w:pPr>
              <w:pStyle w:val="ListParagraph"/>
              <w:numPr>
                <w:ilvl w:val="0"/>
                <w:numId w:val="1"/>
              </w:numPr>
              <w:suppressLineNumbers w:val="0"/>
              <w:bidi w:val="0"/>
              <w:spacing w:before="0" w:beforeAutospacing="off" w:after="160" w:afterAutospacing="off" w:line="279" w:lineRule="auto"/>
              <w:ind w:left="720" w:right="0" w:hanging="360"/>
              <w:jc w:val="left"/>
              <w:rPr>
                <w:rFonts w:ascii="Arial" w:hAnsi="Arial" w:eastAsia="Arial" w:cs="Arial" w:asciiTheme="minorAscii" w:hAnsiTheme="minorAscii" w:eastAsiaTheme="minorAscii" w:cstheme="minorAscii"/>
                <w:color w:val="000000" w:themeColor="text1" w:themeTint="FF" w:themeShade="FF"/>
              </w:rPr>
            </w:pPr>
            <w:r w:rsidRPr="4CD0E453" w:rsidR="33674B41">
              <w:rPr>
                <w:rFonts w:ascii="Arial" w:hAnsi="Arial" w:eastAsia="Arial" w:cs="Arial" w:asciiTheme="minorAscii" w:hAnsiTheme="minorAscii" w:eastAsiaTheme="minorAscii" w:cstheme="minorAscii"/>
                <w:color w:val="000000" w:themeColor="text1" w:themeTint="FF" w:themeShade="FF"/>
              </w:rPr>
              <w:t xml:space="preserve">Lecturer: Chris </w:t>
            </w:r>
            <w:r w:rsidRPr="4CD0E453" w:rsidR="34D283FD">
              <w:rPr>
                <w:rFonts w:ascii="Arial" w:hAnsi="Arial" w:eastAsia="Arial" w:cs="Arial" w:asciiTheme="minorAscii" w:hAnsiTheme="minorAscii" w:eastAsiaTheme="minorAscii" w:cstheme="minorAscii"/>
                <w:color w:val="000000" w:themeColor="text1" w:themeTint="FF" w:themeShade="FF"/>
              </w:rPr>
              <w:t>Wilkins.</w:t>
            </w:r>
          </w:p>
          <w:p w:rsidR="374241CD" w:rsidP="374241CD" w:rsidRDefault="374241CD" w14:paraId="427FA95C" w14:textId="02BCE9C0">
            <w:pPr>
              <w:shd w:val="clear" w:color="auto" w:fill="F5F5F5"/>
              <w:spacing w:after="0" w:line="14" w:lineRule="auto"/>
              <w:jc w:val="both"/>
              <w:rPr>
                <w:color w:val="000000" w:themeColor="text1"/>
              </w:rPr>
            </w:pPr>
          </w:p>
        </w:tc>
      </w:tr>
    </w:tbl>
    <w:p w:rsidR="0016404F" w:rsidP="374241CD" w:rsidRDefault="0016404F" w14:paraId="43817D36" w14:textId="05CEB218">
      <w:pPr>
        <w:rPr>
          <w:rFonts w:ascii="Arial" w:hAnsi="Arial" w:eastAsia="Arial" w:cs="Arial"/>
          <w:color w:val="000000" w:themeColor="text1"/>
          <w:sz w:val="22"/>
          <w:szCs w:val="22"/>
        </w:rPr>
      </w:pPr>
    </w:p>
    <w:p w:rsidR="0016404F" w:rsidP="374241CD" w:rsidRDefault="01F2CABF" w14:paraId="6C192D43" w14:textId="31DA7114">
      <w:r w:rsidR="20295E36">
        <w:drawing>
          <wp:inline wp14:editId="48F43132" wp14:anchorId="0E19733E">
            <wp:extent cx="5724525" cy="4305300"/>
            <wp:effectExtent l="0" t="0" r="0" b="0"/>
            <wp:docPr id="13777495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77749531" name="Picture 1377749531"/>
                    <pic:cNvPicPr/>
                  </pic:nvPicPr>
                  <pic:blipFill>
                    <a:blip xmlns:r="http://schemas.openxmlformats.org/officeDocument/2006/relationships" r:embed="rId7">
                      <a:extLst>
                        <a:ext uri="{28A0092B-C50C-407E-A947-70E740481C1C}">
                          <a14:useLocalDpi xmlns:a14="http://schemas.microsoft.com/office/drawing/2010/main"/>
                        </a:ext>
                      </a:extLst>
                    </a:blip>
                    <a:stretch>
                      <a:fillRect/>
                    </a:stretch>
                  </pic:blipFill>
                  <pic:spPr>
                    <a:xfrm>
                      <a:off x="0" y="0"/>
                      <a:ext cx="5724525" cy="4305300"/>
                    </a:xfrm>
                    <a:prstGeom prst="rect">
                      <a:avLst/>
                    </a:prstGeom>
                  </pic:spPr>
                </pic:pic>
              </a:graphicData>
            </a:graphic>
          </wp:inline>
        </w:drawing>
      </w:r>
    </w:p>
    <w:p w:rsidR="0016404F" w:rsidP="374241CD" w:rsidRDefault="01F2CABF" w14:paraId="44BB9DBE" w14:textId="6EABE84B">
      <w:r w:rsidRPr="374241CD">
        <w:rPr>
          <w:rFonts w:ascii="Arial" w:hAnsi="Arial" w:eastAsia="Arial" w:cs="Arial"/>
          <w:color w:val="000000" w:themeColor="text1"/>
          <w:sz w:val="22"/>
          <w:szCs w:val="22"/>
        </w:rPr>
        <w:t xml:space="preserve"> </w:t>
      </w:r>
    </w:p>
    <w:p w:rsidR="0016404F" w:rsidP="374241CD" w:rsidRDefault="01F2CABF" w14:paraId="58939C04" w14:textId="015937F0">
      <w:r w:rsidRPr="374241CD">
        <w:rPr>
          <w:rFonts w:ascii="Arial" w:hAnsi="Arial" w:eastAsia="Arial" w:cs="Arial"/>
          <w:color w:val="000000" w:themeColor="text1"/>
          <w:sz w:val="22"/>
          <w:szCs w:val="22"/>
        </w:rPr>
        <w:t xml:space="preserve"> </w:t>
      </w:r>
    </w:p>
    <w:p w:rsidR="0016404F" w:rsidP="374241CD" w:rsidRDefault="01F2CABF" w14:paraId="2980F6B5" w14:textId="1B016D8E">
      <w:pPr>
        <w:spacing w:after="0"/>
        <w:jc w:val="both"/>
      </w:pPr>
      <w:r w:rsidRPr="374241CD">
        <w:rPr>
          <w:rFonts w:ascii="Arial" w:hAnsi="Arial" w:eastAsia="Arial" w:cs="Arial"/>
          <w:color w:val="000000" w:themeColor="text1"/>
          <w:sz w:val="22"/>
          <w:szCs w:val="22"/>
        </w:rPr>
        <w:t xml:space="preserve"> </w:t>
      </w:r>
    </w:p>
    <w:tbl>
      <w:tblPr>
        <w:tblW w:w="0" w:type="auto"/>
        <w:tblLook w:val="06A0" w:firstRow="1" w:lastRow="0" w:firstColumn="1" w:lastColumn="0" w:noHBand="1" w:noVBand="1"/>
      </w:tblPr>
      <w:tblGrid>
        <w:gridCol w:w="222"/>
        <w:gridCol w:w="222"/>
        <w:gridCol w:w="222"/>
      </w:tblGrid>
      <w:tr w:rsidR="374241CD" w:rsidTr="374241CD" w14:paraId="42039E35" w14:textId="77777777">
        <w:trPr>
          <w:trHeight w:val="300"/>
        </w:trPr>
        <w:tc>
          <w:tcPr>
            <w:tcW w:w="0" w:type="auto"/>
          </w:tcPr>
          <w:p w:rsidR="374241CD" w:rsidP="374241CD" w:rsidRDefault="374241CD" w14:paraId="1A7A7F93" w14:textId="7800D6F9">
            <w:pPr>
              <w:spacing w:after="0"/>
            </w:pPr>
          </w:p>
        </w:tc>
        <w:tc>
          <w:tcPr>
            <w:tcW w:w="0" w:type="auto"/>
          </w:tcPr>
          <w:p w:rsidR="374241CD" w:rsidP="374241CD" w:rsidRDefault="374241CD" w14:paraId="0613E3FB" w14:textId="73C0EDD3">
            <w:pPr>
              <w:spacing w:after="0"/>
            </w:pPr>
          </w:p>
        </w:tc>
        <w:tc>
          <w:tcPr>
            <w:tcW w:w="0" w:type="auto"/>
          </w:tcPr>
          <w:p w:rsidR="374241CD" w:rsidP="374241CD" w:rsidRDefault="374241CD" w14:paraId="53BB40BD" w14:textId="039DCAAF">
            <w:pPr>
              <w:spacing w:after="0"/>
            </w:pPr>
          </w:p>
        </w:tc>
      </w:tr>
      <w:tr w:rsidR="374241CD" w:rsidTr="374241CD" w14:paraId="50A2E5A5" w14:textId="77777777">
        <w:trPr>
          <w:trHeight w:val="300"/>
        </w:trPr>
        <w:tc>
          <w:tcPr>
            <w:tcW w:w="0" w:type="auto"/>
          </w:tcPr>
          <w:p w:rsidR="374241CD" w:rsidP="374241CD" w:rsidRDefault="374241CD" w14:paraId="3E6466F1" w14:textId="5F67D02A">
            <w:pPr>
              <w:spacing w:after="0"/>
            </w:pPr>
          </w:p>
        </w:tc>
        <w:tc>
          <w:tcPr>
            <w:tcW w:w="0" w:type="auto"/>
            <w:tcMar>
              <w:top w:w="100" w:type="dxa"/>
              <w:left w:w="100" w:type="dxa"/>
              <w:bottom w:w="100" w:type="dxa"/>
              <w:right w:w="100" w:type="dxa"/>
            </w:tcMar>
          </w:tcPr>
          <w:p w:rsidR="374241CD" w:rsidP="374241CD" w:rsidRDefault="374241CD" w14:paraId="717944C8" w14:textId="33113399">
            <w:pPr>
              <w:spacing w:after="0"/>
            </w:pPr>
          </w:p>
        </w:tc>
        <w:tc>
          <w:tcPr>
            <w:tcW w:w="0" w:type="auto"/>
            <w:tcMar>
              <w:top w:w="100" w:type="dxa"/>
              <w:left w:w="100" w:type="dxa"/>
              <w:bottom w:w="100" w:type="dxa"/>
              <w:right w:w="100" w:type="dxa"/>
            </w:tcMar>
          </w:tcPr>
          <w:p w:rsidR="374241CD" w:rsidP="374241CD" w:rsidRDefault="374241CD" w14:paraId="09CB246B" w14:textId="2A86CF6C">
            <w:pPr>
              <w:spacing w:after="0"/>
            </w:pPr>
          </w:p>
        </w:tc>
      </w:tr>
    </w:tbl>
    <w:p w:rsidR="0016404F" w:rsidP="374241CD" w:rsidRDefault="0016404F" w14:paraId="7C60F578" w14:textId="7C20F314">
      <w:pPr>
        <w:spacing w:after="0"/>
      </w:pPr>
    </w:p>
    <w:p w:rsidR="0016404F" w:rsidP="374241CD" w:rsidRDefault="01F2CABF" w14:paraId="45FEA69F" w14:textId="21186145">
      <w:pPr>
        <w:spacing w:after="0"/>
      </w:pPr>
      <w:r w:rsidRPr="374241CD">
        <w:rPr>
          <w:rFonts w:ascii="Arial" w:hAnsi="Arial" w:eastAsia="Arial" w:cs="Arial"/>
          <w:color w:val="000000" w:themeColor="text1"/>
          <w:sz w:val="22"/>
          <w:szCs w:val="22"/>
        </w:rPr>
        <w:t xml:space="preserve">I was in the process of trusting the data provided until very late in my research, then the revelation hit me that this whole assignment was about trust. I was defeated by time constraints to adjust all my slides, unfortunately. </w:t>
      </w:r>
    </w:p>
    <w:p w:rsidR="0016404F" w:rsidP="374241CD" w:rsidRDefault="01F2CABF" w14:paraId="4189A833" w14:textId="138E853B">
      <w:pPr>
        <w:spacing w:after="0"/>
      </w:pPr>
      <w:r w:rsidRPr="374241CD">
        <w:rPr>
          <w:rFonts w:ascii="Arial" w:hAnsi="Arial" w:eastAsia="Arial" w:cs="Arial"/>
          <w:color w:val="000000" w:themeColor="text1"/>
          <w:sz w:val="22"/>
          <w:szCs w:val="22"/>
        </w:rPr>
        <w:t xml:space="preserve"> </w:t>
      </w:r>
    </w:p>
    <w:p w:rsidR="0016404F" w:rsidP="374241CD" w:rsidRDefault="01F2CABF" w14:paraId="392813AA" w14:textId="199DC0C3">
      <w:pPr>
        <w:spacing w:after="0"/>
      </w:pPr>
      <w:r w:rsidRPr="374241CD">
        <w:rPr>
          <w:rFonts w:ascii="Arial" w:hAnsi="Arial" w:eastAsia="Arial" w:cs="Arial"/>
          <w:color w:val="000000" w:themeColor="text1"/>
          <w:sz w:val="22"/>
          <w:szCs w:val="22"/>
        </w:rPr>
        <w:t xml:space="preserve">Building trust and learning trust is the root cause of this assignment, as I see it: </w:t>
      </w:r>
    </w:p>
    <w:p w:rsidR="0016404F" w:rsidP="374241CD" w:rsidRDefault="01F2CABF" w14:paraId="3197191E" w14:textId="7C74A09E">
      <w:pPr>
        <w:spacing w:after="0"/>
      </w:pPr>
      <w:r w:rsidRPr="374241CD">
        <w:rPr>
          <w:rFonts w:ascii="Arial" w:hAnsi="Arial" w:eastAsia="Arial" w:cs="Arial"/>
          <w:color w:val="000000" w:themeColor="text1"/>
          <w:sz w:val="22"/>
          <w:szCs w:val="22"/>
        </w:rPr>
        <w:t xml:space="preserve"> </w:t>
      </w:r>
    </w:p>
    <w:p w:rsidR="0016404F" w:rsidP="374241CD" w:rsidRDefault="01F2CABF" w14:paraId="7795310F" w14:textId="629853CD">
      <w:pPr>
        <w:spacing w:after="0"/>
      </w:pPr>
      <w:r w:rsidRPr="374241CD">
        <w:rPr>
          <w:rFonts w:ascii="Arial" w:hAnsi="Arial" w:eastAsia="Arial" w:cs="Arial"/>
          <w:color w:val="000000" w:themeColor="text1"/>
          <w:sz w:val="22"/>
          <w:szCs w:val="22"/>
        </w:rPr>
        <w:t xml:space="preserve">AI systems earn trust through consistency — giving reliable, accurate answers repeatedly over time. The more predictable and correct a model is, the more users and developers trust it. This is measured through benchmarks, </w:t>
      </w:r>
      <w:r w:rsidRPr="374241CD" w:rsidR="6FA8C5B5">
        <w:rPr>
          <w:rFonts w:ascii="Arial" w:hAnsi="Arial" w:eastAsia="Arial" w:cs="Arial"/>
          <w:color w:val="000000" w:themeColor="text1"/>
          <w:sz w:val="22"/>
          <w:szCs w:val="22"/>
        </w:rPr>
        <w:t>red teaming</w:t>
      </w:r>
      <w:r w:rsidRPr="374241CD">
        <w:rPr>
          <w:rFonts w:ascii="Arial" w:hAnsi="Arial" w:eastAsia="Arial" w:cs="Arial"/>
          <w:color w:val="000000" w:themeColor="text1"/>
          <w:sz w:val="22"/>
          <w:szCs w:val="22"/>
        </w:rPr>
        <w:t xml:space="preserve"> (deliberately trying to break it), and real-world feedback.</w:t>
      </w:r>
    </w:p>
    <w:p w:rsidR="0016404F" w:rsidP="374241CD" w:rsidRDefault="01F2CABF" w14:paraId="65747F8A" w14:textId="5B66750A">
      <w:pPr>
        <w:spacing w:after="0"/>
      </w:pPr>
      <w:r w:rsidRPr="374241CD">
        <w:rPr>
          <w:rFonts w:ascii="Arial" w:hAnsi="Arial" w:eastAsia="Arial" w:cs="Arial"/>
          <w:color w:val="000000" w:themeColor="text1"/>
          <w:sz w:val="22"/>
          <w:szCs w:val="22"/>
        </w:rPr>
        <w:t xml:space="preserve"> </w:t>
      </w:r>
    </w:p>
    <w:p w:rsidR="0016404F" w:rsidP="374241CD" w:rsidRDefault="01F2CABF" w14:paraId="177638A4" w14:textId="3A249A34">
      <w:pPr>
        <w:spacing w:after="0"/>
      </w:pPr>
      <w:r w:rsidRPr="374241CD">
        <w:rPr>
          <w:rFonts w:ascii="Arial" w:hAnsi="Arial" w:eastAsia="Arial" w:cs="Arial"/>
          <w:color w:val="000000" w:themeColor="text1"/>
          <w:sz w:val="22"/>
          <w:szCs w:val="22"/>
        </w:rPr>
        <w:t>Transparency,</w:t>
      </w:r>
    </w:p>
    <w:p w:rsidR="0016404F" w:rsidP="374241CD" w:rsidRDefault="01F2CABF" w14:paraId="29448A65" w14:textId="22817491">
      <w:pPr>
        <w:spacing w:after="0"/>
      </w:pPr>
      <w:r w:rsidRPr="374241CD">
        <w:rPr>
          <w:rFonts w:ascii="Arial" w:hAnsi="Arial" w:eastAsia="Arial" w:cs="Arial"/>
          <w:color w:val="000000" w:themeColor="text1"/>
          <w:sz w:val="22"/>
          <w:szCs w:val="22"/>
        </w:rPr>
        <w:t xml:space="preserve"> </w:t>
      </w:r>
    </w:p>
    <w:p w:rsidR="0016404F" w:rsidP="374241CD" w:rsidRDefault="01F2CABF" w14:paraId="6124146D" w14:textId="5D6A4AD5">
      <w:pPr>
        <w:spacing w:after="0"/>
      </w:pPr>
      <w:r w:rsidRPr="374241CD">
        <w:rPr>
          <w:rFonts w:ascii="Arial" w:hAnsi="Arial" w:eastAsia="Arial" w:cs="Arial"/>
          <w:color w:val="000000" w:themeColor="text1"/>
          <w:sz w:val="22"/>
          <w:szCs w:val="22"/>
        </w:rPr>
        <w:t xml:space="preserve">Trust comes from being able to explain why a model gives a certain answer. This is the black box problem I have looked into before — if nobody can see inside the model's reasoning, trust is harder to establish. Techniques like interpretability research try to make AI decisions more explainable. </w:t>
      </w:r>
    </w:p>
    <w:p w:rsidR="0016404F" w:rsidP="374241CD" w:rsidRDefault="01F2CABF" w14:paraId="17B0967F" w14:textId="52650DD1">
      <w:pPr>
        <w:spacing w:after="0"/>
      </w:pPr>
      <w:r w:rsidRPr="374241CD">
        <w:rPr>
          <w:rFonts w:ascii="Arial" w:hAnsi="Arial" w:eastAsia="Arial" w:cs="Arial"/>
          <w:color w:val="000000" w:themeColor="text1"/>
          <w:sz w:val="22"/>
          <w:szCs w:val="22"/>
        </w:rPr>
        <w:t xml:space="preserve"> </w:t>
      </w:r>
    </w:p>
    <w:p w:rsidR="0016404F" w:rsidP="374241CD" w:rsidRDefault="01F2CABF" w14:paraId="535AED0E" w14:textId="0D71240D">
      <w:pPr>
        <w:spacing w:after="0"/>
      </w:pPr>
      <w:r w:rsidRPr="374241CD">
        <w:rPr>
          <w:rFonts w:ascii="Arial" w:hAnsi="Arial" w:eastAsia="Arial" w:cs="Arial"/>
          <w:color w:val="000000" w:themeColor="text1"/>
          <w:sz w:val="22"/>
          <w:szCs w:val="22"/>
        </w:rPr>
        <w:t>Safety and alignment,</w:t>
      </w:r>
    </w:p>
    <w:p w:rsidR="0016404F" w:rsidP="374241CD" w:rsidRDefault="01F2CABF" w14:paraId="1B74A798" w14:textId="24DF8E27">
      <w:pPr>
        <w:spacing w:after="0"/>
      </w:pPr>
      <w:r w:rsidRPr="374241CD">
        <w:rPr>
          <w:rFonts w:ascii="Arial" w:hAnsi="Arial" w:eastAsia="Arial" w:cs="Arial"/>
          <w:color w:val="000000" w:themeColor="text1"/>
          <w:sz w:val="22"/>
          <w:szCs w:val="22"/>
        </w:rPr>
        <w:t xml:space="preserve"> </w:t>
      </w:r>
    </w:p>
    <w:p w:rsidR="0016404F" w:rsidP="374241CD" w:rsidRDefault="01F2CABF" w14:paraId="014F3BBB" w14:textId="4CA2BC13">
      <w:pPr>
        <w:spacing w:after="0"/>
      </w:pPr>
      <w:r w:rsidRPr="374241CD">
        <w:rPr>
          <w:rFonts w:ascii="Arial" w:hAnsi="Arial" w:eastAsia="Arial" w:cs="Arial"/>
          <w:color w:val="000000" w:themeColor="text1"/>
          <w:sz w:val="22"/>
          <w:szCs w:val="22"/>
        </w:rPr>
        <w:t>Companies, build trust by training models to refuse harmful requests, be honest about uncertainty, and behave consistently whether or not they think they're being watched. The idea is that a trustworthy AI behaves the same way in all contexts, not just when it thinks it's being tested.</w:t>
      </w:r>
    </w:p>
    <w:p w:rsidR="0016404F" w:rsidP="374241CD" w:rsidRDefault="01F2CABF" w14:paraId="11469205" w14:textId="13CE77E7">
      <w:pPr>
        <w:spacing w:after="0"/>
      </w:pPr>
      <w:r w:rsidRPr="374241CD">
        <w:rPr>
          <w:rFonts w:ascii="Arial" w:hAnsi="Arial" w:eastAsia="Arial" w:cs="Arial"/>
          <w:color w:val="000000" w:themeColor="text1"/>
          <w:sz w:val="22"/>
          <w:szCs w:val="22"/>
        </w:rPr>
        <w:t xml:space="preserve"> </w:t>
      </w:r>
    </w:p>
    <w:p w:rsidR="0016404F" w:rsidP="374241CD" w:rsidRDefault="01F2CABF" w14:paraId="5909AFFF" w14:textId="2F0DEAD9">
      <w:pPr>
        <w:spacing w:after="0"/>
      </w:pPr>
      <w:r w:rsidRPr="374241CD">
        <w:rPr>
          <w:rFonts w:ascii="Arial" w:hAnsi="Arial" w:eastAsia="Arial" w:cs="Arial"/>
          <w:color w:val="000000" w:themeColor="text1"/>
          <w:sz w:val="22"/>
          <w:szCs w:val="22"/>
        </w:rPr>
        <w:t>Human oversight,</w:t>
      </w:r>
    </w:p>
    <w:p w:rsidR="0016404F" w:rsidP="374241CD" w:rsidRDefault="01F2CABF" w14:paraId="07D2AA94" w14:textId="6A42F03E">
      <w:pPr>
        <w:spacing w:after="0"/>
      </w:pPr>
      <w:r w:rsidRPr="374241CD">
        <w:rPr>
          <w:rFonts w:ascii="Arial" w:hAnsi="Arial" w:eastAsia="Arial" w:cs="Arial"/>
          <w:color w:val="000000" w:themeColor="text1"/>
          <w:sz w:val="22"/>
          <w:szCs w:val="22"/>
        </w:rPr>
        <w:t xml:space="preserve"> </w:t>
      </w:r>
    </w:p>
    <w:p w:rsidR="0016404F" w:rsidP="374241CD" w:rsidRDefault="01F2CABF" w14:paraId="3584FC92" w14:textId="711431FC">
      <w:pPr>
        <w:spacing w:after="0"/>
      </w:pPr>
      <w:r w:rsidRPr="374241CD">
        <w:rPr>
          <w:rFonts w:ascii="Arial" w:hAnsi="Arial" w:eastAsia="Arial" w:cs="Arial"/>
          <w:color w:val="000000" w:themeColor="text1"/>
          <w:sz w:val="22"/>
          <w:szCs w:val="22"/>
        </w:rPr>
        <w:t>Trust is also established through keeping humans in the loop — especially in high-stakes decisions. An AI that flags uncertainty and defers to humans when appropriate is more trustworthy than one that always sounds confident.</w:t>
      </w:r>
    </w:p>
    <w:p w:rsidR="0016404F" w:rsidP="374241CD" w:rsidRDefault="01F2CABF" w14:paraId="3A19BEE1" w14:textId="5931E9D4">
      <w:pPr>
        <w:spacing w:after="0"/>
      </w:pPr>
      <w:r w:rsidRPr="374241CD">
        <w:rPr>
          <w:rFonts w:ascii="Arial" w:hAnsi="Arial" w:eastAsia="Arial" w:cs="Arial"/>
          <w:color w:val="000000" w:themeColor="text1"/>
          <w:sz w:val="22"/>
          <w:szCs w:val="22"/>
        </w:rPr>
        <w:t xml:space="preserve"> </w:t>
      </w:r>
    </w:p>
    <w:p w:rsidR="0016404F" w:rsidP="374241CD" w:rsidRDefault="01F2CABF" w14:paraId="62A9E7F8" w14:textId="3C4BF637">
      <w:pPr>
        <w:spacing w:after="0"/>
      </w:pPr>
      <w:r w:rsidRPr="374241CD">
        <w:rPr>
          <w:rFonts w:ascii="Arial" w:hAnsi="Arial" w:eastAsia="Arial" w:cs="Arial"/>
          <w:color w:val="000000" w:themeColor="text1"/>
          <w:sz w:val="22"/>
          <w:szCs w:val="22"/>
        </w:rPr>
        <w:t>Track record over time,</w:t>
      </w:r>
    </w:p>
    <w:p w:rsidR="0016404F" w:rsidP="374241CD" w:rsidRDefault="01F2CABF" w14:paraId="29E10DE0" w14:textId="2294136A">
      <w:pPr>
        <w:spacing w:after="0"/>
      </w:pPr>
      <w:r w:rsidRPr="374241CD">
        <w:rPr>
          <w:rFonts w:ascii="Arial" w:hAnsi="Arial" w:eastAsia="Arial" w:cs="Arial"/>
          <w:color w:val="000000" w:themeColor="text1"/>
          <w:sz w:val="22"/>
          <w:szCs w:val="22"/>
        </w:rPr>
        <w:t xml:space="preserve"> </w:t>
      </w:r>
    </w:p>
    <w:p w:rsidR="0016404F" w:rsidP="374241CD" w:rsidRDefault="01F2CABF" w14:paraId="1CF4915A" w14:textId="01046B56">
      <w:pPr>
        <w:spacing w:after="0"/>
      </w:pPr>
      <w:r w:rsidRPr="374241CD">
        <w:rPr>
          <w:rFonts w:ascii="Arial" w:hAnsi="Arial" w:eastAsia="Arial" w:cs="Arial"/>
          <w:color w:val="000000" w:themeColor="text1"/>
          <w:sz w:val="22"/>
          <w:szCs w:val="22"/>
        </w:rPr>
        <w:t>Just like with people, trust accumulates. AI systems deployed in real products build (or lose) trust based on how they perform across millions of interactions. User feedback, error correction, and model updates are all part of that cycle.</w:t>
      </w:r>
    </w:p>
    <w:p w:rsidR="0016404F" w:rsidP="374241CD" w:rsidRDefault="01F2CABF" w14:paraId="3B349922" w14:textId="2E0D7769">
      <w:pPr>
        <w:spacing w:after="0"/>
      </w:pPr>
      <w:r w:rsidRPr="374241CD">
        <w:rPr>
          <w:rFonts w:ascii="Arial" w:hAnsi="Arial" w:eastAsia="Arial" w:cs="Arial"/>
          <w:color w:val="000000" w:themeColor="text1"/>
          <w:sz w:val="22"/>
          <w:szCs w:val="22"/>
        </w:rPr>
        <w:t xml:space="preserve"> </w:t>
      </w:r>
    </w:p>
    <w:p w:rsidR="0016404F" w:rsidP="374241CD" w:rsidRDefault="01F2CABF" w14:paraId="26DF486F" w14:textId="2797A967">
      <w:pPr>
        <w:spacing w:after="0"/>
      </w:pPr>
      <w:r w:rsidRPr="374241CD">
        <w:rPr>
          <w:rFonts w:ascii="Arial" w:hAnsi="Arial" w:eastAsia="Arial" w:cs="Arial"/>
          <w:color w:val="000000" w:themeColor="text1"/>
          <w:sz w:val="22"/>
          <w:szCs w:val="22"/>
        </w:rPr>
        <w:t>The problem,</w:t>
      </w:r>
    </w:p>
    <w:p w:rsidR="0016404F" w:rsidP="374241CD" w:rsidRDefault="01F2CABF" w14:paraId="449CBD81" w14:textId="744E2BE4">
      <w:pPr>
        <w:spacing w:after="0"/>
      </w:pPr>
      <w:r w:rsidRPr="374241CD">
        <w:rPr>
          <w:rFonts w:ascii="Arial" w:hAnsi="Arial" w:eastAsia="Arial" w:cs="Arial"/>
          <w:color w:val="000000" w:themeColor="text1"/>
          <w:sz w:val="22"/>
          <w:szCs w:val="22"/>
        </w:rPr>
        <w:t>The tricky part is that trust in AI is often perceived rather than verified. People can over trust a confident-sounding model that's actually wrong, or under trust a cautious one that's actually reliable. Calibrating that gap is one of the hardest challenges in AI development right now.</w:t>
      </w:r>
    </w:p>
    <w:p w:rsidR="0016404F" w:rsidP="374241CD" w:rsidRDefault="01F2CABF" w14:paraId="472CC2E8" w14:textId="2EB38F21">
      <w:pPr>
        <w:spacing w:after="0"/>
      </w:pPr>
      <w:r w:rsidRPr="374241CD">
        <w:rPr>
          <w:rFonts w:ascii="Arial" w:hAnsi="Arial" w:eastAsia="Arial" w:cs="Arial"/>
          <w:color w:val="000000" w:themeColor="text1"/>
          <w:sz w:val="22"/>
          <w:szCs w:val="22"/>
        </w:rPr>
        <w:t xml:space="preserve"> </w:t>
      </w:r>
    </w:p>
    <w:p w:rsidR="0016404F" w:rsidP="374241CD" w:rsidRDefault="01F2CABF" w14:paraId="622E019A" w14:textId="3F99B33F">
      <w:pPr>
        <w:spacing w:after="0"/>
      </w:pPr>
      <w:r w:rsidRPr="374241CD">
        <w:rPr>
          <w:rFonts w:ascii="Arial" w:hAnsi="Arial" w:eastAsia="Arial" w:cs="Arial"/>
          <w:color w:val="000000" w:themeColor="text1"/>
          <w:sz w:val="22"/>
          <w:szCs w:val="22"/>
        </w:rPr>
        <w:t xml:space="preserve"> </w:t>
      </w:r>
    </w:p>
    <w:p w:rsidR="0016404F" w:rsidP="374241CD" w:rsidRDefault="01F2CABF" w14:paraId="666B7046" w14:textId="74C04BCA">
      <w:pPr>
        <w:spacing w:after="0"/>
      </w:pPr>
      <w:r w:rsidRPr="374241CD">
        <w:rPr>
          <w:rFonts w:ascii="Arial" w:hAnsi="Arial" w:eastAsia="Arial" w:cs="Arial"/>
          <w:color w:val="000000" w:themeColor="text1"/>
          <w:sz w:val="22"/>
          <w:szCs w:val="22"/>
        </w:rPr>
        <w:t>Conclusion,</w:t>
      </w:r>
    </w:p>
    <w:p w:rsidR="0016404F" w:rsidP="374241CD" w:rsidRDefault="01F2CABF" w14:paraId="5CA43121" w14:textId="2FEFEC2B">
      <w:pPr>
        <w:spacing w:after="0"/>
      </w:pPr>
      <w:r w:rsidRPr="374241CD">
        <w:rPr>
          <w:rFonts w:ascii="Arial" w:hAnsi="Arial" w:eastAsia="Arial" w:cs="Arial"/>
          <w:color w:val="000000" w:themeColor="text1"/>
          <w:sz w:val="22"/>
          <w:szCs w:val="22"/>
        </w:rPr>
        <w:t>AI can overstate its importance all by itself, the human who trusts this will declare this. The human who does not believe the claims will experiment to test this. It is all a matter of trust and perception. This is my analysis of the root cause, which I believe to be a trust issue and a matter of the perception of such trust or lack of it.</w:t>
      </w:r>
    </w:p>
    <w:p w:rsidR="0016404F" w:rsidP="374241CD" w:rsidRDefault="01F2CABF" w14:paraId="374A4D21" w14:textId="30902196">
      <w:r w:rsidRPr="374241CD">
        <w:rPr>
          <w:rFonts w:ascii="Arial" w:hAnsi="Arial" w:eastAsia="Arial" w:cs="Arial"/>
          <w:color w:val="000000" w:themeColor="text1"/>
          <w:sz w:val="22"/>
          <w:szCs w:val="22"/>
        </w:rPr>
        <w:t xml:space="preserve"> </w:t>
      </w:r>
    </w:p>
    <w:p w:rsidR="0016404F" w:rsidP="374241CD" w:rsidRDefault="01F2CABF" w14:paraId="5C3D0BCD" w14:textId="3F213522">
      <w:r w:rsidRPr="374241CD">
        <w:rPr>
          <w:rFonts w:ascii="Arial" w:hAnsi="Arial" w:eastAsia="Arial" w:cs="Arial"/>
          <w:color w:val="000000" w:themeColor="text1"/>
          <w:sz w:val="22"/>
          <w:szCs w:val="22"/>
        </w:rPr>
        <w:t>AI statement and references can be found in the slides.</w:t>
      </w:r>
    </w:p>
    <w:p w:rsidR="0016404F" w:rsidRDefault="33519A50" w14:paraId="24233DBA" w14:textId="5B58DD6E"/>
    <w:p w:rsidR="0016404F" w:rsidRDefault="7D2FDAA5" w14:paraId="5E5787A5" w14:textId="294FCA48"/>
    <w:sectPr w:rsidR="0016404F">
      <w:headerReference w:type="default" r:id="rId11"/>
      <w:footerReference w:type="default" r:id="rId12"/>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B75AA" w:rsidRDefault="002B75AA" w14:paraId="06713FFE" w14:textId="77777777">
      <w:pPr>
        <w:spacing w:after="0" w:line="240" w:lineRule="auto"/>
      </w:pPr>
      <w:r>
        <w:separator/>
      </w:r>
    </w:p>
  </w:endnote>
  <w:endnote w:type="continuationSeparator" w:id="0">
    <w:p w:rsidR="002B75AA" w:rsidRDefault="002B75AA" w14:paraId="33C2C55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ptos">
    <w:altName w:val="Calibri"/>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74241CD" w:rsidTr="374241CD" w14:paraId="4F16C9BA" w14:textId="77777777">
      <w:trPr>
        <w:trHeight w:val="300"/>
      </w:trPr>
      <w:tc>
        <w:tcPr>
          <w:tcW w:w="3005" w:type="dxa"/>
        </w:tcPr>
        <w:p w:rsidR="374241CD" w:rsidP="374241CD" w:rsidRDefault="374241CD" w14:paraId="12C2ADF4" w14:textId="6C6B276E">
          <w:pPr>
            <w:pStyle w:val="Header"/>
            <w:ind w:left="-115"/>
          </w:pPr>
        </w:p>
      </w:tc>
      <w:tc>
        <w:tcPr>
          <w:tcW w:w="3005" w:type="dxa"/>
        </w:tcPr>
        <w:p w:rsidR="374241CD" w:rsidP="374241CD" w:rsidRDefault="374241CD" w14:paraId="7B9042EF" w14:textId="786685D8">
          <w:pPr>
            <w:pStyle w:val="Header"/>
            <w:jc w:val="center"/>
          </w:pPr>
        </w:p>
      </w:tc>
      <w:tc>
        <w:tcPr>
          <w:tcW w:w="3005" w:type="dxa"/>
        </w:tcPr>
        <w:p w:rsidR="374241CD" w:rsidP="374241CD" w:rsidRDefault="374241CD" w14:paraId="6D40355A" w14:textId="60F0D60C">
          <w:pPr>
            <w:pStyle w:val="Header"/>
            <w:ind w:right="-115"/>
            <w:jc w:val="right"/>
          </w:pPr>
        </w:p>
      </w:tc>
    </w:tr>
  </w:tbl>
  <w:p w:rsidR="374241CD" w:rsidP="374241CD" w:rsidRDefault="374241CD" w14:paraId="09FAE418" w14:textId="1990CD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B75AA" w:rsidRDefault="002B75AA" w14:paraId="571BE753" w14:textId="77777777">
      <w:pPr>
        <w:spacing w:after="0" w:line="240" w:lineRule="auto"/>
      </w:pPr>
      <w:r>
        <w:separator/>
      </w:r>
    </w:p>
  </w:footnote>
  <w:footnote w:type="continuationSeparator" w:id="0">
    <w:p w:rsidR="002B75AA" w:rsidRDefault="002B75AA" w14:paraId="0FD915D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74241CD" w:rsidTr="374241CD" w14:paraId="396B1456" w14:textId="77777777">
      <w:trPr>
        <w:trHeight w:val="300"/>
      </w:trPr>
      <w:tc>
        <w:tcPr>
          <w:tcW w:w="3005" w:type="dxa"/>
        </w:tcPr>
        <w:p w:rsidR="374241CD" w:rsidP="374241CD" w:rsidRDefault="374241CD" w14:paraId="62B3433D" w14:textId="23580014">
          <w:pPr>
            <w:pStyle w:val="Header"/>
            <w:ind w:left="-115"/>
          </w:pPr>
        </w:p>
      </w:tc>
      <w:tc>
        <w:tcPr>
          <w:tcW w:w="3005" w:type="dxa"/>
        </w:tcPr>
        <w:p w:rsidR="374241CD" w:rsidP="374241CD" w:rsidRDefault="374241CD" w14:paraId="309F7FF2" w14:textId="1649B468">
          <w:pPr>
            <w:pStyle w:val="Header"/>
            <w:jc w:val="center"/>
          </w:pPr>
        </w:p>
      </w:tc>
      <w:tc>
        <w:tcPr>
          <w:tcW w:w="3005" w:type="dxa"/>
        </w:tcPr>
        <w:p w:rsidR="374241CD" w:rsidP="374241CD" w:rsidRDefault="374241CD" w14:paraId="7A03AEB1" w14:textId="08E9CCFB">
          <w:pPr>
            <w:pStyle w:val="Header"/>
            <w:ind w:right="-115"/>
            <w:jc w:val="right"/>
          </w:pPr>
        </w:p>
      </w:tc>
    </w:tr>
  </w:tbl>
  <w:p w:rsidR="374241CD" w:rsidP="374241CD" w:rsidRDefault="374241CD" w14:paraId="17C5F6F4" w14:textId="760820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20C4CD"/>
    <w:multiLevelType w:val="hybridMultilevel"/>
    <w:tmpl w:val="FFFFFFFF"/>
    <w:lvl w:ilvl="0" w:tplc="3B7C5250">
      <w:start w:val="1"/>
      <w:numFmt w:val="bullet"/>
      <w:lvlText w:val=""/>
      <w:lvlJc w:val="left"/>
      <w:pPr>
        <w:ind w:left="720" w:hanging="360"/>
      </w:pPr>
      <w:rPr>
        <w:rFonts w:hint="default" w:ascii="Symbol" w:hAnsi="Symbol"/>
      </w:rPr>
    </w:lvl>
    <w:lvl w:ilvl="1" w:tplc="48CAD5F6">
      <w:start w:val="1"/>
      <w:numFmt w:val="bullet"/>
      <w:lvlText w:val="o"/>
      <w:lvlJc w:val="left"/>
      <w:pPr>
        <w:ind w:left="1440" w:hanging="360"/>
      </w:pPr>
      <w:rPr>
        <w:rFonts w:hint="default" w:ascii="Courier New" w:hAnsi="Courier New"/>
      </w:rPr>
    </w:lvl>
    <w:lvl w:ilvl="2" w:tplc="F83C9812">
      <w:start w:val="1"/>
      <w:numFmt w:val="bullet"/>
      <w:lvlText w:val=""/>
      <w:lvlJc w:val="left"/>
      <w:pPr>
        <w:ind w:left="2160" w:hanging="360"/>
      </w:pPr>
      <w:rPr>
        <w:rFonts w:hint="default" w:ascii="Wingdings" w:hAnsi="Wingdings"/>
      </w:rPr>
    </w:lvl>
    <w:lvl w:ilvl="3" w:tplc="64C0A646">
      <w:start w:val="1"/>
      <w:numFmt w:val="bullet"/>
      <w:lvlText w:val=""/>
      <w:lvlJc w:val="left"/>
      <w:pPr>
        <w:ind w:left="2880" w:hanging="360"/>
      </w:pPr>
      <w:rPr>
        <w:rFonts w:hint="default" w:ascii="Symbol" w:hAnsi="Symbol"/>
      </w:rPr>
    </w:lvl>
    <w:lvl w:ilvl="4" w:tplc="701EA198">
      <w:start w:val="1"/>
      <w:numFmt w:val="bullet"/>
      <w:lvlText w:val="o"/>
      <w:lvlJc w:val="left"/>
      <w:pPr>
        <w:ind w:left="3600" w:hanging="360"/>
      </w:pPr>
      <w:rPr>
        <w:rFonts w:hint="default" w:ascii="Courier New" w:hAnsi="Courier New"/>
      </w:rPr>
    </w:lvl>
    <w:lvl w:ilvl="5" w:tplc="F0268C52">
      <w:start w:val="1"/>
      <w:numFmt w:val="bullet"/>
      <w:lvlText w:val=""/>
      <w:lvlJc w:val="left"/>
      <w:pPr>
        <w:ind w:left="4320" w:hanging="360"/>
      </w:pPr>
      <w:rPr>
        <w:rFonts w:hint="default" w:ascii="Wingdings" w:hAnsi="Wingdings"/>
      </w:rPr>
    </w:lvl>
    <w:lvl w:ilvl="6" w:tplc="AB1CCC52">
      <w:start w:val="1"/>
      <w:numFmt w:val="bullet"/>
      <w:lvlText w:val=""/>
      <w:lvlJc w:val="left"/>
      <w:pPr>
        <w:ind w:left="5040" w:hanging="360"/>
      </w:pPr>
      <w:rPr>
        <w:rFonts w:hint="default" w:ascii="Symbol" w:hAnsi="Symbol"/>
      </w:rPr>
    </w:lvl>
    <w:lvl w:ilvl="7" w:tplc="0C70765C">
      <w:start w:val="1"/>
      <w:numFmt w:val="bullet"/>
      <w:lvlText w:val="o"/>
      <w:lvlJc w:val="left"/>
      <w:pPr>
        <w:ind w:left="5760" w:hanging="360"/>
      </w:pPr>
      <w:rPr>
        <w:rFonts w:hint="default" w:ascii="Courier New" w:hAnsi="Courier New"/>
      </w:rPr>
    </w:lvl>
    <w:lvl w:ilvl="8" w:tplc="2E62F27E">
      <w:start w:val="1"/>
      <w:numFmt w:val="bullet"/>
      <w:lvlText w:val=""/>
      <w:lvlJc w:val="left"/>
      <w:pPr>
        <w:ind w:left="6480" w:hanging="360"/>
      </w:pPr>
      <w:rPr>
        <w:rFonts w:hint="default" w:ascii="Wingdings" w:hAnsi="Wingdings"/>
      </w:rPr>
    </w:lvl>
  </w:abstractNum>
  <w:abstractNum w:abstractNumId="1" w15:restartNumberingAfterBreak="0">
    <w:nsid w:val="542ECF5D"/>
    <w:multiLevelType w:val="hybridMultilevel"/>
    <w:tmpl w:val="FFFFFFFF"/>
    <w:lvl w:ilvl="0" w:tplc="47CA6ABE">
      <w:start w:val="1"/>
      <w:numFmt w:val="bullet"/>
      <w:lvlText w:val=""/>
      <w:lvlJc w:val="left"/>
      <w:pPr>
        <w:ind w:left="720" w:hanging="360"/>
      </w:pPr>
      <w:rPr>
        <w:rFonts w:hint="default" w:ascii="Symbol" w:hAnsi="Symbol"/>
      </w:rPr>
    </w:lvl>
    <w:lvl w:ilvl="1" w:tplc="5240EF72">
      <w:start w:val="1"/>
      <w:numFmt w:val="bullet"/>
      <w:lvlText w:val="o"/>
      <w:lvlJc w:val="left"/>
      <w:pPr>
        <w:ind w:left="1440" w:hanging="360"/>
      </w:pPr>
      <w:rPr>
        <w:rFonts w:hint="default" w:ascii="Courier New" w:hAnsi="Courier New"/>
      </w:rPr>
    </w:lvl>
    <w:lvl w:ilvl="2" w:tplc="7794D194">
      <w:start w:val="1"/>
      <w:numFmt w:val="bullet"/>
      <w:lvlText w:val=""/>
      <w:lvlJc w:val="left"/>
      <w:pPr>
        <w:ind w:left="2160" w:hanging="360"/>
      </w:pPr>
      <w:rPr>
        <w:rFonts w:hint="default" w:ascii="Wingdings" w:hAnsi="Wingdings"/>
      </w:rPr>
    </w:lvl>
    <w:lvl w:ilvl="3" w:tplc="CD94461A">
      <w:start w:val="1"/>
      <w:numFmt w:val="bullet"/>
      <w:lvlText w:val=""/>
      <w:lvlJc w:val="left"/>
      <w:pPr>
        <w:ind w:left="2880" w:hanging="360"/>
      </w:pPr>
      <w:rPr>
        <w:rFonts w:hint="default" w:ascii="Symbol" w:hAnsi="Symbol"/>
      </w:rPr>
    </w:lvl>
    <w:lvl w:ilvl="4" w:tplc="C77A07C6">
      <w:start w:val="1"/>
      <w:numFmt w:val="bullet"/>
      <w:lvlText w:val="o"/>
      <w:lvlJc w:val="left"/>
      <w:pPr>
        <w:ind w:left="3600" w:hanging="360"/>
      </w:pPr>
      <w:rPr>
        <w:rFonts w:hint="default" w:ascii="Courier New" w:hAnsi="Courier New"/>
      </w:rPr>
    </w:lvl>
    <w:lvl w:ilvl="5" w:tplc="9C9ED286">
      <w:start w:val="1"/>
      <w:numFmt w:val="bullet"/>
      <w:lvlText w:val=""/>
      <w:lvlJc w:val="left"/>
      <w:pPr>
        <w:ind w:left="4320" w:hanging="360"/>
      </w:pPr>
      <w:rPr>
        <w:rFonts w:hint="default" w:ascii="Wingdings" w:hAnsi="Wingdings"/>
      </w:rPr>
    </w:lvl>
    <w:lvl w:ilvl="6" w:tplc="F0440930">
      <w:start w:val="1"/>
      <w:numFmt w:val="bullet"/>
      <w:lvlText w:val=""/>
      <w:lvlJc w:val="left"/>
      <w:pPr>
        <w:ind w:left="5040" w:hanging="360"/>
      </w:pPr>
      <w:rPr>
        <w:rFonts w:hint="default" w:ascii="Symbol" w:hAnsi="Symbol"/>
      </w:rPr>
    </w:lvl>
    <w:lvl w:ilvl="7" w:tplc="D3A0456C">
      <w:start w:val="1"/>
      <w:numFmt w:val="bullet"/>
      <w:lvlText w:val="o"/>
      <w:lvlJc w:val="left"/>
      <w:pPr>
        <w:ind w:left="5760" w:hanging="360"/>
      </w:pPr>
      <w:rPr>
        <w:rFonts w:hint="default" w:ascii="Courier New" w:hAnsi="Courier New"/>
      </w:rPr>
    </w:lvl>
    <w:lvl w:ilvl="8" w:tplc="9B1CF08C">
      <w:start w:val="1"/>
      <w:numFmt w:val="bullet"/>
      <w:lvlText w:val=""/>
      <w:lvlJc w:val="left"/>
      <w:pPr>
        <w:ind w:left="6480" w:hanging="360"/>
      </w:pPr>
      <w:rPr>
        <w:rFonts w:hint="default" w:ascii="Wingdings" w:hAnsi="Wingdings"/>
      </w:rPr>
    </w:lvl>
  </w:abstractNum>
  <w:num w:numId="1" w16cid:durableId="63458918">
    <w:abstractNumId w:val="1"/>
  </w:num>
  <w:num w:numId="2" w16cid:durableId="18897564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38E729"/>
    <w:rsid w:val="00027AD8"/>
    <w:rsid w:val="0016404F"/>
    <w:rsid w:val="00214518"/>
    <w:rsid w:val="00231DEF"/>
    <w:rsid w:val="002B75AA"/>
    <w:rsid w:val="00391D52"/>
    <w:rsid w:val="005A7CA6"/>
    <w:rsid w:val="00620262"/>
    <w:rsid w:val="006A6086"/>
    <w:rsid w:val="00704E26"/>
    <w:rsid w:val="00B825FF"/>
    <w:rsid w:val="00B854FC"/>
    <w:rsid w:val="00BD8B9D"/>
    <w:rsid w:val="01F2CABF"/>
    <w:rsid w:val="07A76C28"/>
    <w:rsid w:val="0C48BD1F"/>
    <w:rsid w:val="0F285883"/>
    <w:rsid w:val="116A2F78"/>
    <w:rsid w:val="11719261"/>
    <w:rsid w:val="130C2C50"/>
    <w:rsid w:val="1430C6EE"/>
    <w:rsid w:val="15215240"/>
    <w:rsid w:val="199D2FA4"/>
    <w:rsid w:val="1F38B384"/>
    <w:rsid w:val="20295E36"/>
    <w:rsid w:val="24702CA2"/>
    <w:rsid w:val="28C896D2"/>
    <w:rsid w:val="2C4A8257"/>
    <w:rsid w:val="2E481F4D"/>
    <w:rsid w:val="33519A50"/>
    <w:rsid w:val="33674B41"/>
    <w:rsid w:val="34170C67"/>
    <w:rsid w:val="3476F166"/>
    <w:rsid w:val="3483F615"/>
    <w:rsid w:val="34D283FD"/>
    <w:rsid w:val="374241CD"/>
    <w:rsid w:val="3A38E729"/>
    <w:rsid w:val="4119AE26"/>
    <w:rsid w:val="475B7053"/>
    <w:rsid w:val="4CD0E453"/>
    <w:rsid w:val="4D5C13C3"/>
    <w:rsid w:val="5CB5E396"/>
    <w:rsid w:val="5F6DF38F"/>
    <w:rsid w:val="6148861B"/>
    <w:rsid w:val="62F9467C"/>
    <w:rsid w:val="644A7EDE"/>
    <w:rsid w:val="6912ADBE"/>
    <w:rsid w:val="6EF9E36B"/>
    <w:rsid w:val="6FA8C5B5"/>
    <w:rsid w:val="7152A259"/>
    <w:rsid w:val="7BBC7551"/>
    <w:rsid w:val="7D2FDAA5"/>
    <w:rsid w:val="7EDD78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F4D79"/>
  <w15:chartTrackingRefBased/>
  <w15:docId w15:val="{6BA34BC6-74BF-4A8C-A0E3-7E58D7DEC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uiPriority w:val="99"/>
    <w:unhideWhenUsed/>
    <w:rsid w:val="374241CD"/>
    <w:pPr>
      <w:tabs>
        <w:tab w:val="center" w:pos="4680"/>
        <w:tab w:val="right" w:pos="9360"/>
      </w:tabs>
      <w:spacing w:after="0" w:line="240" w:lineRule="auto"/>
    </w:pPr>
  </w:style>
  <w:style w:type="paragraph" w:styleId="Footer">
    <w:name w:val="footer"/>
    <w:basedOn w:val="Normal"/>
    <w:uiPriority w:val="99"/>
    <w:unhideWhenUsed/>
    <w:rsid w:val="374241CD"/>
    <w:pPr>
      <w:tabs>
        <w:tab w:val="center" w:pos="4680"/>
        <w:tab w:val="right" w:pos="9360"/>
      </w:tabs>
      <w:spacing w:after="0" w:line="240" w:lineRule="auto"/>
    </w:pPr>
  </w:style>
  <w:style w:type="paragraph" w:styleId="ListParagraph">
    <w:name w:val="List Paragraph"/>
    <w:basedOn w:val="Normal"/>
    <w:uiPriority w:val="34"/>
    <w:qFormat/>
    <w:rsid w:val="374241CD"/>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1.xml" Id="rId11"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14" /><Relationship Type="http://schemas.openxmlformats.org/officeDocument/2006/relationships/image" Target="/media/image2.png" Id="rId26109113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Stephen John Pugsley (2511445)</dc:creator>
  <keywords/>
  <dc:description/>
  <lastModifiedBy>Stephen John Pugsley (2511445)</lastModifiedBy>
  <revision>5</revision>
  <dcterms:created xsi:type="dcterms:W3CDTF">2026-06-17T14:32:00.0000000Z</dcterms:created>
  <dcterms:modified xsi:type="dcterms:W3CDTF">2026-06-17T19:44:19.2364714Z</dcterms:modified>
</coreProperties>
</file>