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660CE6" w14:textId="532F5CFD" w:rsidR="004D5888" w:rsidRPr="00BB3230" w:rsidRDefault="004D5888" w:rsidP="009B57EA">
      <w:pPr>
        <w:pStyle w:val="papertitle"/>
        <w:spacing w:before="100" w:beforeAutospacing="1" w:after="100" w:afterAutospacing="1" w:line="360" w:lineRule="auto"/>
        <w:jc w:val="left"/>
        <w:rPr>
          <w:rFonts w:asciiTheme="minorBidi" w:hAnsiTheme="minorBidi" w:cstheme="minorBidi"/>
          <w:kern w:val="48"/>
          <w:sz w:val="24"/>
          <w:szCs w:val="24"/>
        </w:rPr>
      </w:pPr>
      <w:bookmarkStart w:id="0" w:name="_Hlk192168821"/>
      <w:r w:rsidRPr="00BB3230">
        <w:rPr>
          <w:rFonts w:asciiTheme="minorBidi" w:hAnsiTheme="minorBidi" w:cstheme="minorBidi"/>
          <w:kern w:val="48"/>
          <w:sz w:val="24"/>
          <w:szCs w:val="24"/>
        </w:rPr>
        <w:t xml:space="preserve">Task 1 – Research in Data Security and Compliance </w:t>
      </w:r>
    </w:p>
    <w:p w14:paraId="6D099890" w14:textId="77777777" w:rsidR="004D5888" w:rsidRPr="00BB3230" w:rsidRDefault="004D5888" w:rsidP="009B57EA">
      <w:pPr>
        <w:pStyle w:val="Author"/>
        <w:spacing w:before="100" w:beforeAutospacing="1" w:after="100" w:afterAutospacing="1" w:line="360" w:lineRule="auto"/>
        <w:jc w:val="left"/>
        <w:rPr>
          <w:rFonts w:asciiTheme="minorBidi" w:hAnsiTheme="minorBidi" w:cstheme="minorBidi"/>
          <w:sz w:val="24"/>
          <w:szCs w:val="24"/>
        </w:rPr>
        <w:sectPr w:rsidR="004D5888" w:rsidRPr="00BB3230" w:rsidSect="009E3CCB">
          <w:headerReference w:type="default" r:id="rId9"/>
          <w:headerReference w:type="first" r:id="rId10"/>
          <w:footerReference w:type="first" r:id="rId11"/>
          <w:pgSz w:w="11906" w:h="16838" w:code="9"/>
          <w:pgMar w:top="540" w:right="893" w:bottom="1440" w:left="893" w:header="720" w:footer="720" w:gutter="0"/>
          <w:pgBorders w:offsetFrom="page">
            <w:top w:val="dashDotStroked" w:sz="24" w:space="24" w:color="074F6A" w:themeColor="accent4" w:themeShade="80"/>
            <w:left w:val="dashDotStroked" w:sz="24" w:space="24" w:color="074F6A" w:themeColor="accent4" w:themeShade="80"/>
            <w:bottom w:val="dashDotStroked" w:sz="24" w:space="24" w:color="074F6A" w:themeColor="accent4" w:themeShade="80"/>
            <w:right w:val="dashDotStroked" w:sz="24" w:space="24" w:color="074F6A" w:themeColor="accent4" w:themeShade="80"/>
          </w:pgBorders>
          <w:pgNumType w:start="0"/>
          <w:cols w:space="720"/>
          <w:titlePg/>
          <w:docGrid w:linePitch="360"/>
        </w:sectPr>
      </w:pPr>
    </w:p>
    <w:p w14:paraId="6B13F266" w14:textId="59724F11" w:rsidR="004D5888" w:rsidRPr="00BB3230" w:rsidRDefault="004D5888" w:rsidP="009B57EA">
      <w:pPr>
        <w:pStyle w:val="Author"/>
        <w:spacing w:before="0" w:line="360" w:lineRule="auto"/>
        <w:jc w:val="left"/>
        <w:rPr>
          <w:rFonts w:asciiTheme="minorBidi" w:hAnsiTheme="minorBidi" w:cstheme="minorBidi"/>
          <w:sz w:val="24"/>
          <w:szCs w:val="24"/>
        </w:rPr>
      </w:pPr>
    </w:p>
    <w:p w14:paraId="488EE39E" w14:textId="09BE8511" w:rsidR="004D5888" w:rsidRPr="00BB3230" w:rsidRDefault="004D5888" w:rsidP="000B261A">
      <w:pPr>
        <w:pStyle w:val="Author"/>
        <w:spacing w:before="0" w:line="360" w:lineRule="auto"/>
        <w:rPr>
          <w:rFonts w:asciiTheme="minorBidi" w:hAnsiTheme="minorBidi" w:cstheme="minorBidi"/>
          <w:i/>
          <w:sz w:val="24"/>
          <w:szCs w:val="24"/>
        </w:rPr>
      </w:pPr>
      <w:r w:rsidRPr="00BB3230">
        <w:rPr>
          <w:rFonts w:asciiTheme="minorBidi" w:hAnsiTheme="minorBidi" w:cstheme="minorBidi"/>
          <w:sz w:val="24"/>
          <w:szCs w:val="24"/>
        </w:rPr>
        <w:t>Student Name: Nasira Perveen</w:t>
      </w:r>
    </w:p>
    <w:p w14:paraId="3DCB3D17" w14:textId="232F9FDD" w:rsidR="004D5888" w:rsidRPr="00BB3230" w:rsidRDefault="004D5888" w:rsidP="000B261A">
      <w:pPr>
        <w:pStyle w:val="Author"/>
        <w:spacing w:before="0" w:line="360" w:lineRule="auto"/>
        <w:rPr>
          <w:rFonts w:asciiTheme="minorBidi" w:hAnsiTheme="minorBidi" w:cstheme="minorBidi"/>
          <w:sz w:val="24"/>
          <w:szCs w:val="24"/>
        </w:rPr>
      </w:pPr>
      <w:r w:rsidRPr="00BB3230">
        <w:rPr>
          <w:rFonts w:asciiTheme="minorBidi" w:hAnsiTheme="minorBidi" w:cstheme="minorBidi"/>
          <w:i/>
          <w:sz w:val="24"/>
          <w:szCs w:val="24"/>
        </w:rPr>
        <w:t>Student Id:2331267</w:t>
      </w:r>
    </w:p>
    <w:p w14:paraId="242EB151" w14:textId="5832178B" w:rsidR="004D5888" w:rsidRPr="00BB3230" w:rsidRDefault="004D5888" w:rsidP="000B261A">
      <w:pPr>
        <w:pStyle w:val="Author"/>
        <w:spacing w:before="0" w:line="360" w:lineRule="auto"/>
        <w:rPr>
          <w:rFonts w:asciiTheme="minorBidi" w:hAnsiTheme="minorBidi" w:cstheme="minorBidi"/>
          <w:sz w:val="24"/>
          <w:szCs w:val="24"/>
        </w:rPr>
      </w:pPr>
      <w:r w:rsidRPr="00BB3230">
        <w:rPr>
          <w:rFonts w:asciiTheme="minorBidi" w:hAnsiTheme="minorBidi" w:cstheme="minorBidi"/>
          <w:sz w:val="24"/>
          <w:szCs w:val="24"/>
        </w:rPr>
        <w:t>Module Code: ACCA5034</w:t>
      </w:r>
    </w:p>
    <w:p w14:paraId="2A6D85C4" w14:textId="66F3EF34" w:rsidR="004D5888" w:rsidRPr="00BB3230" w:rsidRDefault="004D5888" w:rsidP="000B261A">
      <w:pPr>
        <w:pStyle w:val="Author"/>
        <w:spacing w:before="0" w:line="360" w:lineRule="auto"/>
        <w:rPr>
          <w:rFonts w:asciiTheme="minorBidi" w:hAnsiTheme="minorBidi" w:cstheme="minorBidi"/>
          <w:sz w:val="24"/>
          <w:szCs w:val="24"/>
        </w:rPr>
      </w:pPr>
      <w:r w:rsidRPr="00BB3230">
        <w:rPr>
          <w:rFonts w:asciiTheme="minorBidi" w:hAnsiTheme="minorBidi" w:cstheme="minorBidi"/>
          <w:sz w:val="24"/>
          <w:szCs w:val="24"/>
        </w:rPr>
        <w:t>Assignment Title:</w:t>
      </w:r>
    </w:p>
    <w:p w14:paraId="341F052B" w14:textId="7CF54D1F" w:rsidR="004D5888" w:rsidRPr="00BB3230" w:rsidRDefault="004D5888" w:rsidP="000B261A">
      <w:pPr>
        <w:pStyle w:val="Author"/>
        <w:spacing w:before="0" w:line="360" w:lineRule="auto"/>
        <w:rPr>
          <w:rFonts w:asciiTheme="minorBidi" w:hAnsiTheme="minorBidi" w:cstheme="minorBidi"/>
          <w:sz w:val="24"/>
          <w:szCs w:val="24"/>
        </w:rPr>
      </w:pPr>
      <w:r w:rsidRPr="00BB3230">
        <w:rPr>
          <w:rFonts w:asciiTheme="minorBidi" w:hAnsiTheme="minorBidi" w:cstheme="minorBidi"/>
          <w:bCs/>
          <w:sz w:val="24"/>
          <w:szCs w:val="24"/>
        </w:rPr>
        <w:t>Research and case scenario in Data Security and Compliance</w:t>
      </w:r>
      <w:r w:rsidRPr="00BB3230">
        <w:rPr>
          <w:rFonts w:asciiTheme="minorBidi" w:hAnsiTheme="minorBidi" w:cstheme="minorBidi"/>
          <w:bCs/>
          <w:sz w:val="24"/>
          <w:szCs w:val="24"/>
        </w:rPr>
        <w:br/>
      </w:r>
      <w:r w:rsidRPr="00BB3230">
        <w:rPr>
          <w:rFonts w:asciiTheme="minorBidi" w:hAnsiTheme="minorBidi" w:cstheme="minorBidi"/>
          <w:i/>
          <w:sz w:val="24"/>
          <w:szCs w:val="24"/>
        </w:rPr>
        <w:t xml:space="preserve">Lecturer. Dr Mohammed Ben Farah </w:t>
      </w:r>
      <w:r w:rsidRPr="00BB3230">
        <w:rPr>
          <w:rFonts w:asciiTheme="minorBidi" w:hAnsiTheme="minorBidi" w:cstheme="minorBidi"/>
          <w:i/>
          <w:sz w:val="24"/>
          <w:szCs w:val="24"/>
        </w:rPr>
        <w:br/>
      </w:r>
      <w:r w:rsidRPr="00BB3230">
        <w:rPr>
          <w:rFonts w:asciiTheme="minorBidi" w:hAnsiTheme="minorBidi" w:cstheme="minorBidi"/>
          <w:sz w:val="24"/>
          <w:szCs w:val="24"/>
        </w:rPr>
        <w:t>Submission Date:31</w:t>
      </w:r>
      <w:r w:rsidRPr="00BB3230">
        <w:rPr>
          <w:rFonts w:asciiTheme="minorBidi" w:hAnsiTheme="minorBidi" w:cstheme="minorBidi"/>
          <w:sz w:val="24"/>
          <w:szCs w:val="24"/>
          <w:vertAlign w:val="superscript"/>
        </w:rPr>
        <w:t>st</w:t>
      </w:r>
      <w:r w:rsidRPr="00BB3230">
        <w:rPr>
          <w:rFonts w:asciiTheme="minorBidi" w:hAnsiTheme="minorBidi" w:cstheme="minorBidi"/>
          <w:sz w:val="24"/>
          <w:szCs w:val="24"/>
        </w:rPr>
        <w:t xml:space="preserve"> March 2026 (2 pm)</w:t>
      </w:r>
    </w:p>
    <w:p w14:paraId="5A7D017D" w14:textId="3880ACAA" w:rsidR="004D5888" w:rsidRPr="00BB3230" w:rsidRDefault="004D5888" w:rsidP="000B261A">
      <w:pPr>
        <w:pStyle w:val="Author"/>
        <w:spacing w:before="0" w:line="360" w:lineRule="auto"/>
        <w:rPr>
          <w:rFonts w:asciiTheme="minorBidi" w:hAnsiTheme="minorBidi" w:cstheme="minorBidi"/>
          <w:sz w:val="24"/>
          <w:szCs w:val="24"/>
        </w:rPr>
      </w:pPr>
      <w:r w:rsidRPr="00BB3230">
        <w:rPr>
          <w:rFonts w:asciiTheme="minorBidi" w:hAnsiTheme="minorBidi" w:cstheme="minorBidi"/>
          <w:sz w:val="24"/>
          <w:szCs w:val="24"/>
        </w:rPr>
        <w:t>University Of Wales Trinity Saint David</w:t>
      </w:r>
    </w:p>
    <w:bookmarkEnd w:id="0"/>
    <w:p w14:paraId="2E554492" w14:textId="10C1B39E" w:rsidR="004D5888" w:rsidRPr="00BB3230" w:rsidRDefault="004D5888" w:rsidP="009B57EA">
      <w:pPr>
        <w:pStyle w:val="Author"/>
        <w:spacing w:before="0" w:line="360" w:lineRule="auto"/>
        <w:jc w:val="left"/>
        <w:rPr>
          <w:rFonts w:asciiTheme="minorBidi" w:hAnsiTheme="minorBidi" w:cstheme="minorBidi"/>
          <w:sz w:val="24"/>
          <w:szCs w:val="24"/>
        </w:rPr>
        <w:sectPr w:rsidR="004D5888" w:rsidRPr="00BB3230" w:rsidSect="000C71F3">
          <w:type w:val="continuous"/>
          <w:pgSz w:w="11906" w:h="16838" w:code="9"/>
          <w:pgMar w:top="450" w:right="893" w:bottom="1440" w:left="893" w:header="720" w:footer="720" w:gutter="0"/>
          <w:pgBorders w:offsetFrom="page">
            <w:top w:val="dashDotStroked" w:sz="24" w:space="24" w:color="074F6A" w:themeColor="accent4" w:themeShade="80"/>
            <w:left w:val="dashDotStroked" w:sz="24" w:space="24" w:color="074F6A" w:themeColor="accent4" w:themeShade="80"/>
            <w:bottom w:val="dashDotStroked" w:sz="24" w:space="24" w:color="074F6A" w:themeColor="accent4" w:themeShade="80"/>
            <w:right w:val="dashDotStroked" w:sz="24" w:space="24" w:color="074F6A" w:themeColor="accent4" w:themeShade="80"/>
          </w:pgBorders>
          <w:cols w:space="720"/>
          <w:docGrid w:linePitch="360"/>
        </w:sectPr>
      </w:pPr>
    </w:p>
    <w:p w14:paraId="18346E35" w14:textId="77777777" w:rsidR="004D5888" w:rsidRPr="00BB3230" w:rsidRDefault="004D5888" w:rsidP="009B57EA">
      <w:pPr>
        <w:pStyle w:val="Author"/>
        <w:spacing w:before="100" w:beforeAutospacing="1" w:line="360" w:lineRule="auto"/>
        <w:jc w:val="left"/>
        <w:rPr>
          <w:rFonts w:asciiTheme="minorBidi" w:hAnsiTheme="minorBidi" w:cstheme="minorBidi"/>
          <w:sz w:val="24"/>
          <w:szCs w:val="24"/>
        </w:rPr>
      </w:pPr>
      <w:r w:rsidRPr="00BB3230">
        <w:rPr>
          <w:rFonts w:asciiTheme="minorBidi" w:hAnsiTheme="minorBidi" w:cstheme="minorBidi"/>
          <w:sz w:val="24"/>
          <w:szCs w:val="24"/>
        </w:rPr>
        <w:t xml:space="preserve"> </w:t>
      </w:r>
    </w:p>
    <w:p w14:paraId="2E74A093" w14:textId="77777777" w:rsidR="004D5888" w:rsidRPr="00BB3230" w:rsidRDefault="004D5888" w:rsidP="009B57EA">
      <w:pPr>
        <w:spacing w:line="360" w:lineRule="auto"/>
        <w:jc w:val="left"/>
        <w:rPr>
          <w:rFonts w:asciiTheme="minorBidi" w:hAnsiTheme="minorBidi" w:cstheme="minorBidi"/>
          <w:sz w:val="24"/>
          <w:szCs w:val="24"/>
        </w:rPr>
        <w:sectPr w:rsidR="004D5888" w:rsidRPr="00BB3230" w:rsidSect="000C71F3">
          <w:type w:val="continuous"/>
          <w:pgSz w:w="11906" w:h="16838" w:code="9"/>
          <w:pgMar w:top="450" w:right="893" w:bottom="1440" w:left="893" w:header="720" w:footer="720" w:gutter="0"/>
          <w:pgBorders w:offsetFrom="page">
            <w:top w:val="dashDotStroked" w:sz="24" w:space="24" w:color="074F6A" w:themeColor="accent4" w:themeShade="80"/>
            <w:left w:val="dashDotStroked" w:sz="24" w:space="24" w:color="074F6A" w:themeColor="accent4" w:themeShade="80"/>
            <w:bottom w:val="dashDotStroked" w:sz="24" w:space="24" w:color="074F6A" w:themeColor="accent4" w:themeShade="80"/>
            <w:right w:val="dashDotStroked" w:sz="24" w:space="24" w:color="074F6A" w:themeColor="accent4" w:themeShade="80"/>
          </w:pgBorders>
          <w:cols w:num="3" w:space="720"/>
          <w:docGrid w:linePitch="360"/>
        </w:sectPr>
      </w:pPr>
    </w:p>
    <w:p w14:paraId="668A2DFE" w14:textId="0A2A7FF0" w:rsidR="00BF2C7B" w:rsidRPr="00BF2C7B" w:rsidRDefault="004D5888" w:rsidP="00BF2C7B">
      <w:pPr>
        <w:spacing w:after="160" w:line="360" w:lineRule="auto"/>
        <w:jc w:val="left"/>
        <w:rPr>
          <w:rFonts w:asciiTheme="minorBidi" w:hAnsiTheme="minorBidi" w:cstheme="minorBidi"/>
          <w:i/>
          <w:iCs/>
          <w:sz w:val="24"/>
          <w:szCs w:val="24"/>
          <w:lang w:val="en-GB"/>
        </w:rPr>
      </w:pPr>
      <w:r w:rsidRPr="00BB3230">
        <w:rPr>
          <w:rFonts w:asciiTheme="minorBidi" w:hAnsiTheme="minorBidi" w:cstheme="minorBidi"/>
          <w:b/>
          <w:bCs/>
          <w:i/>
          <w:iCs/>
          <w:sz w:val="24"/>
          <w:szCs w:val="24"/>
        </w:rPr>
        <w:t>Abstract</w:t>
      </w:r>
      <w:r w:rsidR="00BF2C7B">
        <w:rPr>
          <w:rFonts w:asciiTheme="minorBidi" w:hAnsiTheme="minorBidi" w:cstheme="minorBidi"/>
          <w:b/>
          <w:bCs/>
          <w:i/>
          <w:iCs/>
          <w:sz w:val="24"/>
          <w:szCs w:val="24"/>
        </w:rPr>
        <w:t xml:space="preserve">: </w:t>
      </w:r>
      <w:r w:rsidR="00BF2C7B" w:rsidRPr="00BF2C7B">
        <w:rPr>
          <w:rFonts w:asciiTheme="minorBidi" w:hAnsiTheme="minorBidi" w:cstheme="minorBidi"/>
          <w:i/>
          <w:iCs/>
          <w:sz w:val="24"/>
          <w:szCs w:val="24"/>
          <w:lang w:val="en-GB"/>
        </w:rPr>
        <w:t>Modern organisations operate in distributed digital environments shaped by cloud adoption, hybrid work, supply chain dependencies, and advanced cyber threats. Perimeter-based security is increasingly ineffective against lateral movement, credential misuse, and insider risks.</w:t>
      </w:r>
    </w:p>
    <w:p w14:paraId="5E1355D8" w14:textId="77777777" w:rsidR="00BF2C7B" w:rsidRPr="00BF2C7B" w:rsidRDefault="00BF2C7B" w:rsidP="00BF2C7B">
      <w:pPr>
        <w:spacing w:after="160" w:line="360" w:lineRule="auto"/>
        <w:jc w:val="left"/>
        <w:rPr>
          <w:rFonts w:asciiTheme="minorBidi" w:hAnsiTheme="minorBidi" w:cstheme="minorBidi"/>
          <w:i/>
          <w:iCs/>
          <w:sz w:val="24"/>
          <w:szCs w:val="24"/>
          <w:lang w:val="en-GB"/>
        </w:rPr>
      </w:pPr>
      <w:r w:rsidRPr="00BF2C7B">
        <w:rPr>
          <w:rFonts w:asciiTheme="minorBidi" w:hAnsiTheme="minorBidi" w:cstheme="minorBidi"/>
          <w:i/>
          <w:iCs/>
          <w:sz w:val="24"/>
          <w:szCs w:val="24"/>
          <w:lang w:val="en-GB"/>
        </w:rPr>
        <w:t>Zero Trust Architecture (ZTA) has emerged as a strategic model based on continuous verification, least-privilege access, and micro-segmentation. This paper critically evaluates Zero Trust principles, implementation challenges, and effectiveness compared to traditional network security, while examining how organisations can anticipate, protect, detect, and automatically respond to threats within a Zero Trust framework.</w:t>
      </w:r>
    </w:p>
    <w:p w14:paraId="3EBEB01B" w14:textId="5E80B1F2" w:rsidR="009F5CAD" w:rsidRPr="00BF2C7B" w:rsidRDefault="009F5CAD" w:rsidP="00BF2C7B">
      <w:pPr>
        <w:spacing w:after="160" w:line="360" w:lineRule="auto"/>
        <w:jc w:val="left"/>
        <w:rPr>
          <w:rFonts w:asciiTheme="minorBidi" w:hAnsiTheme="minorBidi" w:cstheme="minorBidi"/>
          <w:sz w:val="24"/>
          <w:szCs w:val="24"/>
        </w:rPr>
      </w:pPr>
      <w:r w:rsidRPr="009F5CAD">
        <w:rPr>
          <w:rFonts w:asciiTheme="minorBidi" w:hAnsiTheme="minorBidi" w:cstheme="minorBidi"/>
          <w:b/>
          <w:bCs/>
          <w:sz w:val="24"/>
          <w:szCs w:val="24"/>
          <w:lang w:val="en-GB"/>
        </w:rPr>
        <w:t>Index Terms</w:t>
      </w:r>
      <w:r w:rsidR="002C5BF2" w:rsidRPr="00BB3230">
        <w:rPr>
          <w:rFonts w:asciiTheme="minorBidi" w:hAnsiTheme="minorBidi" w:cstheme="minorBidi"/>
          <w:b/>
          <w:bCs/>
          <w:sz w:val="24"/>
          <w:szCs w:val="24"/>
          <w:lang w:val="en-GB"/>
        </w:rPr>
        <w:t xml:space="preserve">: </w:t>
      </w:r>
      <w:r w:rsidRPr="009F5CAD">
        <w:rPr>
          <w:rFonts w:asciiTheme="minorBidi" w:hAnsiTheme="minorBidi" w:cstheme="minorBidi"/>
          <w:sz w:val="24"/>
          <w:szCs w:val="24"/>
          <w:lang w:val="en-GB"/>
        </w:rPr>
        <w:t xml:space="preserve">Zero Trust Architecture, Cybersecurity, Micro-segmentation, Identity </w:t>
      </w:r>
      <w:r w:rsidRPr="009F5CAD">
        <w:rPr>
          <w:rFonts w:asciiTheme="minorBidi" w:hAnsiTheme="minorBidi" w:cstheme="minorBidi"/>
          <w:sz w:val="24"/>
          <w:szCs w:val="24"/>
          <w:lang w:val="en-GB"/>
        </w:rPr>
        <w:t>and Access Management, Threat Detection, Security Automation, Compliance</w:t>
      </w:r>
    </w:p>
    <w:p w14:paraId="5164F3AB"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Task 1 – Research in Data Security and Compliance</w:t>
      </w:r>
    </w:p>
    <w:p w14:paraId="28E4C648"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I. Introduction</w:t>
      </w:r>
    </w:p>
    <w:p w14:paraId="715ACB00" w14:textId="39282F3D" w:rsidR="003D7E97" w:rsidRPr="003D7E97" w:rsidRDefault="003D7E97" w:rsidP="003D7E97">
      <w:pPr>
        <w:spacing w:line="360" w:lineRule="auto"/>
        <w:jc w:val="left"/>
        <w:rPr>
          <w:rFonts w:asciiTheme="minorBidi" w:eastAsia="MS Mincho" w:hAnsiTheme="minorBidi" w:cstheme="minorBidi"/>
          <w:noProof/>
          <w:kern w:val="48"/>
          <w:sz w:val="24"/>
          <w:szCs w:val="24"/>
          <w:lang w:val="en-GB"/>
        </w:rPr>
      </w:pPr>
      <w:r w:rsidRPr="003D7E97">
        <w:rPr>
          <w:rFonts w:asciiTheme="minorBidi" w:eastAsia="MS Mincho" w:hAnsiTheme="minorBidi" w:cstheme="minorBidi"/>
          <w:noProof/>
          <w:kern w:val="48"/>
          <w:sz w:val="24"/>
          <w:szCs w:val="24"/>
          <w:lang w:val="en-GB"/>
        </w:rPr>
        <w:t>Digital transformation has reshaped security architectures. Cloud-native systems, hybrid work, mobile computing, SaaS platforms, and global supply chains have eroded the traditional network perimeter. The assumption that internal networks are trustworthy and external environments hostile is no longer valid. Modern threats</w:t>
      </w:r>
      <w:r w:rsidR="00BF2C7B">
        <w:rPr>
          <w:rFonts w:asciiTheme="minorBidi" w:eastAsia="MS Mincho" w:hAnsiTheme="minorBidi" w:cstheme="minorBidi"/>
          <w:noProof/>
          <w:kern w:val="48"/>
          <w:sz w:val="24"/>
          <w:szCs w:val="24"/>
          <w:lang w:val="en-GB"/>
        </w:rPr>
        <w:t>,</w:t>
      </w:r>
      <w:r w:rsidR="005F58F2">
        <w:rPr>
          <w:rFonts w:asciiTheme="minorBidi" w:eastAsia="MS Mincho" w:hAnsiTheme="minorBidi" w:cstheme="minorBidi"/>
          <w:noProof/>
          <w:kern w:val="48"/>
          <w:sz w:val="24"/>
          <w:szCs w:val="24"/>
          <w:lang w:val="en-GB"/>
        </w:rPr>
        <w:t xml:space="preserve"> </w:t>
      </w:r>
      <w:r w:rsidRPr="003D7E97">
        <w:rPr>
          <w:rFonts w:asciiTheme="minorBidi" w:eastAsia="MS Mincho" w:hAnsiTheme="minorBidi" w:cstheme="minorBidi"/>
          <w:noProof/>
          <w:kern w:val="48"/>
          <w:sz w:val="24"/>
          <w:szCs w:val="24"/>
          <w:lang w:val="en-GB"/>
        </w:rPr>
        <w:t>including advanced persistent attacks, credential theft, ransomware, and insider misuse</w:t>
      </w:r>
      <w:r w:rsidR="00BF2C7B">
        <w:rPr>
          <w:rFonts w:asciiTheme="minorBidi" w:eastAsia="MS Mincho" w:hAnsiTheme="minorBidi" w:cstheme="minorBidi"/>
          <w:noProof/>
          <w:kern w:val="48"/>
          <w:sz w:val="24"/>
          <w:szCs w:val="24"/>
          <w:lang w:val="en-GB"/>
        </w:rPr>
        <w:t xml:space="preserve">, </w:t>
      </w:r>
      <w:r w:rsidRPr="003D7E97">
        <w:rPr>
          <w:rFonts w:asciiTheme="minorBidi" w:eastAsia="MS Mincho" w:hAnsiTheme="minorBidi" w:cstheme="minorBidi"/>
          <w:noProof/>
          <w:kern w:val="48"/>
          <w:sz w:val="24"/>
          <w:szCs w:val="24"/>
          <w:lang w:val="en-GB"/>
        </w:rPr>
        <w:t>operate across distributed infrastructures, enabling rapid lateral movement after initial compromise.</w:t>
      </w:r>
    </w:p>
    <w:p w14:paraId="432AB9F5" w14:textId="77777777" w:rsidR="003D7E97" w:rsidRPr="003D7E97" w:rsidRDefault="003D7E97" w:rsidP="003D7E97">
      <w:pPr>
        <w:spacing w:line="360" w:lineRule="auto"/>
        <w:jc w:val="left"/>
        <w:rPr>
          <w:rFonts w:asciiTheme="minorBidi" w:eastAsia="MS Mincho" w:hAnsiTheme="minorBidi" w:cstheme="minorBidi"/>
          <w:noProof/>
          <w:kern w:val="48"/>
          <w:sz w:val="24"/>
          <w:szCs w:val="24"/>
          <w:lang w:val="en-GB"/>
        </w:rPr>
      </w:pPr>
    </w:p>
    <w:p w14:paraId="261BFC3A" w14:textId="0D71DC3E" w:rsidR="003D7E97" w:rsidRPr="003D7E97" w:rsidRDefault="003D7E97" w:rsidP="005F58F2">
      <w:pPr>
        <w:spacing w:line="360" w:lineRule="auto"/>
        <w:jc w:val="left"/>
        <w:rPr>
          <w:rFonts w:asciiTheme="minorBidi" w:eastAsia="MS Mincho" w:hAnsiTheme="minorBidi" w:cstheme="minorBidi"/>
          <w:noProof/>
          <w:kern w:val="48"/>
          <w:sz w:val="24"/>
          <w:szCs w:val="24"/>
          <w:lang w:val="en-GB"/>
        </w:rPr>
      </w:pPr>
      <w:r w:rsidRPr="003D7E97">
        <w:rPr>
          <w:rFonts w:asciiTheme="minorBidi" w:eastAsia="MS Mincho" w:hAnsiTheme="minorBidi" w:cstheme="minorBidi"/>
          <w:noProof/>
          <w:kern w:val="48"/>
          <w:sz w:val="24"/>
          <w:szCs w:val="24"/>
          <w:lang w:val="en-GB"/>
        </w:rPr>
        <w:t xml:space="preserve">Zero Trust Architecture (ZTA), defined in NIST SP 800-207, removes implicit trust </w:t>
      </w:r>
      <w:r w:rsidRPr="003D7E97">
        <w:rPr>
          <w:rFonts w:asciiTheme="minorBidi" w:eastAsia="MS Mincho" w:hAnsiTheme="minorBidi" w:cstheme="minorBidi"/>
          <w:noProof/>
          <w:kern w:val="48"/>
          <w:sz w:val="24"/>
          <w:szCs w:val="24"/>
          <w:lang w:val="en-GB"/>
        </w:rPr>
        <w:lastRenderedPageBreak/>
        <w:t>and requires continuous verification of every access request regardless of location [1]. It is not a single technology but an architectural paradigm integrating identity governance, device assurance, segmentation, behavioural analytics, and automated response.</w:t>
      </w:r>
    </w:p>
    <w:p w14:paraId="65266808" w14:textId="77777777" w:rsidR="005F58F2" w:rsidRDefault="003D7E97" w:rsidP="003D7E97">
      <w:pPr>
        <w:spacing w:line="360" w:lineRule="auto"/>
        <w:jc w:val="left"/>
        <w:rPr>
          <w:rFonts w:asciiTheme="minorBidi" w:eastAsia="MS Mincho" w:hAnsiTheme="minorBidi" w:cstheme="minorBidi"/>
          <w:noProof/>
          <w:kern w:val="48"/>
          <w:sz w:val="24"/>
          <w:szCs w:val="24"/>
          <w:lang w:val="en-GB"/>
        </w:rPr>
      </w:pPr>
      <w:r w:rsidRPr="003D7E97">
        <w:rPr>
          <w:rFonts w:asciiTheme="minorBidi" w:eastAsia="MS Mincho" w:hAnsiTheme="minorBidi" w:cstheme="minorBidi"/>
          <w:noProof/>
          <w:kern w:val="48"/>
          <w:sz w:val="24"/>
          <w:szCs w:val="24"/>
          <w:lang w:val="en-GB"/>
        </w:rPr>
        <w:t>Literature shows growing adoption across sectors due to improved lateral movement control and breach containment [2]. However, debate remains over cost, feasibility, and long-term effectiveness. This paper critically examines Zero Trust’s theoretical basis, architecture, advantages, challenges, and regulatory alignment within contemporary governance frameworks.</w:t>
      </w:r>
    </w:p>
    <w:p w14:paraId="0D148CBC" w14:textId="0B841500" w:rsidR="0064550E" w:rsidRPr="0064550E" w:rsidRDefault="00464C0B" w:rsidP="003D7E97">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6C5C22B7" w14:textId="448A9B2B" w:rsidR="00AC11D8" w:rsidRPr="004D133D" w:rsidRDefault="0064550E" w:rsidP="004D133D">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II. Theoretical Foundations of Zero Trust</w:t>
      </w:r>
    </w:p>
    <w:p w14:paraId="244F9430" w14:textId="77777777" w:rsidR="000A2AFD" w:rsidRPr="000A2AFD" w:rsidRDefault="000A2AFD" w:rsidP="000A2AFD">
      <w:pPr>
        <w:spacing w:line="360" w:lineRule="auto"/>
        <w:jc w:val="left"/>
        <w:rPr>
          <w:rFonts w:asciiTheme="minorBidi" w:eastAsia="MS Mincho" w:hAnsiTheme="minorBidi" w:cstheme="minorBidi"/>
          <w:noProof/>
          <w:kern w:val="48"/>
          <w:sz w:val="24"/>
          <w:szCs w:val="24"/>
          <w:lang w:val="en-GB"/>
        </w:rPr>
      </w:pPr>
      <w:r w:rsidRPr="000A2AFD">
        <w:rPr>
          <w:rFonts w:asciiTheme="minorBidi" w:eastAsia="MS Mincho" w:hAnsiTheme="minorBidi" w:cstheme="minorBidi"/>
          <w:noProof/>
          <w:kern w:val="48"/>
          <w:sz w:val="24"/>
          <w:szCs w:val="24"/>
          <w:lang w:val="en-GB"/>
        </w:rPr>
        <w:t>Zero Trust marks a shift from perimeter-based defence to identity-driven adaptive security. Traditional defence-in-depth uses layered controls (firewalls, IDS, VPNs) around an internal core, implicitly trusting authenticated users and devices.</w:t>
      </w:r>
    </w:p>
    <w:p w14:paraId="1BF4B175" w14:textId="1E0223DE" w:rsidR="000A2AFD" w:rsidRPr="000A2AFD" w:rsidRDefault="000A2AFD" w:rsidP="000A2AFD">
      <w:pPr>
        <w:spacing w:line="360" w:lineRule="auto"/>
        <w:jc w:val="left"/>
        <w:rPr>
          <w:rFonts w:asciiTheme="minorBidi" w:eastAsia="MS Mincho" w:hAnsiTheme="minorBidi" w:cstheme="minorBidi"/>
          <w:noProof/>
          <w:kern w:val="48"/>
          <w:sz w:val="24"/>
          <w:szCs w:val="24"/>
          <w:lang w:val="en-GB"/>
        </w:rPr>
      </w:pPr>
      <w:r w:rsidRPr="000A2AFD">
        <w:rPr>
          <w:rFonts w:asciiTheme="minorBidi" w:eastAsia="MS Mincho" w:hAnsiTheme="minorBidi" w:cstheme="minorBidi"/>
          <w:noProof/>
          <w:kern w:val="48"/>
          <w:sz w:val="24"/>
          <w:szCs w:val="24"/>
          <w:lang w:val="en-GB"/>
        </w:rPr>
        <w:t xml:space="preserve">Zero Trust removes this assumption. NIST states </w:t>
      </w:r>
      <w:r w:rsidR="00352900">
        <w:rPr>
          <w:rFonts w:asciiTheme="minorBidi" w:eastAsia="MS Mincho" w:hAnsiTheme="minorBidi" w:cstheme="minorBidi"/>
          <w:noProof/>
          <w:kern w:val="48"/>
          <w:sz w:val="24"/>
          <w:szCs w:val="24"/>
          <w:lang w:val="en-GB"/>
        </w:rPr>
        <w:t xml:space="preserve">that </w:t>
      </w:r>
      <w:r w:rsidRPr="000A2AFD">
        <w:rPr>
          <w:rFonts w:asciiTheme="minorBidi" w:eastAsia="MS Mincho" w:hAnsiTheme="minorBidi" w:cstheme="minorBidi"/>
          <w:noProof/>
          <w:kern w:val="48"/>
          <w:sz w:val="24"/>
          <w:szCs w:val="24"/>
          <w:lang w:val="en-GB"/>
        </w:rPr>
        <w:t>no implicit trust is granted by network or physical location; every access request must be explicitly verified using identity, device health, contextual risk, and policy evaluation [3].</w:t>
      </w:r>
    </w:p>
    <w:p w14:paraId="15489BF0" w14:textId="77777777" w:rsidR="000A2AFD" w:rsidRPr="000A2AFD" w:rsidRDefault="000A2AFD" w:rsidP="000A2AFD">
      <w:pPr>
        <w:spacing w:line="360" w:lineRule="auto"/>
        <w:jc w:val="left"/>
        <w:rPr>
          <w:rFonts w:asciiTheme="minorBidi" w:eastAsia="MS Mincho" w:hAnsiTheme="minorBidi" w:cstheme="minorBidi"/>
          <w:noProof/>
          <w:kern w:val="48"/>
          <w:sz w:val="24"/>
          <w:szCs w:val="24"/>
          <w:lang w:val="en-GB"/>
        </w:rPr>
      </w:pPr>
      <w:r w:rsidRPr="000A2AFD">
        <w:rPr>
          <w:rFonts w:asciiTheme="minorBidi" w:eastAsia="MS Mincho" w:hAnsiTheme="minorBidi" w:cstheme="minorBidi"/>
          <w:noProof/>
          <w:kern w:val="48"/>
          <w:sz w:val="24"/>
          <w:szCs w:val="24"/>
          <w:lang w:val="en-GB"/>
        </w:rPr>
        <w:t xml:space="preserve">It aligns with adaptive risk-based security, where decisions are dynamic, and with ISO/IEC 27001:2022’s risk-based governance, emphasising continuous </w:t>
      </w:r>
      <w:r w:rsidRPr="000A2AFD">
        <w:rPr>
          <w:rFonts w:asciiTheme="minorBidi" w:eastAsia="MS Mincho" w:hAnsiTheme="minorBidi" w:cstheme="minorBidi"/>
          <w:noProof/>
          <w:kern w:val="48"/>
          <w:sz w:val="24"/>
          <w:szCs w:val="24"/>
          <w:lang w:val="en-GB"/>
        </w:rPr>
        <w:t>assessment and proportionate controls against identified threats.</w:t>
      </w:r>
    </w:p>
    <w:p w14:paraId="1D931623" w14:textId="77777777" w:rsidR="000A2AFD" w:rsidRPr="000A2AFD" w:rsidRDefault="000A2AFD" w:rsidP="000A2AFD">
      <w:pPr>
        <w:spacing w:line="360" w:lineRule="auto"/>
        <w:jc w:val="left"/>
        <w:rPr>
          <w:rFonts w:asciiTheme="minorBidi" w:eastAsia="MS Mincho" w:hAnsiTheme="minorBidi" w:cstheme="minorBidi"/>
          <w:noProof/>
          <w:kern w:val="48"/>
          <w:sz w:val="24"/>
          <w:szCs w:val="24"/>
          <w:lang w:val="en-GB"/>
        </w:rPr>
      </w:pPr>
      <w:r w:rsidRPr="000A2AFD">
        <w:rPr>
          <w:rFonts w:asciiTheme="minorBidi" w:eastAsia="MS Mincho" w:hAnsiTheme="minorBidi" w:cstheme="minorBidi"/>
          <w:noProof/>
          <w:kern w:val="48"/>
          <w:sz w:val="24"/>
          <w:szCs w:val="24"/>
          <w:lang w:val="en-GB"/>
        </w:rPr>
        <w:t>Governance-wise, Zero Trust replaces perimeter confidence with continuous assurance, adopting an assume-breach approach requiring ongoing validation rather than one-time authentication [4].</w:t>
      </w:r>
    </w:p>
    <w:p w14:paraId="2C5DB67C" w14:textId="1C64DEA0" w:rsidR="000A2AFD" w:rsidRPr="000A2AFD" w:rsidRDefault="000A2AFD" w:rsidP="000A2AFD">
      <w:pPr>
        <w:spacing w:line="360" w:lineRule="auto"/>
        <w:jc w:val="left"/>
        <w:rPr>
          <w:rFonts w:asciiTheme="minorBidi" w:eastAsia="MS Mincho" w:hAnsiTheme="minorBidi" w:cstheme="minorBidi"/>
          <w:b/>
          <w:bCs/>
          <w:noProof/>
          <w:kern w:val="48"/>
          <w:sz w:val="24"/>
          <w:szCs w:val="24"/>
          <w:lang w:val="en-GB"/>
        </w:rPr>
      </w:pPr>
      <w:r w:rsidRPr="000A2AFD">
        <w:rPr>
          <w:rFonts w:asciiTheme="minorBidi" w:eastAsia="MS Mincho" w:hAnsiTheme="minorBidi" w:cstheme="minorBidi"/>
          <w:b/>
          <w:bCs/>
          <w:noProof/>
          <w:kern w:val="48"/>
          <w:sz w:val="24"/>
          <w:szCs w:val="24"/>
          <w:lang w:val="en-GB"/>
        </w:rPr>
        <w:t>Justification by Theoretical Foundations</w:t>
      </w:r>
      <w:r>
        <w:rPr>
          <w:rFonts w:asciiTheme="minorBidi" w:eastAsia="MS Mincho" w:hAnsiTheme="minorBidi" w:cstheme="minorBidi"/>
          <w:b/>
          <w:bCs/>
          <w:noProof/>
          <w:kern w:val="48"/>
          <w:sz w:val="24"/>
          <w:szCs w:val="24"/>
          <w:lang w:val="en-GB"/>
        </w:rPr>
        <w:t>:</w:t>
      </w:r>
    </w:p>
    <w:p w14:paraId="222E85FF" w14:textId="567E3988" w:rsidR="000A2AFD" w:rsidRPr="000A2AFD" w:rsidRDefault="000A2AFD" w:rsidP="000A2AFD">
      <w:pPr>
        <w:spacing w:line="360" w:lineRule="auto"/>
        <w:jc w:val="left"/>
        <w:rPr>
          <w:rFonts w:asciiTheme="minorBidi" w:eastAsia="MS Mincho" w:hAnsiTheme="minorBidi" w:cstheme="minorBidi"/>
          <w:noProof/>
          <w:kern w:val="48"/>
          <w:sz w:val="24"/>
          <w:szCs w:val="24"/>
          <w:lang w:val="en-GB"/>
        </w:rPr>
      </w:pPr>
      <w:r>
        <w:rPr>
          <w:rFonts w:asciiTheme="minorBidi" w:eastAsia="MS Mincho" w:hAnsiTheme="minorBidi" w:cstheme="minorBidi"/>
          <w:b/>
          <w:bCs/>
          <w:noProof/>
          <w:kern w:val="48"/>
          <w:sz w:val="24"/>
          <w:szCs w:val="24"/>
          <w:lang w:val="en-GB"/>
        </w:rPr>
        <w:t>a</w:t>
      </w:r>
      <w:r w:rsidRPr="000A2AFD">
        <w:rPr>
          <w:rFonts w:asciiTheme="minorBidi" w:eastAsia="MS Mincho" w:hAnsiTheme="minorBidi" w:cstheme="minorBidi"/>
          <w:b/>
          <w:bCs/>
          <w:noProof/>
          <w:kern w:val="48"/>
          <w:sz w:val="24"/>
          <w:szCs w:val="24"/>
          <w:lang w:val="en-GB"/>
        </w:rPr>
        <w:t>. Perimeter Defence Theory (Defence-in-Depth Model)</w:t>
      </w:r>
      <w:r w:rsidRPr="000A2AFD">
        <w:rPr>
          <w:rFonts w:asciiTheme="minorBidi" w:eastAsia="MS Mincho" w:hAnsiTheme="minorBidi" w:cstheme="minorBidi"/>
          <w:noProof/>
          <w:kern w:val="48"/>
          <w:sz w:val="24"/>
          <w:szCs w:val="24"/>
          <w:lang w:val="en-GB"/>
        </w:rPr>
        <w:br/>
        <w:t>Justified in the opening paragraph: the description of layered controls, hardened boundaries, and implicit internal trust directly reflects traditional defence-in-depth assumptions. The critique of broad post-authentication access highlights the theoretical limitation of perimeter reliance.</w:t>
      </w:r>
    </w:p>
    <w:p w14:paraId="26F954FD" w14:textId="7B787374" w:rsidR="00DC6C9E" w:rsidRPr="00DC6C9E" w:rsidRDefault="000A2AFD" w:rsidP="00DC6C9E">
      <w:pPr>
        <w:spacing w:line="360" w:lineRule="auto"/>
        <w:jc w:val="left"/>
        <w:rPr>
          <w:rFonts w:asciiTheme="minorBidi" w:eastAsia="MS Mincho" w:hAnsiTheme="minorBidi" w:cstheme="minorBidi"/>
          <w:noProof/>
          <w:kern w:val="48"/>
          <w:lang w:val="en-GB"/>
        </w:rPr>
      </w:pPr>
      <w:r>
        <w:rPr>
          <w:rFonts w:asciiTheme="minorBidi" w:eastAsia="MS Mincho" w:hAnsiTheme="minorBidi" w:cstheme="minorBidi"/>
          <w:b/>
          <w:bCs/>
          <w:noProof/>
          <w:kern w:val="48"/>
          <w:sz w:val="24"/>
          <w:szCs w:val="24"/>
          <w:lang w:val="en-GB"/>
        </w:rPr>
        <w:t>b</w:t>
      </w:r>
      <w:r w:rsidRPr="000A2AFD">
        <w:rPr>
          <w:rFonts w:asciiTheme="minorBidi" w:eastAsia="MS Mincho" w:hAnsiTheme="minorBidi" w:cstheme="minorBidi"/>
          <w:b/>
          <w:bCs/>
          <w:noProof/>
          <w:kern w:val="48"/>
          <w:sz w:val="24"/>
          <w:szCs w:val="24"/>
          <w:lang w:val="en-GB"/>
        </w:rPr>
        <w:t>. Zero Trust Architecture</w:t>
      </w:r>
      <w:r w:rsidR="001B08FD">
        <w:rPr>
          <w:rFonts w:asciiTheme="minorBidi" w:eastAsia="MS Mincho" w:hAnsiTheme="minorBidi" w:cstheme="minorBidi"/>
          <w:b/>
          <w:bCs/>
          <w:noProof/>
          <w:kern w:val="48"/>
          <w:sz w:val="24"/>
          <w:szCs w:val="24"/>
          <w:lang w:val="en-GB"/>
        </w:rPr>
        <w:t>,</w:t>
      </w:r>
      <w:r w:rsidR="000D41F1">
        <w:rPr>
          <w:rFonts w:asciiTheme="minorBidi" w:eastAsia="MS Mincho" w:hAnsiTheme="minorBidi" w:cstheme="minorBidi"/>
          <w:b/>
          <w:bCs/>
          <w:noProof/>
          <w:kern w:val="48"/>
          <w:sz w:val="24"/>
          <w:szCs w:val="24"/>
          <w:lang w:val="en-GB"/>
        </w:rPr>
        <w:t xml:space="preserve"> </w:t>
      </w:r>
      <w:r w:rsidRPr="000A2AFD">
        <w:rPr>
          <w:rFonts w:asciiTheme="minorBidi" w:eastAsia="MS Mincho" w:hAnsiTheme="minorBidi" w:cstheme="minorBidi"/>
          <w:b/>
          <w:bCs/>
          <w:noProof/>
          <w:kern w:val="48"/>
          <w:sz w:val="24"/>
          <w:szCs w:val="24"/>
          <w:lang w:val="en-GB"/>
        </w:rPr>
        <w:t>NIST SP 800-207</w:t>
      </w:r>
      <w:r w:rsidRPr="000A2AFD">
        <w:rPr>
          <w:rFonts w:asciiTheme="minorBidi" w:eastAsia="MS Mincho" w:hAnsiTheme="minorBidi" w:cstheme="minorBidi"/>
          <w:noProof/>
          <w:kern w:val="48"/>
          <w:sz w:val="24"/>
          <w:szCs w:val="24"/>
          <w:lang w:val="en-GB"/>
        </w:rPr>
        <w:br/>
      </w:r>
      <w:r w:rsidR="00DC6C9E" w:rsidRPr="00DC6C9E">
        <w:rPr>
          <w:rFonts w:asciiTheme="minorBidi" w:eastAsia="MS Mincho" w:hAnsiTheme="minorBidi" w:cstheme="minorBidi"/>
          <w:noProof/>
          <w:kern w:val="48"/>
          <w:lang w:val="en-GB"/>
        </w:rPr>
        <w:t xml:space="preserve">Every access request is verified using identity, device status, and context. This follows the National Institute of Standards and Technology (NIST) Zero Trust principle of </w:t>
      </w:r>
      <w:r w:rsidR="00DC6C9E" w:rsidRPr="00DC6C9E">
        <w:rPr>
          <w:rFonts w:asciiTheme="minorBidi" w:eastAsia="MS Mincho" w:hAnsiTheme="minorBidi" w:cstheme="minorBidi"/>
          <w:b/>
          <w:bCs/>
          <w:noProof/>
          <w:kern w:val="48"/>
          <w:lang w:val="en-GB"/>
        </w:rPr>
        <w:t>“never trust, always verify.”</w:t>
      </w:r>
      <w:r w:rsidR="00DC6C9E">
        <w:rPr>
          <w:rFonts w:asciiTheme="minorBidi" w:eastAsia="MS Mincho" w:hAnsiTheme="minorBidi" w:cstheme="minorBidi"/>
          <w:b/>
          <w:bCs/>
          <w:noProof/>
          <w:kern w:val="48"/>
          <w:lang w:val="en-GB"/>
        </w:rPr>
        <w:t>[1]</w:t>
      </w:r>
    </w:p>
    <w:p w14:paraId="60897E7D" w14:textId="77777777" w:rsidR="00DC6C9E" w:rsidRDefault="000A2AFD" w:rsidP="00DC6C9E">
      <w:pPr>
        <w:spacing w:line="360" w:lineRule="auto"/>
        <w:jc w:val="left"/>
        <w:rPr>
          <w:rFonts w:asciiTheme="minorBidi" w:eastAsia="MS Mincho" w:hAnsiTheme="minorBidi" w:cstheme="minorBidi"/>
          <w:b/>
          <w:bCs/>
          <w:noProof/>
          <w:kern w:val="48"/>
          <w:sz w:val="24"/>
          <w:szCs w:val="24"/>
          <w:lang w:val="en-GB"/>
        </w:rPr>
      </w:pPr>
      <w:r>
        <w:rPr>
          <w:rFonts w:asciiTheme="minorBidi" w:eastAsia="MS Mincho" w:hAnsiTheme="minorBidi" w:cstheme="minorBidi"/>
          <w:b/>
          <w:bCs/>
          <w:noProof/>
          <w:kern w:val="48"/>
          <w:sz w:val="24"/>
          <w:szCs w:val="24"/>
          <w:lang w:val="en-GB"/>
        </w:rPr>
        <w:t>c</w:t>
      </w:r>
      <w:r w:rsidRPr="000A2AFD">
        <w:rPr>
          <w:rFonts w:asciiTheme="minorBidi" w:eastAsia="MS Mincho" w:hAnsiTheme="minorBidi" w:cstheme="minorBidi"/>
          <w:b/>
          <w:bCs/>
          <w:noProof/>
          <w:kern w:val="48"/>
          <w:sz w:val="24"/>
          <w:szCs w:val="24"/>
          <w:lang w:val="en-GB"/>
        </w:rPr>
        <w:t xml:space="preserve">. </w:t>
      </w:r>
      <w:r w:rsidR="00AB1872">
        <w:rPr>
          <w:rFonts w:asciiTheme="minorBidi" w:eastAsia="MS Mincho" w:hAnsiTheme="minorBidi" w:cstheme="minorBidi"/>
          <w:b/>
          <w:bCs/>
          <w:noProof/>
          <w:kern w:val="48"/>
          <w:sz w:val="24"/>
          <w:szCs w:val="24"/>
          <w:lang w:val="en-GB"/>
        </w:rPr>
        <w:t>Adaptive Risk-Based Security Theory</w:t>
      </w:r>
      <w:r w:rsidR="00DC6C9E">
        <w:rPr>
          <w:rFonts w:asciiTheme="minorBidi" w:eastAsia="MS Mincho" w:hAnsiTheme="minorBidi" w:cstheme="minorBidi"/>
          <w:b/>
          <w:bCs/>
          <w:noProof/>
          <w:kern w:val="48"/>
          <w:sz w:val="24"/>
          <w:szCs w:val="24"/>
          <w:lang w:val="en-GB"/>
        </w:rPr>
        <w:t>:</w:t>
      </w:r>
    </w:p>
    <w:p w14:paraId="7BF8F225" w14:textId="77777777" w:rsidR="00DC6C9E" w:rsidRPr="00DC6C9E" w:rsidRDefault="00DC6C9E" w:rsidP="00DC6C9E">
      <w:pPr>
        <w:spacing w:line="360" w:lineRule="auto"/>
        <w:jc w:val="left"/>
        <w:rPr>
          <w:rFonts w:asciiTheme="minorBidi" w:eastAsia="MS Mincho" w:hAnsiTheme="minorBidi" w:cstheme="minorBidi"/>
          <w:noProof/>
          <w:kern w:val="48"/>
          <w:sz w:val="24"/>
          <w:szCs w:val="24"/>
          <w:lang w:val="en-GB"/>
        </w:rPr>
      </w:pPr>
      <w:r w:rsidRPr="00DC6C9E">
        <w:rPr>
          <w:rFonts w:asciiTheme="minorBidi" w:eastAsia="MS Mincho" w:hAnsiTheme="minorBidi" w:cstheme="minorBidi"/>
          <w:noProof/>
          <w:kern w:val="48"/>
          <w:sz w:val="24"/>
          <w:szCs w:val="24"/>
          <w:lang w:val="en-GB"/>
        </w:rPr>
        <w:t>Access decisions change based on context and risk signals, rather than relying only on fixed security policies.</w:t>
      </w:r>
    </w:p>
    <w:p w14:paraId="72D38174" w14:textId="27D061E6" w:rsidR="000A2AFD" w:rsidRPr="000A2AFD" w:rsidRDefault="000A2AFD" w:rsidP="000A2AFD">
      <w:pPr>
        <w:spacing w:line="360" w:lineRule="auto"/>
        <w:jc w:val="left"/>
        <w:rPr>
          <w:rFonts w:asciiTheme="minorBidi" w:eastAsia="MS Mincho" w:hAnsiTheme="minorBidi" w:cstheme="minorBidi"/>
          <w:noProof/>
          <w:kern w:val="48"/>
          <w:sz w:val="24"/>
          <w:szCs w:val="24"/>
          <w:lang w:val="en-GB"/>
        </w:rPr>
      </w:pPr>
      <w:r>
        <w:rPr>
          <w:rFonts w:asciiTheme="minorBidi" w:eastAsia="MS Mincho" w:hAnsiTheme="minorBidi" w:cstheme="minorBidi"/>
          <w:b/>
          <w:bCs/>
          <w:noProof/>
          <w:kern w:val="48"/>
          <w:sz w:val="24"/>
          <w:szCs w:val="24"/>
          <w:lang w:val="en-GB"/>
        </w:rPr>
        <w:t>d</w:t>
      </w:r>
      <w:r w:rsidRPr="000A2AFD">
        <w:rPr>
          <w:rFonts w:asciiTheme="minorBidi" w:eastAsia="MS Mincho" w:hAnsiTheme="minorBidi" w:cstheme="minorBidi"/>
          <w:b/>
          <w:bCs/>
          <w:noProof/>
          <w:kern w:val="48"/>
          <w:sz w:val="24"/>
          <w:szCs w:val="24"/>
          <w:lang w:val="en-GB"/>
        </w:rPr>
        <w:t>. Risk-Based Governance Theory</w:t>
      </w:r>
      <w:r w:rsidRPr="000A2AFD">
        <w:rPr>
          <w:rFonts w:asciiTheme="minorBidi" w:eastAsia="MS Mincho" w:hAnsiTheme="minorBidi" w:cstheme="minorBidi"/>
          <w:noProof/>
          <w:kern w:val="48"/>
          <w:sz w:val="24"/>
          <w:szCs w:val="24"/>
          <w:lang w:val="en-GB"/>
        </w:rPr>
        <w:br/>
        <w:t>Justified in the third paragraph: continuous evaluation, proportional controls, and governance alignment correspond directly with ISO’s risk treatment and continual improvement principles.</w:t>
      </w:r>
    </w:p>
    <w:p w14:paraId="371A2305" w14:textId="38D34758" w:rsidR="000A2AFD" w:rsidRPr="000A2AFD" w:rsidRDefault="000A2AFD" w:rsidP="000A2AFD">
      <w:pPr>
        <w:spacing w:line="360" w:lineRule="auto"/>
        <w:jc w:val="left"/>
        <w:rPr>
          <w:rFonts w:asciiTheme="minorBidi" w:eastAsia="MS Mincho" w:hAnsiTheme="minorBidi" w:cstheme="minorBidi"/>
          <w:noProof/>
          <w:kern w:val="48"/>
          <w:sz w:val="24"/>
          <w:szCs w:val="24"/>
          <w:lang w:val="en-GB"/>
        </w:rPr>
      </w:pPr>
      <w:r>
        <w:rPr>
          <w:rFonts w:asciiTheme="minorBidi" w:eastAsia="MS Mincho" w:hAnsiTheme="minorBidi" w:cstheme="minorBidi"/>
          <w:b/>
          <w:bCs/>
          <w:noProof/>
          <w:kern w:val="48"/>
          <w:sz w:val="24"/>
          <w:szCs w:val="24"/>
          <w:lang w:val="en-GB"/>
        </w:rPr>
        <w:t>f</w:t>
      </w:r>
      <w:r w:rsidRPr="000A2AFD">
        <w:rPr>
          <w:rFonts w:asciiTheme="minorBidi" w:eastAsia="MS Mincho" w:hAnsiTheme="minorBidi" w:cstheme="minorBidi"/>
          <w:b/>
          <w:bCs/>
          <w:noProof/>
          <w:kern w:val="48"/>
          <w:sz w:val="24"/>
          <w:szCs w:val="24"/>
          <w:lang w:val="en-GB"/>
        </w:rPr>
        <w:t>. Continuous Assurance / Assume-Breach Principle</w:t>
      </w:r>
      <w:r w:rsidRPr="000A2AFD">
        <w:rPr>
          <w:rFonts w:asciiTheme="minorBidi" w:eastAsia="MS Mincho" w:hAnsiTheme="minorBidi" w:cstheme="minorBidi"/>
          <w:noProof/>
          <w:kern w:val="48"/>
          <w:sz w:val="24"/>
          <w:szCs w:val="24"/>
          <w:lang w:val="en-GB"/>
        </w:rPr>
        <w:br/>
      </w:r>
      <w:r w:rsidRPr="000A2AFD">
        <w:rPr>
          <w:rFonts w:asciiTheme="minorBidi" w:eastAsia="MS Mincho" w:hAnsiTheme="minorBidi" w:cstheme="minorBidi"/>
          <w:noProof/>
          <w:kern w:val="48"/>
          <w:sz w:val="24"/>
          <w:szCs w:val="24"/>
          <w:lang w:val="en-GB"/>
        </w:rPr>
        <w:lastRenderedPageBreak/>
        <w:t>Justified in the final paragraph: the shift from episodic authentication to ongoing validation reflects continuous assurance theory and the assume-breach security mindset foundational to modern resilience models.</w:t>
      </w:r>
    </w:p>
    <w:p w14:paraId="78DFA086"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III. Core Principles of Zero Trust Architecture</w:t>
      </w:r>
    </w:p>
    <w:p w14:paraId="52CF78B3" w14:textId="77777777" w:rsidR="00047219" w:rsidRPr="00047219" w:rsidRDefault="00047219" w:rsidP="00047219">
      <w:pPr>
        <w:spacing w:line="360" w:lineRule="auto"/>
        <w:jc w:val="left"/>
        <w:rPr>
          <w:rFonts w:asciiTheme="minorBidi" w:eastAsia="MS Mincho" w:hAnsiTheme="minorBidi" w:cstheme="minorBidi"/>
          <w:noProof/>
          <w:kern w:val="48"/>
          <w:sz w:val="24"/>
          <w:szCs w:val="24"/>
          <w:lang w:val="en-GB"/>
        </w:rPr>
      </w:pPr>
      <w:r w:rsidRPr="00047219">
        <w:rPr>
          <w:rFonts w:asciiTheme="minorBidi" w:eastAsia="MS Mincho" w:hAnsiTheme="minorBidi" w:cstheme="minorBidi"/>
          <w:noProof/>
          <w:kern w:val="48"/>
          <w:sz w:val="24"/>
          <w:szCs w:val="24"/>
          <w:lang w:val="en-GB"/>
        </w:rPr>
        <w:t>Zero Trust Architecture follows several key principles. All data and services are treated as protected resources. Communication is secured no matter where it happens. Access is given for each session only, and security policies are applied based on context.</w:t>
      </w:r>
    </w:p>
    <w:p w14:paraId="361E1C75" w14:textId="419149A0"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Fifth, continuous monitoring improves security posture over time.</w:t>
      </w:r>
    </w:p>
    <w:p w14:paraId="3C367E02"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Micro-segmentation is a particularly critical principle within Zero Trust implementation. By logically isolating workloads and restricting east-west traffic flows, organisations significantly reduce lateral attack propagation. Empirical research examining segmented cloud-native environments demonstrates measurable reductions in breach spread compared to flat network topologies [5].</w:t>
      </w:r>
    </w:p>
    <w:p w14:paraId="118CF3D6"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 xml:space="preserve">Identity-centric control is equally central. Multi-factor authentication, behavioural profiling, device posture validation, and conditional access policies collectively form the enforcement backbone. The CISA Zero Trust Maturity Model further categorises implementation into identity, device, </w:t>
      </w:r>
      <w:r w:rsidRPr="0064550E">
        <w:rPr>
          <w:rFonts w:asciiTheme="minorBidi" w:eastAsia="MS Mincho" w:hAnsiTheme="minorBidi" w:cstheme="minorBidi"/>
          <w:noProof/>
          <w:kern w:val="48"/>
          <w:sz w:val="24"/>
          <w:szCs w:val="24"/>
          <w:lang w:val="en-GB"/>
        </w:rPr>
        <w:t>network, application workload, and data pillars, emphasising holistic integration rather than isolated deployment [6].</w:t>
      </w:r>
    </w:p>
    <w:p w14:paraId="67731BCD" w14:textId="7E5A7788"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However, scholars caution that identity centralisation introduces systemic risk. If identity providers or policy decision engines fail or are compromised, broad access disruption or exposure may occur. Therefore, resilience and redundancy planning are essential architectural considerations.</w:t>
      </w:r>
    </w:p>
    <w:p w14:paraId="45FE771E" w14:textId="38337AD5" w:rsidR="0064550E" w:rsidRPr="0064550E" w:rsidRDefault="00464C0B" w:rsidP="009B57EA">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4E2C861A"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IV. Architectural Components and Operational Structure</w:t>
      </w:r>
    </w:p>
    <w:p w14:paraId="1D2162DF" w14:textId="708919B7" w:rsidR="0064550E" w:rsidRPr="00BB3230"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A comprehensive Zero Trust environment includes several core components working in coordinated fashion. The Identity Provider manages authentication through multi-factor verification and federated identity services. The Policy Decision Point evaluates contextual access rules, while the Policy Enforcement Point executes these decisions at the resource interface. Continuous monitoring engines aggregate behavioural data, and Security Information and Event Management or Extended Detection and Response platforms provide advanced analytics and anomaly detection capabilities.</w:t>
      </w:r>
    </w:p>
    <w:p w14:paraId="2FB23A58" w14:textId="77777777" w:rsidR="001E3372" w:rsidRPr="00BB3230" w:rsidRDefault="001E3372" w:rsidP="009B57EA">
      <w:pPr>
        <w:spacing w:line="360" w:lineRule="auto"/>
        <w:jc w:val="left"/>
        <w:rPr>
          <w:rFonts w:asciiTheme="minorBidi" w:eastAsia="MS Mincho" w:hAnsiTheme="minorBidi" w:cstheme="minorBidi"/>
          <w:noProof/>
          <w:kern w:val="48"/>
          <w:sz w:val="24"/>
          <w:szCs w:val="24"/>
          <w:lang w:val="en-GB"/>
        </w:rPr>
      </w:pPr>
    </w:p>
    <w:p w14:paraId="1C152261" w14:textId="77777777" w:rsidR="006C3729" w:rsidRDefault="001E3372" w:rsidP="006C3729">
      <w:pPr>
        <w:keepNext/>
        <w:spacing w:line="360" w:lineRule="auto"/>
        <w:jc w:val="left"/>
      </w:pPr>
      <w:r w:rsidRPr="00BB3230">
        <w:rPr>
          <w:rFonts w:asciiTheme="minorBidi" w:eastAsia="MS Mincho" w:hAnsiTheme="minorBidi" w:cstheme="minorBidi"/>
          <w:b/>
          <w:bCs/>
          <w:noProof/>
          <w:kern w:val="48"/>
          <w:sz w:val="24"/>
          <w:szCs w:val="24"/>
          <w:lang w:val="en-GB"/>
          <w14:ligatures w14:val="standardContextual"/>
        </w:rPr>
        <w:lastRenderedPageBreak/>
        <w:drawing>
          <wp:inline distT="0" distB="0" distL="0" distR="0" wp14:anchorId="59A81E38" wp14:editId="219C26CF">
            <wp:extent cx="2640965" cy="1364615"/>
            <wp:effectExtent l="0" t="0" r="6985" b="6985"/>
            <wp:docPr id="2123237253" name="Picture 5" descr="A diagram of a computer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237253" name="Picture 5" descr="A diagram of a computer security system&#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40965" cy="1364615"/>
                    </a:xfrm>
                    <a:prstGeom prst="rect">
                      <a:avLst/>
                    </a:prstGeom>
                  </pic:spPr>
                </pic:pic>
              </a:graphicData>
            </a:graphic>
          </wp:inline>
        </w:drawing>
      </w:r>
    </w:p>
    <w:p w14:paraId="1DCFD059" w14:textId="1359529F" w:rsidR="001E3372" w:rsidRPr="00BB3230" w:rsidRDefault="006C3729" w:rsidP="006C3729">
      <w:pPr>
        <w:pStyle w:val="Caption"/>
        <w:rPr>
          <w:rFonts w:asciiTheme="minorBidi" w:eastAsia="MS Mincho" w:hAnsiTheme="minorBidi" w:cstheme="minorBidi"/>
          <w:noProof/>
          <w:kern w:val="48"/>
          <w:sz w:val="24"/>
          <w:szCs w:val="24"/>
          <w:lang w:val="en-GB"/>
        </w:rPr>
      </w:pPr>
      <w:r>
        <w:t xml:space="preserve">Figure </w:t>
      </w:r>
      <w:r>
        <w:fldChar w:fldCharType="begin"/>
      </w:r>
      <w:r>
        <w:instrText xml:space="preserve"> SEQ Figure \* ARABIC </w:instrText>
      </w:r>
      <w:r>
        <w:fldChar w:fldCharType="separate"/>
      </w:r>
      <w:r w:rsidR="00540908">
        <w:rPr>
          <w:noProof/>
        </w:rPr>
        <w:t>1</w:t>
      </w:r>
      <w:r>
        <w:fldChar w:fldCharType="end"/>
      </w:r>
      <w:r>
        <w:rPr>
          <w:lang w:val="en-GB"/>
        </w:rPr>
        <w:t xml:space="preserve">: </w:t>
      </w:r>
      <w:r w:rsidRPr="00240729">
        <w:rPr>
          <w:lang w:val="en-GB"/>
        </w:rPr>
        <w:t>Operational Structure</w:t>
      </w:r>
      <w:r>
        <w:rPr>
          <w:lang w:val="en-GB"/>
        </w:rPr>
        <w:t>, Zero Trust</w:t>
      </w:r>
    </w:p>
    <w:p w14:paraId="407D8A94" w14:textId="77777777" w:rsidR="001E3372" w:rsidRPr="0064550E" w:rsidRDefault="001E3372" w:rsidP="009B57EA">
      <w:pPr>
        <w:spacing w:line="360" w:lineRule="auto"/>
        <w:jc w:val="left"/>
        <w:rPr>
          <w:rFonts w:asciiTheme="minorBidi" w:eastAsia="MS Mincho" w:hAnsiTheme="minorBidi" w:cstheme="minorBidi"/>
          <w:noProof/>
          <w:kern w:val="48"/>
          <w:sz w:val="24"/>
          <w:szCs w:val="24"/>
          <w:lang w:val="en-GB"/>
        </w:rPr>
      </w:pPr>
    </w:p>
    <w:p w14:paraId="24DACD2B"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Operationally, Zero Trust transforms access control into a continuous feedback loop. When a user requests access, identity attributes, device health signals, geolocation, behavioural patterns, and risk scores are assessed. If contextual risk increases during a session, access privileges may be reduced or terminated dynamically. Research analysing Extended Detection and Response integration demonstrates enhanced anomaly detection accuracy within Zero Trust ecosystems compared to perimeter-based systems [7].</w:t>
      </w:r>
    </w:p>
    <w:p w14:paraId="78FDC163"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Nonetheless, implementation complexity increases significantly in multi-cloud environments where identity federation and policy synchronisation across heterogeneous platforms must be maintained. Gartner’s market analysis indicates that integration cost and configuration complexity remain primary barriers to rapid enterprise-wide adoption [8].</w:t>
      </w:r>
    </w:p>
    <w:p w14:paraId="39F0D9D8" w14:textId="4C28F132" w:rsidR="0064550E" w:rsidRPr="0064550E" w:rsidRDefault="008E25C5" w:rsidP="009B57EA">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67E1F614"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V. Comparative Evaluation with Traditional Security Models</w:t>
      </w:r>
    </w:p>
    <w:p w14:paraId="185DE46C" w14:textId="77777777" w:rsidR="00002BF4" w:rsidRPr="00002BF4" w:rsidRDefault="00002BF4" w:rsidP="00002BF4">
      <w:pPr>
        <w:spacing w:line="360" w:lineRule="auto"/>
        <w:jc w:val="left"/>
        <w:rPr>
          <w:rFonts w:asciiTheme="minorBidi" w:eastAsia="MS Mincho" w:hAnsiTheme="minorBidi" w:cstheme="minorBidi"/>
          <w:noProof/>
          <w:kern w:val="48"/>
          <w:sz w:val="24"/>
          <w:szCs w:val="24"/>
          <w:lang w:val="en-GB"/>
        </w:rPr>
      </w:pPr>
      <w:r w:rsidRPr="00002BF4">
        <w:rPr>
          <w:rFonts w:asciiTheme="minorBidi" w:eastAsia="MS Mincho" w:hAnsiTheme="minorBidi" w:cstheme="minorBidi"/>
          <w:noProof/>
          <w:kern w:val="48"/>
          <w:sz w:val="24"/>
          <w:szCs w:val="24"/>
          <w:lang w:val="en-GB"/>
        </w:rPr>
        <w:t>A clear comparison between traditional perimeter-based security and Zero Trust Architecture shows major differences in their design.</w:t>
      </w:r>
    </w:p>
    <w:p w14:paraId="62AA4976" w14:textId="5C21D10E"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Traditional models rely on network location as a trust determinant, whereas Zero Trust bases trust decisions on identity and contextual validation. In perimeter-based systems, lateral movement often remains insufficiently monitored once access is granted. In contrast, Zero Trust restricts east-west traffic through granular segmentation and session-based controls.</w:t>
      </w:r>
    </w:p>
    <w:p w14:paraId="39D118CC" w14:textId="2D5EFD1F" w:rsidR="0064550E" w:rsidRPr="000B56C6" w:rsidRDefault="0064550E" w:rsidP="000B56C6">
      <w:pPr>
        <w:spacing w:line="360" w:lineRule="auto"/>
        <w:jc w:val="left"/>
        <w:rPr>
          <w:rFonts w:asciiTheme="minorBidi" w:eastAsia="MS Mincho" w:hAnsiTheme="minorBidi" w:cstheme="minorBidi"/>
          <w:noProof/>
          <w:kern w:val="48"/>
          <w:lang w:val="en-GB"/>
        </w:rPr>
      </w:pPr>
      <w:r w:rsidRPr="0064550E">
        <w:rPr>
          <w:rFonts w:asciiTheme="minorBidi" w:eastAsia="MS Mincho" w:hAnsiTheme="minorBidi" w:cstheme="minorBidi"/>
          <w:noProof/>
          <w:kern w:val="48"/>
          <w:sz w:val="24"/>
          <w:szCs w:val="24"/>
          <w:lang w:val="en-GB"/>
        </w:rPr>
        <w:t xml:space="preserve">Incident response capabilities also differ significantly. Traditional architectures often respond reactively after breach detection. Zero Trust environments integrate automated response workflows that can revoke credentials, isolate devices, or modify access privileges dynamically. </w:t>
      </w:r>
      <w:r w:rsidR="000B56C6" w:rsidRPr="000B56C6">
        <w:rPr>
          <w:rFonts w:asciiTheme="minorBidi" w:eastAsia="MS Mincho" w:hAnsiTheme="minorBidi" w:cstheme="minorBidi"/>
          <w:noProof/>
          <w:kern w:val="48"/>
          <w:sz w:val="24"/>
          <w:szCs w:val="24"/>
          <w:lang w:val="en-GB"/>
        </w:rPr>
        <w:t>According to the IBM Cost of a Data Breach Report, organisations that use mature Zero Trust strategies usually face lower breach costs than those using only traditional perimeter security</w:t>
      </w:r>
      <w:r w:rsidRPr="0064550E">
        <w:rPr>
          <w:rFonts w:asciiTheme="minorBidi" w:eastAsia="MS Mincho" w:hAnsiTheme="minorBidi" w:cstheme="minorBidi"/>
          <w:noProof/>
          <w:kern w:val="48"/>
          <w:sz w:val="24"/>
          <w:szCs w:val="24"/>
          <w:lang w:val="en-GB"/>
        </w:rPr>
        <w:t xml:space="preserve"> [9].</w:t>
      </w:r>
    </w:p>
    <w:tbl>
      <w:tblPr>
        <w:tblW w:w="4806" w:type="dxa"/>
        <w:tblCellSpacing w:w="15" w:type="dxa"/>
        <w:tblBorders>
          <w:top w:val="dashDotStroked" w:sz="24" w:space="0" w:color="074F6A" w:themeColor="accent4" w:themeShade="80"/>
          <w:left w:val="dashDotStroked" w:sz="24" w:space="0" w:color="074F6A" w:themeColor="accent4" w:themeShade="80"/>
          <w:bottom w:val="dashDotStroked" w:sz="24" w:space="0" w:color="074F6A" w:themeColor="accent4" w:themeShade="80"/>
          <w:right w:val="dashDotStroked" w:sz="24" w:space="0" w:color="074F6A" w:themeColor="accent4" w:themeShade="80"/>
        </w:tblBorders>
        <w:tblLayout w:type="fixed"/>
        <w:tblCellMar>
          <w:top w:w="15" w:type="dxa"/>
          <w:left w:w="15" w:type="dxa"/>
          <w:bottom w:w="15" w:type="dxa"/>
          <w:right w:w="15" w:type="dxa"/>
        </w:tblCellMar>
        <w:tblLook w:val="04A0" w:firstRow="1" w:lastRow="0" w:firstColumn="1" w:lastColumn="0" w:noHBand="0" w:noVBand="1"/>
      </w:tblPr>
      <w:tblGrid>
        <w:gridCol w:w="1246"/>
        <w:gridCol w:w="1095"/>
        <w:gridCol w:w="1247"/>
        <w:gridCol w:w="1218"/>
      </w:tblGrid>
      <w:tr w:rsidR="00380DAC" w:rsidRPr="00B83F9F" w14:paraId="5FA8F508" w14:textId="77777777" w:rsidTr="00380DAC">
        <w:trPr>
          <w:tblHeader/>
          <w:tblCellSpacing w:w="15" w:type="dxa"/>
        </w:trPr>
        <w:tc>
          <w:tcPr>
            <w:tcW w:w="1201" w:type="dxa"/>
            <w:shd w:val="clear" w:color="auto" w:fill="074F6A" w:themeFill="accent4" w:themeFillShade="80"/>
            <w:vAlign w:val="center"/>
            <w:hideMark/>
          </w:tcPr>
          <w:p w14:paraId="4C515698" w14:textId="77777777" w:rsidR="001E3372" w:rsidRPr="00B83F9F" w:rsidRDefault="001E3372" w:rsidP="009B57EA">
            <w:pPr>
              <w:spacing w:line="360" w:lineRule="auto"/>
              <w:jc w:val="left"/>
              <w:rPr>
                <w:rFonts w:asciiTheme="minorBidi" w:eastAsia="MS Mincho" w:hAnsiTheme="minorBidi" w:cstheme="minorBidi"/>
                <w:b/>
                <w:bCs/>
                <w:noProof/>
                <w:color w:val="FFFFFF" w:themeColor="background1"/>
                <w:kern w:val="48"/>
                <w:sz w:val="24"/>
                <w:szCs w:val="24"/>
                <w:lang w:val="en-GB"/>
              </w:rPr>
            </w:pPr>
            <w:r w:rsidRPr="00B83F9F">
              <w:rPr>
                <w:rFonts w:asciiTheme="minorBidi" w:eastAsia="MS Mincho" w:hAnsiTheme="minorBidi" w:cstheme="minorBidi"/>
                <w:b/>
                <w:bCs/>
                <w:noProof/>
                <w:color w:val="FFFFFF" w:themeColor="background1"/>
                <w:kern w:val="48"/>
                <w:sz w:val="24"/>
                <w:szCs w:val="24"/>
                <w:lang w:val="en-GB"/>
              </w:rPr>
              <w:t>Feature</w:t>
            </w:r>
          </w:p>
        </w:tc>
        <w:tc>
          <w:tcPr>
            <w:tcW w:w="1065" w:type="dxa"/>
            <w:shd w:val="clear" w:color="auto" w:fill="074F6A" w:themeFill="accent4" w:themeFillShade="80"/>
            <w:vAlign w:val="center"/>
            <w:hideMark/>
          </w:tcPr>
          <w:p w14:paraId="6773F310" w14:textId="77777777" w:rsidR="001E3372" w:rsidRPr="00B83F9F" w:rsidRDefault="001E3372" w:rsidP="009B57EA">
            <w:pPr>
              <w:spacing w:line="360" w:lineRule="auto"/>
              <w:jc w:val="left"/>
              <w:rPr>
                <w:rFonts w:asciiTheme="minorBidi" w:eastAsia="MS Mincho" w:hAnsiTheme="minorBidi" w:cstheme="minorBidi"/>
                <w:b/>
                <w:bCs/>
                <w:noProof/>
                <w:color w:val="FFFFFF" w:themeColor="background1"/>
                <w:kern w:val="48"/>
                <w:lang w:val="en-GB"/>
              </w:rPr>
            </w:pPr>
            <w:r w:rsidRPr="00B83F9F">
              <w:rPr>
                <w:rFonts w:asciiTheme="minorBidi" w:eastAsia="MS Mincho" w:hAnsiTheme="minorBidi" w:cstheme="minorBidi"/>
                <w:b/>
                <w:bCs/>
                <w:noProof/>
                <w:color w:val="FFFFFF" w:themeColor="background1"/>
                <w:kern w:val="48"/>
                <w:lang w:val="en-GB"/>
              </w:rPr>
              <w:t>Traditional Perimeter Model</w:t>
            </w:r>
          </w:p>
        </w:tc>
        <w:tc>
          <w:tcPr>
            <w:tcW w:w="1217" w:type="dxa"/>
            <w:shd w:val="clear" w:color="auto" w:fill="074F6A" w:themeFill="accent4" w:themeFillShade="80"/>
            <w:vAlign w:val="center"/>
            <w:hideMark/>
          </w:tcPr>
          <w:p w14:paraId="66409197" w14:textId="77777777" w:rsidR="001E3372" w:rsidRPr="00B83F9F" w:rsidRDefault="001E3372" w:rsidP="009B57EA">
            <w:pPr>
              <w:spacing w:line="360" w:lineRule="auto"/>
              <w:jc w:val="left"/>
              <w:rPr>
                <w:rFonts w:asciiTheme="minorBidi" w:eastAsia="MS Mincho" w:hAnsiTheme="minorBidi" w:cstheme="minorBidi"/>
                <w:b/>
                <w:bCs/>
                <w:noProof/>
                <w:color w:val="FFFFFF" w:themeColor="background1"/>
                <w:kern w:val="48"/>
                <w:lang w:val="en-GB"/>
              </w:rPr>
            </w:pPr>
            <w:r w:rsidRPr="00B83F9F">
              <w:rPr>
                <w:rFonts w:asciiTheme="minorBidi" w:eastAsia="MS Mincho" w:hAnsiTheme="minorBidi" w:cstheme="minorBidi"/>
                <w:b/>
                <w:bCs/>
                <w:noProof/>
                <w:color w:val="FFFFFF" w:themeColor="background1"/>
                <w:kern w:val="48"/>
                <w:lang w:val="en-GB"/>
              </w:rPr>
              <w:t>Zero Trust Architecture</w:t>
            </w:r>
          </w:p>
        </w:tc>
        <w:tc>
          <w:tcPr>
            <w:tcW w:w="1173" w:type="dxa"/>
            <w:shd w:val="clear" w:color="auto" w:fill="074F6A" w:themeFill="accent4" w:themeFillShade="80"/>
            <w:vAlign w:val="center"/>
            <w:hideMark/>
          </w:tcPr>
          <w:p w14:paraId="561E3375" w14:textId="77777777" w:rsidR="001E3372" w:rsidRPr="00B83F9F" w:rsidRDefault="001E3372" w:rsidP="009B57EA">
            <w:pPr>
              <w:spacing w:line="360" w:lineRule="auto"/>
              <w:jc w:val="left"/>
              <w:rPr>
                <w:rFonts w:asciiTheme="minorBidi" w:eastAsia="MS Mincho" w:hAnsiTheme="minorBidi" w:cstheme="minorBidi"/>
                <w:b/>
                <w:bCs/>
                <w:noProof/>
                <w:color w:val="FFFFFF" w:themeColor="background1"/>
                <w:kern w:val="48"/>
                <w:lang w:val="en-GB"/>
              </w:rPr>
            </w:pPr>
            <w:r w:rsidRPr="00B83F9F">
              <w:rPr>
                <w:rFonts w:asciiTheme="minorBidi" w:eastAsia="MS Mincho" w:hAnsiTheme="minorBidi" w:cstheme="minorBidi"/>
                <w:b/>
                <w:bCs/>
                <w:noProof/>
                <w:color w:val="FFFFFF" w:themeColor="background1"/>
                <w:kern w:val="48"/>
                <w:lang w:val="en-GB"/>
              </w:rPr>
              <w:t>Secure Access Service Edge (SASE)</w:t>
            </w:r>
          </w:p>
        </w:tc>
      </w:tr>
      <w:tr w:rsidR="00534E0B" w:rsidRPr="00BB3230" w14:paraId="767FCAC4" w14:textId="77777777" w:rsidTr="00380DAC">
        <w:trPr>
          <w:tblCellSpacing w:w="15" w:type="dxa"/>
        </w:trPr>
        <w:tc>
          <w:tcPr>
            <w:tcW w:w="1201" w:type="dxa"/>
            <w:shd w:val="clear" w:color="auto" w:fill="CAEDFB" w:themeFill="accent4" w:themeFillTint="33"/>
            <w:vAlign w:val="center"/>
            <w:hideMark/>
          </w:tcPr>
          <w:p w14:paraId="6FCD1277"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Trust Assumption</w:t>
            </w:r>
          </w:p>
        </w:tc>
        <w:tc>
          <w:tcPr>
            <w:tcW w:w="1065" w:type="dxa"/>
            <w:shd w:val="clear" w:color="auto" w:fill="FAE2D5" w:themeFill="accent2" w:themeFillTint="33"/>
            <w:vAlign w:val="center"/>
            <w:hideMark/>
          </w:tcPr>
          <w:p w14:paraId="294A41EA" w14:textId="6E69BB14"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 xml:space="preserve">Trust </w:t>
            </w:r>
            <w:r w:rsidR="00380DAC">
              <w:rPr>
                <w:rFonts w:asciiTheme="minorBidi" w:eastAsia="MS Mincho" w:hAnsiTheme="minorBidi" w:cstheme="minorBidi"/>
                <w:noProof/>
                <w:kern w:val="48"/>
                <w:lang w:val="en-GB"/>
              </w:rPr>
              <w:t xml:space="preserve">the </w:t>
            </w:r>
            <w:r w:rsidRPr="00B83F9F">
              <w:rPr>
                <w:rFonts w:asciiTheme="minorBidi" w:eastAsia="MS Mincho" w:hAnsiTheme="minorBidi" w:cstheme="minorBidi"/>
                <w:noProof/>
                <w:kern w:val="48"/>
                <w:lang w:val="en-GB"/>
              </w:rPr>
              <w:t>internal network</w:t>
            </w:r>
          </w:p>
        </w:tc>
        <w:tc>
          <w:tcPr>
            <w:tcW w:w="1217" w:type="dxa"/>
            <w:shd w:val="clear" w:color="auto" w:fill="D9F2D0" w:themeFill="accent6" w:themeFillTint="33"/>
            <w:vAlign w:val="center"/>
            <w:hideMark/>
          </w:tcPr>
          <w:p w14:paraId="20CF6A07"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Never trust, always verify</w:t>
            </w:r>
          </w:p>
        </w:tc>
        <w:tc>
          <w:tcPr>
            <w:tcW w:w="1173" w:type="dxa"/>
            <w:shd w:val="clear" w:color="auto" w:fill="DAE9F7" w:themeFill="text2" w:themeFillTint="1A"/>
            <w:vAlign w:val="center"/>
            <w:hideMark/>
          </w:tcPr>
          <w:p w14:paraId="502354FA"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Cloud-delivered secure connectivity</w:t>
            </w:r>
          </w:p>
        </w:tc>
      </w:tr>
      <w:tr w:rsidR="00534E0B" w:rsidRPr="00BB3230" w14:paraId="179C1238" w14:textId="77777777" w:rsidTr="00380DAC">
        <w:trPr>
          <w:tblCellSpacing w:w="15" w:type="dxa"/>
        </w:trPr>
        <w:tc>
          <w:tcPr>
            <w:tcW w:w="1201" w:type="dxa"/>
            <w:shd w:val="clear" w:color="auto" w:fill="CAEDFB" w:themeFill="accent4" w:themeFillTint="33"/>
            <w:vAlign w:val="center"/>
            <w:hideMark/>
          </w:tcPr>
          <w:p w14:paraId="1F92BA24"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lastRenderedPageBreak/>
              <w:t>Access Control</w:t>
            </w:r>
          </w:p>
        </w:tc>
        <w:tc>
          <w:tcPr>
            <w:tcW w:w="1065" w:type="dxa"/>
            <w:shd w:val="clear" w:color="auto" w:fill="FAE2D5" w:themeFill="accent2" w:themeFillTint="33"/>
            <w:vAlign w:val="center"/>
            <w:hideMark/>
          </w:tcPr>
          <w:p w14:paraId="5AFBB125"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Network-based</w:t>
            </w:r>
          </w:p>
        </w:tc>
        <w:tc>
          <w:tcPr>
            <w:tcW w:w="1217" w:type="dxa"/>
            <w:shd w:val="clear" w:color="auto" w:fill="D9F2D0" w:themeFill="accent6" w:themeFillTint="33"/>
            <w:vAlign w:val="center"/>
            <w:hideMark/>
          </w:tcPr>
          <w:p w14:paraId="04C7CFE2"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Identity &amp; context-based</w:t>
            </w:r>
          </w:p>
        </w:tc>
        <w:tc>
          <w:tcPr>
            <w:tcW w:w="1173" w:type="dxa"/>
            <w:shd w:val="clear" w:color="auto" w:fill="DAE9F7" w:themeFill="text2" w:themeFillTint="1A"/>
            <w:vAlign w:val="center"/>
            <w:hideMark/>
          </w:tcPr>
          <w:p w14:paraId="007EB2C0"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Cloud policy-based access</w:t>
            </w:r>
          </w:p>
        </w:tc>
      </w:tr>
      <w:tr w:rsidR="00534E0B" w:rsidRPr="00BB3230" w14:paraId="5EA4B81E" w14:textId="77777777" w:rsidTr="00380DAC">
        <w:trPr>
          <w:tblCellSpacing w:w="15" w:type="dxa"/>
        </w:trPr>
        <w:tc>
          <w:tcPr>
            <w:tcW w:w="1201" w:type="dxa"/>
            <w:shd w:val="clear" w:color="auto" w:fill="CAEDFB" w:themeFill="accent4" w:themeFillTint="33"/>
            <w:vAlign w:val="center"/>
            <w:hideMark/>
          </w:tcPr>
          <w:p w14:paraId="5973B719"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Lateral Movement Risk</w:t>
            </w:r>
          </w:p>
        </w:tc>
        <w:tc>
          <w:tcPr>
            <w:tcW w:w="1065" w:type="dxa"/>
            <w:shd w:val="clear" w:color="auto" w:fill="FAE2D5" w:themeFill="accent2" w:themeFillTint="33"/>
            <w:vAlign w:val="center"/>
            <w:hideMark/>
          </w:tcPr>
          <w:p w14:paraId="47442DBC"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High</w:t>
            </w:r>
          </w:p>
        </w:tc>
        <w:tc>
          <w:tcPr>
            <w:tcW w:w="1217" w:type="dxa"/>
            <w:shd w:val="clear" w:color="auto" w:fill="D9F2D0" w:themeFill="accent6" w:themeFillTint="33"/>
            <w:vAlign w:val="center"/>
            <w:hideMark/>
          </w:tcPr>
          <w:p w14:paraId="1D9B59D2"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Low (micro-segmentation)</w:t>
            </w:r>
          </w:p>
        </w:tc>
        <w:tc>
          <w:tcPr>
            <w:tcW w:w="1173" w:type="dxa"/>
            <w:shd w:val="clear" w:color="auto" w:fill="DAE9F7" w:themeFill="text2" w:themeFillTint="1A"/>
            <w:vAlign w:val="center"/>
            <w:hideMark/>
          </w:tcPr>
          <w:p w14:paraId="6BD17C91"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Moderate</w:t>
            </w:r>
          </w:p>
        </w:tc>
      </w:tr>
      <w:tr w:rsidR="00534E0B" w:rsidRPr="00BB3230" w14:paraId="7F005541" w14:textId="77777777" w:rsidTr="00380DAC">
        <w:trPr>
          <w:tblCellSpacing w:w="15" w:type="dxa"/>
        </w:trPr>
        <w:tc>
          <w:tcPr>
            <w:tcW w:w="1201" w:type="dxa"/>
            <w:shd w:val="clear" w:color="auto" w:fill="CAEDFB" w:themeFill="accent4" w:themeFillTint="33"/>
            <w:vAlign w:val="center"/>
            <w:hideMark/>
          </w:tcPr>
          <w:p w14:paraId="70383109"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Verification Method</w:t>
            </w:r>
          </w:p>
        </w:tc>
        <w:tc>
          <w:tcPr>
            <w:tcW w:w="1065" w:type="dxa"/>
            <w:shd w:val="clear" w:color="auto" w:fill="FAE2D5" w:themeFill="accent2" w:themeFillTint="33"/>
            <w:vAlign w:val="center"/>
            <w:hideMark/>
          </w:tcPr>
          <w:p w14:paraId="36BE13D1"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One-time authentication</w:t>
            </w:r>
          </w:p>
        </w:tc>
        <w:tc>
          <w:tcPr>
            <w:tcW w:w="1217" w:type="dxa"/>
            <w:shd w:val="clear" w:color="auto" w:fill="D9F2D0" w:themeFill="accent6" w:themeFillTint="33"/>
            <w:vAlign w:val="center"/>
            <w:hideMark/>
          </w:tcPr>
          <w:p w14:paraId="350B01FB"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Continuous verification</w:t>
            </w:r>
          </w:p>
        </w:tc>
        <w:tc>
          <w:tcPr>
            <w:tcW w:w="1173" w:type="dxa"/>
            <w:shd w:val="clear" w:color="auto" w:fill="DAE9F7" w:themeFill="text2" w:themeFillTint="1A"/>
            <w:vAlign w:val="center"/>
            <w:hideMark/>
          </w:tcPr>
          <w:p w14:paraId="0257D7D9"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Policy-based validation</w:t>
            </w:r>
          </w:p>
        </w:tc>
      </w:tr>
      <w:tr w:rsidR="00534E0B" w:rsidRPr="00BB3230" w14:paraId="2EBC632A" w14:textId="77777777" w:rsidTr="00380DAC">
        <w:trPr>
          <w:tblCellSpacing w:w="15" w:type="dxa"/>
        </w:trPr>
        <w:tc>
          <w:tcPr>
            <w:tcW w:w="1201" w:type="dxa"/>
            <w:shd w:val="clear" w:color="auto" w:fill="CAEDFB" w:themeFill="accent4" w:themeFillTint="33"/>
            <w:vAlign w:val="center"/>
            <w:hideMark/>
          </w:tcPr>
          <w:p w14:paraId="4AD38C03"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Automation Level</w:t>
            </w:r>
          </w:p>
        </w:tc>
        <w:tc>
          <w:tcPr>
            <w:tcW w:w="1065" w:type="dxa"/>
            <w:shd w:val="clear" w:color="auto" w:fill="FAE2D5" w:themeFill="accent2" w:themeFillTint="33"/>
            <w:vAlign w:val="center"/>
            <w:hideMark/>
          </w:tcPr>
          <w:p w14:paraId="30AF2123"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Limited</w:t>
            </w:r>
          </w:p>
        </w:tc>
        <w:tc>
          <w:tcPr>
            <w:tcW w:w="1217" w:type="dxa"/>
            <w:shd w:val="clear" w:color="auto" w:fill="D9F2D0" w:themeFill="accent6" w:themeFillTint="33"/>
            <w:vAlign w:val="center"/>
            <w:hideMark/>
          </w:tcPr>
          <w:p w14:paraId="49971195"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High (SOAR integration)</w:t>
            </w:r>
          </w:p>
        </w:tc>
        <w:tc>
          <w:tcPr>
            <w:tcW w:w="1173" w:type="dxa"/>
            <w:shd w:val="clear" w:color="auto" w:fill="DAE9F7" w:themeFill="text2" w:themeFillTint="1A"/>
            <w:vAlign w:val="center"/>
            <w:hideMark/>
          </w:tcPr>
          <w:p w14:paraId="438A611D"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Moderate</w:t>
            </w:r>
          </w:p>
        </w:tc>
      </w:tr>
      <w:tr w:rsidR="00534E0B" w:rsidRPr="00BB3230" w14:paraId="7DBCF720" w14:textId="77777777" w:rsidTr="00380DAC">
        <w:trPr>
          <w:tblCellSpacing w:w="15" w:type="dxa"/>
        </w:trPr>
        <w:tc>
          <w:tcPr>
            <w:tcW w:w="1201" w:type="dxa"/>
            <w:shd w:val="clear" w:color="auto" w:fill="CAEDFB" w:themeFill="accent4" w:themeFillTint="33"/>
            <w:vAlign w:val="center"/>
            <w:hideMark/>
          </w:tcPr>
          <w:p w14:paraId="0C34FCA1"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Regulatory Alignment</w:t>
            </w:r>
          </w:p>
        </w:tc>
        <w:tc>
          <w:tcPr>
            <w:tcW w:w="1065" w:type="dxa"/>
            <w:shd w:val="clear" w:color="auto" w:fill="FAE2D5" w:themeFill="accent2" w:themeFillTint="33"/>
            <w:vAlign w:val="center"/>
            <w:hideMark/>
          </w:tcPr>
          <w:p w14:paraId="67CC7312"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Partial</w:t>
            </w:r>
          </w:p>
        </w:tc>
        <w:tc>
          <w:tcPr>
            <w:tcW w:w="1217" w:type="dxa"/>
            <w:shd w:val="clear" w:color="auto" w:fill="D9F2D0" w:themeFill="accent6" w:themeFillTint="33"/>
            <w:vAlign w:val="center"/>
            <w:hideMark/>
          </w:tcPr>
          <w:p w14:paraId="2967576D"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Strong (GDPR, NIS2, DORA)</w:t>
            </w:r>
          </w:p>
        </w:tc>
        <w:tc>
          <w:tcPr>
            <w:tcW w:w="1173" w:type="dxa"/>
            <w:shd w:val="clear" w:color="auto" w:fill="DAE9F7" w:themeFill="text2" w:themeFillTint="1A"/>
            <w:vAlign w:val="center"/>
            <w:hideMark/>
          </w:tcPr>
          <w:p w14:paraId="7C91BAEC" w14:textId="77777777" w:rsidR="001E3372" w:rsidRPr="00B83F9F" w:rsidRDefault="001E3372" w:rsidP="009B57EA">
            <w:pPr>
              <w:spacing w:line="360" w:lineRule="auto"/>
              <w:jc w:val="left"/>
              <w:rPr>
                <w:rFonts w:asciiTheme="minorBidi" w:eastAsia="MS Mincho" w:hAnsiTheme="minorBidi" w:cstheme="minorBidi"/>
                <w:noProof/>
                <w:kern w:val="48"/>
                <w:lang w:val="en-GB"/>
              </w:rPr>
            </w:pPr>
            <w:r w:rsidRPr="00B83F9F">
              <w:rPr>
                <w:rFonts w:asciiTheme="minorBidi" w:eastAsia="MS Mincho" w:hAnsiTheme="minorBidi" w:cstheme="minorBidi"/>
                <w:noProof/>
                <w:kern w:val="48"/>
                <w:lang w:val="en-GB"/>
              </w:rPr>
              <w:t>Connectivity-focused</w:t>
            </w:r>
          </w:p>
        </w:tc>
      </w:tr>
    </w:tbl>
    <w:p w14:paraId="2478E0B5" w14:textId="77777777" w:rsidR="001E3372" w:rsidRPr="0064550E" w:rsidRDefault="001E3372" w:rsidP="009B57EA">
      <w:pPr>
        <w:spacing w:line="360" w:lineRule="auto"/>
        <w:jc w:val="left"/>
        <w:rPr>
          <w:rFonts w:asciiTheme="minorBidi" w:eastAsia="MS Mincho" w:hAnsiTheme="minorBidi" w:cstheme="minorBidi"/>
          <w:noProof/>
          <w:kern w:val="48"/>
          <w:sz w:val="24"/>
          <w:szCs w:val="24"/>
          <w:lang w:val="en-GB"/>
        </w:rPr>
      </w:pPr>
    </w:p>
    <w:p w14:paraId="25B1174A"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However, critics argue that long-term empirical longitudinal studies are still limited. Some academic reviews emphasise that while breach containment improves, full elimination of systemic risk is unrealistic without complementary governance controls such as secure software development practices and workforce awareness training [10].</w:t>
      </w:r>
    </w:p>
    <w:p w14:paraId="15D728CF"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 xml:space="preserve">Furthermore, earlier identity-based frameworks such as BeyondCorp pioneered perimeter-less access but lacked comprehensive segmentation and policy orchestration integration found in formalised </w:t>
      </w:r>
      <w:r w:rsidRPr="0064550E">
        <w:rPr>
          <w:rFonts w:asciiTheme="minorBidi" w:eastAsia="MS Mincho" w:hAnsiTheme="minorBidi" w:cstheme="minorBidi"/>
          <w:noProof/>
          <w:kern w:val="48"/>
          <w:sz w:val="24"/>
          <w:szCs w:val="24"/>
          <w:lang w:val="en-GB"/>
        </w:rPr>
        <w:t>NIST ZTA models [11]. Therefore, Zero Trust can be viewed as an evolution rather than an isolated innovation.</w:t>
      </w:r>
    </w:p>
    <w:p w14:paraId="7A454624" w14:textId="14469159" w:rsidR="0064550E" w:rsidRPr="0064550E" w:rsidRDefault="008E25C5" w:rsidP="009B57EA">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4EA0D514"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VI. Anticipate, Protect, Detect and Respond Integration</w:t>
      </w:r>
    </w:p>
    <w:p w14:paraId="0B1B3FCE" w14:textId="524334EB"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Zero Trust enhances the cybersecurity lifecycle across anticipation, protection, detection, and response functions. Anticipation involves continuous risk assessment using behavioural analytics and threat intelligence feeds to predict potential compromise scenarios.</w:t>
      </w:r>
    </w:p>
    <w:p w14:paraId="2F6B65A7" w14:textId="2ED675BE"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Protection mechanisms include enforced multi-factor authentication, encryption of data in transit and at rest, device compliance validation, and just-in-time access provisioning. These controls operationalise the principle of least privilege at granular levels.</w:t>
      </w:r>
    </w:p>
    <w:p w14:paraId="46278AC3" w14:textId="44FE688F"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Detection capabilities are strengthened through integration with Extended Detection and Response systems, which correlate telemetry from endpoints, networks, and cloud services to identify anomalous behaviour patterns.</w:t>
      </w:r>
    </w:p>
    <w:p w14:paraId="108527E6" w14:textId="7A36C15A" w:rsidR="001E3372" w:rsidRPr="00BB3230"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 xml:space="preserve">Response automation significantly reduces attacker dwell time. Research analysing Zero Trust containment strategies highlights faster isolation and credential revocation compared to traditional reactive processes. </w:t>
      </w:r>
    </w:p>
    <w:p w14:paraId="414049BE" w14:textId="77777777" w:rsidR="001E3372" w:rsidRPr="00BB3230" w:rsidRDefault="001E3372" w:rsidP="009B57EA">
      <w:pPr>
        <w:spacing w:line="360" w:lineRule="auto"/>
        <w:jc w:val="left"/>
        <w:rPr>
          <w:rFonts w:asciiTheme="minorBidi" w:eastAsia="MS Mincho" w:hAnsiTheme="minorBidi" w:cstheme="minorBidi"/>
          <w:noProof/>
          <w:kern w:val="48"/>
          <w:sz w:val="24"/>
          <w:szCs w:val="24"/>
          <w:lang w:val="en-GB"/>
        </w:rPr>
      </w:pPr>
    </w:p>
    <w:p w14:paraId="76034589" w14:textId="03989B29"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lastRenderedPageBreak/>
        <w:t>Nevertheless, automated workflows must be carefully configured to prevent operational disruption due to false positives.</w:t>
      </w:r>
    </w:p>
    <w:p w14:paraId="768F8BC8" w14:textId="0A7C9B62" w:rsidR="0064550E" w:rsidRPr="0064550E" w:rsidRDefault="00464C0B" w:rsidP="009B57EA">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7BF270F6"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VII. Implementation Challenges and Organisational Barriers</w:t>
      </w:r>
    </w:p>
    <w:p w14:paraId="1EE49092" w14:textId="188769A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Despite its strategic advantages, Zero Trust implementation presents several significant challenges. Legacy infrastructure often lacks compatibility with identity federation protocols or API-based policy enforcement mechanisms. Retrofitting such systems can be financially and technically demanding [</w:t>
      </w:r>
      <w:r w:rsidR="00CA5B49" w:rsidRPr="00BB3230">
        <w:rPr>
          <w:rFonts w:asciiTheme="minorBidi" w:eastAsia="MS Mincho" w:hAnsiTheme="minorBidi" w:cstheme="minorBidi"/>
          <w:noProof/>
          <w:kern w:val="48"/>
          <w:sz w:val="24"/>
          <w:szCs w:val="24"/>
          <w:lang w:val="en-GB"/>
        </w:rPr>
        <w:t>12]</w:t>
      </w:r>
      <w:r w:rsidRPr="0064550E">
        <w:rPr>
          <w:rFonts w:asciiTheme="minorBidi" w:eastAsia="MS Mincho" w:hAnsiTheme="minorBidi" w:cstheme="minorBidi"/>
          <w:noProof/>
          <w:kern w:val="48"/>
          <w:sz w:val="24"/>
          <w:szCs w:val="24"/>
          <w:lang w:val="en-GB"/>
        </w:rPr>
        <w:t>.</w:t>
      </w:r>
    </w:p>
    <w:p w14:paraId="418AE69D" w14:textId="01E6CD1D"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Cost considerations represent another substantial barrier. Investment in identity governance platforms, segmentation technologies, endpoint detection systems, and orchestration tools may exceed budget capacity for small and medium-sized enterprises. While long-term breach reduction may justify expenditure, short-term capital allocation remains a constraint.</w:t>
      </w:r>
    </w:p>
    <w:p w14:paraId="08BDEA02"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Organisational resistance also complicates deployment. Departments accustomed to broad access permissions may resist restrictive least-privilege enforcement. Cultural transformation is therefore as critical as technical deployment.</w:t>
      </w:r>
    </w:p>
    <w:p w14:paraId="78C70173" w14:textId="2558788D"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 xml:space="preserve">Policy complexity further increases administrative overhead. Overly restrictive policies reduce productivity, whereas permissive policies weaken security posture. Scholarly literature consistently </w:t>
      </w:r>
      <w:r w:rsidRPr="0064550E">
        <w:rPr>
          <w:rFonts w:asciiTheme="minorBidi" w:eastAsia="MS Mincho" w:hAnsiTheme="minorBidi" w:cstheme="minorBidi"/>
          <w:noProof/>
          <w:kern w:val="48"/>
          <w:sz w:val="24"/>
          <w:szCs w:val="24"/>
          <w:lang w:val="en-GB"/>
        </w:rPr>
        <w:t>emphasises that Zero Trust must integrate with broader governance frameworks such as ISO/IEC 27001 to achieve sustainable operational maturity.</w:t>
      </w:r>
    </w:p>
    <w:p w14:paraId="058F97DC" w14:textId="481D8EF8"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Finally, identity infrastructure centralisation introduces concentration risk. Compromise or outage of authentication services may disrupt enterprise-wide operations. Resilience planning and redundancy are therefore essential design considerations.</w:t>
      </w:r>
    </w:p>
    <w:p w14:paraId="70C188CB" w14:textId="77A1FAE9" w:rsidR="0064550E" w:rsidRPr="0064550E" w:rsidRDefault="008E25C5" w:rsidP="009B57EA">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4BA9C496"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VIII. Regulatory and Compliance Alignment</w:t>
      </w:r>
    </w:p>
    <w:p w14:paraId="4AE79D9C" w14:textId="4818DAB6"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Zero Trust Architecture demonstrates strong alignment with contemporary regulatory frameworks. The General Data Protection Regulation mandates data protection by design and by default, principles that correspond directly with least privilege and access minimisation strategies</w:t>
      </w:r>
      <w:r w:rsidR="00CA5B49" w:rsidRPr="00BB3230">
        <w:rPr>
          <w:rFonts w:asciiTheme="minorBidi" w:eastAsia="MS Mincho" w:hAnsiTheme="minorBidi" w:cstheme="minorBidi"/>
          <w:noProof/>
          <w:kern w:val="48"/>
          <w:sz w:val="24"/>
          <w:szCs w:val="24"/>
          <w:lang w:val="en-GB"/>
        </w:rPr>
        <w:t>.</w:t>
      </w:r>
    </w:p>
    <w:p w14:paraId="329651D3"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The NIS2 Directive strengthens cybersecurity risk management obligations across essential and important entities within the European Union. Continuous monitoring and proactive risk mitigation embedded within Zero Trust models directly support these compliance requirements [13].</w:t>
      </w:r>
    </w:p>
    <w:p w14:paraId="4BCDD18F"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 xml:space="preserve">The Digital Operational Resilience Act emphasises ICT risk management, incident reporting, and resilience testing for financial institutions. Zero Trust’s integrated monitoring and automated response </w:t>
      </w:r>
      <w:r w:rsidRPr="0064550E">
        <w:rPr>
          <w:rFonts w:asciiTheme="minorBidi" w:eastAsia="MS Mincho" w:hAnsiTheme="minorBidi" w:cstheme="minorBidi"/>
          <w:noProof/>
          <w:kern w:val="48"/>
          <w:sz w:val="24"/>
          <w:szCs w:val="24"/>
          <w:lang w:val="en-GB"/>
        </w:rPr>
        <w:lastRenderedPageBreak/>
        <w:t>capabilities enhance regulatory conformity within such contexts [14].</w:t>
      </w:r>
    </w:p>
    <w:p w14:paraId="31ED46D9" w14:textId="6FCF17A1"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In addition, ISO/IEC 27001:2022 requires systematic risk assessment and control implementation, which Zero Trust operationalises through contextual policy enforcement and adaptive access governance. Consequently, Zero Trust can strengthen regulatory posture when embedded within structured compliance frameworks.</w:t>
      </w:r>
    </w:p>
    <w:p w14:paraId="76C3BBE2" w14:textId="0762D2BC" w:rsidR="0064550E" w:rsidRPr="0064550E" w:rsidRDefault="008E25C5" w:rsidP="009B57EA">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4E0BD120"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IX. Critical Limitations and Scholarly Debate</w:t>
      </w:r>
    </w:p>
    <w:p w14:paraId="36629490" w14:textId="30B04AC2"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While Zero Trust significantly reduces lateral movement and improves visibility, it does not eliminate cybersecurity risk. Systematic reviews conclude that Zero Trust improves breach containment but must operate alongside secure development practices, vulnerability management, and workforce awareness initiatives.</w:t>
      </w:r>
    </w:p>
    <w:p w14:paraId="7EEA2D47" w14:textId="019D470D"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Operational complexity may increase administrative burden. Additionally, increased authentication prompts may reduce user experience quality if not optimised. Some researchers caution that excessive reliance on AI-driven behavioural analytics may introduce algorithmic bias or false positives requiring manual oversight.</w:t>
      </w:r>
    </w:p>
    <w:p w14:paraId="78D7FC3E"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 xml:space="preserve">Moreover, Zero Trust cannot fully mitigate social engineering attacks where legitimate credentials are voluntarily disclosed. </w:t>
      </w:r>
      <w:r w:rsidRPr="0064550E">
        <w:rPr>
          <w:rFonts w:asciiTheme="minorBidi" w:eastAsia="MS Mincho" w:hAnsiTheme="minorBidi" w:cstheme="minorBidi"/>
          <w:noProof/>
          <w:kern w:val="48"/>
          <w:sz w:val="24"/>
          <w:szCs w:val="24"/>
          <w:lang w:val="en-GB"/>
        </w:rPr>
        <w:t>Therefore, human-centric risk remains a persistent vulnerability regardless of architectural sophistication.</w:t>
      </w:r>
    </w:p>
    <w:p w14:paraId="10F4D5AE" w14:textId="2324962A" w:rsidR="0064550E" w:rsidRPr="0064550E" w:rsidRDefault="008E25C5" w:rsidP="009B57EA">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1BB63121"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X. Future Directions</w:t>
      </w:r>
    </w:p>
    <w:p w14:paraId="37878C51" w14:textId="7E15E332"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Future research highlights convergence between Zero Trust and Secure Access Service Edge frameworks, integrating networking and security functions into unified cloud-delivered models [8]. Artificial intelligence–driven adaptive access control mechanisms are expected to enhance contextual decision accuracy [</w:t>
      </w:r>
      <w:r w:rsidR="003A1F32" w:rsidRPr="00BB3230">
        <w:rPr>
          <w:rFonts w:asciiTheme="minorBidi" w:eastAsia="MS Mincho" w:hAnsiTheme="minorBidi" w:cstheme="minorBidi"/>
          <w:noProof/>
          <w:kern w:val="48"/>
          <w:sz w:val="24"/>
          <w:szCs w:val="24"/>
          <w:lang w:val="en-GB"/>
        </w:rPr>
        <w:t>14</w:t>
      </w:r>
      <w:r w:rsidRPr="0064550E">
        <w:rPr>
          <w:rFonts w:asciiTheme="minorBidi" w:eastAsia="MS Mincho" w:hAnsiTheme="minorBidi" w:cstheme="minorBidi"/>
          <w:noProof/>
          <w:kern w:val="48"/>
          <w:sz w:val="24"/>
          <w:szCs w:val="24"/>
          <w:lang w:val="en-GB"/>
        </w:rPr>
        <w:t>].</w:t>
      </w:r>
    </w:p>
    <w:p w14:paraId="661EC448"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Post-quantum cryptographic research may further influence Zero Trust architectures as encryption standards evolve. Additionally, decentralised identity frameworks may reduce centralised authentication bottlenecks.</w:t>
      </w:r>
    </w:p>
    <w:p w14:paraId="455CFB96"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Zero Trust is therefore best understood as an evolving architectural philosophy rather than a static implementation blueprint.</w:t>
      </w:r>
    </w:p>
    <w:p w14:paraId="1B2C85E2" w14:textId="65CB25FC" w:rsidR="0064550E" w:rsidRPr="0064550E" w:rsidRDefault="00464C0B" w:rsidP="009B57EA">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1618E128"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XI. Conclusion</w:t>
      </w:r>
    </w:p>
    <w:p w14:paraId="3224F0CA" w14:textId="77777777" w:rsidR="00E71D5E" w:rsidRPr="00E71D5E" w:rsidRDefault="00E71D5E" w:rsidP="00E71D5E">
      <w:pPr>
        <w:spacing w:line="360" w:lineRule="auto"/>
        <w:jc w:val="left"/>
        <w:rPr>
          <w:rFonts w:asciiTheme="minorBidi" w:eastAsia="MS Mincho" w:hAnsiTheme="minorBidi" w:cstheme="minorBidi"/>
          <w:noProof/>
          <w:kern w:val="48"/>
          <w:sz w:val="24"/>
          <w:szCs w:val="24"/>
          <w:lang w:val="en-GB"/>
        </w:rPr>
      </w:pPr>
      <w:r w:rsidRPr="00E71D5E">
        <w:rPr>
          <w:rFonts w:asciiTheme="minorBidi" w:eastAsia="MS Mincho" w:hAnsiTheme="minorBidi" w:cstheme="minorBidi"/>
          <w:noProof/>
          <w:kern w:val="48"/>
          <w:sz w:val="24"/>
          <w:szCs w:val="24"/>
          <w:lang w:val="en-GB"/>
        </w:rPr>
        <w:t>Zero Trust Architecture represents a major shift in cybersecurity governance, replacing implicit network trust with identity-based continuous verification to overcome the limits of perimeter models in distributed environments.</w:t>
      </w:r>
    </w:p>
    <w:p w14:paraId="4E36317A" w14:textId="77777777" w:rsidR="00E71D5E" w:rsidRPr="00E71D5E" w:rsidRDefault="00E71D5E" w:rsidP="00E71D5E">
      <w:pPr>
        <w:spacing w:line="360" w:lineRule="auto"/>
        <w:jc w:val="left"/>
        <w:rPr>
          <w:rFonts w:asciiTheme="minorBidi" w:eastAsia="MS Mincho" w:hAnsiTheme="minorBidi" w:cstheme="minorBidi"/>
          <w:noProof/>
          <w:kern w:val="48"/>
          <w:sz w:val="24"/>
          <w:szCs w:val="24"/>
          <w:lang w:val="en-GB"/>
        </w:rPr>
      </w:pPr>
      <w:r w:rsidRPr="00E71D5E">
        <w:rPr>
          <w:rFonts w:asciiTheme="minorBidi" w:eastAsia="MS Mincho" w:hAnsiTheme="minorBidi" w:cstheme="minorBidi"/>
          <w:noProof/>
          <w:kern w:val="48"/>
          <w:sz w:val="24"/>
          <w:szCs w:val="24"/>
          <w:lang w:val="en-GB"/>
        </w:rPr>
        <w:t xml:space="preserve">Despite challenges such as implementation complexity, cost, and organisational resistance, evidence shows improved breach containment, greater visibility, and </w:t>
      </w:r>
      <w:r w:rsidRPr="00E71D5E">
        <w:rPr>
          <w:rFonts w:asciiTheme="minorBidi" w:eastAsia="MS Mincho" w:hAnsiTheme="minorBidi" w:cstheme="minorBidi"/>
          <w:noProof/>
          <w:kern w:val="48"/>
          <w:sz w:val="24"/>
          <w:szCs w:val="24"/>
          <w:lang w:val="en-GB"/>
        </w:rPr>
        <w:lastRenderedPageBreak/>
        <w:t>stronger regulatory alignment when applied within mature governance structures.</w:t>
      </w:r>
    </w:p>
    <w:p w14:paraId="1014E2B9" w14:textId="77777777" w:rsidR="00E71D5E" w:rsidRPr="00E71D5E" w:rsidRDefault="00E71D5E" w:rsidP="00E71D5E">
      <w:pPr>
        <w:spacing w:line="360" w:lineRule="auto"/>
        <w:jc w:val="left"/>
        <w:rPr>
          <w:rFonts w:asciiTheme="minorBidi" w:eastAsia="MS Mincho" w:hAnsiTheme="minorBidi" w:cstheme="minorBidi"/>
          <w:noProof/>
          <w:kern w:val="48"/>
          <w:sz w:val="24"/>
          <w:szCs w:val="24"/>
          <w:lang w:val="en-GB"/>
        </w:rPr>
      </w:pPr>
      <w:r w:rsidRPr="00E71D5E">
        <w:rPr>
          <w:rFonts w:asciiTheme="minorBidi" w:eastAsia="MS Mincho" w:hAnsiTheme="minorBidi" w:cstheme="minorBidi"/>
          <w:noProof/>
          <w:kern w:val="48"/>
          <w:sz w:val="24"/>
          <w:szCs w:val="24"/>
          <w:lang w:val="en-GB"/>
        </w:rPr>
        <w:t>Zero Trust is not a product but a comprehensive transformation strategy requiring architectural integration, cultural change, and continuous refinement. When systematically governed, it provides a strong foundation for resilient data protection and compliance in modern enterprises.</w:t>
      </w:r>
    </w:p>
    <w:p w14:paraId="2C5ED984" w14:textId="767427F4" w:rsidR="0064550E" w:rsidRPr="0064550E" w:rsidRDefault="00E71D5E" w:rsidP="009B57EA">
      <w:pPr>
        <w:spacing w:line="360" w:lineRule="auto"/>
        <w:jc w:val="left"/>
        <w:rPr>
          <w:rFonts w:asciiTheme="minorBidi" w:eastAsia="MS Mincho" w:hAnsiTheme="minorBidi" w:cstheme="minorBidi"/>
          <w:noProof/>
          <w:kern w:val="48"/>
          <w:sz w:val="24"/>
          <w:szCs w:val="24"/>
          <w:lang w:val="en-GB"/>
        </w:rPr>
      </w:pPr>
      <w:r>
        <w:rPr>
          <w:rFonts w:asciiTheme="minorBidi" w:eastAsia="MS Mincho" w:hAnsiTheme="minorBidi" w:cstheme="minorBidi"/>
          <w:noProof/>
          <w:kern w:val="48"/>
          <w:sz w:val="24"/>
          <w:szCs w:val="24"/>
          <w:lang w:val="en-GB"/>
        </w:rPr>
        <w:t xml:space="preserve">  </w:t>
      </w:r>
      <w:r w:rsidR="008E25C5" w:rsidRPr="00BB3230">
        <w:rPr>
          <w:rFonts w:asciiTheme="minorBidi" w:eastAsia="MS Mincho" w:hAnsiTheme="minorBidi" w:cstheme="minorBidi"/>
          <w:noProof/>
          <w:kern w:val="48"/>
          <w:sz w:val="24"/>
          <w:szCs w:val="24"/>
          <w:lang w:val="en-GB"/>
        </w:rPr>
        <w:t xml:space="preserve"> </w:t>
      </w:r>
    </w:p>
    <w:p w14:paraId="4DCB70CC"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References (IEEE Style – Sequential Order)</w:t>
      </w:r>
    </w:p>
    <w:p w14:paraId="5754E73E" w14:textId="6D9737DA" w:rsidR="0016321C" w:rsidRDefault="0016321C" w:rsidP="0016321C">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[1] </w:t>
      </w:r>
      <w:r>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S. Rose, O. Borchert, S. Mitchell, and S. Connelly, "Zero Trust Architecture," NIST Special Publication 800-207, Aug. 2020. </w:t>
      </w:r>
    </w:p>
    <w:p w14:paraId="5DB2A2BF" w14:textId="77777777" w:rsidR="0016321C" w:rsidRPr="0016321C" w:rsidRDefault="0016321C" w:rsidP="0016321C">
      <w:pPr>
        <w:spacing w:line="360" w:lineRule="auto"/>
        <w:jc w:val="left"/>
        <w:rPr>
          <w:rFonts w:asciiTheme="minorBidi" w:eastAsia="MS Mincho" w:hAnsiTheme="minorBidi" w:cstheme="minorBidi"/>
          <w:noProof/>
          <w:kern w:val="48"/>
          <w:sz w:val="24"/>
          <w:szCs w:val="24"/>
          <w:lang w:val="en-GB"/>
        </w:rPr>
      </w:pPr>
    </w:p>
    <w:p w14:paraId="47F4390A" w14:textId="5D468F3E" w:rsidR="0016321C" w:rsidRDefault="0016321C" w:rsidP="0016321C">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[2] </w:t>
      </w:r>
      <w:r>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M. L. Gambo and A. Almulhem, "Zero Trust Architecture: A Systematic Literature Review," </w:t>
      </w:r>
      <w:r w:rsidRPr="0016321C">
        <w:rPr>
          <w:rFonts w:asciiTheme="minorBidi" w:eastAsia="MS Mincho" w:hAnsiTheme="minorBidi" w:cstheme="minorBidi"/>
          <w:i/>
          <w:iCs/>
          <w:noProof/>
          <w:kern w:val="48"/>
          <w:sz w:val="24"/>
          <w:szCs w:val="24"/>
          <w:lang w:val="en-GB"/>
        </w:rPr>
        <w:t>IEEE Access</w:t>
      </w:r>
      <w:r w:rsidRPr="0016321C">
        <w:rPr>
          <w:rFonts w:asciiTheme="minorBidi" w:eastAsia="MS Mincho" w:hAnsiTheme="minorBidi" w:cstheme="minorBidi"/>
          <w:noProof/>
          <w:kern w:val="48"/>
          <w:sz w:val="24"/>
          <w:szCs w:val="24"/>
          <w:lang w:val="en-GB"/>
        </w:rPr>
        <w:t>, vol. 12, pp. 15421–15445, 2024</w:t>
      </w:r>
      <w:r>
        <w:rPr>
          <w:rFonts w:asciiTheme="minorBidi" w:eastAsia="MS Mincho" w:hAnsiTheme="minorBidi" w:cstheme="minorBidi"/>
          <w:noProof/>
          <w:kern w:val="48"/>
          <w:sz w:val="24"/>
          <w:szCs w:val="24"/>
          <w:lang w:val="en-GB"/>
        </w:rPr>
        <w:t>.</w:t>
      </w:r>
    </w:p>
    <w:p w14:paraId="6F382C3F" w14:textId="66553320" w:rsidR="0016321C" w:rsidRPr="0016321C" w:rsidRDefault="0016321C" w:rsidP="0016321C">
      <w:pPr>
        <w:spacing w:line="360" w:lineRule="auto"/>
        <w:jc w:val="left"/>
        <w:rPr>
          <w:rFonts w:asciiTheme="minorBidi" w:eastAsia="MS Mincho" w:hAnsiTheme="minorBidi" w:cstheme="minorBidi"/>
          <w:noProof/>
          <w:kern w:val="48"/>
          <w:sz w:val="24"/>
          <w:szCs w:val="24"/>
          <w:lang w:val="en-GB"/>
        </w:rPr>
      </w:pPr>
      <w:r>
        <w:rPr>
          <w:rFonts w:asciiTheme="minorBidi" w:eastAsia="MS Mincho" w:hAnsiTheme="minorBidi" w:cstheme="minorBidi"/>
          <w:noProof/>
          <w:kern w:val="48"/>
          <w:sz w:val="24"/>
          <w:szCs w:val="24"/>
          <w:lang w:val="en-GB"/>
        </w:rPr>
        <w:t xml:space="preserve"> </w:t>
      </w:r>
    </w:p>
    <w:p w14:paraId="590652A3" w14:textId="447E88A7" w:rsidR="0016321C" w:rsidRPr="0016321C" w:rsidRDefault="0016321C" w:rsidP="0016321C">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[3] </w:t>
      </w:r>
      <w:r>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Y. Chen </w:t>
      </w:r>
      <w:r w:rsidRPr="0016321C">
        <w:rPr>
          <w:rFonts w:asciiTheme="minorBidi" w:eastAsia="MS Mincho" w:hAnsiTheme="minorBidi" w:cstheme="minorBidi"/>
          <w:i/>
          <w:iCs/>
          <w:noProof/>
          <w:kern w:val="48"/>
          <w:sz w:val="24"/>
          <w:szCs w:val="24"/>
          <w:lang w:val="en-GB"/>
        </w:rPr>
        <w:t>et al.</w:t>
      </w:r>
      <w:r w:rsidRPr="0016321C">
        <w:rPr>
          <w:rFonts w:asciiTheme="minorBidi" w:eastAsia="MS Mincho" w:hAnsiTheme="minorBidi" w:cstheme="minorBidi"/>
          <w:noProof/>
          <w:kern w:val="48"/>
          <w:sz w:val="24"/>
          <w:szCs w:val="24"/>
          <w:lang w:val="en-GB"/>
        </w:rPr>
        <w:t xml:space="preserve">, "Artificial Intelligence for Adaptive Access Control," </w:t>
      </w:r>
      <w:r w:rsidRPr="0016321C">
        <w:rPr>
          <w:rFonts w:asciiTheme="minorBidi" w:eastAsia="MS Mincho" w:hAnsiTheme="minorBidi" w:cstheme="minorBidi"/>
          <w:i/>
          <w:iCs/>
          <w:noProof/>
          <w:kern w:val="48"/>
          <w:sz w:val="24"/>
          <w:szCs w:val="24"/>
          <w:lang w:val="en-GB"/>
        </w:rPr>
        <w:t>IEEE Security &amp; Privacy</w:t>
      </w:r>
      <w:r w:rsidRPr="0016321C">
        <w:rPr>
          <w:rFonts w:asciiTheme="minorBidi" w:eastAsia="MS Mincho" w:hAnsiTheme="minorBidi" w:cstheme="minorBidi"/>
          <w:noProof/>
          <w:kern w:val="48"/>
          <w:sz w:val="24"/>
          <w:szCs w:val="24"/>
          <w:lang w:val="en-GB"/>
        </w:rPr>
        <w:t>, vol. 22, no. 1,2024</w:t>
      </w:r>
      <w:r>
        <w:rPr>
          <w:rFonts w:asciiTheme="minorBidi" w:eastAsia="MS Mincho" w:hAnsiTheme="minorBidi" w:cstheme="minorBidi"/>
          <w:noProof/>
          <w:kern w:val="48"/>
          <w:sz w:val="24"/>
          <w:szCs w:val="24"/>
          <w:lang w:val="en-GB"/>
        </w:rPr>
        <w:t>.</w:t>
      </w:r>
    </w:p>
    <w:p w14:paraId="629D2AD4" w14:textId="71435EB2" w:rsidR="0016321C" w:rsidRPr="0016321C" w:rsidRDefault="0016321C" w:rsidP="0016321C">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[4]</w:t>
      </w:r>
      <w:r>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 </w:t>
      </w:r>
      <w:r w:rsidRPr="0016321C">
        <w:rPr>
          <w:rFonts w:asciiTheme="minorBidi" w:eastAsia="MS Mincho" w:hAnsiTheme="minorBidi" w:cstheme="minorBidi"/>
          <w:i/>
          <w:iCs/>
          <w:noProof/>
          <w:kern w:val="48"/>
          <w:sz w:val="24"/>
          <w:szCs w:val="24"/>
          <w:lang w:val="en-GB"/>
        </w:rPr>
        <w:t>Information Security, Cybersecurity and Privacy Protection — Information Security Management Systems — Requirements</w:t>
      </w:r>
      <w:r w:rsidRPr="0016321C">
        <w:rPr>
          <w:rFonts w:asciiTheme="minorBidi" w:eastAsia="MS Mincho" w:hAnsiTheme="minorBidi" w:cstheme="minorBidi"/>
          <w:noProof/>
          <w:kern w:val="48"/>
          <w:sz w:val="24"/>
          <w:szCs w:val="24"/>
          <w:lang w:val="en-GB"/>
        </w:rPr>
        <w:t>, ISO/IEC 27001:2022, Oct. 2022.</w:t>
      </w:r>
    </w:p>
    <w:p w14:paraId="4280EB45" w14:textId="3AA41467" w:rsidR="0016321C" w:rsidRDefault="0016321C" w:rsidP="00EA5EF2">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[5] </w:t>
      </w:r>
      <w:r w:rsidR="00EA5EF2">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S. Khan and R. Mitchell, "Micro-segmentation in Modern Networks," </w:t>
      </w:r>
      <w:r w:rsidRPr="0016321C">
        <w:rPr>
          <w:rFonts w:asciiTheme="minorBidi" w:eastAsia="MS Mincho" w:hAnsiTheme="minorBidi" w:cstheme="minorBidi"/>
          <w:i/>
          <w:iCs/>
          <w:noProof/>
          <w:kern w:val="48"/>
          <w:sz w:val="24"/>
          <w:szCs w:val="24"/>
          <w:lang w:val="en-GB"/>
        </w:rPr>
        <w:t>Journal of Cybersecurity</w:t>
      </w:r>
      <w:r w:rsidRPr="0016321C">
        <w:rPr>
          <w:rFonts w:asciiTheme="minorBidi" w:eastAsia="MS Mincho" w:hAnsiTheme="minorBidi" w:cstheme="minorBidi"/>
          <w:noProof/>
          <w:kern w:val="48"/>
          <w:sz w:val="24"/>
          <w:szCs w:val="24"/>
          <w:lang w:val="en-GB"/>
        </w:rPr>
        <w:t>, vol. 7, no. 1, pp. 1–15, 2021.</w:t>
      </w:r>
    </w:p>
    <w:p w14:paraId="3548885C" w14:textId="77777777" w:rsidR="00EA5EF2" w:rsidRPr="0016321C" w:rsidRDefault="00EA5EF2" w:rsidP="0016321C">
      <w:pPr>
        <w:spacing w:line="360" w:lineRule="auto"/>
        <w:jc w:val="left"/>
        <w:rPr>
          <w:rFonts w:asciiTheme="minorBidi" w:eastAsia="MS Mincho" w:hAnsiTheme="minorBidi" w:cstheme="minorBidi"/>
          <w:noProof/>
          <w:kern w:val="48"/>
          <w:sz w:val="24"/>
          <w:szCs w:val="24"/>
          <w:lang w:val="en-GB"/>
        </w:rPr>
      </w:pPr>
    </w:p>
    <w:p w14:paraId="66CE9141" w14:textId="12540088" w:rsidR="0016321C" w:rsidRDefault="0016321C" w:rsidP="00EA5EF2">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[6] </w:t>
      </w:r>
      <w:r w:rsidR="00EA5EF2">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CISA, "Zero Trust Maturity</w:t>
      </w:r>
      <w:r w:rsidR="00EA5EF2">
        <w:rPr>
          <w:rFonts w:asciiTheme="minorBidi" w:eastAsia="MS Mincho" w:hAnsiTheme="minorBidi" w:cstheme="minorBidi"/>
          <w:noProof/>
          <w:kern w:val="48"/>
          <w:sz w:val="24"/>
          <w:szCs w:val="24"/>
          <w:lang w:val="en-GB"/>
        </w:rPr>
        <w:t xml:space="preserve"> </w:t>
      </w:r>
      <w:r w:rsidRPr="0016321C">
        <w:rPr>
          <w:rFonts w:asciiTheme="minorBidi" w:eastAsia="MS Mincho" w:hAnsiTheme="minorBidi" w:cstheme="minorBidi"/>
          <w:noProof/>
          <w:kern w:val="48"/>
          <w:sz w:val="24"/>
          <w:szCs w:val="24"/>
          <w:lang w:val="en-GB"/>
        </w:rPr>
        <w:t>Model Version 2.0," Cybersecurity and Infrastructure Security Agency, Washington, DC, USA, Apr. 2023.</w:t>
      </w:r>
    </w:p>
    <w:p w14:paraId="4586C623" w14:textId="77777777" w:rsidR="00EA5EF2" w:rsidRPr="0016321C" w:rsidRDefault="00EA5EF2" w:rsidP="00EA5EF2">
      <w:pPr>
        <w:spacing w:line="360" w:lineRule="auto"/>
        <w:ind w:left="720" w:hanging="720"/>
        <w:jc w:val="left"/>
        <w:rPr>
          <w:rFonts w:asciiTheme="minorBidi" w:eastAsia="MS Mincho" w:hAnsiTheme="minorBidi" w:cstheme="minorBidi"/>
          <w:noProof/>
          <w:kern w:val="48"/>
          <w:sz w:val="24"/>
          <w:szCs w:val="24"/>
          <w:lang w:val="en-GB"/>
        </w:rPr>
      </w:pPr>
    </w:p>
    <w:p w14:paraId="1DA746A1" w14:textId="3B692598" w:rsidR="0016321C" w:rsidRDefault="0016321C" w:rsidP="00EA5EF2">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[7] </w:t>
      </w:r>
      <w:r w:rsidR="00EA5EF2">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A. Ahmad </w:t>
      </w:r>
      <w:r w:rsidRPr="0016321C">
        <w:rPr>
          <w:rFonts w:asciiTheme="minorBidi" w:eastAsia="MS Mincho" w:hAnsiTheme="minorBidi" w:cstheme="minorBidi"/>
          <w:i/>
          <w:iCs/>
          <w:noProof/>
          <w:kern w:val="48"/>
          <w:sz w:val="24"/>
          <w:szCs w:val="24"/>
          <w:lang w:val="en-GB"/>
        </w:rPr>
        <w:t>et al.</w:t>
      </w:r>
      <w:r w:rsidRPr="0016321C">
        <w:rPr>
          <w:rFonts w:asciiTheme="minorBidi" w:eastAsia="MS Mincho" w:hAnsiTheme="minorBidi" w:cstheme="minorBidi"/>
          <w:noProof/>
          <w:kern w:val="48"/>
          <w:sz w:val="24"/>
          <w:szCs w:val="24"/>
          <w:lang w:val="en-GB"/>
        </w:rPr>
        <w:t xml:space="preserve">, "A Review of Extended Detection and Response Systems," </w:t>
      </w:r>
      <w:r w:rsidRPr="0016321C">
        <w:rPr>
          <w:rFonts w:asciiTheme="minorBidi" w:eastAsia="MS Mincho" w:hAnsiTheme="minorBidi" w:cstheme="minorBidi"/>
          <w:i/>
          <w:iCs/>
          <w:noProof/>
          <w:kern w:val="48"/>
          <w:sz w:val="24"/>
          <w:szCs w:val="24"/>
          <w:lang w:val="en-GB"/>
        </w:rPr>
        <w:t>IEEE Access</w:t>
      </w:r>
      <w:r w:rsidRPr="0016321C">
        <w:rPr>
          <w:rFonts w:asciiTheme="minorBidi" w:eastAsia="MS Mincho" w:hAnsiTheme="minorBidi" w:cstheme="minorBidi"/>
          <w:noProof/>
          <w:kern w:val="48"/>
          <w:sz w:val="24"/>
          <w:szCs w:val="24"/>
          <w:lang w:val="en-GB"/>
        </w:rPr>
        <w:t>, vol. 10, pp. 112000–112015, 2022.</w:t>
      </w:r>
    </w:p>
    <w:p w14:paraId="1E8120C2" w14:textId="77777777" w:rsidR="00EA5EF2" w:rsidRPr="0016321C" w:rsidRDefault="00EA5EF2" w:rsidP="00EA5EF2">
      <w:pPr>
        <w:spacing w:line="360" w:lineRule="auto"/>
        <w:ind w:left="720" w:hanging="720"/>
        <w:jc w:val="left"/>
        <w:rPr>
          <w:rFonts w:asciiTheme="minorBidi" w:eastAsia="MS Mincho" w:hAnsiTheme="minorBidi" w:cstheme="minorBidi"/>
          <w:noProof/>
          <w:kern w:val="48"/>
          <w:sz w:val="24"/>
          <w:szCs w:val="24"/>
          <w:lang w:val="en-GB"/>
        </w:rPr>
      </w:pPr>
    </w:p>
    <w:p w14:paraId="354D4410" w14:textId="69CD5B45" w:rsidR="0016321C" w:rsidRDefault="0016321C" w:rsidP="00EA5EF2">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[8] </w:t>
      </w:r>
      <w:r w:rsidR="00EA5EF2">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Gartner, "Market Guide for Zero Trust Network Access," Gartner Inc., Stamford, CT, USA, Tech. Rep. G00742118, Feb. 17, 2022.</w:t>
      </w:r>
    </w:p>
    <w:p w14:paraId="77C871B5" w14:textId="77777777" w:rsidR="00EA5EF2" w:rsidRPr="0016321C" w:rsidRDefault="00EA5EF2" w:rsidP="00EA5EF2">
      <w:pPr>
        <w:spacing w:line="360" w:lineRule="auto"/>
        <w:ind w:left="720" w:hanging="720"/>
        <w:jc w:val="left"/>
        <w:rPr>
          <w:rFonts w:asciiTheme="minorBidi" w:eastAsia="MS Mincho" w:hAnsiTheme="minorBidi" w:cstheme="minorBidi"/>
          <w:noProof/>
          <w:kern w:val="48"/>
          <w:sz w:val="24"/>
          <w:szCs w:val="24"/>
          <w:lang w:val="en-GB"/>
        </w:rPr>
      </w:pPr>
    </w:p>
    <w:p w14:paraId="7038EEC7" w14:textId="5FBF2BE8" w:rsidR="0016321C" w:rsidRDefault="0016321C" w:rsidP="00EA5EF2">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[9] </w:t>
      </w:r>
      <w:r w:rsidR="00EA5EF2">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IBM Security, "Cost of a Data Breach Report 2023," IBM, Armonk, NY, USA, Jul. 2023.</w:t>
      </w:r>
    </w:p>
    <w:p w14:paraId="7313CFA3" w14:textId="77777777" w:rsidR="00EA5EF2" w:rsidRPr="0016321C" w:rsidRDefault="00EA5EF2" w:rsidP="00EA5EF2">
      <w:pPr>
        <w:spacing w:line="360" w:lineRule="auto"/>
        <w:ind w:left="720" w:hanging="720"/>
        <w:jc w:val="left"/>
        <w:rPr>
          <w:rFonts w:asciiTheme="minorBidi" w:eastAsia="MS Mincho" w:hAnsiTheme="minorBidi" w:cstheme="minorBidi"/>
          <w:noProof/>
          <w:kern w:val="48"/>
          <w:sz w:val="24"/>
          <w:szCs w:val="24"/>
          <w:lang w:val="en-GB"/>
        </w:rPr>
      </w:pPr>
    </w:p>
    <w:p w14:paraId="532D47BF" w14:textId="15366B22" w:rsidR="0016321C" w:rsidRDefault="0016321C" w:rsidP="00EA5EF2">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[10]</w:t>
      </w:r>
      <w:r w:rsidR="00EA5EF2">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 S. Mushtaq </w:t>
      </w:r>
      <w:r w:rsidRPr="0016321C">
        <w:rPr>
          <w:rFonts w:asciiTheme="minorBidi" w:eastAsia="MS Mincho" w:hAnsiTheme="minorBidi" w:cstheme="minorBidi"/>
          <w:i/>
          <w:iCs/>
          <w:noProof/>
          <w:kern w:val="48"/>
          <w:sz w:val="24"/>
          <w:szCs w:val="24"/>
          <w:lang w:val="en-GB"/>
        </w:rPr>
        <w:t>et al.</w:t>
      </w:r>
      <w:r w:rsidRPr="0016321C">
        <w:rPr>
          <w:rFonts w:asciiTheme="minorBidi" w:eastAsia="MS Mincho" w:hAnsiTheme="minorBidi" w:cstheme="minorBidi"/>
          <w:noProof/>
          <w:kern w:val="48"/>
          <w:sz w:val="24"/>
          <w:szCs w:val="24"/>
          <w:lang w:val="en-GB"/>
        </w:rPr>
        <w:t xml:space="preserve">, "Implementation and Evaluation of Zero Trust Architecture," </w:t>
      </w:r>
      <w:r w:rsidRPr="0016321C">
        <w:rPr>
          <w:rFonts w:asciiTheme="minorBidi" w:eastAsia="MS Mincho" w:hAnsiTheme="minorBidi" w:cstheme="minorBidi"/>
          <w:i/>
          <w:iCs/>
          <w:noProof/>
          <w:kern w:val="48"/>
          <w:sz w:val="24"/>
          <w:szCs w:val="24"/>
          <w:lang w:val="en-GB"/>
        </w:rPr>
        <w:t>Sensors</w:t>
      </w:r>
      <w:r w:rsidRPr="0016321C">
        <w:rPr>
          <w:rFonts w:asciiTheme="minorBidi" w:eastAsia="MS Mincho" w:hAnsiTheme="minorBidi" w:cstheme="minorBidi"/>
          <w:noProof/>
          <w:kern w:val="48"/>
          <w:sz w:val="24"/>
          <w:szCs w:val="24"/>
          <w:lang w:val="en-GB"/>
        </w:rPr>
        <w:t>, vol. 24, no. 5, 2024</w:t>
      </w:r>
      <w:r w:rsidR="00EA5EF2">
        <w:rPr>
          <w:rFonts w:asciiTheme="minorBidi" w:eastAsia="MS Mincho" w:hAnsiTheme="minorBidi" w:cstheme="minorBidi"/>
          <w:noProof/>
          <w:kern w:val="48"/>
          <w:sz w:val="24"/>
          <w:szCs w:val="24"/>
          <w:lang w:val="en-GB"/>
        </w:rPr>
        <w:t>.</w:t>
      </w:r>
    </w:p>
    <w:p w14:paraId="48FE5CBE" w14:textId="6138CB60" w:rsidR="00FC5627" w:rsidRPr="0016321C" w:rsidRDefault="00FC5627" w:rsidP="00EA5EF2">
      <w:pPr>
        <w:spacing w:line="360" w:lineRule="auto"/>
        <w:ind w:left="720" w:hanging="720"/>
        <w:jc w:val="left"/>
        <w:rPr>
          <w:rFonts w:asciiTheme="minorBidi" w:eastAsia="MS Mincho" w:hAnsiTheme="minorBidi" w:cstheme="minorBidi"/>
          <w:noProof/>
          <w:kern w:val="48"/>
          <w:sz w:val="24"/>
          <w:szCs w:val="24"/>
          <w:lang w:val="en-GB"/>
        </w:rPr>
      </w:pPr>
      <w:r>
        <w:rPr>
          <w:rFonts w:asciiTheme="minorBidi" w:eastAsia="MS Mincho" w:hAnsiTheme="minorBidi" w:cstheme="minorBidi"/>
          <w:noProof/>
          <w:kern w:val="48"/>
          <w:sz w:val="24"/>
          <w:szCs w:val="24"/>
          <w:lang w:val="en-GB"/>
        </w:rPr>
        <w:tab/>
      </w:r>
    </w:p>
    <w:p w14:paraId="0B26432E" w14:textId="5ADF005C" w:rsidR="0016321C" w:rsidRDefault="0016321C" w:rsidP="00FC5627">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[11] </w:t>
      </w:r>
      <w:r w:rsidR="00FC5627">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R. Ward and B. Beyer, "BeyondCorp: A New Approach to Enterprise Security," </w:t>
      </w:r>
      <w:r w:rsidRPr="0016321C">
        <w:rPr>
          <w:rFonts w:asciiTheme="minorBidi" w:eastAsia="MS Mincho" w:hAnsiTheme="minorBidi" w:cstheme="minorBidi"/>
          <w:i/>
          <w:iCs/>
          <w:noProof/>
          <w:kern w:val="48"/>
          <w:sz w:val="24"/>
          <w:szCs w:val="24"/>
          <w:lang w:val="en-GB"/>
        </w:rPr>
        <w:t>login: The USENIX Magazine</w:t>
      </w:r>
      <w:r w:rsidRPr="0016321C">
        <w:rPr>
          <w:rFonts w:asciiTheme="minorBidi" w:eastAsia="MS Mincho" w:hAnsiTheme="minorBidi" w:cstheme="minorBidi"/>
          <w:noProof/>
          <w:kern w:val="48"/>
          <w:sz w:val="24"/>
          <w:szCs w:val="24"/>
          <w:lang w:val="en-GB"/>
        </w:rPr>
        <w:t>, vol. 39, no. 6, pp. 6–11, Dec. 2014.</w:t>
      </w:r>
    </w:p>
    <w:p w14:paraId="6454EFC7" w14:textId="77777777" w:rsidR="00FC5627" w:rsidRPr="0016321C" w:rsidRDefault="00FC5627" w:rsidP="00FC5627">
      <w:pPr>
        <w:spacing w:line="360" w:lineRule="auto"/>
        <w:ind w:left="720" w:hanging="720"/>
        <w:jc w:val="left"/>
        <w:rPr>
          <w:rFonts w:asciiTheme="minorBidi" w:eastAsia="MS Mincho" w:hAnsiTheme="minorBidi" w:cstheme="minorBidi"/>
          <w:noProof/>
          <w:kern w:val="48"/>
          <w:sz w:val="24"/>
          <w:szCs w:val="24"/>
          <w:lang w:val="en-GB"/>
        </w:rPr>
      </w:pPr>
    </w:p>
    <w:p w14:paraId="55EBF88D" w14:textId="7CBE13CA" w:rsidR="0016321C" w:rsidRDefault="0016321C" w:rsidP="00FC5627">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[12]</w:t>
      </w:r>
      <w:r w:rsidR="00FC5627">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 J. A. Ruth, G. V. Mahesh, P. Visalakshi, R. Uma, and A. Meenakshi, Eds., </w:t>
      </w:r>
      <w:r w:rsidRPr="0016321C">
        <w:rPr>
          <w:rFonts w:asciiTheme="minorBidi" w:eastAsia="MS Mincho" w:hAnsiTheme="minorBidi" w:cstheme="minorBidi"/>
          <w:i/>
          <w:iCs/>
          <w:noProof/>
          <w:kern w:val="48"/>
          <w:sz w:val="24"/>
          <w:szCs w:val="24"/>
          <w:lang w:val="en-GB"/>
        </w:rPr>
        <w:t>Machine Learning and Cryptographic Solutions for Data Protection and Network Security</w:t>
      </w:r>
      <w:r w:rsidRPr="0016321C">
        <w:rPr>
          <w:rFonts w:asciiTheme="minorBidi" w:eastAsia="MS Mincho" w:hAnsiTheme="minorBidi" w:cstheme="minorBidi"/>
          <w:noProof/>
          <w:kern w:val="48"/>
          <w:sz w:val="24"/>
          <w:szCs w:val="24"/>
          <w:lang w:val="en-GB"/>
        </w:rPr>
        <w:t>. Hershey, PA, USA: IGI Global, 2024.</w:t>
      </w:r>
    </w:p>
    <w:p w14:paraId="57A8304F" w14:textId="77777777" w:rsidR="00FC5627" w:rsidRPr="0016321C" w:rsidRDefault="00FC5627" w:rsidP="00FC5627">
      <w:pPr>
        <w:spacing w:line="360" w:lineRule="auto"/>
        <w:ind w:left="720" w:hanging="720"/>
        <w:jc w:val="left"/>
        <w:rPr>
          <w:rFonts w:asciiTheme="minorBidi" w:eastAsia="MS Mincho" w:hAnsiTheme="minorBidi" w:cstheme="minorBidi"/>
          <w:noProof/>
          <w:kern w:val="48"/>
          <w:sz w:val="24"/>
          <w:szCs w:val="24"/>
          <w:lang w:val="en-GB"/>
        </w:rPr>
      </w:pPr>
    </w:p>
    <w:p w14:paraId="58AB25F1" w14:textId="6A523D89" w:rsidR="0016321C" w:rsidRPr="0016321C" w:rsidRDefault="0016321C" w:rsidP="00FC5627">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[13] </w:t>
      </w:r>
      <w:r w:rsidR="00FC5627">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ENISA, "Technical Guidance on the Implementation of NIS2," European </w:t>
      </w:r>
      <w:r w:rsidRPr="0016321C">
        <w:rPr>
          <w:rFonts w:asciiTheme="minorBidi" w:eastAsia="MS Mincho" w:hAnsiTheme="minorBidi" w:cstheme="minorBidi"/>
          <w:noProof/>
          <w:kern w:val="48"/>
          <w:sz w:val="24"/>
          <w:szCs w:val="24"/>
          <w:lang w:val="en-GB"/>
        </w:rPr>
        <w:t>Union Agency for Cybersecurity, Athens, Greece, Jun. 2025.</w:t>
      </w:r>
    </w:p>
    <w:p w14:paraId="38DB7DE5" w14:textId="6425748F" w:rsidR="0016321C" w:rsidRPr="0016321C" w:rsidRDefault="0016321C" w:rsidP="00717E73">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[14] </w:t>
      </w:r>
      <w:r w:rsidR="00FC5627">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i/>
          <w:iCs/>
          <w:noProof/>
          <w:kern w:val="48"/>
          <w:sz w:val="24"/>
          <w:szCs w:val="24"/>
          <w:lang w:val="en-GB"/>
        </w:rPr>
        <w:t>Regulation (EU) 2022/2554 of the European Parliament and of the Council of 14 December 2022 on Digital Operational Resilience for the Financial Sector (DORA)</w:t>
      </w:r>
      <w:r w:rsidRPr="0016321C">
        <w:rPr>
          <w:rFonts w:asciiTheme="minorBidi" w:eastAsia="MS Mincho" w:hAnsiTheme="minorBidi" w:cstheme="minorBidi"/>
          <w:noProof/>
          <w:kern w:val="48"/>
          <w:sz w:val="24"/>
          <w:szCs w:val="24"/>
          <w:lang w:val="en-GB"/>
        </w:rPr>
        <w:t>, OJ L 333, 27.12.2022, pp. 1–79.</w:t>
      </w:r>
    </w:p>
    <w:p w14:paraId="0D158C3C" w14:textId="77777777" w:rsidR="00BB3230" w:rsidRDefault="00BB3230" w:rsidP="009B57EA">
      <w:pPr>
        <w:spacing w:line="360" w:lineRule="auto"/>
        <w:jc w:val="left"/>
        <w:rPr>
          <w:rFonts w:asciiTheme="minorBidi" w:hAnsiTheme="minorBidi" w:cstheme="minorBidi"/>
          <w:b/>
          <w:bCs/>
          <w:sz w:val="24"/>
          <w:szCs w:val="24"/>
        </w:rPr>
        <w:sectPr w:rsidR="00BB3230" w:rsidSect="00BB3230">
          <w:type w:val="continuous"/>
          <w:pgSz w:w="11906" w:h="16838" w:code="9"/>
          <w:pgMar w:top="450" w:right="893" w:bottom="1440" w:left="893" w:header="720" w:footer="720" w:gutter="0"/>
          <w:pgBorders w:offsetFrom="page">
            <w:top w:val="dashDotStroked" w:sz="24" w:space="24" w:color="074F6A" w:themeColor="accent4" w:themeShade="80"/>
            <w:left w:val="dashDotStroked" w:sz="24" w:space="24" w:color="074F6A" w:themeColor="accent4" w:themeShade="80"/>
            <w:bottom w:val="dashDotStroked" w:sz="24" w:space="24" w:color="074F6A" w:themeColor="accent4" w:themeShade="80"/>
            <w:right w:val="dashDotStroked" w:sz="24" w:space="24" w:color="074F6A" w:themeColor="accent4" w:themeShade="80"/>
          </w:pgBorders>
          <w:cols w:num="2" w:space="720"/>
          <w:docGrid w:linePitch="360"/>
        </w:sectPr>
      </w:pPr>
    </w:p>
    <w:p w14:paraId="689806E2" w14:textId="77777777" w:rsidR="004F1D36" w:rsidRDefault="004F1D36" w:rsidP="009B57EA">
      <w:pPr>
        <w:spacing w:line="360" w:lineRule="auto"/>
        <w:jc w:val="left"/>
        <w:rPr>
          <w:rFonts w:asciiTheme="minorBidi" w:hAnsiTheme="minorBidi" w:cstheme="minorBidi"/>
          <w:b/>
          <w:bCs/>
          <w:sz w:val="24"/>
          <w:szCs w:val="24"/>
        </w:rPr>
      </w:pPr>
    </w:p>
    <w:p w14:paraId="4570A2EC" w14:textId="77777777" w:rsidR="004F1D36" w:rsidRDefault="004F1D36" w:rsidP="009B57EA">
      <w:pPr>
        <w:spacing w:line="360" w:lineRule="auto"/>
        <w:jc w:val="left"/>
        <w:rPr>
          <w:rFonts w:asciiTheme="minorBidi" w:hAnsiTheme="minorBidi" w:cstheme="minorBidi"/>
          <w:b/>
          <w:bCs/>
          <w:sz w:val="24"/>
          <w:szCs w:val="24"/>
        </w:rPr>
      </w:pPr>
    </w:p>
    <w:p w14:paraId="2F41816B" w14:textId="77777777" w:rsidR="004F1D36" w:rsidRDefault="004F1D36" w:rsidP="009B57EA">
      <w:pPr>
        <w:spacing w:line="360" w:lineRule="auto"/>
        <w:jc w:val="left"/>
        <w:rPr>
          <w:rFonts w:asciiTheme="minorBidi" w:hAnsiTheme="minorBidi" w:cstheme="minorBidi"/>
          <w:b/>
          <w:bCs/>
          <w:sz w:val="24"/>
          <w:szCs w:val="24"/>
        </w:rPr>
      </w:pPr>
    </w:p>
    <w:p w14:paraId="002C5FB7" w14:textId="77777777" w:rsidR="0016321C" w:rsidRDefault="0016321C" w:rsidP="009B57EA">
      <w:pPr>
        <w:spacing w:line="360" w:lineRule="auto"/>
        <w:jc w:val="left"/>
        <w:rPr>
          <w:rFonts w:asciiTheme="minorBidi" w:hAnsiTheme="minorBidi" w:cstheme="minorBidi"/>
          <w:b/>
          <w:bCs/>
          <w:sz w:val="24"/>
          <w:szCs w:val="24"/>
        </w:rPr>
      </w:pPr>
    </w:p>
    <w:p w14:paraId="32C8A925" w14:textId="77777777" w:rsidR="0016321C" w:rsidRDefault="0016321C" w:rsidP="009B57EA">
      <w:pPr>
        <w:spacing w:line="360" w:lineRule="auto"/>
        <w:jc w:val="left"/>
        <w:rPr>
          <w:rFonts w:asciiTheme="minorBidi" w:hAnsiTheme="minorBidi" w:cstheme="minorBidi"/>
          <w:b/>
          <w:bCs/>
          <w:sz w:val="24"/>
          <w:szCs w:val="24"/>
        </w:rPr>
      </w:pPr>
    </w:p>
    <w:p w14:paraId="3082C426" w14:textId="77777777" w:rsidR="0016321C" w:rsidRDefault="0016321C" w:rsidP="009B57EA">
      <w:pPr>
        <w:spacing w:line="360" w:lineRule="auto"/>
        <w:jc w:val="left"/>
        <w:rPr>
          <w:rFonts w:asciiTheme="minorBidi" w:hAnsiTheme="minorBidi" w:cstheme="minorBidi"/>
          <w:b/>
          <w:bCs/>
          <w:sz w:val="24"/>
          <w:szCs w:val="24"/>
        </w:rPr>
      </w:pPr>
    </w:p>
    <w:p w14:paraId="0DDE5A63" w14:textId="77777777" w:rsidR="0016321C" w:rsidRDefault="0016321C" w:rsidP="009B57EA">
      <w:pPr>
        <w:spacing w:line="360" w:lineRule="auto"/>
        <w:jc w:val="left"/>
        <w:rPr>
          <w:rFonts w:asciiTheme="minorBidi" w:hAnsiTheme="minorBidi" w:cstheme="minorBidi"/>
          <w:b/>
          <w:bCs/>
          <w:sz w:val="24"/>
          <w:szCs w:val="24"/>
        </w:rPr>
      </w:pPr>
    </w:p>
    <w:p w14:paraId="3B1F5F5F" w14:textId="77777777" w:rsidR="0016321C" w:rsidRDefault="0016321C" w:rsidP="009B57EA">
      <w:pPr>
        <w:spacing w:line="360" w:lineRule="auto"/>
        <w:jc w:val="left"/>
        <w:rPr>
          <w:rFonts w:asciiTheme="minorBidi" w:hAnsiTheme="minorBidi" w:cstheme="minorBidi"/>
          <w:b/>
          <w:bCs/>
          <w:sz w:val="24"/>
          <w:szCs w:val="24"/>
        </w:rPr>
      </w:pPr>
    </w:p>
    <w:p w14:paraId="6EE5C445" w14:textId="77777777" w:rsidR="0016321C" w:rsidRDefault="0016321C" w:rsidP="009B57EA">
      <w:pPr>
        <w:spacing w:line="360" w:lineRule="auto"/>
        <w:jc w:val="left"/>
        <w:rPr>
          <w:rFonts w:asciiTheme="minorBidi" w:hAnsiTheme="minorBidi" w:cstheme="minorBidi"/>
          <w:b/>
          <w:bCs/>
          <w:sz w:val="24"/>
          <w:szCs w:val="24"/>
        </w:rPr>
      </w:pPr>
    </w:p>
    <w:p w14:paraId="58185916" w14:textId="77777777" w:rsidR="0016321C" w:rsidRDefault="0016321C" w:rsidP="009B57EA">
      <w:pPr>
        <w:spacing w:line="360" w:lineRule="auto"/>
        <w:jc w:val="left"/>
        <w:rPr>
          <w:rFonts w:asciiTheme="minorBidi" w:hAnsiTheme="minorBidi" w:cstheme="minorBidi"/>
          <w:b/>
          <w:bCs/>
          <w:sz w:val="24"/>
          <w:szCs w:val="24"/>
        </w:rPr>
      </w:pPr>
    </w:p>
    <w:p w14:paraId="6509E4A1" w14:textId="77777777" w:rsidR="0016321C" w:rsidRDefault="0016321C" w:rsidP="009B57EA">
      <w:pPr>
        <w:spacing w:line="360" w:lineRule="auto"/>
        <w:jc w:val="left"/>
        <w:rPr>
          <w:rFonts w:asciiTheme="minorBidi" w:hAnsiTheme="minorBidi" w:cstheme="minorBidi"/>
          <w:b/>
          <w:bCs/>
          <w:sz w:val="24"/>
          <w:szCs w:val="24"/>
        </w:rPr>
      </w:pPr>
    </w:p>
    <w:p w14:paraId="3711CC45" w14:textId="77777777" w:rsidR="0016321C" w:rsidRDefault="0016321C" w:rsidP="009B57EA">
      <w:pPr>
        <w:spacing w:line="360" w:lineRule="auto"/>
        <w:jc w:val="left"/>
        <w:rPr>
          <w:rFonts w:asciiTheme="minorBidi" w:hAnsiTheme="minorBidi" w:cstheme="minorBidi"/>
          <w:b/>
          <w:bCs/>
          <w:sz w:val="24"/>
          <w:szCs w:val="24"/>
        </w:rPr>
      </w:pPr>
    </w:p>
    <w:p w14:paraId="7593D181" w14:textId="77777777" w:rsidR="0016321C" w:rsidRDefault="0016321C" w:rsidP="009B57EA">
      <w:pPr>
        <w:spacing w:line="360" w:lineRule="auto"/>
        <w:jc w:val="left"/>
        <w:rPr>
          <w:rFonts w:asciiTheme="minorBidi" w:hAnsiTheme="minorBidi" w:cstheme="minorBidi"/>
          <w:b/>
          <w:bCs/>
          <w:sz w:val="24"/>
          <w:szCs w:val="24"/>
        </w:rPr>
      </w:pPr>
    </w:p>
    <w:p w14:paraId="24ED8ABC" w14:textId="77777777" w:rsidR="0016321C" w:rsidRDefault="0016321C" w:rsidP="009B57EA">
      <w:pPr>
        <w:spacing w:line="360" w:lineRule="auto"/>
        <w:jc w:val="left"/>
        <w:rPr>
          <w:rFonts w:asciiTheme="minorBidi" w:hAnsiTheme="minorBidi" w:cstheme="minorBidi"/>
          <w:b/>
          <w:bCs/>
          <w:sz w:val="24"/>
          <w:szCs w:val="24"/>
        </w:rPr>
      </w:pPr>
    </w:p>
    <w:p w14:paraId="5EBA2C81" w14:textId="77777777" w:rsidR="0016321C" w:rsidRDefault="0016321C" w:rsidP="009B57EA">
      <w:pPr>
        <w:spacing w:line="360" w:lineRule="auto"/>
        <w:jc w:val="left"/>
        <w:rPr>
          <w:rFonts w:asciiTheme="minorBidi" w:hAnsiTheme="minorBidi" w:cstheme="minorBidi"/>
          <w:b/>
          <w:bCs/>
          <w:sz w:val="24"/>
          <w:szCs w:val="24"/>
        </w:rPr>
      </w:pPr>
    </w:p>
    <w:p w14:paraId="64F01A91" w14:textId="77777777" w:rsidR="0016321C" w:rsidRDefault="0016321C" w:rsidP="009B57EA">
      <w:pPr>
        <w:spacing w:line="360" w:lineRule="auto"/>
        <w:jc w:val="left"/>
        <w:rPr>
          <w:rFonts w:asciiTheme="minorBidi" w:hAnsiTheme="minorBidi" w:cstheme="minorBidi"/>
          <w:b/>
          <w:bCs/>
          <w:sz w:val="24"/>
          <w:szCs w:val="24"/>
        </w:rPr>
      </w:pPr>
    </w:p>
    <w:p w14:paraId="458F0F6B" w14:textId="77777777" w:rsidR="0016321C" w:rsidRDefault="0016321C" w:rsidP="009B57EA">
      <w:pPr>
        <w:spacing w:line="360" w:lineRule="auto"/>
        <w:jc w:val="left"/>
        <w:rPr>
          <w:rFonts w:asciiTheme="minorBidi" w:hAnsiTheme="minorBidi" w:cstheme="minorBidi"/>
          <w:b/>
          <w:bCs/>
          <w:sz w:val="24"/>
          <w:szCs w:val="24"/>
        </w:rPr>
      </w:pPr>
    </w:p>
    <w:p w14:paraId="2847D36F" w14:textId="77777777" w:rsidR="0016321C" w:rsidRDefault="0016321C" w:rsidP="009B57EA">
      <w:pPr>
        <w:spacing w:line="360" w:lineRule="auto"/>
        <w:jc w:val="left"/>
        <w:rPr>
          <w:rFonts w:asciiTheme="minorBidi" w:hAnsiTheme="minorBidi" w:cstheme="minorBidi"/>
          <w:b/>
          <w:bCs/>
          <w:sz w:val="24"/>
          <w:szCs w:val="24"/>
        </w:rPr>
      </w:pPr>
    </w:p>
    <w:p w14:paraId="64498E62" w14:textId="77777777" w:rsidR="0016321C" w:rsidRDefault="0016321C" w:rsidP="009B57EA">
      <w:pPr>
        <w:spacing w:line="360" w:lineRule="auto"/>
        <w:jc w:val="left"/>
        <w:rPr>
          <w:rFonts w:asciiTheme="minorBidi" w:hAnsiTheme="minorBidi" w:cstheme="minorBidi"/>
          <w:b/>
          <w:bCs/>
          <w:sz w:val="24"/>
          <w:szCs w:val="24"/>
        </w:rPr>
      </w:pPr>
    </w:p>
    <w:p w14:paraId="0B2A1FC6" w14:textId="77777777" w:rsidR="0016321C" w:rsidRDefault="0016321C" w:rsidP="009B57EA">
      <w:pPr>
        <w:spacing w:line="360" w:lineRule="auto"/>
        <w:jc w:val="left"/>
        <w:rPr>
          <w:rFonts w:asciiTheme="minorBidi" w:hAnsiTheme="minorBidi" w:cstheme="minorBidi"/>
          <w:b/>
          <w:bCs/>
          <w:sz w:val="24"/>
          <w:szCs w:val="24"/>
        </w:rPr>
      </w:pPr>
    </w:p>
    <w:p w14:paraId="4248392D" w14:textId="77777777" w:rsidR="0016321C" w:rsidRDefault="0016321C" w:rsidP="009B57EA">
      <w:pPr>
        <w:spacing w:line="360" w:lineRule="auto"/>
        <w:jc w:val="left"/>
        <w:rPr>
          <w:rFonts w:asciiTheme="minorBidi" w:hAnsiTheme="minorBidi" w:cstheme="minorBidi"/>
          <w:b/>
          <w:bCs/>
          <w:sz w:val="24"/>
          <w:szCs w:val="24"/>
        </w:rPr>
      </w:pPr>
    </w:p>
    <w:p w14:paraId="3E32B49C" w14:textId="77777777" w:rsidR="0016321C" w:rsidRDefault="0016321C" w:rsidP="009B57EA">
      <w:pPr>
        <w:spacing w:line="360" w:lineRule="auto"/>
        <w:jc w:val="left"/>
        <w:rPr>
          <w:rFonts w:asciiTheme="minorBidi" w:hAnsiTheme="minorBidi" w:cstheme="minorBidi"/>
          <w:b/>
          <w:bCs/>
          <w:sz w:val="24"/>
          <w:szCs w:val="24"/>
        </w:rPr>
      </w:pPr>
    </w:p>
    <w:p w14:paraId="6734694C" w14:textId="77777777" w:rsidR="0016321C" w:rsidRDefault="0016321C" w:rsidP="009B57EA">
      <w:pPr>
        <w:spacing w:line="360" w:lineRule="auto"/>
        <w:jc w:val="left"/>
        <w:rPr>
          <w:rFonts w:asciiTheme="minorBidi" w:hAnsiTheme="minorBidi" w:cstheme="minorBidi"/>
          <w:b/>
          <w:bCs/>
          <w:sz w:val="24"/>
          <w:szCs w:val="24"/>
        </w:rPr>
      </w:pPr>
    </w:p>
    <w:p w14:paraId="1E6BD305" w14:textId="77777777" w:rsidR="0016321C" w:rsidRDefault="0016321C" w:rsidP="009B57EA">
      <w:pPr>
        <w:spacing w:line="360" w:lineRule="auto"/>
        <w:jc w:val="left"/>
        <w:rPr>
          <w:rFonts w:asciiTheme="minorBidi" w:hAnsiTheme="minorBidi" w:cstheme="minorBidi"/>
          <w:b/>
          <w:bCs/>
          <w:sz w:val="24"/>
          <w:szCs w:val="24"/>
        </w:rPr>
      </w:pPr>
    </w:p>
    <w:p w14:paraId="58937FE2" w14:textId="77777777" w:rsidR="0016321C" w:rsidRDefault="0016321C" w:rsidP="009B57EA">
      <w:pPr>
        <w:spacing w:line="360" w:lineRule="auto"/>
        <w:jc w:val="left"/>
        <w:rPr>
          <w:rFonts w:asciiTheme="minorBidi" w:hAnsiTheme="minorBidi" w:cstheme="minorBidi"/>
          <w:b/>
          <w:bCs/>
          <w:sz w:val="24"/>
          <w:szCs w:val="24"/>
        </w:rPr>
      </w:pPr>
    </w:p>
    <w:p w14:paraId="1CA2D8B1" w14:textId="77777777" w:rsidR="0016321C" w:rsidRDefault="0016321C" w:rsidP="009B57EA">
      <w:pPr>
        <w:spacing w:line="360" w:lineRule="auto"/>
        <w:jc w:val="left"/>
        <w:rPr>
          <w:rFonts w:asciiTheme="minorBidi" w:hAnsiTheme="minorBidi" w:cstheme="minorBidi"/>
          <w:b/>
          <w:bCs/>
          <w:sz w:val="24"/>
          <w:szCs w:val="24"/>
        </w:rPr>
      </w:pPr>
    </w:p>
    <w:p w14:paraId="279E77B1" w14:textId="77777777" w:rsidR="0016321C" w:rsidRDefault="0016321C" w:rsidP="009B57EA">
      <w:pPr>
        <w:spacing w:line="360" w:lineRule="auto"/>
        <w:jc w:val="left"/>
        <w:rPr>
          <w:rFonts w:asciiTheme="minorBidi" w:hAnsiTheme="minorBidi" w:cstheme="minorBidi"/>
          <w:b/>
          <w:bCs/>
          <w:sz w:val="24"/>
          <w:szCs w:val="24"/>
        </w:rPr>
      </w:pPr>
    </w:p>
    <w:p w14:paraId="3073E1F2" w14:textId="77777777" w:rsidR="0016321C" w:rsidRDefault="0016321C" w:rsidP="009B57EA">
      <w:pPr>
        <w:spacing w:line="360" w:lineRule="auto"/>
        <w:jc w:val="left"/>
        <w:rPr>
          <w:rFonts w:asciiTheme="minorBidi" w:hAnsiTheme="minorBidi" w:cstheme="minorBidi"/>
          <w:b/>
          <w:bCs/>
          <w:sz w:val="24"/>
          <w:szCs w:val="24"/>
        </w:rPr>
      </w:pPr>
    </w:p>
    <w:p w14:paraId="39FE171A" w14:textId="77777777" w:rsidR="0016321C" w:rsidRDefault="0016321C" w:rsidP="009B57EA">
      <w:pPr>
        <w:spacing w:line="360" w:lineRule="auto"/>
        <w:jc w:val="left"/>
        <w:rPr>
          <w:rFonts w:asciiTheme="minorBidi" w:hAnsiTheme="minorBidi" w:cstheme="minorBidi"/>
          <w:b/>
          <w:bCs/>
          <w:sz w:val="24"/>
          <w:szCs w:val="24"/>
        </w:rPr>
      </w:pPr>
    </w:p>
    <w:p w14:paraId="416D6FE7" w14:textId="77777777" w:rsidR="004F1D36" w:rsidRPr="00BB3230" w:rsidRDefault="004F1D36" w:rsidP="009B57EA">
      <w:pPr>
        <w:spacing w:line="360" w:lineRule="auto"/>
        <w:jc w:val="left"/>
        <w:rPr>
          <w:rFonts w:asciiTheme="minorBidi" w:hAnsiTheme="minorBidi" w:cstheme="minorBidi"/>
          <w:b/>
          <w:bCs/>
          <w:sz w:val="24"/>
          <w:szCs w:val="24"/>
        </w:rPr>
      </w:pPr>
    </w:p>
    <w:p w14:paraId="09794126" w14:textId="77777777" w:rsidR="007028A8" w:rsidRPr="00BB3230" w:rsidRDefault="007028A8" w:rsidP="009B57EA">
      <w:pPr>
        <w:spacing w:line="360" w:lineRule="auto"/>
        <w:jc w:val="left"/>
        <w:rPr>
          <w:rFonts w:asciiTheme="minorBidi" w:hAnsiTheme="minorBidi" w:cstheme="minorBidi"/>
          <w:b/>
          <w:bCs/>
          <w:sz w:val="24"/>
          <w:szCs w:val="24"/>
        </w:rPr>
      </w:pPr>
    </w:p>
    <w:p w14:paraId="226239E5" w14:textId="77777777" w:rsidR="007028A8" w:rsidRPr="00BB3230" w:rsidRDefault="007028A8" w:rsidP="009B57EA">
      <w:pPr>
        <w:spacing w:line="360" w:lineRule="auto"/>
        <w:jc w:val="left"/>
        <w:rPr>
          <w:rFonts w:asciiTheme="minorBidi" w:hAnsiTheme="minorBidi" w:cstheme="minorBidi"/>
          <w:b/>
          <w:bCs/>
          <w:sz w:val="24"/>
          <w:szCs w:val="24"/>
        </w:rPr>
      </w:pPr>
    </w:p>
    <w:p w14:paraId="048A32CF" w14:textId="77777777" w:rsidR="007028A8" w:rsidRPr="00BB3230" w:rsidRDefault="007028A8" w:rsidP="009B57EA">
      <w:pPr>
        <w:spacing w:line="360" w:lineRule="auto"/>
        <w:jc w:val="left"/>
        <w:rPr>
          <w:rFonts w:asciiTheme="minorBidi" w:hAnsiTheme="minorBidi" w:cstheme="minorBidi"/>
          <w:b/>
          <w:bCs/>
          <w:sz w:val="24"/>
          <w:szCs w:val="24"/>
        </w:rPr>
      </w:pPr>
    </w:p>
    <w:p w14:paraId="5BA46573" w14:textId="77777777" w:rsidR="007028A8" w:rsidRPr="00BB3230" w:rsidRDefault="007028A8" w:rsidP="009B57EA">
      <w:pPr>
        <w:spacing w:line="360" w:lineRule="auto"/>
        <w:jc w:val="left"/>
        <w:rPr>
          <w:rFonts w:asciiTheme="minorBidi" w:hAnsiTheme="minorBidi" w:cstheme="minorBidi"/>
          <w:b/>
          <w:bCs/>
          <w:sz w:val="24"/>
          <w:szCs w:val="24"/>
        </w:rPr>
      </w:pPr>
    </w:p>
    <w:p w14:paraId="1E077CB4" w14:textId="77777777" w:rsidR="007028A8" w:rsidRPr="00BB3230" w:rsidRDefault="007028A8" w:rsidP="009B57EA">
      <w:pPr>
        <w:spacing w:line="360" w:lineRule="auto"/>
        <w:jc w:val="left"/>
        <w:rPr>
          <w:rFonts w:asciiTheme="minorBidi" w:hAnsiTheme="minorBidi" w:cstheme="minorBidi"/>
          <w:b/>
          <w:bCs/>
          <w:sz w:val="24"/>
          <w:szCs w:val="24"/>
        </w:rPr>
      </w:pPr>
    </w:p>
    <w:p w14:paraId="7F37B884" w14:textId="77777777" w:rsidR="007028A8" w:rsidRPr="00BB3230" w:rsidRDefault="007028A8" w:rsidP="009B57EA">
      <w:pPr>
        <w:spacing w:line="360" w:lineRule="auto"/>
        <w:jc w:val="left"/>
        <w:rPr>
          <w:rFonts w:asciiTheme="minorBidi" w:hAnsiTheme="minorBidi" w:cstheme="minorBidi"/>
          <w:b/>
          <w:bCs/>
          <w:sz w:val="24"/>
          <w:szCs w:val="24"/>
        </w:rPr>
      </w:pPr>
    </w:p>
    <w:p w14:paraId="22FD9C5D" w14:textId="77777777" w:rsidR="007028A8" w:rsidRPr="00BB3230" w:rsidRDefault="007028A8" w:rsidP="009B57EA">
      <w:pPr>
        <w:spacing w:line="360" w:lineRule="auto"/>
        <w:jc w:val="left"/>
        <w:rPr>
          <w:rFonts w:asciiTheme="minorBidi" w:hAnsiTheme="minorBidi" w:cstheme="minorBidi"/>
          <w:b/>
          <w:bCs/>
          <w:sz w:val="24"/>
          <w:szCs w:val="24"/>
        </w:rPr>
      </w:pPr>
    </w:p>
    <w:p w14:paraId="04DC4581" w14:textId="77777777" w:rsidR="007028A8" w:rsidRPr="00BB3230" w:rsidRDefault="007028A8" w:rsidP="009B57EA">
      <w:pPr>
        <w:spacing w:line="360" w:lineRule="auto"/>
        <w:jc w:val="left"/>
        <w:rPr>
          <w:rFonts w:asciiTheme="minorBidi" w:hAnsiTheme="minorBidi" w:cstheme="minorBidi"/>
          <w:b/>
          <w:bCs/>
          <w:sz w:val="24"/>
          <w:szCs w:val="24"/>
        </w:rPr>
      </w:pPr>
    </w:p>
    <w:p w14:paraId="1EFB90DF" w14:textId="77777777" w:rsidR="007028A8" w:rsidRPr="00BB3230" w:rsidRDefault="007028A8" w:rsidP="009B57EA">
      <w:pPr>
        <w:spacing w:line="360" w:lineRule="auto"/>
        <w:jc w:val="left"/>
        <w:rPr>
          <w:rFonts w:asciiTheme="minorBidi" w:hAnsiTheme="minorBidi" w:cstheme="minorBidi"/>
          <w:b/>
          <w:bCs/>
          <w:sz w:val="24"/>
          <w:szCs w:val="24"/>
        </w:rPr>
      </w:pPr>
    </w:p>
    <w:p w14:paraId="507EBF34" w14:textId="35F221F1" w:rsidR="007028A8" w:rsidRPr="00BB3230" w:rsidRDefault="00BB3230" w:rsidP="009B57EA">
      <w:pPr>
        <w:spacing w:line="360" w:lineRule="auto"/>
        <w:jc w:val="left"/>
        <w:rPr>
          <w:rFonts w:asciiTheme="minorBidi" w:hAnsiTheme="minorBidi" w:cstheme="minorBidi"/>
          <w:b/>
          <w:bCs/>
          <w:sz w:val="24"/>
          <w:szCs w:val="24"/>
        </w:rPr>
      </w:pPr>
      <w:r w:rsidRPr="00BB3230">
        <w:rPr>
          <w:rFonts w:asciiTheme="minorBidi" w:hAnsiTheme="minorBidi" w:cstheme="minorBidi"/>
          <w:noProof/>
        </w:rPr>
        <mc:AlternateContent>
          <mc:Choice Requires="wps">
            <w:drawing>
              <wp:anchor distT="0" distB="0" distL="114300" distR="114300" simplePos="0" relativeHeight="251660288" behindDoc="0" locked="0" layoutInCell="1" allowOverlap="1" wp14:anchorId="4C64FEF0" wp14:editId="08CF9BD0">
                <wp:simplePos x="0" y="0"/>
                <wp:positionH relativeFrom="page">
                  <wp:posOffset>2606722</wp:posOffset>
                </wp:positionH>
                <wp:positionV relativeFrom="page">
                  <wp:posOffset>2975212</wp:posOffset>
                </wp:positionV>
                <wp:extent cx="4334510" cy="2640842"/>
                <wp:effectExtent l="0" t="0" r="8890" b="7620"/>
                <wp:wrapNone/>
                <wp:docPr id="1" name="Text Box 30"/>
                <wp:cNvGraphicFramePr/>
                <a:graphic xmlns:a="http://schemas.openxmlformats.org/drawingml/2006/main">
                  <a:graphicData uri="http://schemas.microsoft.com/office/word/2010/wordprocessingShape">
                    <wps:wsp>
                      <wps:cNvSpPr txBox="1"/>
                      <wps:spPr>
                        <a:xfrm>
                          <a:off x="0" y="0"/>
                          <a:ext cx="4334510" cy="2640842"/>
                        </a:xfrm>
                        <a:prstGeom prst="rect">
                          <a:avLst/>
                        </a:prstGeom>
                        <a:solidFill>
                          <a:schemeClr val="accent4">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67300F7" w14:textId="53B3FFE9" w:rsidR="009E3CCB" w:rsidRDefault="00000000" w:rsidP="00BB3230">
                            <w:pPr>
                              <w:pStyle w:val="NoSpacing"/>
                              <w:shd w:val="clear" w:color="auto" w:fill="DAE9F7" w:themeFill="text2" w:themeFillTint="1A"/>
                              <w:rPr>
                                <w:rFonts w:asciiTheme="majorHAnsi" w:eastAsiaTheme="majorEastAsia" w:hAnsiTheme="majorHAnsi" w:cstheme="majorBidi"/>
                                <w:color w:val="262626" w:themeColor="text1" w:themeTint="D9"/>
                                <w:sz w:val="72"/>
                              </w:rPr>
                            </w:pPr>
                            <w:sdt>
                              <w:sdtPr>
                                <w:rPr>
                                  <w:rFonts w:asciiTheme="minorBidi" w:eastAsia="SimSun" w:hAnsiTheme="minorBidi"/>
                                  <w:b/>
                                  <w:bCs/>
                                  <w:noProof/>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C3729">
                                  <w:rPr>
                                    <w:rFonts w:asciiTheme="minorBidi" w:eastAsia="SimSun" w:hAnsiTheme="minorBidi"/>
                                    <w:b/>
                                    <w:bCs/>
                                    <w:noProof/>
                                    <w:sz w:val="40"/>
                                    <w:szCs w:val="40"/>
                                  </w:rPr>
                                  <w:t>Student Name:  Nasira Perveen Student Id:        2331267                         Module Code:   ACCA5034   Assignment Title:                    Research and case scenario in Data Security and Compliance         Lecturer. Dr Mohammed Ben Farah Submission Date: 31st March 2026 (2 pm)</w:t>
                                </w:r>
                              </w:sdtContent>
                            </w:sdt>
                          </w:p>
                          <w:p w14:paraId="54F8B7F4" w14:textId="4A5DB264" w:rsidR="009E3CCB" w:rsidRDefault="00000000" w:rsidP="009E3CCB">
                            <w:pPr>
                              <w:spacing w:before="120"/>
                              <w:jc w:val="both"/>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E3CC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C64FEF0" id="_x0000_t202" coordsize="21600,21600" o:spt="202" path="m,l,21600r21600,l21600,xe">
                <v:stroke joinstyle="miter"/>
                <v:path gradientshapeok="t" o:connecttype="rect"/>
              </v:shapetype>
              <v:shape id="Text Box 30" o:spid="_x0000_s1026" type="#_x0000_t202" style="position:absolute;margin-left:205.25pt;margin-top:234.25pt;width:341.3pt;height:207.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" fillcolor="#caedfb [663]" stroked="f" strokeweight=".5pt">
                <v:textbox inset="0,0,0,0">
                  <w:txbxContent>
                    <w:p w14:paraId="167300F7" w14:textId="53B3FFE9" w:rsidR="009E3CCB" w:rsidRDefault="00000000" w:rsidP="00BB3230">
                      <w:pPr>
                        <w:pStyle w:val="NoSpacing"/>
                        <w:shd w:val="clear" w:color="auto" w:fill="DAE9F7" w:themeFill="text2" w:themeFillTint="1A"/>
                        <w:rPr>
                          <w:rFonts w:asciiTheme="majorHAnsi" w:eastAsiaTheme="majorEastAsia" w:hAnsiTheme="majorHAnsi" w:cstheme="majorBidi"/>
                          <w:color w:val="262626" w:themeColor="text1" w:themeTint="D9"/>
                          <w:sz w:val="72"/>
                        </w:rPr>
                      </w:pPr>
                      <w:sdt>
                        <w:sdtPr>
                          <w:rPr>
                            <w:rFonts w:asciiTheme="minorBidi" w:eastAsia="SimSun" w:hAnsiTheme="minorBidi"/>
                            <w:b/>
                            <w:bCs/>
                            <w:noProof/>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C3729">
                            <w:rPr>
                              <w:rFonts w:asciiTheme="minorBidi" w:eastAsia="SimSun" w:hAnsiTheme="minorBidi"/>
                              <w:b/>
                              <w:bCs/>
                              <w:noProof/>
                              <w:sz w:val="40"/>
                              <w:szCs w:val="40"/>
                            </w:rPr>
                            <w:t>Student Name:  Nasira Perveen Student Id:        2331267                         Module Code:   ACCA5034   Assignment Title:                    Research and case scenario in Data Security and Compliance         Lecturer. Dr Mohammed Ben Farah Submission Date: 31st March 2026 (2 pm)</w:t>
                          </w:r>
                        </w:sdtContent>
                      </w:sdt>
                    </w:p>
                    <w:p w14:paraId="54F8B7F4" w14:textId="4A5DB264" w:rsidR="009E3CCB" w:rsidRDefault="00000000" w:rsidP="009E3CCB">
                      <w:pPr>
                        <w:spacing w:before="120"/>
                        <w:jc w:val="both"/>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E3CCB">
                            <w:rPr>
                              <w:color w:val="404040" w:themeColor="text1" w:themeTint="BF"/>
                              <w:sz w:val="36"/>
                              <w:szCs w:val="36"/>
                            </w:rPr>
                            <w:t xml:space="preserve">     </w:t>
                          </w:r>
                        </w:sdtContent>
                      </w:sdt>
                    </w:p>
                  </w:txbxContent>
                </v:textbox>
                <w10:wrap anchorx="page" anchory="page"/>
              </v:shape>
            </w:pict>
          </mc:Fallback>
        </mc:AlternateContent>
      </w:r>
    </w:p>
    <w:p w14:paraId="356D1558" w14:textId="77777777" w:rsidR="0064550E" w:rsidRPr="00BB3230" w:rsidRDefault="0064550E" w:rsidP="009B57EA">
      <w:pPr>
        <w:spacing w:line="360" w:lineRule="auto"/>
        <w:jc w:val="left"/>
        <w:rPr>
          <w:rFonts w:asciiTheme="minorBidi" w:hAnsiTheme="minorBidi" w:cstheme="minorBidi"/>
          <w:b/>
          <w:bCs/>
          <w:sz w:val="24"/>
          <w:szCs w:val="24"/>
        </w:rPr>
      </w:pPr>
    </w:p>
    <w:p w14:paraId="76FB1A6C" w14:textId="77777777" w:rsidR="0064550E" w:rsidRPr="00BB3230" w:rsidRDefault="0064550E" w:rsidP="009B57EA">
      <w:pPr>
        <w:spacing w:line="360" w:lineRule="auto"/>
        <w:jc w:val="left"/>
        <w:rPr>
          <w:rFonts w:asciiTheme="minorBidi" w:hAnsiTheme="minorBidi" w:cstheme="minorBidi"/>
          <w:b/>
          <w:bCs/>
          <w:sz w:val="24"/>
          <w:szCs w:val="24"/>
        </w:rPr>
      </w:pPr>
    </w:p>
    <w:p w14:paraId="78E38748" w14:textId="77777777" w:rsidR="0064550E" w:rsidRPr="00BB3230" w:rsidRDefault="0064550E" w:rsidP="009B57EA">
      <w:pPr>
        <w:spacing w:line="360" w:lineRule="auto"/>
        <w:jc w:val="left"/>
        <w:rPr>
          <w:rFonts w:asciiTheme="minorBidi" w:hAnsiTheme="minorBidi" w:cstheme="minorBidi"/>
          <w:b/>
          <w:bCs/>
          <w:sz w:val="24"/>
          <w:szCs w:val="24"/>
        </w:rPr>
      </w:pPr>
    </w:p>
    <w:p w14:paraId="188F61A8" w14:textId="77777777" w:rsidR="0064550E" w:rsidRPr="00BB3230" w:rsidRDefault="0064550E" w:rsidP="009B57EA">
      <w:pPr>
        <w:spacing w:line="360" w:lineRule="auto"/>
        <w:jc w:val="left"/>
        <w:rPr>
          <w:rFonts w:asciiTheme="minorBidi" w:hAnsiTheme="minorBidi" w:cstheme="minorBidi"/>
          <w:b/>
          <w:bCs/>
          <w:sz w:val="24"/>
          <w:szCs w:val="24"/>
        </w:rPr>
      </w:pPr>
    </w:p>
    <w:p w14:paraId="1CD0CDAE" w14:textId="77777777" w:rsidR="0064550E" w:rsidRPr="00BB3230" w:rsidRDefault="0064550E" w:rsidP="009B57EA">
      <w:pPr>
        <w:spacing w:line="360" w:lineRule="auto"/>
        <w:jc w:val="left"/>
        <w:rPr>
          <w:rFonts w:asciiTheme="minorBidi" w:hAnsiTheme="minorBidi" w:cstheme="minorBidi"/>
          <w:b/>
          <w:bCs/>
          <w:sz w:val="24"/>
          <w:szCs w:val="24"/>
        </w:rPr>
      </w:pPr>
    </w:p>
    <w:p w14:paraId="7740CE32" w14:textId="77777777" w:rsidR="0064550E" w:rsidRPr="00BB3230" w:rsidRDefault="0064550E" w:rsidP="009B57EA">
      <w:pPr>
        <w:spacing w:line="360" w:lineRule="auto"/>
        <w:jc w:val="left"/>
        <w:rPr>
          <w:rFonts w:asciiTheme="minorBidi" w:hAnsiTheme="minorBidi" w:cstheme="minorBidi"/>
          <w:b/>
          <w:bCs/>
          <w:sz w:val="24"/>
          <w:szCs w:val="24"/>
        </w:rPr>
      </w:pPr>
    </w:p>
    <w:p w14:paraId="28B40669" w14:textId="77777777" w:rsidR="0064550E" w:rsidRPr="00BB3230" w:rsidRDefault="0064550E" w:rsidP="009B57EA">
      <w:pPr>
        <w:spacing w:line="360" w:lineRule="auto"/>
        <w:jc w:val="left"/>
        <w:rPr>
          <w:rFonts w:asciiTheme="minorBidi" w:hAnsiTheme="minorBidi" w:cstheme="minorBidi"/>
          <w:b/>
          <w:bCs/>
          <w:sz w:val="24"/>
          <w:szCs w:val="24"/>
        </w:rPr>
      </w:pPr>
    </w:p>
    <w:p w14:paraId="08EF9DF1" w14:textId="77777777" w:rsidR="0064550E" w:rsidRPr="00BB3230" w:rsidRDefault="0064550E" w:rsidP="009B57EA">
      <w:pPr>
        <w:spacing w:line="360" w:lineRule="auto"/>
        <w:jc w:val="left"/>
        <w:rPr>
          <w:rFonts w:asciiTheme="minorBidi" w:hAnsiTheme="minorBidi" w:cstheme="minorBidi"/>
          <w:b/>
          <w:bCs/>
          <w:sz w:val="24"/>
          <w:szCs w:val="24"/>
        </w:rPr>
      </w:pPr>
    </w:p>
    <w:p w14:paraId="472903BE" w14:textId="77777777" w:rsidR="0064550E" w:rsidRPr="00BB3230" w:rsidRDefault="0064550E" w:rsidP="009B57EA">
      <w:pPr>
        <w:spacing w:line="360" w:lineRule="auto"/>
        <w:jc w:val="left"/>
        <w:rPr>
          <w:rFonts w:asciiTheme="minorBidi" w:hAnsiTheme="minorBidi" w:cstheme="minorBidi"/>
          <w:b/>
          <w:bCs/>
          <w:sz w:val="24"/>
          <w:szCs w:val="24"/>
        </w:rPr>
      </w:pPr>
    </w:p>
    <w:p w14:paraId="7FFD86FC" w14:textId="77777777" w:rsidR="0064550E" w:rsidRPr="00BB3230" w:rsidRDefault="0064550E" w:rsidP="009B57EA">
      <w:pPr>
        <w:spacing w:line="360" w:lineRule="auto"/>
        <w:jc w:val="left"/>
        <w:rPr>
          <w:rFonts w:asciiTheme="minorBidi" w:hAnsiTheme="minorBidi" w:cstheme="minorBidi"/>
          <w:b/>
          <w:bCs/>
          <w:sz w:val="24"/>
          <w:szCs w:val="24"/>
        </w:rPr>
      </w:pPr>
    </w:p>
    <w:p w14:paraId="2BC1CAE4" w14:textId="77777777" w:rsidR="0064550E" w:rsidRPr="00BB3230" w:rsidRDefault="0064550E" w:rsidP="009B57EA">
      <w:pPr>
        <w:spacing w:line="360" w:lineRule="auto"/>
        <w:jc w:val="left"/>
        <w:rPr>
          <w:rFonts w:asciiTheme="minorBidi" w:hAnsiTheme="minorBidi" w:cstheme="minorBidi"/>
          <w:b/>
          <w:bCs/>
          <w:sz w:val="24"/>
          <w:szCs w:val="24"/>
        </w:rPr>
      </w:pPr>
    </w:p>
    <w:p w14:paraId="1889E664" w14:textId="5501B8FF" w:rsidR="0064550E" w:rsidRPr="00BB3230" w:rsidRDefault="0064550E" w:rsidP="009B57EA">
      <w:pPr>
        <w:spacing w:line="360" w:lineRule="auto"/>
        <w:jc w:val="left"/>
        <w:rPr>
          <w:rFonts w:asciiTheme="minorBidi" w:hAnsiTheme="minorBidi" w:cstheme="minorBidi"/>
          <w:b/>
          <w:bCs/>
          <w:sz w:val="24"/>
          <w:szCs w:val="24"/>
        </w:rPr>
      </w:pPr>
    </w:p>
    <w:p w14:paraId="3FF6DA99" w14:textId="0A5E8BF0" w:rsidR="0064550E" w:rsidRPr="00BB3230" w:rsidRDefault="0064550E" w:rsidP="009B57EA">
      <w:pPr>
        <w:spacing w:line="360" w:lineRule="auto"/>
        <w:jc w:val="left"/>
        <w:rPr>
          <w:rFonts w:asciiTheme="minorBidi" w:hAnsiTheme="minorBidi" w:cstheme="minorBidi"/>
          <w:b/>
          <w:bCs/>
          <w:sz w:val="24"/>
          <w:szCs w:val="24"/>
        </w:rPr>
      </w:pPr>
    </w:p>
    <w:p w14:paraId="663B20F4" w14:textId="4D1FD4BB" w:rsidR="0064550E" w:rsidRPr="00BB3230" w:rsidRDefault="0064550E" w:rsidP="009B57EA">
      <w:pPr>
        <w:spacing w:line="360" w:lineRule="auto"/>
        <w:jc w:val="left"/>
        <w:rPr>
          <w:rFonts w:asciiTheme="minorBidi" w:hAnsiTheme="minorBidi" w:cstheme="minorBidi"/>
          <w:b/>
          <w:bCs/>
          <w:sz w:val="24"/>
          <w:szCs w:val="24"/>
        </w:rPr>
      </w:pPr>
    </w:p>
    <w:p w14:paraId="20393B8F" w14:textId="4881737C" w:rsidR="0064550E" w:rsidRPr="00BB3230" w:rsidRDefault="0064550E" w:rsidP="009B57EA">
      <w:pPr>
        <w:spacing w:line="360" w:lineRule="auto"/>
        <w:jc w:val="left"/>
        <w:rPr>
          <w:rFonts w:asciiTheme="minorBidi" w:hAnsiTheme="minorBidi" w:cstheme="minorBidi"/>
          <w:b/>
          <w:bCs/>
          <w:sz w:val="24"/>
          <w:szCs w:val="24"/>
        </w:rPr>
      </w:pPr>
    </w:p>
    <w:p w14:paraId="1E4884D6" w14:textId="6772B0B6" w:rsidR="0064550E" w:rsidRPr="00BB3230" w:rsidRDefault="0064550E" w:rsidP="009B57EA">
      <w:pPr>
        <w:spacing w:line="360" w:lineRule="auto"/>
        <w:jc w:val="left"/>
        <w:rPr>
          <w:rFonts w:asciiTheme="minorBidi" w:hAnsiTheme="minorBidi" w:cstheme="minorBidi"/>
          <w:b/>
          <w:bCs/>
          <w:sz w:val="24"/>
          <w:szCs w:val="24"/>
        </w:rPr>
      </w:pPr>
    </w:p>
    <w:sdt>
      <w:sdtPr>
        <w:rPr>
          <w:rFonts w:asciiTheme="minorBidi" w:eastAsia="SimSun" w:hAnsiTheme="minorBidi" w:cs="Times New Roman"/>
          <w:sz w:val="20"/>
          <w:szCs w:val="20"/>
        </w:rPr>
        <w:id w:val="34474570"/>
        <w:docPartObj>
          <w:docPartGallery w:val="Cover Pages"/>
          <w:docPartUnique/>
        </w:docPartObj>
      </w:sdtPr>
      <w:sdtEndPr>
        <w:rPr>
          <w:b/>
          <w:bCs/>
          <w:sz w:val="24"/>
          <w:szCs w:val="24"/>
        </w:rPr>
      </w:sdtEndPr>
      <w:sdtContent>
        <w:p w14:paraId="64B5FCA1" w14:textId="78D5C10F" w:rsidR="009E3CCB" w:rsidRPr="00BB3230" w:rsidRDefault="009E3CCB" w:rsidP="009E3CCB">
          <w:pPr>
            <w:pStyle w:val="NoSpacing"/>
            <w:rPr>
              <w:rFonts w:asciiTheme="minorBidi" w:hAnsiTheme="minorBidi"/>
            </w:rPr>
          </w:pPr>
          <w:r w:rsidRPr="00BB3230">
            <w:rPr>
              <w:rFonts w:asciiTheme="minorBidi" w:hAnsiTheme="minorBidi"/>
              <w:noProof/>
            </w:rPr>
            <mc:AlternateContent>
              <mc:Choice Requires="wpg">
                <w:drawing>
                  <wp:anchor distT="0" distB="0" distL="114300" distR="114300" simplePos="0" relativeHeight="251659264" behindDoc="1" locked="0" layoutInCell="1" allowOverlap="1" wp14:anchorId="4C809DA8" wp14:editId="3757865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inorBidi" w:hAnsiTheme="minorBidi"/>
                                      <w:sz w:val="24"/>
                                      <w:szCs w:val="24"/>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F313B6E" w14:textId="2B7E6EDC" w:rsidR="009E3CCB" w:rsidRDefault="005903C1" w:rsidP="009E3CCB">
                                      <w:pPr>
                                        <w:pStyle w:val="NoSpacing"/>
                                        <w:jc w:val="right"/>
                                        <w:rPr>
                                          <w:color w:val="FFFFFF" w:themeColor="background1"/>
                                          <w:sz w:val="28"/>
                                          <w:szCs w:val="28"/>
                                        </w:rPr>
                                      </w:pPr>
                                      <w:r w:rsidRPr="005903C1">
                                        <w:rPr>
                                          <w:rFonts w:asciiTheme="minorBidi" w:hAnsiTheme="minorBidi"/>
                                          <w:sz w:val="24"/>
                                          <w:szCs w:val="24"/>
                                        </w:rPr>
                                        <w:t xml:space="preserve"> Module Code: ACCA503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C809DA8" id="Group 2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rFonts w:asciiTheme="minorBidi" w:hAnsiTheme="minorBidi"/>
                                <w:sz w:val="24"/>
                                <w:szCs w:val="24"/>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F313B6E" w14:textId="2B7E6EDC" w:rsidR="009E3CCB" w:rsidRDefault="005903C1" w:rsidP="009E3CCB">
                                <w:pPr>
                                  <w:pStyle w:val="NoSpacing"/>
                                  <w:jc w:val="right"/>
                                  <w:rPr>
                                    <w:color w:val="FFFFFF" w:themeColor="background1"/>
                                    <w:sz w:val="28"/>
                                    <w:szCs w:val="28"/>
                                  </w:rPr>
                                </w:pPr>
                                <w:r w:rsidRPr="005903C1">
                                  <w:rPr>
                                    <w:rFonts w:asciiTheme="minorBidi" w:hAnsiTheme="minorBidi"/>
                                    <w:sz w:val="24"/>
                                    <w:szCs w:val="24"/>
                                  </w:rPr>
                                  <w:t xml:space="preserve"> Module Code: ACCA503</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4A9A965" w14:textId="3B5C6532" w:rsidR="009E3CCB" w:rsidRPr="00BB3230" w:rsidRDefault="005903C1" w:rsidP="009E3CCB">
          <w:pPr>
            <w:spacing w:after="160" w:line="278" w:lineRule="auto"/>
            <w:jc w:val="left"/>
            <w:rPr>
              <w:rFonts w:asciiTheme="minorBidi" w:hAnsiTheme="minorBidi" w:cstheme="minorBidi"/>
              <w:b/>
              <w:bCs/>
              <w:sz w:val="24"/>
              <w:szCs w:val="24"/>
            </w:rPr>
          </w:pPr>
          <w:r w:rsidRPr="00BB3230">
            <w:rPr>
              <w:rFonts w:asciiTheme="minorBidi" w:hAnsiTheme="minorBidi" w:cstheme="minorBidi"/>
              <w:noProof/>
            </w:rPr>
            <mc:AlternateContent>
              <mc:Choice Requires="wps">
                <w:drawing>
                  <wp:anchor distT="0" distB="0" distL="114300" distR="114300" simplePos="0" relativeHeight="251661312" behindDoc="0" locked="0" layoutInCell="1" allowOverlap="1" wp14:anchorId="46535DD6" wp14:editId="0B6DE157">
                    <wp:simplePos x="0" y="0"/>
                    <wp:positionH relativeFrom="page">
                      <wp:posOffset>2679700</wp:posOffset>
                    </wp:positionH>
                    <wp:positionV relativeFrom="margin">
                      <wp:align>bottom</wp:align>
                    </wp:positionV>
                    <wp:extent cx="3890010" cy="322093"/>
                    <wp:effectExtent l="0" t="0" r="15240" b="1905"/>
                    <wp:wrapNone/>
                    <wp:docPr id="32" name="Text Box 28"/>
                    <wp:cNvGraphicFramePr/>
                    <a:graphic xmlns:a="http://schemas.openxmlformats.org/drawingml/2006/main">
                      <a:graphicData uri="http://schemas.microsoft.com/office/word/2010/wordprocessingShape">
                        <wps:wsp>
                          <wps:cNvSpPr txBox="1"/>
                          <wps:spPr>
                            <a:xfrm>
                              <a:off x="0" y="0"/>
                              <a:ext cx="3890010" cy="3220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D2E8CB" w14:textId="77777777" w:rsidR="005903C1" w:rsidRPr="005903C1" w:rsidRDefault="005903C1" w:rsidP="005903C1">
                                <w:pPr>
                                  <w:pStyle w:val="Author"/>
                                  <w:shd w:val="clear" w:color="auto" w:fill="CAEDFB" w:themeFill="accent4" w:themeFillTint="33"/>
                                  <w:spacing w:before="0" w:line="360" w:lineRule="auto"/>
                                  <w:jc w:val="left"/>
                                  <w:rPr>
                                    <w:rFonts w:asciiTheme="minorBidi" w:hAnsiTheme="minorBidi" w:cstheme="minorBidi"/>
                                    <w:b/>
                                    <w:bCs/>
                                    <w:sz w:val="32"/>
                                    <w:szCs w:val="32"/>
                                  </w:rPr>
                                </w:pPr>
                                <w:r w:rsidRPr="005903C1">
                                  <w:rPr>
                                    <w:rFonts w:asciiTheme="minorBidi" w:hAnsiTheme="minorBidi" w:cstheme="minorBidi"/>
                                    <w:b/>
                                    <w:bCs/>
                                    <w:sz w:val="32"/>
                                    <w:szCs w:val="32"/>
                                  </w:rPr>
                                  <w:t>University Of Wales Trinity Saint David</w:t>
                                </w:r>
                              </w:p>
                              <w:p w14:paraId="7EC1D535" w14:textId="3EA9A95B" w:rsidR="009E3CCB" w:rsidRDefault="009E3CCB" w:rsidP="005903C1">
                                <w:pPr>
                                  <w:pStyle w:val="NoSpacing"/>
                                  <w:shd w:val="clear" w:color="auto" w:fill="CAEDFB" w:themeFill="accent4" w:themeFillTint="33"/>
                                  <w:rPr>
                                    <w:color w:val="156082" w:themeColor="accent1"/>
                                    <w:sz w:val="26"/>
                                    <w:szCs w:val="26"/>
                                  </w:rPr>
                                </w:pPr>
                              </w:p>
                              <w:p w14:paraId="6D1D41D2" w14:textId="22FECF0A" w:rsidR="009E3CCB" w:rsidRDefault="009E3CCB" w:rsidP="009E3CC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6535DD6" id="Text Box 28" o:spid="_x0000_s1056" type="#_x0000_t202" style="position:absolute;margin-left:211pt;margin-top:0;width:306.3pt;height:25.35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" filled="f" stroked="f" strokeweight=".5pt">
                    <v:textbox inset="0,0,0,0">
                      <w:txbxContent>
                        <w:p w14:paraId="0DD2E8CB" w14:textId="77777777" w:rsidR="005903C1" w:rsidRPr="005903C1" w:rsidRDefault="005903C1" w:rsidP="005903C1">
                          <w:pPr>
                            <w:pStyle w:val="Author"/>
                            <w:shd w:val="clear" w:color="auto" w:fill="CAEDFB" w:themeFill="accent4" w:themeFillTint="33"/>
                            <w:spacing w:before="0" w:line="360" w:lineRule="auto"/>
                            <w:jc w:val="left"/>
                            <w:rPr>
                              <w:rFonts w:asciiTheme="minorBidi" w:hAnsiTheme="minorBidi" w:cstheme="minorBidi"/>
                              <w:b/>
                              <w:bCs/>
                              <w:sz w:val="32"/>
                              <w:szCs w:val="32"/>
                            </w:rPr>
                          </w:pPr>
                          <w:r w:rsidRPr="005903C1">
                            <w:rPr>
                              <w:rFonts w:asciiTheme="minorBidi" w:hAnsiTheme="minorBidi" w:cstheme="minorBidi"/>
                              <w:b/>
                              <w:bCs/>
                              <w:sz w:val="32"/>
                              <w:szCs w:val="32"/>
                            </w:rPr>
                            <w:t>University Of Wales Trinity Saint David</w:t>
                          </w:r>
                        </w:p>
                        <w:p w14:paraId="7EC1D535" w14:textId="3EA9A95B" w:rsidR="009E3CCB" w:rsidRDefault="009E3CCB" w:rsidP="005903C1">
                          <w:pPr>
                            <w:pStyle w:val="NoSpacing"/>
                            <w:shd w:val="clear" w:color="auto" w:fill="CAEDFB" w:themeFill="accent4" w:themeFillTint="33"/>
                            <w:rPr>
                              <w:color w:val="156082" w:themeColor="accent1"/>
                              <w:sz w:val="26"/>
                              <w:szCs w:val="26"/>
                            </w:rPr>
                          </w:pPr>
                        </w:p>
                        <w:p w14:paraId="6D1D41D2" w14:textId="22FECF0A" w:rsidR="009E3CCB" w:rsidRDefault="009E3CCB" w:rsidP="009E3CCB">
                          <w:pPr>
                            <w:pStyle w:val="NoSpacing"/>
                            <w:rPr>
                              <w:color w:val="595959" w:themeColor="text1" w:themeTint="A6"/>
                              <w:sz w:val="20"/>
                              <w:szCs w:val="20"/>
                            </w:rPr>
                          </w:pPr>
                        </w:p>
                      </w:txbxContent>
                    </v:textbox>
                    <w10:wrap anchorx="page" anchory="margin"/>
                  </v:shape>
                </w:pict>
              </mc:Fallback>
            </mc:AlternateContent>
          </w:r>
          <w:r w:rsidR="009E3CCB" w:rsidRPr="00BB3230">
            <w:rPr>
              <w:rFonts w:asciiTheme="minorBidi" w:hAnsiTheme="minorBidi" w:cstheme="minorBidi"/>
              <w:b/>
              <w:bCs/>
              <w:sz w:val="24"/>
              <w:szCs w:val="24"/>
            </w:rPr>
            <w:br w:type="page"/>
          </w:r>
        </w:p>
      </w:sdtContent>
    </w:sdt>
    <w:sdt>
      <w:sdtPr>
        <w:rPr>
          <w:rFonts w:asciiTheme="minorBidi" w:eastAsia="SimSun" w:hAnsiTheme="minorBidi" w:cstheme="minorBidi"/>
          <w:color w:val="auto"/>
          <w:sz w:val="20"/>
          <w:szCs w:val="20"/>
          <w:lang w:val="en-GB"/>
        </w:rPr>
        <w:id w:val="675845305"/>
        <w:docPartObj>
          <w:docPartGallery w:val="Table of Contents"/>
          <w:docPartUnique/>
        </w:docPartObj>
      </w:sdtPr>
      <w:sdtEndPr>
        <w:rPr>
          <w:b/>
          <w:bCs/>
          <w:lang w:val="en-US"/>
        </w:rPr>
      </w:sdtEndPr>
      <w:sdtContent>
        <w:p w14:paraId="18526F7D" w14:textId="2CC81D98" w:rsidR="005903C1" w:rsidRPr="00BB3230" w:rsidRDefault="005903C1">
          <w:pPr>
            <w:pStyle w:val="TOCHeading"/>
            <w:rPr>
              <w:rFonts w:asciiTheme="minorBidi" w:hAnsiTheme="minorBidi" w:cstheme="minorBidi"/>
            </w:rPr>
          </w:pPr>
          <w:r w:rsidRPr="00BB3230">
            <w:rPr>
              <w:rFonts w:asciiTheme="minorBidi" w:hAnsiTheme="minorBidi" w:cstheme="minorBidi"/>
              <w:lang w:val="en-GB"/>
            </w:rPr>
            <w:t>Contents</w:t>
          </w:r>
        </w:p>
        <w:p w14:paraId="7FC79855" w14:textId="73AD7218"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r w:rsidRPr="00BB3230">
            <w:rPr>
              <w:rFonts w:asciiTheme="minorBidi" w:hAnsiTheme="minorBidi" w:cstheme="minorBidi"/>
            </w:rPr>
            <w:fldChar w:fldCharType="begin"/>
          </w:r>
          <w:r w:rsidRPr="00BB3230">
            <w:rPr>
              <w:rFonts w:asciiTheme="minorBidi" w:hAnsiTheme="minorBidi" w:cstheme="minorBidi"/>
            </w:rPr>
            <w:instrText xml:space="preserve"> TOC \o "1-3" \h \z \u </w:instrText>
          </w:r>
          <w:r w:rsidRPr="00BB3230">
            <w:rPr>
              <w:rFonts w:asciiTheme="minorBidi" w:hAnsiTheme="minorBidi" w:cstheme="minorBidi"/>
            </w:rPr>
            <w:fldChar w:fldCharType="separate"/>
          </w:r>
          <w:hyperlink w:anchor="_Toc221787858" w:history="1">
            <w:r w:rsidRPr="00BB3230">
              <w:rPr>
                <w:rStyle w:val="Hyperlink"/>
                <w:rFonts w:asciiTheme="minorBidi" w:hAnsiTheme="minorBidi" w:cstheme="minorBidi"/>
                <w:noProof/>
              </w:rPr>
              <w:t>1. Introduction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_Toc221787858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11</w:t>
            </w:r>
            <w:r w:rsidRPr="00BB3230">
              <w:rPr>
                <w:rFonts w:asciiTheme="minorBidi" w:hAnsiTheme="minorBidi" w:cstheme="minorBidi"/>
                <w:noProof/>
                <w:webHidden/>
              </w:rPr>
              <w:fldChar w:fldCharType="end"/>
            </w:r>
          </w:hyperlink>
        </w:p>
        <w:p w14:paraId="272BE054" w14:textId="54B58E57"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59" w:history="1">
            <w:r w:rsidRPr="00BB3230">
              <w:rPr>
                <w:rStyle w:val="Hyperlink"/>
                <w:rFonts w:asciiTheme="minorBidi" w:hAnsiTheme="minorBidi" w:cstheme="minorBidi"/>
                <w:noProof/>
              </w:rPr>
              <w:t>2. Strategic Design of the New Information Security Unit</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_Toc221787859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11</w:t>
            </w:r>
            <w:r w:rsidRPr="00BB3230">
              <w:rPr>
                <w:rFonts w:asciiTheme="minorBidi" w:hAnsiTheme="minorBidi" w:cstheme="minorBidi"/>
                <w:noProof/>
                <w:webHidden/>
              </w:rPr>
              <w:fldChar w:fldCharType="end"/>
            </w:r>
          </w:hyperlink>
        </w:p>
        <w:p w14:paraId="5949BC46" w14:textId="4B79E67D"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0" w:history="1">
            <w:r w:rsidRPr="00BB3230">
              <w:rPr>
                <w:rStyle w:val="Hyperlink"/>
                <w:rFonts w:asciiTheme="minorBidi" w:hAnsiTheme="minorBidi" w:cstheme="minorBidi"/>
                <w:noProof/>
              </w:rPr>
              <w:t>Organisational Structure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_Toc221787860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12</w:t>
            </w:r>
            <w:r w:rsidRPr="00BB3230">
              <w:rPr>
                <w:rFonts w:asciiTheme="minorBidi" w:hAnsiTheme="minorBidi" w:cstheme="minorBidi"/>
                <w:noProof/>
                <w:webHidden/>
              </w:rPr>
              <w:fldChar w:fldCharType="end"/>
            </w:r>
          </w:hyperlink>
        </w:p>
        <w:p w14:paraId="7CC8A763" w14:textId="0178FCB1"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1" w:history="1">
            <w:r w:rsidRPr="00BB3230">
              <w:rPr>
                <w:rStyle w:val="Hyperlink"/>
                <w:rFonts w:asciiTheme="minorBidi" w:hAnsiTheme="minorBidi" w:cstheme="minorBidi"/>
                <w:noProof/>
              </w:rPr>
              <w:t>3. Governance and Strategy Based on NIST CSF 2.0</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_Toc221787861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12</w:t>
            </w:r>
            <w:r w:rsidRPr="00BB3230">
              <w:rPr>
                <w:rFonts w:asciiTheme="minorBidi" w:hAnsiTheme="minorBidi" w:cstheme="minorBidi"/>
                <w:noProof/>
                <w:webHidden/>
              </w:rPr>
              <w:fldChar w:fldCharType="end"/>
            </w:r>
          </w:hyperlink>
        </w:p>
        <w:p w14:paraId="38CA78A0" w14:textId="4AA7C0EC"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2" w:history="1">
            <w:r w:rsidRPr="00BB3230">
              <w:rPr>
                <w:rStyle w:val="Hyperlink"/>
                <w:rFonts w:asciiTheme="minorBidi" w:hAnsiTheme="minorBidi" w:cstheme="minorBidi"/>
                <w:noProof/>
                <w:lang w:val="en-GB"/>
              </w:rPr>
              <w:t>3.1 Proposed Organisational Structure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_Toc221787862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12</w:t>
            </w:r>
            <w:r w:rsidRPr="00BB3230">
              <w:rPr>
                <w:rFonts w:asciiTheme="minorBidi" w:hAnsiTheme="minorBidi" w:cstheme="minorBidi"/>
                <w:noProof/>
                <w:webHidden/>
              </w:rPr>
              <w:fldChar w:fldCharType="end"/>
            </w:r>
          </w:hyperlink>
        </w:p>
        <w:p w14:paraId="4A826F1C" w14:textId="58315C07"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3" w:history="1">
            <w:r w:rsidRPr="00BB3230">
              <w:rPr>
                <w:rStyle w:val="Hyperlink"/>
                <w:rFonts w:asciiTheme="minorBidi" w:hAnsiTheme="minorBidi" w:cstheme="minorBidi"/>
                <w:noProof/>
                <w:lang w:val="en-GB"/>
              </w:rPr>
              <w:t>3.2 Role Justification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_Toc221787863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13</w:t>
            </w:r>
            <w:r w:rsidRPr="00BB3230">
              <w:rPr>
                <w:rFonts w:asciiTheme="minorBidi" w:hAnsiTheme="minorBidi" w:cstheme="minorBidi"/>
                <w:noProof/>
                <w:webHidden/>
              </w:rPr>
              <w:fldChar w:fldCharType="end"/>
            </w:r>
          </w:hyperlink>
        </w:p>
        <w:p w14:paraId="08ED6EF9" w14:textId="51F696E9"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4" w:history="1">
            <w:r w:rsidRPr="00BB3230">
              <w:rPr>
                <w:rStyle w:val="Hyperlink"/>
                <w:rFonts w:asciiTheme="minorBidi" w:hAnsiTheme="minorBidi" w:cstheme="minorBidi"/>
                <w:noProof/>
                <w:lang w:val="en-GB"/>
              </w:rPr>
              <w:t>3.3 Governance Alignment with NIST CSF 2.0</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_Toc221787864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14</w:t>
            </w:r>
            <w:r w:rsidRPr="00BB3230">
              <w:rPr>
                <w:rFonts w:asciiTheme="minorBidi" w:hAnsiTheme="minorBidi" w:cstheme="minorBidi"/>
                <w:noProof/>
                <w:webHidden/>
              </w:rPr>
              <w:fldChar w:fldCharType="end"/>
            </w:r>
          </w:hyperlink>
        </w:p>
        <w:p w14:paraId="17C70C38" w14:textId="67B13543"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5" w:history="1">
            <w:r w:rsidRPr="00BB3230">
              <w:rPr>
                <w:rStyle w:val="Hyperlink"/>
                <w:rFonts w:asciiTheme="minorBidi" w:hAnsiTheme="minorBidi" w:cstheme="minorBidi"/>
                <w:noProof/>
                <w:lang w:val="en-GB"/>
              </w:rPr>
              <w:t>4. Regulatory Compliance Mapping and Operational Alignment</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_Toc221787865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15</w:t>
            </w:r>
            <w:r w:rsidRPr="00BB3230">
              <w:rPr>
                <w:rFonts w:asciiTheme="minorBidi" w:hAnsiTheme="minorBidi" w:cstheme="minorBidi"/>
                <w:noProof/>
                <w:webHidden/>
              </w:rPr>
              <w:fldChar w:fldCharType="end"/>
            </w:r>
          </w:hyperlink>
        </w:p>
        <w:p w14:paraId="4A2C77F1" w14:textId="26AA6BE5"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6" w:history="1">
            <w:r w:rsidRPr="00BB3230">
              <w:rPr>
                <w:rStyle w:val="Hyperlink"/>
                <w:rFonts w:asciiTheme="minorBidi" w:hAnsiTheme="minorBidi" w:cstheme="minorBidi"/>
                <w:noProof/>
                <w:lang w:val="en-GB"/>
              </w:rPr>
              <w:t>4.1 Regulatory Mapping Table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_Toc221787866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15</w:t>
            </w:r>
            <w:r w:rsidRPr="00BB3230">
              <w:rPr>
                <w:rFonts w:asciiTheme="minorBidi" w:hAnsiTheme="minorBidi" w:cstheme="minorBidi"/>
                <w:noProof/>
                <w:webHidden/>
              </w:rPr>
              <w:fldChar w:fldCharType="end"/>
            </w:r>
          </w:hyperlink>
        </w:p>
        <w:p w14:paraId="270229DA" w14:textId="7AED02C5"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7" w:history="1">
            <w:r w:rsidRPr="00BB3230">
              <w:rPr>
                <w:rStyle w:val="Hyperlink"/>
                <w:rFonts w:asciiTheme="minorBidi" w:hAnsiTheme="minorBidi" w:cstheme="minorBidi"/>
                <w:noProof/>
                <w:lang w:val="en-GB"/>
              </w:rPr>
              <w:t>4.2 NIS2 Incident Reporting Workflow</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_Toc221787867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15</w:t>
            </w:r>
            <w:r w:rsidRPr="00BB3230">
              <w:rPr>
                <w:rFonts w:asciiTheme="minorBidi" w:hAnsiTheme="minorBidi" w:cstheme="minorBidi"/>
                <w:noProof/>
                <w:webHidden/>
              </w:rPr>
              <w:fldChar w:fldCharType="end"/>
            </w:r>
          </w:hyperlink>
        </w:p>
        <w:p w14:paraId="190C46BF" w14:textId="428161A1"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8" w:history="1">
            <w:r w:rsidRPr="00BB3230">
              <w:rPr>
                <w:rStyle w:val="Hyperlink"/>
                <w:rFonts w:asciiTheme="minorBidi" w:hAnsiTheme="minorBidi" w:cstheme="minorBidi"/>
                <w:noProof/>
                <w:lang w:val="en-GB"/>
              </w:rPr>
              <w:t>4.3 DORA Operational Resilience Integration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_Toc221787868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16</w:t>
            </w:r>
            <w:r w:rsidRPr="00BB3230">
              <w:rPr>
                <w:rFonts w:asciiTheme="minorBidi" w:hAnsiTheme="minorBidi" w:cstheme="minorBidi"/>
                <w:noProof/>
                <w:webHidden/>
              </w:rPr>
              <w:fldChar w:fldCharType="end"/>
            </w:r>
          </w:hyperlink>
        </w:p>
        <w:p w14:paraId="0702C9DC" w14:textId="0ED96E92"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9" w:history="1">
            <w:r w:rsidRPr="00BB3230">
              <w:rPr>
                <w:rStyle w:val="Hyperlink"/>
                <w:rFonts w:asciiTheme="minorBidi" w:hAnsiTheme="minorBidi" w:cstheme="minorBidi"/>
                <w:noProof/>
                <w:lang w:val="en-GB"/>
              </w:rPr>
              <w:t>5. Quantitative Risk Assessment and Prioritisation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_Toc221787869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16</w:t>
            </w:r>
            <w:r w:rsidRPr="00BB3230">
              <w:rPr>
                <w:rFonts w:asciiTheme="minorBidi" w:hAnsiTheme="minorBidi" w:cstheme="minorBidi"/>
                <w:noProof/>
                <w:webHidden/>
              </w:rPr>
              <w:fldChar w:fldCharType="end"/>
            </w:r>
          </w:hyperlink>
        </w:p>
        <w:p w14:paraId="1106A071" w14:textId="5C251E23"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0" w:history="1">
            <w:r w:rsidRPr="00BB3230">
              <w:rPr>
                <w:rStyle w:val="Hyperlink"/>
                <w:rFonts w:asciiTheme="minorBidi" w:hAnsiTheme="minorBidi" w:cstheme="minorBidi"/>
                <w:noProof/>
                <w:lang w:val="en-GB"/>
              </w:rPr>
              <w:t>5.1 Risk Scoring Model</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_Toc221787870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16</w:t>
            </w:r>
            <w:r w:rsidRPr="00BB3230">
              <w:rPr>
                <w:rFonts w:asciiTheme="minorBidi" w:hAnsiTheme="minorBidi" w:cstheme="minorBidi"/>
                <w:noProof/>
                <w:webHidden/>
              </w:rPr>
              <w:fldChar w:fldCharType="end"/>
            </w:r>
          </w:hyperlink>
        </w:p>
        <w:p w14:paraId="4645C646" w14:textId="45697E69"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1" w:history="1">
            <w:r w:rsidRPr="00BB3230">
              <w:rPr>
                <w:rStyle w:val="Hyperlink"/>
                <w:rFonts w:asciiTheme="minorBidi" w:hAnsiTheme="minorBidi" w:cstheme="minorBidi"/>
                <w:noProof/>
                <w:lang w:val="en-GB"/>
              </w:rPr>
              <w:t>5.2 High-Level Risk Matrix</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_Toc221787871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16</w:t>
            </w:r>
            <w:r w:rsidRPr="00BB3230">
              <w:rPr>
                <w:rFonts w:asciiTheme="minorBidi" w:hAnsiTheme="minorBidi" w:cstheme="minorBidi"/>
                <w:noProof/>
                <w:webHidden/>
              </w:rPr>
              <w:fldChar w:fldCharType="end"/>
            </w:r>
          </w:hyperlink>
        </w:p>
        <w:p w14:paraId="7DD4403F" w14:textId="14D7B7E1"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2" w:history="1">
            <w:r w:rsidRPr="00BB3230">
              <w:rPr>
                <w:rStyle w:val="Hyperlink"/>
                <w:rFonts w:asciiTheme="minorBidi" w:hAnsiTheme="minorBidi" w:cstheme="minorBidi"/>
                <w:noProof/>
                <w:lang w:val="en-GB"/>
              </w:rPr>
              <w:t>5.3 Risk Prioritisation Rationale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_Toc221787872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17</w:t>
            </w:r>
            <w:r w:rsidRPr="00BB3230">
              <w:rPr>
                <w:rFonts w:asciiTheme="minorBidi" w:hAnsiTheme="minorBidi" w:cstheme="minorBidi"/>
                <w:noProof/>
                <w:webHidden/>
              </w:rPr>
              <w:fldChar w:fldCharType="end"/>
            </w:r>
          </w:hyperlink>
        </w:p>
        <w:p w14:paraId="52B1A267" w14:textId="09250872"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3" w:history="1">
            <w:r w:rsidRPr="00BB3230">
              <w:rPr>
                <w:rStyle w:val="Hyperlink"/>
                <w:rFonts w:asciiTheme="minorBidi" w:hAnsiTheme="minorBidi" w:cstheme="minorBidi"/>
                <w:noProof/>
                <w:lang w:val="en-GB"/>
              </w:rPr>
              <w:t>5.4 Residual R</w:t>
            </w:r>
            <w:r w:rsidRPr="00BB3230">
              <w:rPr>
                <w:rStyle w:val="Hyperlink"/>
                <w:rFonts w:asciiTheme="minorBidi" w:hAnsiTheme="minorBidi" w:cstheme="minorBidi"/>
                <w:noProof/>
                <w:lang w:val="en-GB"/>
              </w:rPr>
              <w:t>i</w:t>
            </w:r>
            <w:r w:rsidRPr="00BB3230">
              <w:rPr>
                <w:rStyle w:val="Hyperlink"/>
                <w:rFonts w:asciiTheme="minorBidi" w:hAnsiTheme="minorBidi" w:cstheme="minorBidi"/>
                <w:noProof/>
                <w:lang w:val="en-GB"/>
              </w:rPr>
              <w:t>sk Management</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_Toc221787873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18</w:t>
            </w:r>
            <w:r w:rsidRPr="00BB3230">
              <w:rPr>
                <w:rFonts w:asciiTheme="minorBidi" w:hAnsiTheme="minorBidi" w:cstheme="minorBidi"/>
                <w:noProof/>
                <w:webHidden/>
              </w:rPr>
              <w:fldChar w:fldCharType="end"/>
            </w:r>
          </w:hyperlink>
        </w:p>
        <w:p w14:paraId="03B02A74" w14:textId="5FCE13ED"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4" w:history="1">
            <w:r w:rsidRPr="00BB3230">
              <w:rPr>
                <w:rStyle w:val="Hyperlink"/>
                <w:rFonts w:asciiTheme="minorBidi" w:hAnsiTheme="minorBidi" w:cstheme="minorBidi"/>
                <w:noProof/>
                <w:lang w:val="en-GB"/>
              </w:rPr>
              <w:t>6. AI Lifecycle Security and Usage Governance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_Toc221787874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18</w:t>
            </w:r>
            <w:r w:rsidRPr="00BB3230">
              <w:rPr>
                <w:rFonts w:asciiTheme="minorBidi" w:hAnsiTheme="minorBidi" w:cstheme="minorBidi"/>
                <w:noProof/>
                <w:webHidden/>
              </w:rPr>
              <w:fldChar w:fldCharType="end"/>
            </w:r>
          </w:hyperlink>
        </w:p>
        <w:p w14:paraId="1859603C" w14:textId="36B75694"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5" w:history="1">
            <w:r w:rsidRPr="00BB3230">
              <w:rPr>
                <w:rStyle w:val="Hyperlink"/>
                <w:rFonts w:asciiTheme="minorBidi" w:hAnsiTheme="minorBidi" w:cstheme="minorBidi"/>
                <w:noProof/>
                <w:lang w:val="en-GB"/>
              </w:rPr>
              <w:t>6.1 AI Security Lifecycle Controls</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_Toc221787875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19</w:t>
            </w:r>
            <w:r w:rsidRPr="00BB3230">
              <w:rPr>
                <w:rFonts w:asciiTheme="minorBidi" w:hAnsiTheme="minorBidi" w:cstheme="minorBidi"/>
                <w:noProof/>
                <w:webHidden/>
              </w:rPr>
              <w:fldChar w:fldCharType="end"/>
            </w:r>
          </w:hyperlink>
        </w:p>
        <w:p w14:paraId="37CDAB33" w14:textId="2577900D"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6" w:history="1">
            <w:r w:rsidRPr="00BB3230">
              <w:rPr>
                <w:rStyle w:val="Hyperlink"/>
                <w:rFonts w:asciiTheme="minorBidi" w:hAnsiTheme="minorBidi" w:cstheme="minorBidi"/>
                <w:noProof/>
                <w:lang w:val="en-GB"/>
              </w:rPr>
              <w:t>6.2 AI Usage Policy</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_Toc221787876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19</w:t>
            </w:r>
            <w:r w:rsidRPr="00BB3230">
              <w:rPr>
                <w:rFonts w:asciiTheme="minorBidi" w:hAnsiTheme="minorBidi" w:cstheme="minorBidi"/>
                <w:noProof/>
                <w:webHidden/>
              </w:rPr>
              <w:fldChar w:fldCharType="end"/>
            </w:r>
          </w:hyperlink>
        </w:p>
        <w:p w14:paraId="682D8F5A" w14:textId="3DA503E8"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7" w:history="1">
            <w:r w:rsidRPr="00BB3230">
              <w:rPr>
                <w:rStyle w:val="Hyperlink"/>
                <w:rFonts w:asciiTheme="minorBidi" w:hAnsiTheme="minorBidi" w:cstheme="minorBidi"/>
                <w:noProof/>
                <w:lang w:val="en-GB"/>
              </w:rPr>
              <w:t>6.3 Governance Justification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_Toc221787877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20</w:t>
            </w:r>
            <w:r w:rsidRPr="00BB3230">
              <w:rPr>
                <w:rFonts w:asciiTheme="minorBidi" w:hAnsiTheme="minorBidi" w:cstheme="minorBidi"/>
                <w:noProof/>
                <w:webHidden/>
              </w:rPr>
              <w:fldChar w:fldCharType="end"/>
            </w:r>
          </w:hyperlink>
        </w:p>
        <w:p w14:paraId="36E16901" w14:textId="00735C26"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8" w:history="1">
            <w:r w:rsidRPr="00BB3230">
              <w:rPr>
                <w:rStyle w:val="Hyperlink"/>
                <w:rFonts w:asciiTheme="minorBidi" w:hAnsiTheme="minorBidi" w:cstheme="minorBidi"/>
                <w:noProof/>
                <w:lang w:val="en-GB"/>
              </w:rPr>
              <w:t>7. Cloud Security Governance and Identity Architecture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_Toc221787878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20</w:t>
            </w:r>
            <w:r w:rsidRPr="00BB3230">
              <w:rPr>
                <w:rFonts w:asciiTheme="minorBidi" w:hAnsiTheme="minorBidi" w:cstheme="minorBidi"/>
                <w:noProof/>
                <w:webHidden/>
              </w:rPr>
              <w:fldChar w:fldCharType="end"/>
            </w:r>
          </w:hyperlink>
        </w:p>
        <w:p w14:paraId="00862821" w14:textId="55AB042C"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9" w:history="1">
            <w:r w:rsidRPr="00BB3230">
              <w:rPr>
                <w:rStyle w:val="Hyperlink"/>
                <w:rFonts w:asciiTheme="minorBidi" w:hAnsiTheme="minorBidi" w:cstheme="minorBidi"/>
                <w:noProof/>
              </w:rPr>
              <w:t>7.1 Cloud Security Contro</w:t>
            </w:r>
            <w:r w:rsidRPr="00BB3230">
              <w:rPr>
                <w:rStyle w:val="Hyperlink"/>
                <w:rFonts w:asciiTheme="minorBidi" w:hAnsiTheme="minorBidi" w:cstheme="minorBidi"/>
                <w:noProof/>
              </w:rPr>
              <w:t>l</w:t>
            </w:r>
            <w:r w:rsidRPr="00BB3230">
              <w:rPr>
                <w:rStyle w:val="Hyperlink"/>
                <w:rFonts w:asciiTheme="minorBidi" w:hAnsiTheme="minorBidi" w:cstheme="minorBidi"/>
                <w:noProof/>
              </w:rPr>
              <w:t xml:space="preserve"> Framework</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_Toc221787879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20</w:t>
            </w:r>
            <w:r w:rsidRPr="00BB3230">
              <w:rPr>
                <w:rFonts w:asciiTheme="minorBidi" w:hAnsiTheme="minorBidi" w:cstheme="minorBidi"/>
                <w:noProof/>
                <w:webHidden/>
              </w:rPr>
              <w:fldChar w:fldCharType="end"/>
            </w:r>
          </w:hyperlink>
        </w:p>
        <w:p w14:paraId="35BE2885" w14:textId="57A6A585"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0" w:history="1">
            <w:r w:rsidRPr="00BB3230">
              <w:rPr>
                <w:rStyle w:val="Hyperlink"/>
                <w:rFonts w:asciiTheme="minorBidi" w:hAnsiTheme="minorBidi" w:cstheme="minorBidi"/>
                <w:noProof/>
                <w:lang w:val="en-GB"/>
              </w:rPr>
              <w:t>7.2 Identity Resilience Architecture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_Toc221787880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21</w:t>
            </w:r>
            <w:r w:rsidRPr="00BB3230">
              <w:rPr>
                <w:rFonts w:asciiTheme="minorBidi" w:hAnsiTheme="minorBidi" w:cstheme="minorBidi"/>
                <w:noProof/>
                <w:webHidden/>
              </w:rPr>
              <w:fldChar w:fldCharType="end"/>
            </w:r>
          </w:hyperlink>
        </w:p>
        <w:p w14:paraId="5B254870" w14:textId="47B5EC51"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1" w:history="1">
            <w:r w:rsidRPr="00BB3230">
              <w:rPr>
                <w:rStyle w:val="Hyperlink"/>
                <w:rFonts w:asciiTheme="minorBidi" w:hAnsiTheme="minorBidi" w:cstheme="minorBidi"/>
                <w:noProof/>
                <w:lang w:val="en-GB"/>
              </w:rPr>
              <w:t>7.3 Micro-Segmentation and Workload Isolation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_Toc221787881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21</w:t>
            </w:r>
            <w:r w:rsidRPr="00BB3230">
              <w:rPr>
                <w:rFonts w:asciiTheme="minorBidi" w:hAnsiTheme="minorBidi" w:cstheme="minorBidi"/>
                <w:noProof/>
                <w:webHidden/>
              </w:rPr>
              <w:fldChar w:fldCharType="end"/>
            </w:r>
          </w:hyperlink>
        </w:p>
        <w:p w14:paraId="4058D8FD" w14:textId="5932DE3A"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2" w:history="1">
            <w:r w:rsidRPr="00BB3230">
              <w:rPr>
                <w:rStyle w:val="Hyperlink"/>
                <w:rFonts w:asciiTheme="minorBidi" w:hAnsiTheme="minorBidi" w:cstheme="minorBidi"/>
                <w:noProof/>
                <w:lang w:val="en-GB"/>
              </w:rPr>
              <w:t>7.4 Strategic Justification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_Toc221787882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21</w:t>
            </w:r>
            <w:r w:rsidRPr="00BB3230">
              <w:rPr>
                <w:rFonts w:asciiTheme="minorBidi" w:hAnsiTheme="minorBidi" w:cstheme="minorBidi"/>
                <w:noProof/>
                <w:webHidden/>
              </w:rPr>
              <w:fldChar w:fldCharType="end"/>
            </w:r>
          </w:hyperlink>
        </w:p>
        <w:p w14:paraId="2B8935C2" w14:textId="61405F2E"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3" w:history="1">
            <w:r w:rsidRPr="00BB3230">
              <w:rPr>
                <w:rStyle w:val="Hyperlink"/>
                <w:rFonts w:asciiTheme="minorBidi" w:hAnsiTheme="minorBidi" w:cstheme="minorBidi"/>
                <w:noProof/>
                <w:lang w:val="en-GB"/>
              </w:rPr>
              <w:t>8. Detection, Automation and Incident Response Framework</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_Toc221787883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22</w:t>
            </w:r>
            <w:r w:rsidRPr="00BB3230">
              <w:rPr>
                <w:rFonts w:asciiTheme="minorBidi" w:hAnsiTheme="minorBidi" w:cstheme="minorBidi"/>
                <w:noProof/>
                <w:webHidden/>
              </w:rPr>
              <w:fldChar w:fldCharType="end"/>
            </w:r>
          </w:hyperlink>
        </w:p>
        <w:p w14:paraId="49E010C5" w14:textId="250C8EEB"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4" w:history="1">
            <w:r w:rsidRPr="00BB3230">
              <w:rPr>
                <w:rStyle w:val="Hyperlink"/>
                <w:rFonts w:asciiTheme="minorBidi" w:hAnsiTheme="minorBidi" w:cstheme="minorBidi"/>
                <w:noProof/>
                <w:lang w:val="en-GB"/>
              </w:rPr>
              <w:t>8.1 Detection Architecture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_Toc221787884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22</w:t>
            </w:r>
            <w:r w:rsidRPr="00BB3230">
              <w:rPr>
                <w:rFonts w:asciiTheme="minorBidi" w:hAnsiTheme="minorBidi" w:cstheme="minorBidi"/>
                <w:noProof/>
                <w:webHidden/>
              </w:rPr>
              <w:fldChar w:fldCharType="end"/>
            </w:r>
          </w:hyperlink>
        </w:p>
        <w:p w14:paraId="33F01F5F" w14:textId="69726EEE"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5" w:history="1">
            <w:r w:rsidRPr="00BB3230">
              <w:rPr>
                <w:rStyle w:val="Hyperlink"/>
                <w:rFonts w:asciiTheme="minorBidi" w:hAnsiTheme="minorBidi" w:cstheme="minorBidi"/>
                <w:noProof/>
                <w:lang w:val="en-GB"/>
              </w:rPr>
              <w:t>8.2 Automated Response Workflow</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_Toc221787885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22</w:t>
            </w:r>
            <w:r w:rsidRPr="00BB3230">
              <w:rPr>
                <w:rFonts w:asciiTheme="minorBidi" w:hAnsiTheme="minorBidi" w:cstheme="minorBidi"/>
                <w:noProof/>
                <w:webHidden/>
              </w:rPr>
              <w:fldChar w:fldCharType="end"/>
            </w:r>
          </w:hyperlink>
        </w:p>
        <w:p w14:paraId="1DF05622" w14:textId="080B25E4"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6" w:history="1">
            <w:r w:rsidRPr="00BB3230">
              <w:rPr>
                <w:rStyle w:val="Hyperlink"/>
                <w:rFonts w:asciiTheme="minorBidi" w:hAnsiTheme="minorBidi" w:cstheme="minorBidi"/>
                <w:noProof/>
                <w:lang w:val="en-GB"/>
              </w:rPr>
              <w:t>8.3 Regulatory Integration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_Toc221787886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22</w:t>
            </w:r>
            <w:r w:rsidRPr="00BB3230">
              <w:rPr>
                <w:rFonts w:asciiTheme="minorBidi" w:hAnsiTheme="minorBidi" w:cstheme="minorBidi"/>
                <w:noProof/>
                <w:webHidden/>
              </w:rPr>
              <w:fldChar w:fldCharType="end"/>
            </w:r>
          </w:hyperlink>
        </w:p>
        <w:p w14:paraId="282508EE" w14:textId="13839346"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7" w:history="1">
            <w:r w:rsidRPr="00BB3230">
              <w:rPr>
                <w:rStyle w:val="Hyperlink"/>
                <w:rFonts w:asciiTheme="minorBidi" w:hAnsiTheme="minorBidi" w:cstheme="minorBidi"/>
                <w:noProof/>
                <w:lang w:val="en-GB"/>
              </w:rPr>
              <w:t>8.4 Strategic Justification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_Toc221787887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23</w:t>
            </w:r>
            <w:r w:rsidRPr="00BB3230">
              <w:rPr>
                <w:rFonts w:asciiTheme="minorBidi" w:hAnsiTheme="minorBidi" w:cstheme="minorBidi"/>
                <w:noProof/>
                <w:webHidden/>
              </w:rPr>
              <w:fldChar w:fldCharType="end"/>
            </w:r>
          </w:hyperlink>
        </w:p>
        <w:p w14:paraId="2FD45D3E" w14:textId="074968AE"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8" w:history="1">
            <w:r w:rsidRPr="00BB3230">
              <w:rPr>
                <w:rStyle w:val="Hyperlink"/>
                <w:rFonts w:asciiTheme="minorBidi" w:hAnsiTheme="minorBidi" w:cstheme="minorBidi"/>
                <w:noProof/>
                <w:lang w:val="en-GB"/>
              </w:rPr>
              <w:t>8.5 Disaster Recovery and Operational Continuity Plan: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_Toc221787888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23</w:t>
            </w:r>
            <w:r w:rsidRPr="00BB3230">
              <w:rPr>
                <w:rFonts w:asciiTheme="minorBidi" w:hAnsiTheme="minorBidi" w:cstheme="minorBidi"/>
                <w:noProof/>
                <w:webHidden/>
              </w:rPr>
              <w:fldChar w:fldCharType="end"/>
            </w:r>
          </w:hyperlink>
        </w:p>
        <w:p w14:paraId="0109D1A5" w14:textId="3CB2801C"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9" w:history="1">
            <w:r w:rsidRPr="00BB3230">
              <w:rPr>
                <w:rStyle w:val="Hyperlink"/>
                <w:rFonts w:asciiTheme="minorBidi" w:hAnsiTheme="minorBidi" w:cstheme="minorBidi"/>
                <w:noProof/>
                <w:lang w:val="en-GB"/>
              </w:rPr>
              <w:t>9. Ransomware Response Phases</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_Toc221787889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24</w:t>
            </w:r>
            <w:r w:rsidRPr="00BB3230">
              <w:rPr>
                <w:rFonts w:asciiTheme="minorBidi" w:hAnsiTheme="minorBidi" w:cstheme="minorBidi"/>
                <w:noProof/>
                <w:webHidden/>
              </w:rPr>
              <w:fldChar w:fldCharType="end"/>
            </w:r>
          </w:hyperlink>
        </w:p>
        <w:p w14:paraId="70BC4A4E" w14:textId="6748B0CC"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0" w:history="1">
            <w:r w:rsidRPr="00BB3230">
              <w:rPr>
                <w:rStyle w:val="Hyperlink"/>
                <w:rFonts w:asciiTheme="minorBidi" w:hAnsiTheme="minorBidi" w:cstheme="minorBidi"/>
                <w:noProof/>
                <w:lang w:val="en-GB"/>
              </w:rPr>
              <w:t>9.1 Recovery Objectives</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_Toc221787890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25</w:t>
            </w:r>
            <w:r w:rsidRPr="00BB3230">
              <w:rPr>
                <w:rFonts w:asciiTheme="minorBidi" w:hAnsiTheme="minorBidi" w:cstheme="minorBidi"/>
                <w:noProof/>
                <w:webHidden/>
              </w:rPr>
              <w:fldChar w:fldCharType="end"/>
            </w:r>
          </w:hyperlink>
        </w:p>
        <w:p w14:paraId="027B885A" w14:textId="7FA17683"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1" w:history="1">
            <w:r w:rsidRPr="00BB3230">
              <w:rPr>
                <w:rStyle w:val="Hyperlink"/>
                <w:rFonts w:asciiTheme="minorBidi" w:hAnsiTheme="minorBidi" w:cstheme="minorBidi"/>
                <w:noProof/>
                <w:lang w:val="en-GB"/>
              </w:rPr>
              <w:t>9.2 Backup and Resilience Controls</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_Toc221787891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25</w:t>
            </w:r>
            <w:r w:rsidRPr="00BB3230">
              <w:rPr>
                <w:rFonts w:asciiTheme="minorBidi" w:hAnsiTheme="minorBidi" w:cstheme="minorBidi"/>
                <w:noProof/>
                <w:webHidden/>
              </w:rPr>
              <w:fldChar w:fldCharType="end"/>
            </w:r>
          </w:hyperlink>
        </w:p>
        <w:p w14:paraId="582AA701" w14:textId="41E65F75"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2" w:history="1">
            <w:r w:rsidRPr="00BB3230">
              <w:rPr>
                <w:rStyle w:val="Hyperlink"/>
                <w:rFonts w:asciiTheme="minorBidi" w:hAnsiTheme="minorBidi" w:cstheme="minorBidi"/>
                <w:noProof/>
                <w:lang w:val="en-GB"/>
              </w:rPr>
              <w:t>9.3 Strategic Justification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_Toc221787892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25</w:t>
            </w:r>
            <w:r w:rsidRPr="00BB3230">
              <w:rPr>
                <w:rFonts w:asciiTheme="minorBidi" w:hAnsiTheme="minorBidi" w:cstheme="minorBidi"/>
                <w:noProof/>
                <w:webHidden/>
              </w:rPr>
              <w:fldChar w:fldCharType="end"/>
            </w:r>
          </w:hyperlink>
        </w:p>
        <w:p w14:paraId="7755C80D" w14:textId="2C7F1DF3"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3" w:history="1">
            <w:r w:rsidRPr="00BB3230">
              <w:rPr>
                <w:rStyle w:val="Hyperlink"/>
                <w:rFonts w:asciiTheme="minorBidi" w:hAnsiTheme="minorBidi" w:cstheme="minorBidi"/>
                <w:noProof/>
                <w:lang w:val="en-GB"/>
              </w:rPr>
              <w:t>10. Comparative Evaluation of Security Models</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_Toc221787893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26</w:t>
            </w:r>
            <w:r w:rsidRPr="00BB3230">
              <w:rPr>
                <w:rFonts w:asciiTheme="minorBidi" w:hAnsiTheme="minorBidi" w:cstheme="minorBidi"/>
                <w:noProof/>
                <w:webHidden/>
              </w:rPr>
              <w:fldChar w:fldCharType="end"/>
            </w:r>
          </w:hyperlink>
        </w:p>
        <w:p w14:paraId="30E880C7" w14:textId="362096C3"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4" w:history="1">
            <w:r w:rsidRPr="00BB3230">
              <w:rPr>
                <w:rStyle w:val="Hyperlink"/>
                <w:rFonts w:asciiTheme="minorBidi" w:hAnsiTheme="minorBidi" w:cstheme="minorBidi"/>
                <w:noProof/>
                <w:lang w:val="en-GB"/>
              </w:rPr>
              <w:t>11. Economic and Strategic Considerations</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_Toc221787894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26</w:t>
            </w:r>
            <w:r w:rsidRPr="00BB3230">
              <w:rPr>
                <w:rFonts w:asciiTheme="minorBidi" w:hAnsiTheme="minorBidi" w:cstheme="minorBidi"/>
                <w:noProof/>
                <w:webHidden/>
              </w:rPr>
              <w:fldChar w:fldCharType="end"/>
            </w:r>
          </w:hyperlink>
        </w:p>
        <w:p w14:paraId="62A1150D" w14:textId="301EB881"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5" w:history="1">
            <w:r w:rsidRPr="00BB3230">
              <w:rPr>
                <w:rStyle w:val="Hyperlink"/>
                <w:rFonts w:asciiTheme="minorBidi" w:hAnsiTheme="minorBidi" w:cstheme="minorBidi"/>
                <w:noProof/>
                <w:lang w:val="en-GB"/>
              </w:rPr>
              <w:t>12. Strategic Integration Framework:</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_Toc221787895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27</w:t>
            </w:r>
            <w:r w:rsidRPr="00BB3230">
              <w:rPr>
                <w:rFonts w:asciiTheme="minorBidi" w:hAnsiTheme="minorBidi" w:cstheme="minorBidi"/>
                <w:noProof/>
                <w:webHidden/>
              </w:rPr>
              <w:fldChar w:fldCharType="end"/>
            </w:r>
          </w:hyperlink>
        </w:p>
        <w:p w14:paraId="58B18DDB" w14:textId="7A9D3951"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6" w:history="1">
            <w:r w:rsidRPr="00BB3230">
              <w:rPr>
                <w:rStyle w:val="Hyperlink"/>
                <w:rFonts w:asciiTheme="minorBidi" w:hAnsiTheme="minorBidi" w:cstheme="minorBidi"/>
                <w:noProof/>
                <w:lang w:val="en-GB"/>
              </w:rPr>
              <w:t>13. Conclusion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_Toc221787896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27</w:t>
            </w:r>
            <w:r w:rsidRPr="00BB3230">
              <w:rPr>
                <w:rFonts w:asciiTheme="minorBidi" w:hAnsiTheme="minorBidi" w:cstheme="minorBidi"/>
                <w:noProof/>
                <w:webHidden/>
              </w:rPr>
              <w:fldChar w:fldCharType="end"/>
            </w:r>
          </w:hyperlink>
        </w:p>
        <w:p w14:paraId="2E9BE73F" w14:textId="0F2A5CCA"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7" w:history="1">
            <w:r w:rsidRPr="00BB3230">
              <w:rPr>
                <w:rStyle w:val="Hyperlink"/>
                <w:rFonts w:asciiTheme="minorBidi" w:hAnsiTheme="minorBidi" w:cstheme="minorBidi"/>
                <w:noProof/>
                <w:lang w:val="en-GB"/>
              </w:rPr>
              <w:t>References:</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_Toc221787897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28</w:t>
            </w:r>
            <w:r w:rsidRPr="00BB3230">
              <w:rPr>
                <w:rFonts w:asciiTheme="minorBidi" w:hAnsiTheme="minorBidi" w:cstheme="minorBidi"/>
                <w:noProof/>
                <w:webHidden/>
              </w:rPr>
              <w:fldChar w:fldCharType="end"/>
            </w:r>
          </w:hyperlink>
        </w:p>
        <w:p w14:paraId="2D8BC928" w14:textId="673664DB" w:rsidR="005903C1" w:rsidRPr="00BB3230" w:rsidRDefault="005903C1">
          <w:pPr>
            <w:rPr>
              <w:rFonts w:asciiTheme="minorBidi" w:hAnsiTheme="minorBidi" w:cstheme="minorBidi"/>
            </w:rPr>
          </w:pPr>
          <w:r w:rsidRPr="00BB3230">
            <w:rPr>
              <w:rFonts w:asciiTheme="minorBidi" w:hAnsiTheme="minorBidi" w:cstheme="minorBidi"/>
              <w:b/>
              <w:bCs/>
            </w:rPr>
            <w:fldChar w:fldCharType="end"/>
          </w:r>
        </w:p>
      </w:sdtContent>
    </w:sdt>
    <w:p w14:paraId="09E7A381" w14:textId="77777777" w:rsidR="0064550E" w:rsidRPr="00BB3230" w:rsidRDefault="0064550E" w:rsidP="009B57EA">
      <w:pPr>
        <w:spacing w:line="360" w:lineRule="auto"/>
        <w:jc w:val="left"/>
        <w:rPr>
          <w:rFonts w:asciiTheme="minorBidi" w:hAnsiTheme="minorBidi" w:cstheme="minorBidi"/>
          <w:b/>
          <w:bCs/>
          <w:sz w:val="24"/>
          <w:szCs w:val="24"/>
        </w:rPr>
      </w:pPr>
    </w:p>
    <w:p w14:paraId="207B8340" w14:textId="77777777" w:rsidR="0064550E" w:rsidRPr="00BB3230" w:rsidRDefault="0064550E" w:rsidP="009B57EA">
      <w:pPr>
        <w:spacing w:line="360" w:lineRule="auto"/>
        <w:jc w:val="left"/>
        <w:rPr>
          <w:rFonts w:asciiTheme="minorBidi" w:hAnsiTheme="minorBidi" w:cstheme="minorBidi"/>
          <w:b/>
          <w:bCs/>
          <w:sz w:val="24"/>
          <w:szCs w:val="24"/>
        </w:rPr>
      </w:pPr>
    </w:p>
    <w:p w14:paraId="1B44CB5A" w14:textId="7C4EB69F" w:rsidR="00FD5725" w:rsidRPr="00FE258A" w:rsidRDefault="00FD5725" w:rsidP="00BD5F1D">
      <w:pPr>
        <w:pStyle w:val="Author"/>
        <w:spacing w:before="0" w:line="360" w:lineRule="auto"/>
        <w:jc w:val="left"/>
        <w:rPr>
          <w:rFonts w:asciiTheme="minorBidi" w:hAnsiTheme="minorBidi" w:cstheme="minorBidi"/>
          <w:sz w:val="24"/>
          <w:szCs w:val="24"/>
        </w:rPr>
      </w:pPr>
      <w:r w:rsidRPr="00FE258A">
        <w:rPr>
          <w:rFonts w:asciiTheme="minorBidi" w:hAnsiTheme="minorBidi" w:cstheme="minorBidi"/>
          <w:b/>
          <w:bCs/>
          <w:sz w:val="24"/>
          <w:szCs w:val="24"/>
        </w:rPr>
        <w:t>Zero-Trust-Aligned Security Programme for MediTrust Analytics Ltd</w:t>
      </w:r>
    </w:p>
    <w:p w14:paraId="393A044D" w14:textId="77777777" w:rsidR="00FD5725" w:rsidRPr="00847D7A" w:rsidRDefault="00FD5725" w:rsidP="009B57EA">
      <w:pPr>
        <w:pStyle w:val="Heading1"/>
        <w:spacing w:line="360" w:lineRule="auto"/>
        <w:jc w:val="left"/>
        <w:rPr>
          <w:rFonts w:asciiTheme="minorBidi" w:hAnsiTheme="minorBidi" w:cstheme="minorBidi"/>
          <w:b/>
          <w:bCs/>
          <w:sz w:val="32"/>
          <w:szCs w:val="32"/>
        </w:rPr>
      </w:pPr>
      <w:bookmarkStart w:id="1" w:name="_Toc221787858"/>
      <w:r w:rsidRPr="00847D7A">
        <w:rPr>
          <w:rFonts w:asciiTheme="minorBidi" w:hAnsiTheme="minorBidi" w:cstheme="minorBidi"/>
          <w:b/>
          <w:bCs/>
          <w:sz w:val="32"/>
          <w:szCs w:val="32"/>
        </w:rPr>
        <w:t>1. Introduction</w:t>
      </w:r>
      <w:bookmarkEnd w:id="1"/>
    </w:p>
    <w:p w14:paraId="025C3E9A" w14:textId="69620FC7" w:rsidR="00545A34" w:rsidRPr="00545A34" w:rsidRDefault="00545A34" w:rsidP="00545A34">
      <w:pPr>
        <w:pStyle w:val="Heading1"/>
        <w:spacing w:line="360" w:lineRule="auto"/>
        <w:jc w:val="left"/>
        <w:rPr>
          <w:rFonts w:asciiTheme="minorBidi" w:eastAsia="SimSun" w:hAnsiTheme="minorBidi" w:cstheme="minorBidi"/>
          <w:color w:val="auto"/>
          <w:sz w:val="24"/>
          <w:szCs w:val="24"/>
        </w:rPr>
      </w:pPr>
      <w:bookmarkStart w:id="2" w:name="_Toc221787859"/>
      <w:proofErr w:type="spellStart"/>
      <w:r w:rsidRPr="00545A34">
        <w:rPr>
          <w:rFonts w:asciiTheme="minorBidi" w:eastAsia="SimSun" w:hAnsiTheme="minorBidi" w:cstheme="minorBidi"/>
          <w:color w:val="auto"/>
          <w:sz w:val="24"/>
          <w:szCs w:val="24"/>
        </w:rPr>
        <w:t>MediTrust</w:t>
      </w:r>
      <w:proofErr w:type="spellEnd"/>
      <w:r w:rsidRPr="00545A34">
        <w:rPr>
          <w:rFonts w:asciiTheme="minorBidi" w:eastAsia="SimSun" w:hAnsiTheme="minorBidi" w:cstheme="minorBidi"/>
          <w:color w:val="auto"/>
          <w:sz w:val="24"/>
          <w:szCs w:val="24"/>
        </w:rPr>
        <w:t xml:space="preserve"> Analytics Ltd operates in a highly digitised healthcare environment using AI-driven clinical decision systems, distributed multi-cloud infrastructure, and a hybrid workforce of remote developers and external research partners. It processes large volumes of sensitive medical, imaging, and behavioural health data while expanding into the European Union.</w:t>
      </w:r>
      <w:r w:rsidRPr="00E71D5E">
        <w:rPr>
          <w:rFonts w:asciiTheme="minorBidi" w:eastAsia="SimSun" w:hAnsiTheme="minorBidi" w:cstheme="minorBidi"/>
          <w:color w:val="auto"/>
          <w:sz w:val="24"/>
          <w:szCs w:val="24"/>
        </w:rPr>
        <w:t xml:space="preserve">  </w:t>
      </w:r>
      <w:r w:rsidRPr="00545A34">
        <w:rPr>
          <w:rFonts w:asciiTheme="minorBidi" w:eastAsia="SimSun" w:hAnsiTheme="minorBidi" w:cstheme="minorBidi"/>
          <w:color w:val="auto"/>
          <w:sz w:val="24"/>
          <w:szCs w:val="24"/>
        </w:rPr>
        <w:t>This expansion brings regulatory obligations under GDPR, DORA, and the NIS2 Directive. Traditional perimeter-based security is inadequate because identity, supply chain, and workload risks extend beyond fixed network boundaries.</w:t>
      </w:r>
      <w:r w:rsidRPr="00E71D5E">
        <w:rPr>
          <w:rFonts w:asciiTheme="minorBidi" w:eastAsia="SimSun" w:hAnsiTheme="minorBidi" w:cstheme="minorBidi"/>
          <w:color w:val="auto"/>
          <w:sz w:val="24"/>
          <w:szCs w:val="24"/>
        </w:rPr>
        <w:t xml:space="preserve"> </w:t>
      </w:r>
      <w:r w:rsidRPr="00545A34">
        <w:rPr>
          <w:rFonts w:asciiTheme="minorBidi" w:eastAsia="SimSun" w:hAnsiTheme="minorBidi" w:cstheme="minorBidi"/>
          <w:color w:val="auto"/>
          <w:sz w:val="24"/>
          <w:szCs w:val="24"/>
        </w:rPr>
        <w:t xml:space="preserve">This paper proposes a Zero Trust–aligned security and regulatory resilience </w:t>
      </w:r>
      <w:r w:rsidR="00E71D5E">
        <w:rPr>
          <w:rFonts w:asciiTheme="minorBidi" w:eastAsia="SimSun" w:hAnsiTheme="minorBidi" w:cstheme="minorBidi"/>
          <w:color w:val="auto"/>
          <w:sz w:val="24"/>
          <w:szCs w:val="24"/>
        </w:rPr>
        <w:t>program that integrates</w:t>
      </w:r>
      <w:r w:rsidRPr="00545A34">
        <w:rPr>
          <w:rFonts w:asciiTheme="minorBidi" w:eastAsia="SimSun" w:hAnsiTheme="minorBidi" w:cstheme="minorBidi"/>
          <w:color w:val="auto"/>
          <w:sz w:val="24"/>
          <w:szCs w:val="24"/>
        </w:rPr>
        <w:t xml:space="preserve"> governance, quantitative risk modelling, AI lifecycle assurance, cloud configuration control, legal accountability, and operational continuity within a unified enterprise framework.</w:t>
      </w:r>
    </w:p>
    <w:p w14:paraId="10889AAF" w14:textId="77777777" w:rsidR="00FD5725" w:rsidRPr="00847D7A" w:rsidRDefault="00FD5725" w:rsidP="009B57EA">
      <w:pPr>
        <w:pStyle w:val="Heading1"/>
        <w:spacing w:line="360" w:lineRule="auto"/>
        <w:jc w:val="left"/>
        <w:rPr>
          <w:rFonts w:asciiTheme="minorBidi" w:hAnsiTheme="minorBidi" w:cstheme="minorBidi"/>
          <w:b/>
          <w:bCs/>
          <w:sz w:val="32"/>
          <w:szCs w:val="32"/>
        </w:rPr>
      </w:pPr>
      <w:r w:rsidRPr="00847D7A">
        <w:rPr>
          <w:rFonts w:asciiTheme="minorBidi" w:hAnsiTheme="minorBidi" w:cstheme="minorBidi"/>
          <w:b/>
          <w:bCs/>
          <w:sz w:val="32"/>
          <w:szCs w:val="32"/>
        </w:rPr>
        <w:t>2. Strategic Design of the New Information Security Unit</w:t>
      </w:r>
      <w:bookmarkEnd w:id="2"/>
    </w:p>
    <w:p w14:paraId="6C818568" w14:textId="773E3908" w:rsidR="00BB3230" w:rsidRPr="00FE258A" w:rsidRDefault="00FD5725" w:rsidP="00545A34">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 xml:space="preserve">The security unit is designed as a </w:t>
      </w:r>
      <w:proofErr w:type="spellStart"/>
      <w:r w:rsidR="00E55532" w:rsidRPr="00BB3230">
        <w:rPr>
          <w:rFonts w:asciiTheme="minorBidi" w:hAnsiTheme="minorBidi" w:cstheme="minorBidi"/>
          <w:sz w:val="24"/>
          <w:szCs w:val="24"/>
        </w:rPr>
        <w:t>centralised</w:t>
      </w:r>
      <w:proofErr w:type="spellEnd"/>
      <w:r w:rsidRPr="00FE258A">
        <w:rPr>
          <w:rFonts w:asciiTheme="minorBidi" w:hAnsiTheme="minorBidi" w:cstheme="minorBidi"/>
          <w:sz w:val="24"/>
          <w:szCs w:val="24"/>
        </w:rPr>
        <w:t xml:space="preserve"> yet federated function embedded across engineering, AI research, and cloud operations. The architecture adopts a </w:t>
      </w:r>
      <w:r w:rsidRPr="00FE258A">
        <w:rPr>
          <w:rFonts w:asciiTheme="minorBidi" w:hAnsiTheme="minorBidi" w:cstheme="minorBidi"/>
          <w:b/>
          <w:bCs/>
          <w:sz w:val="24"/>
          <w:szCs w:val="24"/>
        </w:rPr>
        <w:t>Zero Trust model</w:t>
      </w:r>
      <w:r w:rsidRPr="00FE258A">
        <w:rPr>
          <w:rFonts w:asciiTheme="minorBidi" w:hAnsiTheme="minorBidi" w:cstheme="minorBidi"/>
          <w:sz w:val="24"/>
          <w:szCs w:val="24"/>
        </w:rPr>
        <w:t>, where identity, device posture, workload integrity, and contextual risk determine access decisions rather than network location [1].</w:t>
      </w:r>
    </w:p>
    <w:p w14:paraId="79F7CB88" w14:textId="03763EF9" w:rsidR="00FD5725" w:rsidRPr="00847D7A" w:rsidRDefault="00BB3230" w:rsidP="009B57EA">
      <w:pPr>
        <w:pStyle w:val="Heading2"/>
        <w:spacing w:line="360" w:lineRule="auto"/>
        <w:jc w:val="left"/>
        <w:rPr>
          <w:rFonts w:asciiTheme="minorBidi" w:hAnsiTheme="minorBidi" w:cstheme="minorBidi"/>
          <w:b/>
          <w:bCs/>
        </w:rPr>
      </w:pPr>
      <w:bookmarkStart w:id="3" w:name="_Toc221787860"/>
      <w:r w:rsidRPr="00847D7A">
        <w:rPr>
          <w:rFonts w:asciiTheme="minorBidi" w:hAnsiTheme="minorBidi" w:cstheme="minorBidi"/>
          <w:b/>
          <w:bCs/>
        </w:rPr>
        <w:t xml:space="preserve">2.1 </w:t>
      </w:r>
      <w:proofErr w:type="spellStart"/>
      <w:r w:rsidR="008C7018" w:rsidRPr="00847D7A">
        <w:rPr>
          <w:rFonts w:asciiTheme="minorBidi" w:hAnsiTheme="minorBidi" w:cstheme="minorBidi"/>
          <w:b/>
          <w:bCs/>
        </w:rPr>
        <w:t>Organisational</w:t>
      </w:r>
      <w:proofErr w:type="spellEnd"/>
      <w:r w:rsidR="00FD5725" w:rsidRPr="00847D7A">
        <w:rPr>
          <w:rFonts w:asciiTheme="minorBidi" w:hAnsiTheme="minorBidi" w:cstheme="minorBidi"/>
          <w:b/>
          <w:bCs/>
        </w:rPr>
        <w:t xml:space="preserve"> Structure</w:t>
      </w:r>
      <w:bookmarkEnd w:id="3"/>
    </w:p>
    <w:p w14:paraId="32480A95" w14:textId="77777777" w:rsidR="00FD5725" w:rsidRPr="00BB3230" w:rsidRDefault="00FD5725" w:rsidP="009B57EA">
      <w:pPr>
        <w:spacing w:line="360" w:lineRule="auto"/>
        <w:jc w:val="left"/>
        <w:rPr>
          <w:rFonts w:asciiTheme="minorBidi" w:hAnsiTheme="minorBidi" w:cstheme="minorBidi"/>
          <w:sz w:val="24"/>
          <w:szCs w:val="24"/>
        </w:rPr>
      </w:pPr>
      <w:r w:rsidRPr="00FE258A">
        <w:rPr>
          <w:rFonts w:asciiTheme="minorBidi" w:hAnsiTheme="minorBidi" w:cstheme="minorBidi"/>
          <w:sz w:val="24"/>
          <w:szCs w:val="24"/>
        </w:rPr>
        <w:t>The structure integrates governance, architecture, engineering, and resilience oversight:</w:t>
      </w:r>
    </w:p>
    <w:p w14:paraId="6BA05BD8" w14:textId="77777777" w:rsidR="006C3729" w:rsidRDefault="00FD5725" w:rsidP="00594980">
      <w:pPr>
        <w:keepNext/>
        <w:spacing w:after="160" w:line="360" w:lineRule="auto"/>
      </w:pPr>
      <w:r w:rsidRPr="00BB3230">
        <w:rPr>
          <w:rFonts w:asciiTheme="minorBidi" w:hAnsiTheme="minorBidi" w:cstheme="minorBidi"/>
          <w:noProof/>
          <w:sz w:val="24"/>
          <w:szCs w:val="24"/>
        </w:rPr>
        <w:lastRenderedPageBreak/>
        <w:drawing>
          <wp:inline distT="0" distB="0" distL="0" distR="0" wp14:anchorId="747242DA" wp14:editId="28251033">
            <wp:extent cx="5731510" cy="3125470"/>
            <wp:effectExtent l="114300" t="95250" r="116840" b="93980"/>
            <wp:docPr id="1656853346" name="Picture 2" descr="A diagram of security and risk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853346" name="Picture 2" descr="A diagram of security and risk managemen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125470"/>
                    </a:xfrm>
                    <a:prstGeom prst="rect">
                      <a:avLst/>
                    </a:prstGeom>
                    <a:effectLst>
                      <a:outerShdw blurRad="63500" sx="102000" sy="102000" algn="ctr" rotWithShape="0">
                        <a:prstClr val="black">
                          <a:alpha val="40000"/>
                        </a:prstClr>
                      </a:outerShdw>
                    </a:effectLst>
                  </pic:spPr>
                </pic:pic>
              </a:graphicData>
            </a:graphic>
          </wp:inline>
        </w:drawing>
      </w:r>
    </w:p>
    <w:p w14:paraId="4C129760" w14:textId="564BF357" w:rsidR="00FD5725" w:rsidRPr="00FE258A" w:rsidRDefault="006C3729" w:rsidP="006C3729">
      <w:pPr>
        <w:pStyle w:val="Caption"/>
        <w:rPr>
          <w:rFonts w:asciiTheme="minorBidi" w:hAnsiTheme="minorBidi" w:cstheme="minorBidi"/>
          <w:sz w:val="24"/>
          <w:szCs w:val="24"/>
        </w:rPr>
      </w:pPr>
      <w:r>
        <w:t xml:space="preserve">Figure </w:t>
      </w:r>
      <w:r>
        <w:fldChar w:fldCharType="begin"/>
      </w:r>
      <w:r>
        <w:instrText xml:space="preserve"> SEQ Figure \* ARABIC </w:instrText>
      </w:r>
      <w:r>
        <w:fldChar w:fldCharType="separate"/>
      </w:r>
      <w:r w:rsidR="00540908">
        <w:rPr>
          <w:noProof/>
        </w:rPr>
        <w:t>2</w:t>
      </w:r>
      <w:r>
        <w:fldChar w:fldCharType="end"/>
      </w:r>
      <w:r>
        <w:rPr>
          <w:lang w:val="en-GB"/>
        </w:rPr>
        <w:t>: Risk Management Structure</w:t>
      </w:r>
    </w:p>
    <w:p w14:paraId="00460CEE" w14:textId="52B93E18" w:rsidR="00FD5725" w:rsidRPr="00FE258A" w:rsidRDefault="00FD5725"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 xml:space="preserve">The </w:t>
      </w:r>
      <w:r w:rsidRPr="00FE258A">
        <w:rPr>
          <w:rFonts w:asciiTheme="minorBidi" w:hAnsiTheme="minorBidi" w:cstheme="minorBidi"/>
          <w:b/>
          <w:bCs/>
          <w:sz w:val="24"/>
          <w:szCs w:val="24"/>
        </w:rPr>
        <w:t>Cloud Security Architect</w:t>
      </w:r>
      <w:r w:rsidRPr="00FE258A">
        <w:rPr>
          <w:rFonts w:asciiTheme="minorBidi" w:hAnsiTheme="minorBidi" w:cstheme="minorBidi"/>
          <w:sz w:val="24"/>
          <w:szCs w:val="24"/>
        </w:rPr>
        <w:t xml:space="preserve"> designs secure multi-cloud architecture, ensures CSPM implementation, and aligns cloud controls with DORA resilience requirements [</w:t>
      </w:r>
      <w:r w:rsidR="00E55532" w:rsidRPr="00BB3230">
        <w:rPr>
          <w:rFonts w:asciiTheme="minorBidi" w:hAnsiTheme="minorBidi" w:cstheme="minorBidi"/>
          <w:sz w:val="24"/>
          <w:szCs w:val="24"/>
        </w:rPr>
        <w:t>2</w:t>
      </w:r>
      <w:r w:rsidRPr="00FE258A">
        <w:rPr>
          <w:rFonts w:asciiTheme="minorBidi" w:hAnsiTheme="minorBidi" w:cstheme="minorBidi"/>
          <w:sz w:val="24"/>
          <w:szCs w:val="24"/>
        </w:rPr>
        <w:t xml:space="preserve">]. The </w:t>
      </w:r>
      <w:proofErr w:type="spellStart"/>
      <w:r w:rsidRPr="00FE258A">
        <w:rPr>
          <w:rFonts w:asciiTheme="minorBidi" w:hAnsiTheme="minorBidi" w:cstheme="minorBidi"/>
          <w:b/>
          <w:bCs/>
          <w:sz w:val="24"/>
          <w:szCs w:val="24"/>
        </w:rPr>
        <w:t>DevSecOps</w:t>
      </w:r>
      <w:proofErr w:type="spellEnd"/>
      <w:r w:rsidRPr="00FE258A">
        <w:rPr>
          <w:rFonts w:asciiTheme="minorBidi" w:hAnsiTheme="minorBidi" w:cstheme="minorBidi"/>
          <w:b/>
          <w:bCs/>
          <w:sz w:val="24"/>
          <w:szCs w:val="24"/>
        </w:rPr>
        <w:t xml:space="preserve"> Lead</w:t>
      </w:r>
      <w:r w:rsidRPr="00FE258A">
        <w:rPr>
          <w:rFonts w:asciiTheme="minorBidi" w:hAnsiTheme="minorBidi" w:cstheme="minorBidi"/>
          <w:sz w:val="24"/>
          <w:szCs w:val="24"/>
        </w:rPr>
        <w:t xml:space="preserve"> embeds security controls into CI/CD pipelines, manages software supply chain integrity, and enforces secure coding and dependency management [</w:t>
      </w:r>
      <w:r w:rsidR="00E55532" w:rsidRPr="00BB3230">
        <w:rPr>
          <w:rFonts w:asciiTheme="minorBidi" w:hAnsiTheme="minorBidi" w:cstheme="minorBidi"/>
          <w:sz w:val="24"/>
          <w:szCs w:val="24"/>
        </w:rPr>
        <w:t>3</w:t>
      </w:r>
      <w:r w:rsidRPr="00FE258A">
        <w:rPr>
          <w:rFonts w:asciiTheme="minorBidi" w:hAnsiTheme="minorBidi" w:cstheme="minorBidi"/>
          <w:sz w:val="24"/>
          <w:szCs w:val="24"/>
        </w:rPr>
        <w:t>].</w:t>
      </w:r>
    </w:p>
    <w:p w14:paraId="094CB64F" w14:textId="14686726" w:rsidR="00FD5725" w:rsidRPr="00FE258A" w:rsidRDefault="00FD5725" w:rsidP="009E2DC2">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This structure ensures clear accountability, regulatory oversight, and continuous security integration within product development.</w:t>
      </w:r>
    </w:p>
    <w:p w14:paraId="5EFA9B58" w14:textId="77777777" w:rsidR="00FD5725" w:rsidRPr="00847D7A" w:rsidRDefault="00FD5725" w:rsidP="009B57EA">
      <w:pPr>
        <w:pStyle w:val="Heading1"/>
        <w:spacing w:line="360" w:lineRule="auto"/>
        <w:jc w:val="left"/>
        <w:rPr>
          <w:rFonts w:asciiTheme="minorBidi" w:hAnsiTheme="minorBidi" w:cstheme="minorBidi"/>
          <w:b/>
          <w:bCs/>
          <w:sz w:val="32"/>
          <w:szCs w:val="32"/>
        </w:rPr>
      </w:pPr>
      <w:bookmarkStart w:id="4" w:name="_Toc221787861"/>
      <w:r w:rsidRPr="00847D7A">
        <w:rPr>
          <w:rFonts w:asciiTheme="minorBidi" w:hAnsiTheme="minorBidi" w:cstheme="minorBidi"/>
          <w:b/>
          <w:bCs/>
          <w:sz w:val="32"/>
          <w:szCs w:val="32"/>
        </w:rPr>
        <w:t>3. Governance and Strategy Based on NIST CSF 2.0</w:t>
      </w:r>
      <w:bookmarkEnd w:id="4"/>
    </w:p>
    <w:p w14:paraId="2BD76B39" w14:textId="797D5D88" w:rsidR="004228DA" w:rsidRPr="00BB3230" w:rsidRDefault="004228DA" w:rsidP="00400989">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Effective Zero Trust adoption within </w:t>
      </w:r>
      <w:proofErr w:type="spellStart"/>
      <w:r w:rsidRPr="00BB3230">
        <w:rPr>
          <w:rFonts w:asciiTheme="minorBidi" w:hAnsiTheme="minorBidi" w:cstheme="minorBidi"/>
          <w:sz w:val="24"/>
          <w:szCs w:val="24"/>
          <w:lang w:val="en-GB"/>
        </w:rPr>
        <w:t>MediTrust’s</w:t>
      </w:r>
      <w:proofErr w:type="spellEnd"/>
      <w:r w:rsidRPr="00BB3230">
        <w:rPr>
          <w:rFonts w:asciiTheme="minorBidi" w:hAnsiTheme="minorBidi" w:cstheme="minorBidi"/>
          <w:sz w:val="24"/>
          <w:szCs w:val="24"/>
          <w:lang w:val="en-GB"/>
        </w:rPr>
        <w:t xml:space="preserve"> EU expansion requires a clearly defined governance structure aligned with NIST Cybersecurity Framework (CSF) 2.0 and regulatory accountability obligations under DORA and NIS2 [</w:t>
      </w:r>
      <w:r w:rsidR="00E55532" w:rsidRPr="00BB3230">
        <w:rPr>
          <w:rFonts w:asciiTheme="minorBidi" w:hAnsiTheme="minorBidi" w:cstheme="minorBidi"/>
          <w:sz w:val="24"/>
          <w:szCs w:val="24"/>
          <w:lang w:val="en-GB"/>
        </w:rPr>
        <w:t>4</w:t>
      </w:r>
      <w:r w:rsidR="00CA4EC6" w:rsidRPr="00BB3230">
        <w:rPr>
          <w:rFonts w:asciiTheme="minorBidi" w:hAnsiTheme="minorBidi" w:cstheme="minorBidi"/>
          <w:sz w:val="24"/>
          <w:szCs w:val="24"/>
          <w:lang w:val="en-GB"/>
        </w:rPr>
        <w:t>]</w:t>
      </w:r>
      <w:r w:rsidRPr="00BB3230">
        <w:rPr>
          <w:rFonts w:asciiTheme="minorBidi" w:hAnsiTheme="minorBidi" w:cstheme="minorBidi"/>
          <w:sz w:val="24"/>
          <w:szCs w:val="24"/>
          <w:lang w:val="en-GB"/>
        </w:rPr>
        <w:t>.</w:t>
      </w:r>
    </w:p>
    <w:p w14:paraId="5F15293F" w14:textId="30EA1CCF" w:rsidR="004228DA" w:rsidRPr="00847D7A" w:rsidRDefault="004228DA" w:rsidP="009E2DC2">
      <w:pPr>
        <w:pStyle w:val="Heading2"/>
        <w:jc w:val="left"/>
        <w:rPr>
          <w:rFonts w:asciiTheme="minorBidi" w:hAnsiTheme="minorBidi" w:cstheme="minorBidi"/>
          <w:b/>
          <w:bCs/>
          <w:lang w:val="en-GB"/>
        </w:rPr>
      </w:pPr>
      <w:bookmarkStart w:id="5" w:name="_Toc221787862"/>
      <w:r w:rsidRPr="00847D7A">
        <w:rPr>
          <w:rFonts w:asciiTheme="minorBidi" w:hAnsiTheme="minorBidi" w:cstheme="minorBidi"/>
          <w:b/>
          <w:bCs/>
          <w:lang w:val="en-GB"/>
        </w:rPr>
        <w:t>3.1 Proposed Organisational Structure</w:t>
      </w:r>
      <w:bookmarkEnd w:id="5"/>
    </w:p>
    <w:p w14:paraId="49DC4801" w14:textId="77777777" w:rsidR="004228DA" w:rsidRPr="00BB3230" w:rsidRDefault="004228DA"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 EU Information Security Unit should operate under board-level oversight to ensure strategic alignment and regulatory accountability.</w:t>
      </w:r>
    </w:p>
    <w:p w14:paraId="22C31A58" w14:textId="77777777" w:rsidR="004228DA" w:rsidRPr="00BB3230" w:rsidRDefault="004228DA"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Proposed Reporting Model:</w:t>
      </w:r>
    </w:p>
    <w:p w14:paraId="560A9C16" w14:textId="77777777" w:rsidR="006C3729" w:rsidRDefault="004228DA" w:rsidP="006C3729">
      <w:pPr>
        <w:keepNext/>
        <w:spacing w:line="360" w:lineRule="auto"/>
        <w:jc w:val="left"/>
      </w:pPr>
      <w:r w:rsidRPr="00BB3230">
        <w:rPr>
          <w:rFonts w:asciiTheme="minorBidi" w:hAnsiTheme="minorBidi" w:cstheme="minorBidi"/>
          <w:sz w:val="24"/>
          <w:szCs w:val="24"/>
          <w:lang w:val="en-GB"/>
        </w:rPr>
        <w:lastRenderedPageBreak/>
        <w:t xml:space="preserve"> </w:t>
      </w:r>
      <w:r w:rsidRPr="00BB3230">
        <w:rPr>
          <w:rFonts w:asciiTheme="minorBidi" w:hAnsiTheme="minorBidi" w:cstheme="minorBidi"/>
          <w:noProof/>
          <w:sz w:val="24"/>
          <w:szCs w:val="24"/>
          <w:lang w:val="en-GB"/>
          <w14:ligatures w14:val="standardContextual"/>
        </w:rPr>
        <w:drawing>
          <wp:inline distT="0" distB="0" distL="0" distR="0" wp14:anchorId="7981849A" wp14:editId="78C90692">
            <wp:extent cx="5731510" cy="3362960"/>
            <wp:effectExtent l="114300" t="114300" r="116840" b="123190"/>
            <wp:docPr id="635573372" name="Picture 3" descr="A diagram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573372" name="Picture 3" descr="A diagram of a company"/>
                    <pic:cNvPicPr/>
                  </pic:nvPicPr>
                  <pic:blipFill>
                    <a:blip r:embed="rId14">
                      <a:extLst>
                        <a:ext uri="{28A0092B-C50C-407E-A947-70E740481C1C}">
                          <a14:useLocalDpi xmlns:a14="http://schemas.microsoft.com/office/drawing/2010/main" val="0"/>
                        </a:ext>
                      </a:extLst>
                    </a:blip>
                    <a:stretch>
                      <a:fillRect/>
                    </a:stretch>
                  </pic:blipFill>
                  <pic:spPr>
                    <a:xfrm>
                      <a:off x="0" y="0"/>
                      <a:ext cx="5731510" cy="336296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1D65C7D" w14:textId="393EC6CC" w:rsidR="004228DA" w:rsidRPr="00BB3230" w:rsidRDefault="006C3729" w:rsidP="006C3729">
      <w:pPr>
        <w:pStyle w:val="Caption"/>
        <w:rPr>
          <w:rFonts w:asciiTheme="minorBidi" w:hAnsiTheme="minorBidi" w:cstheme="minorBidi"/>
          <w:sz w:val="24"/>
          <w:szCs w:val="24"/>
          <w:lang w:val="en-GB"/>
        </w:rPr>
      </w:pPr>
      <w:r>
        <w:t xml:space="preserve">Figure </w:t>
      </w:r>
      <w:r>
        <w:fldChar w:fldCharType="begin"/>
      </w:r>
      <w:r>
        <w:instrText xml:space="preserve"> SEQ Figure \* ARABIC </w:instrText>
      </w:r>
      <w:r>
        <w:fldChar w:fldCharType="separate"/>
      </w:r>
      <w:r w:rsidR="00540908">
        <w:rPr>
          <w:noProof/>
        </w:rPr>
        <w:t>3</w:t>
      </w:r>
      <w:r>
        <w:fldChar w:fldCharType="end"/>
      </w:r>
      <w:r>
        <w:rPr>
          <w:lang w:val="en-GB"/>
        </w:rPr>
        <w:t xml:space="preserve">: </w:t>
      </w:r>
      <w:r w:rsidRPr="00B04CC6">
        <w:rPr>
          <w:lang w:val="en-GB"/>
        </w:rPr>
        <w:t xml:space="preserve">Organisational </w:t>
      </w:r>
      <w:r>
        <w:rPr>
          <w:lang w:val="en-GB"/>
        </w:rPr>
        <w:t>Design</w:t>
      </w:r>
    </w:p>
    <w:p w14:paraId="3D1969E3" w14:textId="77777777" w:rsidR="004228DA" w:rsidRPr="00BB3230" w:rsidRDefault="004228DA" w:rsidP="009B57EA">
      <w:pPr>
        <w:spacing w:line="360" w:lineRule="auto"/>
        <w:jc w:val="left"/>
        <w:rPr>
          <w:rFonts w:asciiTheme="minorBidi" w:hAnsiTheme="minorBidi" w:cstheme="minorBidi"/>
          <w:sz w:val="24"/>
          <w:szCs w:val="24"/>
          <w:lang w:val="en-GB"/>
        </w:rPr>
      </w:pPr>
    </w:p>
    <w:p w14:paraId="029158C1" w14:textId="6AD511DF" w:rsidR="004228DA" w:rsidRPr="008C7018" w:rsidRDefault="004228DA" w:rsidP="008C701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This structure ensures separation of architectural design, secure development integration, operational monitoring, and regulatory compliance functions.</w:t>
      </w:r>
    </w:p>
    <w:p w14:paraId="1D068EE6" w14:textId="77777777" w:rsidR="004228DA" w:rsidRPr="00380DAC" w:rsidRDefault="004228DA" w:rsidP="009E2DC2">
      <w:pPr>
        <w:pStyle w:val="Heading2"/>
        <w:jc w:val="left"/>
        <w:rPr>
          <w:rFonts w:asciiTheme="minorBidi" w:hAnsiTheme="minorBidi" w:cstheme="minorBidi"/>
          <w:b/>
          <w:bCs/>
          <w:sz w:val="28"/>
          <w:szCs w:val="28"/>
          <w:lang w:val="en-GB"/>
        </w:rPr>
      </w:pPr>
      <w:bookmarkStart w:id="6" w:name="_Toc221787863"/>
      <w:r w:rsidRPr="00380DAC">
        <w:rPr>
          <w:rFonts w:asciiTheme="minorBidi" w:hAnsiTheme="minorBidi" w:cstheme="minorBidi"/>
          <w:b/>
          <w:bCs/>
          <w:sz w:val="28"/>
          <w:szCs w:val="28"/>
          <w:lang w:val="en-GB"/>
        </w:rPr>
        <w:t>3.2 Role Justification</w:t>
      </w:r>
      <w:bookmarkEnd w:id="6"/>
    </w:p>
    <w:p w14:paraId="1FA4DC89" w14:textId="77777777" w:rsidR="004228DA" w:rsidRPr="00BB3230" w:rsidRDefault="004228DA"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Chief Information Security Officer (CISO)</w:t>
      </w:r>
      <w:r w:rsidRPr="00BB3230">
        <w:rPr>
          <w:rFonts w:asciiTheme="minorBidi" w:hAnsiTheme="minorBidi" w:cstheme="minorBidi"/>
          <w:sz w:val="24"/>
          <w:szCs w:val="24"/>
          <w:lang w:val="en-GB"/>
        </w:rPr>
        <w:br/>
        <w:t>Responsible for strategic security governance, regulatory reporting under NIS2 (24-hour notification obligation), and operational resilience oversight under DORA.</w:t>
      </w:r>
    </w:p>
    <w:p w14:paraId="12AD291F" w14:textId="7124EDB3" w:rsidR="004228DA" w:rsidRPr="00BB3230" w:rsidRDefault="004228DA"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 Security Architect</w:t>
      </w:r>
      <w:r w:rsidR="00A30C47" w:rsidRPr="00BB3230">
        <w:rPr>
          <w:rFonts w:asciiTheme="minorBidi" w:hAnsiTheme="minorBidi" w:cstheme="minorBidi"/>
          <w:sz w:val="24"/>
          <w:szCs w:val="24"/>
          <w:lang w:val="en-GB"/>
        </w:rPr>
        <w:t>:</w:t>
      </w:r>
      <w:r w:rsidRPr="00BB3230">
        <w:rPr>
          <w:rFonts w:asciiTheme="minorBidi" w:hAnsiTheme="minorBidi" w:cstheme="minorBidi"/>
          <w:sz w:val="24"/>
          <w:szCs w:val="24"/>
          <w:lang w:val="en-GB"/>
        </w:rPr>
        <w:br/>
        <w:t>Designs Zero Trust cloud architecture, enforces micro-segmentation, manages CSPM implementation, and ensures secure multi-cloud configuration control. This role directly mitigates misconfiguration risks identified in hybrid environments.</w:t>
      </w:r>
    </w:p>
    <w:p w14:paraId="180F4A54" w14:textId="05D25574" w:rsidR="004228DA" w:rsidRPr="00BB3230" w:rsidRDefault="004228DA" w:rsidP="009B57EA">
      <w:pPr>
        <w:spacing w:line="360" w:lineRule="auto"/>
        <w:jc w:val="left"/>
        <w:rPr>
          <w:rFonts w:asciiTheme="minorBidi" w:hAnsiTheme="minorBidi" w:cstheme="minorBidi"/>
          <w:sz w:val="24"/>
          <w:szCs w:val="24"/>
          <w:lang w:val="en-GB"/>
        </w:rPr>
      </w:pPr>
      <w:proofErr w:type="spellStart"/>
      <w:r w:rsidRPr="00BB3230">
        <w:rPr>
          <w:rFonts w:asciiTheme="minorBidi" w:hAnsiTheme="minorBidi" w:cstheme="minorBidi"/>
          <w:sz w:val="24"/>
          <w:szCs w:val="24"/>
          <w:lang w:val="en-GB"/>
        </w:rPr>
        <w:t>DevSecOps</w:t>
      </w:r>
      <w:proofErr w:type="spellEnd"/>
      <w:r w:rsidRPr="00BB3230">
        <w:rPr>
          <w:rFonts w:asciiTheme="minorBidi" w:hAnsiTheme="minorBidi" w:cstheme="minorBidi"/>
          <w:sz w:val="24"/>
          <w:szCs w:val="24"/>
          <w:lang w:val="en-GB"/>
        </w:rPr>
        <w:t xml:space="preserve"> Lead</w:t>
      </w:r>
      <w:r w:rsidR="00A30C47" w:rsidRPr="00BB3230">
        <w:rPr>
          <w:rFonts w:asciiTheme="minorBidi" w:hAnsiTheme="minorBidi" w:cstheme="minorBidi"/>
          <w:sz w:val="24"/>
          <w:szCs w:val="24"/>
          <w:lang w:val="en-GB"/>
        </w:rPr>
        <w:t>:</w:t>
      </w:r>
      <w:r w:rsidRPr="00BB3230">
        <w:rPr>
          <w:rFonts w:asciiTheme="minorBidi" w:hAnsiTheme="minorBidi" w:cstheme="minorBidi"/>
          <w:sz w:val="24"/>
          <w:szCs w:val="24"/>
          <w:lang w:val="en-GB"/>
        </w:rPr>
        <w:br/>
        <w:t>Integrates AI lifecycle security, software supply chain validation, secure coding practices, and CI/CD pipeline protection. Responsible for SBOM implementation and dependency risk management.</w:t>
      </w:r>
    </w:p>
    <w:p w14:paraId="1DA3379C" w14:textId="032D8EF7" w:rsidR="004228DA" w:rsidRPr="00BB3230" w:rsidRDefault="004228DA"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Security Operations Manager (SOC Lead)</w:t>
      </w:r>
      <w:r w:rsidR="00A30C47" w:rsidRPr="00BB3230">
        <w:rPr>
          <w:rFonts w:asciiTheme="minorBidi" w:hAnsiTheme="minorBidi" w:cstheme="minorBidi"/>
          <w:sz w:val="24"/>
          <w:szCs w:val="24"/>
          <w:lang w:val="en-GB"/>
        </w:rPr>
        <w:t>:</w:t>
      </w:r>
      <w:r w:rsidRPr="00BB3230">
        <w:rPr>
          <w:rFonts w:asciiTheme="minorBidi" w:hAnsiTheme="minorBidi" w:cstheme="minorBidi"/>
          <w:sz w:val="24"/>
          <w:szCs w:val="24"/>
          <w:lang w:val="en-GB"/>
        </w:rPr>
        <w:br/>
        <w:t>Oversees SIEM, EDR, and SOAR platforms to ensure continuous monitoring and automated incident response.</w:t>
      </w:r>
    </w:p>
    <w:p w14:paraId="1F90BA5C" w14:textId="37D17F99" w:rsidR="004228DA" w:rsidRPr="00BB3230" w:rsidRDefault="004228DA" w:rsidP="008C701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lastRenderedPageBreak/>
        <w:t>Compliance &amp; Risk Officer</w:t>
      </w:r>
      <w:r w:rsidR="00A30C47" w:rsidRPr="00BB3230">
        <w:rPr>
          <w:rFonts w:asciiTheme="minorBidi" w:hAnsiTheme="minorBidi" w:cstheme="minorBidi"/>
          <w:sz w:val="24"/>
          <w:szCs w:val="24"/>
          <w:lang w:val="en-GB"/>
        </w:rPr>
        <w:t>:</w:t>
      </w:r>
      <w:r w:rsidRPr="00BB3230">
        <w:rPr>
          <w:rFonts w:asciiTheme="minorBidi" w:hAnsiTheme="minorBidi" w:cstheme="minorBidi"/>
          <w:sz w:val="24"/>
          <w:szCs w:val="24"/>
          <w:lang w:val="en-GB"/>
        </w:rPr>
        <w:br/>
        <w:t>Coordinates GDPR documentation, DORA resilience testing evidence, NIS2 reporting workflow, and ISO 27001 alignment.</w:t>
      </w:r>
    </w:p>
    <w:p w14:paraId="0E4A16FE" w14:textId="77777777" w:rsidR="004228DA" w:rsidRPr="00380DAC" w:rsidRDefault="004228DA" w:rsidP="009E2DC2">
      <w:pPr>
        <w:pStyle w:val="Heading2"/>
        <w:jc w:val="left"/>
        <w:rPr>
          <w:rFonts w:asciiTheme="minorBidi" w:hAnsiTheme="minorBidi" w:cstheme="minorBidi"/>
          <w:b/>
          <w:bCs/>
          <w:lang w:val="en-GB"/>
        </w:rPr>
      </w:pPr>
      <w:bookmarkStart w:id="7" w:name="_Toc221787864"/>
      <w:r w:rsidRPr="00380DAC">
        <w:rPr>
          <w:rFonts w:asciiTheme="minorBidi" w:hAnsiTheme="minorBidi" w:cstheme="minorBidi"/>
          <w:b/>
          <w:bCs/>
          <w:lang w:val="en-GB"/>
        </w:rPr>
        <w:t>3.3 Governance Alignment with NIST CSF 2.0</w:t>
      </w:r>
      <w:bookmarkEnd w:id="7"/>
    </w:p>
    <w:p w14:paraId="4B60D142" w14:textId="061A52A1" w:rsidR="004228DA" w:rsidRPr="00BB3230" w:rsidRDefault="004228DA"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Under NIST CSF 2.0, the “Govern” function requires executive accountability and integration of cybersecurity into enterprise risk management. This structure ensures:</w:t>
      </w:r>
    </w:p>
    <w:p w14:paraId="5C48B9A6" w14:textId="77777777" w:rsidR="004228DA" w:rsidRPr="00BB3230" w:rsidRDefault="004228DA">
      <w:pPr>
        <w:numPr>
          <w:ilvl w:val="0"/>
          <w:numId w:val="7"/>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Clear reporting lines</w:t>
      </w:r>
    </w:p>
    <w:p w14:paraId="6D070BFD" w14:textId="77777777" w:rsidR="004228DA" w:rsidRPr="00BB3230" w:rsidRDefault="004228DA">
      <w:pPr>
        <w:numPr>
          <w:ilvl w:val="0"/>
          <w:numId w:val="7"/>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Separation of duties</w:t>
      </w:r>
    </w:p>
    <w:p w14:paraId="4263DE53" w14:textId="77777777" w:rsidR="004228DA" w:rsidRPr="00BB3230" w:rsidRDefault="004228DA">
      <w:pPr>
        <w:numPr>
          <w:ilvl w:val="0"/>
          <w:numId w:val="7"/>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Defined accountability</w:t>
      </w:r>
    </w:p>
    <w:p w14:paraId="0C54E1E9" w14:textId="77777777" w:rsidR="004228DA" w:rsidRPr="00BB3230" w:rsidRDefault="004228DA">
      <w:pPr>
        <w:numPr>
          <w:ilvl w:val="0"/>
          <w:numId w:val="7"/>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Regulatory defensibility</w:t>
      </w:r>
    </w:p>
    <w:p w14:paraId="2F6B4D43" w14:textId="77777777" w:rsidR="004228DA" w:rsidRPr="00BB3230" w:rsidRDefault="004228DA"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By embedding architectural, operational, and compliance roles within a unified framework,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reduces fragmentation and enhances cross-functional coordination.</w:t>
      </w:r>
    </w:p>
    <w:p w14:paraId="4EDD45B1" w14:textId="418DC14B" w:rsidR="004228DA" w:rsidRPr="008C7018" w:rsidRDefault="004228DA" w:rsidP="008C7018">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 xml:space="preserve">The governance model aligns directly with </w:t>
      </w:r>
      <w:r w:rsidRPr="00FE258A">
        <w:rPr>
          <w:rFonts w:asciiTheme="minorBidi" w:hAnsiTheme="minorBidi" w:cstheme="minorBidi"/>
          <w:b/>
          <w:bCs/>
          <w:sz w:val="24"/>
          <w:szCs w:val="24"/>
        </w:rPr>
        <w:t>NIST Cybersecurity Framework 2.0</w:t>
      </w:r>
      <w:r w:rsidRPr="00FE258A">
        <w:rPr>
          <w:rFonts w:asciiTheme="minorBidi" w:hAnsiTheme="minorBidi" w:cstheme="minorBidi"/>
          <w:sz w:val="24"/>
          <w:szCs w:val="24"/>
        </w:rPr>
        <w:t xml:space="preserve">, which </w:t>
      </w:r>
      <w:proofErr w:type="spellStart"/>
      <w:r w:rsidR="00380DAC">
        <w:rPr>
          <w:rFonts w:asciiTheme="minorBidi" w:hAnsiTheme="minorBidi" w:cstheme="minorBidi"/>
          <w:sz w:val="24"/>
          <w:szCs w:val="24"/>
        </w:rPr>
        <w:t>emphasises</w:t>
      </w:r>
      <w:proofErr w:type="spellEnd"/>
      <w:r w:rsidRPr="00FE258A">
        <w:rPr>
          <w:rFonts w:asciiTheme="minorBidi" w:hAnsiTheme="minorBidi" w:cstheme="minorBidi"/>
          <w:sz w:val="24"/>
          <w:szCs w:val="24"/>
        </w:rPr>
        <w:t xml:space="preserve"> governance as a core function [</w:t>
      </w:r>
      <w:r w:rsidR="00E55532" w:rsidRPr="00BB3230">
        <w:rPr>
          <w:rFonts w:asciiTheme="minorBidi" w:hAnsiTheme="minorBidi" w:cstheme="minorBidi"/>
          <w:sz w:val="24"/>
          <w:szCs w:val="24"/>
        </w:rPr>
        <w:t>5</w:t>
      </w:r>
      <w:r w:rsidRPr="00FE258A">
        <w:rPr>
          <w:rFonts w:asciiTheme="minorBidi" w:hAnsiTheme="minorBidi" w:cstheme="minorBidi"/>
          <w:sz w:val="24"/>
          <w:szCs w:val="24"/>
        </w:rPr>
        <w:t>].</w:t>
      </w:r>
    </w:p>
    <w:tbl>
      <w:tblPr>
        <w:tblW w:w="0" w:type="auto"/>
        <w:jc w:val="center"/>
        <w:tblCellSpacing w:w="15" w:type="dxa"/>
        <w:tblBorders>
          <w:top w:val="dashDotStroked" w:sz="24" w:space="0" w:color="074F6A" w:themeColor="accent4" w:themeShade="80"/>
          <w:left w:val="dashDotStroked" w:sz="24" w:space="0" w:color="074F6A" w:themeColor="accent4" w:themeShade="80"/>
          <w:bottom w:val="dashDotStroked" w:sz="24" w:space="0" w:color="074F6A" w:themeColor="accent4" w:themeShade="80"/>
          <w:right w:val="dashDotStroked" w:sz="24" w:space="0" w:color="074F6A" w:themeColor="accent4" w:themeShade="80"/>
        </w:tblBorders>
        <w:tblCellMar>
          <w:top w:w="15" w:type="dxa"/>
          <w:left w:w="15" w:type="dxa"/>
          <w:bottom w:w="15" w:type="dxa"/>
          <w:right w:w="15" w:type="dxa"/>
        </w:tblCellMar>
        <w:tblLook w:val="04A0" w:firstRow="1" w:lastRow="0" w:firstColumn="1" w:lastColumn="0" w:noHBand="0" w:noVBand="1"/>
      </w:tblPr>
      <w:tblGrid>
        <w:gridCol w:w="2096"/>
        <w:gridCol w:w="7419"/>
      </w:tblGrid>
      <w:tr w:rsidR="004228DA" w:rsidRPr="00FE258A" w14:paraId="207441B3" w14:textId="77777777" w:rsidTr="00E55532">
        <w:trPr>
          <w:tblHeader/>
          <w:tblCellSpacing w:w="15" w:type="dxa"/>
          <w:jc w:val="center"/>
        </w:trPr>
        <w:tc>
          <w:tcPr>
            <w:tcW w:w="0" w:type="auto"/>
            <w:shd w:val="clear" w:color="auto" w:fill="074F6A" w:themeFill="accent4" w:themeFillShade="80"/>
            <w:vAlign w:val="center"/>
            <w:hideMark/>
          </w:tcPr>
          <w:p w14:paraId="19C788BF" w14:textId="77777777" w:rsidR="004228DA" w:rsidRPr="00FE258A" w:rsidRDefault="004228DA" w:rsidP="009B57EA">
            <w:pPr>
              <w:spacing w:after="160" w:line="360" w:lineRule="auto"/>
              <w:jc w:val="left"/>
              <w:rPr>
                <w:rFonts w:asciiTheme="minorBidi" w:hAnsiTheme="minorBidi" w:cstheme="minorBidi"/>
                <w:b/>
                <w:bCs/>
                <w:color w:val="FFFFFF" w:themeColor="background1"/>
                <w:sz w:val="24"/>
                <w:szCs w:val="24"/>
              </w:rPr>
            </w:pPr>
            <w:r w:rsidRPr="00FE258A">
              <w:rPr>
                <w:rFonts w:asciiTheme="minorBidi" w:hAnsiTheme="minorBidi" w:cstheme="minorBidi"/>
                <w:b/>
                <w:bCs/>
                <w:color w:val="FFFFFF" w:themeColor="background1"/>
                <w:sz w:val="24"/>
                <w:szCs w:val="24"/>
              </w:rPr>
              <w:t>CSF 2.0 Function</w:t>
            </w:r>
          </w:p>
        </w:tc>
        <w:tc>
          <w:tcPr>
            <w:tcW w:w="0" w:type="auto"/>
            <w:shd w:val="clear" w:color="auto" w:fill="074F6A" w:themeFill="accent4" w:themeFillShade="80"/>
            <w:vAlign w:val="center"/>
            <w:hideMark/>
          </w:tcPr>
          <w:p w14:paraId="16D5BB04" w14:textId="77777777" w:rsidR="004228DA" w:rsidRPr="00FE258A" w:rsidRDefault="004228DA" w:rsidP="009B57EA">
            <w:pPr>
              <w:spacing w:after="160" w:line="360" w:lineRule="auto"/>
              <w:jc w:val="left"/>
              <w:rPr>
                <w:rFonts w:asciiTheme="minorBidi" w:hAnsiTheme="minorBidi" w:cstheme="minorBidi"/>
                <w:b/>
                <w:bCs/>
                <w:color w:val="FFFFFF" w:themeColor="background1"/>
                <w:sz w:val="24"/>
                <w:szCs w:val="24"/>
              </w:rPr>
            </w:pPr>
            <w:r w:rsidRPr="00FE258A">
              <w:rPr>
                <w:rFonts w:asciiTheme="minorBidi" w:hAnsiTheme="minorBidi" w:cstheme="minorBidi"/>
                <w:b/>
                <w:bCs/>
                <w:color w:val="FFFFFF" w:themeColor="background1"/>
                <w:sz w:val="24"/>
                <w:szCs w:val="24"/>
              </w:rPr>
              <w:t xml:space="preserve">Application to </w:t>
            </w:r>
            <w:proofErr w:type="spellStart"/>
            <w:r w:rsidRPr="00FE258A">
              <w:rPr>
                <w:rFonts w:asciiTheme="minorBidi" w:hAnsiTheme="minorBidi" w:cstheme="minorBidi"/>
                <w:b/>
                <w:bCs/>
                <w:color w:val="FFFFFF" w:themeColor="background1"/>
                <w:sz w:val="24"/>
                <w:szCs w:val="24"/>
              </w:rPr>
              <w:t>MediTrust</w:t>
            </w:r>
            <w:proofErr w:type="spellEnd"/>
          </w:p>
        </w:tc>
      </w:tr>
      <w:tr w:rsidR="004228DA" w:rsidRPr="00FE258A" w14:paraId="526276DC" w14:textId="77777777" w:rsidTr="00E55532">
        <w:trPr>
          <w:tblCellSpacing w:w="15" w:type="dxa"/>
          <w:jc w:val="center"/>
        </w:trPr>
        <w:tc>
          <w:tcPr>
            <w:tcW w:w="0" w:type="auto"/>
            <w:shd w:val="clear" w:color="auto" w:fill="C1E4F5" w:themeFill="accent1" w:themeFillTint="33"/>
            <w:vAlign w:val="center"/>
            <w:hideMark/>
          </w:tcPr>
          <w:p w14:paraId="2709412D"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Govern</w:t>
            </w:r>
          </w:p>
        </w:tc>
        <w:tc>
          <w:tcPr>
            <w:tcW w:w="0" w:type="auto"/>
            <w:shd w:val="clear" w:color="auto" w:fill="DAE9F7" w:themeFill="text2" w:themeFillTint="1A"/>
            <w:vAlign w:val="center"/>
            <w:hideMark/>
          </w:tcPr>
          <w:p w14:paraId="29162A53" w14:textId="763D2219"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 xml:space="preserve">Board oversight, regulatory alignment, </w:t>
            </w:r>
            <w:r w:rsidR="00380DAC">
              <w:rPr>
                <w:rFonts w:asciiTheme="minorBidi" w:hAnsiTheme="minorBidi" w:cstheme="minorBidi"/>
                <w:sz w:val="24"/>
                <w:szCs w:val="24"/>
              </w:rPr>
              <w:t xml:space="preserve">and </w:t>
            </w:r>
            <w:r w:rsidRPr="00FE258A">
              <w:rPr>
                <w:rFonts w:asciiTheme="minorBidi" w:hAnsiTheme="minorBidi" w:cstheme="minorBidi"/>
                <w:sz w:val="24"/>
                <w:szCs w:val="24"/>
              </w:rPr>
              <w:t>risk appetite definition</w:t>
            </w:r>
          </w:p>
        </w:tc>
      </w:tr>
      <w:tr w:rsidR="004228DA" w:rsidRPr="00FE258A" w14:paraId="17C20E62" w14:textId="77777777" w:rsidTr="00E55532">
        <w:trPr>
          <w:tblCellSpacing w:w="15" w:type="dxa"/>
          <w:jc w:val="center"/>
        </w:trPr>
        <w:tc>
          <w:tcPr>
            <w:tcW w:w="0" w:type="auto"/>
            <w:shd w:val="clear" w:color="auto" w:fill="C1E4F5" w:themeFill="accent1" w:themeFillTint="33"/>
            <w:vAlign w:val="center"/>
            <w:hideMark/>
          </w:tcPr>
          <w:p w14:paraId="2676C56B"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Identify</w:t>
            </w:r>
          </w:p>
        </w:tc>
        <w:tc>
          <w:tcPr>
            <w:tcW w:w="0" w:type="auto"/>
            <w:shd w:val="clear" w:color="auto" w:fill="DAE9F7" w:themeFill="text2" w:themeFillTint="1A"/>
            <w:vAlign w:val="center"/>
            <w:hideMark/>
          </w:tcPr>
          <w:p w14:paraId="35805823" w14:textId="225220B4"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 xml:space="preserve">Asset inventory of AI datasets, cloud workloads, </w:t>
            </w:r>
            <w:r w:rsidR="00380DAC">
              <w:rPr>
                <w:rFonts w:asciiTheme="minorBidi" w:hAnsiTheme="minorBidi" w:cstheme="minorBidi"/>
                <w:sz w:val="24"/>
                <w:szCs w:val="24"/>
              </w:rPr>
              <w:t xml:space="preserve">and </w:t>
            </w:r>
            <w:r w:rsidRPr="00FE258A">
              <w:rPr>
                <w:rFonts w:asciiTheme="minorBidi" w:hAnsiTheme="minorBidi" w:cstheme="minorBidi"/>
                <w:sz w:val="24"/>
                <w:szCs w:val="24"/>
              </w:rPr>
              <w:t>third-party APIs</w:t>
            </w:r>
          </w:p>
        </w:tc>
      </w:tr>
      <w:tr w:rsidR="004228DA" w:rsidRPr="00FE258A" w14:paraId="574B687E" w14:textId="77777777" w:rsidTr="00E55532">
        <w:trPr>
          <w:tblCellSpacing w:w="15" w:type="dxa"/>
          <w:jc w:val="center"/>
        </w:trPr>
        <w:tc>
          <w:tcPr>
            <w:tcW w:w="0" w:type="auto"/>
            <w:shd w:val="clear" w:color="auto" w:fill="C1E4F5" w:themeFill="accent1" w:themeFillTint="33"/>
            <w:vAlign w:val="center"/>
            <w:hideMark/>
          </w:tcPr>
          <w:p w14:paraId="0AAE8D03"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Protect</w:t>
            </w:r>
          </w:p>
        </w:tc>
        <w:tc>
          <w:tcPr>
            <w:tcW w:w="0" w:type="auto"/>
            <w:shd w:val="clear" w:color="auto" w:fill="DAE9F7" w:themeFill="text2" w:themeFillTint="1A"/>
            <w:vAlign w:val="center"/>
            <w:hideMark/>
          </w:tcPr>
          <w:p w14:paraId="65646389"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 xml:space="preserve">Zero Trust access controls, encryption, CSPM, </w:t>
            </w:r>
            <w:proofErr w:type="spellStart"/>
            <w:r w:rsidRPr="00FE258A">
              <w:rPr>
                <w:rFonts w:asciiTheme="minorBidi" w:hAnsiTheme="minorBidi" w:cstheme="minorBidi"/>
                <w:sz w:val="24"/>
                <w:szCs w:val="24"/>
              </w:rPr>
              <w:t>DevSecOps</w:t>
            </w:r>
            <w:proofErr w:type="spellEnd"/>
          </w:p>
        </w:tc>
      </w:tr>
      <w:tr w:rsidR="004228DA" w:rsidRPr="00FE258A" w14:paraId="7BA641A2" w14:textId="77777777" w:rsidTr="00E55532">
        <w:trPr>
          <w:tblCellSpacing w:w="15" w:type="dxa"/>
          <w:jc w:val="center"/>
        </w:trPr>
        <w:tc>
          <w:tcPr>
            <w:tcW w:w="0" w:type="auto"/>
            <w:shd w:val="clear" w:color="auto" w:fill="C1E4F5" w:themeFill="accent1" w:themeFillTint="33"/>
            <w:vAlign w:val="center"/>
            <w:hideMark/>
          </w:tcPr>
          <w:p w14:paraId="02F48EEE"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Detect</w:t>
            </w:r>
          </w:p>
        </w:tc>
        <w:tc>
          <w:tcPr>
            <w:tcW w:w="0" w:type="auto"/>
            <w:shd w:val="clear" w:color="auto" w:fill="DAE9F7" w:themeFill="text2" w:themeFillTint="1A"/>
            <w:vAlign w:val="center"/>
            <w:hideMark/>
          </w:tcPr>
          <w:p w14:paraId="7B1BFC2D"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SIEM with AI-based anomaly detection</w:t>
            </w:r>
          </w:p>
        </w:tc>
      </w:tr>
      <w:tr w:rsidR="004228DA" w:rsidRPr="00FE258A" w14:paraId="5D22D66B" w14:textId="77777777" w:rsidTr="00E55532">
        <w:trPr>
          <w:tblCellSpacing w:w="15" w:type="dxa"/>
          <w:jc w:val="center"/>
        </w:trPr>
        <w:tc>
          <w:tcPr>
            <w:tcW w:w="0" w:type="auto"/>
            <w:shd w:val="clear" w:color="auto" w:fill="C1E4F5" w:themeFill="accent1" w:themeFillTint="33"/>
            <w:vAlign w:val="center"/>
            <w:hideMark/>
          </w:tcPr>
          <w:p w14:paraId="3430DB5D"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Respond</w:t>
            </w:r>
          </w:p>
        </w:tc>
        <w:tc>
          <w:tcPr>
            <w:tcW w:w="0" w:type="auto"/>
            <w:shd w:val="clear" w:color="auto" w:fill="DAE9F7" w:themeFill="text2" w:themeFillTint="1A"/>
            <w:vAlign w:val="center"/>
            <w:hideMark/>
          </w:tcPr>
          <w:p w14:paraId="515C4DD5"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Automated containment and regulatory notification workflows</w:t>
            </w:r>
          </w:p>
        </w:tc>
      </w:tr>
      <w:tr w:rsidR="004228DA" w:rsidRPr="00FE258A" w14:paraId="5DE7E430" w14:textId="77777777" w:rsidTr="00E55532">
        <w:trPr>
          <w:tblCellSpacing w:w="15" w:type="dxa"/>
          <w:jc w:val="center"/>
        </w:trPr>
        <w:tc>
          <w:tcPr>
            <w:tcW w:w="0" w:type="auto"/>
            <w:shd w:val="clear" w:color="auto" w:fill="C1E4F5" w:themeFill="accent1" w:themeFillTint="33"/>
            <w:vAlign w:val="center"/>
            <w:hideMark/>
          </w:tcPr>
          <w:p w14:paraId="1C88B23F"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Recover</w:t>
            </w:r>
          </w:p>
        </w:tc>
        <w:tc>
          <w:tcPr>
            <w:tcW w:w="0" w:type="auto"/>
            <w:shd w:val="clear" w:color="auto" w:fill="DAE9F7" w:themeFill="text2" w:themeFillTint="1A"/>
            <w:vAlign w:val="center"/>
            <w:hideMark/>
          </w:tcPr>
          <w:p w14:paraId="432AD987"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Tested disaster recovery and operational resilience plans</w:t>
            </w:r>
          </w:p>
        </w:tc>
      </w:tr>
    </w:tbl>
    <w:p w14:paraId="2429DE9B" w14:textId="77777777" w:rsidR="004228DA" w:rsidRPr="00BB3230" w:rsidRDefault="004228DA" w:rsidP="009B57EA">
      <w:pPr>
        <w:spacing w:line="360" w:lineRule="auto"/>
        <w:jc w:val="left"/>
        <w:rPr>
          <w:rFonts w:asciiTheme="minorBidi" w:hAnsiTheme="minorBidi" w:cstheme="minorBidi"/>
          <w:b/>
          <w:bCs/>
          <w:sz w:val="24"/>
          <w:szCs w:val="24"/>
          <w:lang w:val="en-GB"/>
        </w:rPr>
      </w:pPr>
    </w:p>
    <w:p w14:paraId="6509C67B" w14:textId="0DFE0247" w:rsidR="00085894" w:rsidRPr="00BB3230" w:rsidRDefault="004228DA" w:rsidP="009E2DC2">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Security strategy is explicitly linked to business goals by ensuring regulatory compliance to enable EU market entry, protecting intellectual property to maintain competitive advantage, and preserving clinical trust through resilient operations.</w:t>
      </w:r>
    </w:p>
    <w:p w14:paraId="3F22618A" w14:textId="77777777" w:rsidR="00085894" w:rsidRPr="00380DAC" w:rsidRDefault="00085894" w:rsidP="009E2DC2">
      <w:pPr>
        <w:pStyle w:val="Heading2"/>
        <w:jc w:val="left"/>
        <w:rPr>
          <w:rFonts w:asciiTheme="minorBidi" w:hAnsiTheme="minorBidi" w:cstheme="minorBidi"/>
          <w:b/>
          <w:bCs/>
          <w:lang w:val="en-GB"/>
        </w:rPr>
      </w:pPr>
      <w:bookmarkStart w:id="8" w:name="_Toc221787865"/>
      <w:r w:rsidRPr="00380DAC">
        <w:rPr>
          <w:rFonts w:asciiTheme="minorBidi" w:hAnsiTheme="minorBidi" w:cstheme="minorBidi"/>
          <w:b/>
          <w:bCs/>
          <w:lang w:val="en-GB"/>
        </w:rPr>
        <w:lastRenderedPageBreak/>
        <w:t>4. Regulatory Compliance Mapping and Operational Alignment</w:t>
      </w:r>
      <w:bookmarkEnd w:id="8"/>
    </w:p>
    <w:p w14:paraId="2504BE88" w14:textId="77777777" w:rsidR="00085894" w:rsidRPr="00BB3230" w:rsidRDefault="00085894" w:rsidP="009B57EA">
      <w:pPr>
        <w:spacing w:line="360" w:lineRule="auto"/>
        <w:jc w:val="left"/>
        <w:rPr>
          <w:rFonts w:asciiTheme="minorBidi" w:hAnsiTheme="minorBidi" w:cstheme="minorBidi"/>
          <w:sz w:val="24"/>
          <w:szCs w:val="24"/>
          <w:lang w:val="en-GB"/>
        </w:rPr>
      </w:pPr>
      <w:proofErr w:type="spellStart"/>
      <w:r w:rsidRPr="00BB3230">
        <w:rPr>
          <w:rFonts w:asciiTheme="minorBidi" w:hAnsiTheme="minorBidi" w:cstheme="minorBidi"/>
          <w:sz w:val="24"/>
          <w:szCs w:val="24"/>
          <w:lang w:val="en-GB"/>
        </w:rPr>
        <w:t>MediTrust’s</w:t>
      </w:r>
      <w:proofErr w:type="spellEnd"/>
      <w:r w:rsidRPr="00BB3230">
        <w:rPr>
          <w:rFonts w:asciiTheme="minorBidi" w:hAnsiTheme="minorBidi" w:cstheme="minorBidi"/>
          <w:sz w:val="24"/>
          <w:szCs w:val="24"/>
          <w:lang w:val="en-GB"/>
        </w:rPr>
        <w:t xml:space="preserve"> EU expansion requires structured compliance integration with GDPR, DORA, and NIS2. Rather than treating compliance as a separate activity, the proposed Zero Trust programme embeds regulatory obligations within governance and operational processes.</w:t>
      </w:r>
    </w:p>
    <w:p w14:paraId="420E2140" w14:textId="67ED3C36" w:rsidR="00085894" w:rsidRDefault="00085894" w:rsidP="009E2DC2">
      <w:pPr>
        <w:pStyle w:val="Heading2"/>
        <w:jc w:val="left"/>
        <w:rPr>
          <w:rFonts w:asciiTheme="minorBidi" w:hAnsiTheme="minorBidi" w:cstheme="minorBidi"/>
          <w:b/>
          <w:bCs/>
          <w:lang w:val="en-GB"/>
        </w:rPr>
      </w:pPr>
      <w:bookmarkStart w:id="9" w:name="_Toc221787866"/>
      <w:r w:rsidRPr="00380DAC">
        <w:rPr>
          <w:rFonts w:asciiTheme="minorBidi" w:hAnsiTheme="minorBidi" w:cstheme="minorBidi"/>
          <w:b/>
          <w:bCs/>
          <w:lang w:val="en-GB"/>
        </w:rPr>
        <w:t>4.1 Regulatory Mappin</w:t>
      </w:r>
      <w:bookmarkEnd w:id="9"/>
      <w:r w:rsidR="00AB1872">
        <w:rPr>
          <w:rFonts w:asciiTheme="minorBidi" w:hAnsiTheme="minorBidi" w:cstheme="minorBidi"/>
          <w:b/>
          <w:bCs/>
          <w:lang w:val="en-GB"/>
        </w:rPr>
        <w:t>g</w:t>
      </w:r>
    </w:p>
    <w:p w14:paraId="331E76C8" w14:textId="23D824A4" w:rsidR="00085894" w:rsidRPr="00BB3230" w:rsidRDefault="006C3729" w:rsidP="006C3729">
      <w:pPr>
        <w:spacing w:line="360" w:lineRule="auto"/>
        <w:jc w:val="left"/>
        <w:rPr>
          <w:rFonts w:asciiTheme="minorBidi" w:hAnsiTheme="minorBidi" w:cstheme="minorBidi"/>
          <w:b/>
          <w:bCs/>
          <w:sz w:val="24"/>
          <w:szCs w:val="24"/>
          <w:lang w:val="en-GB"/>
        </w:rPr>
      </w:pPr>
      <w:r w:rsidRPr="006C3729">
        <w:rPr>
          <w:rFonts w:asciiTheme="minorBidi" w:hAnsiTheme="minorBidi" w:cstheme="minorBidi"/>
          <w:sz w:val="24"/>
          <w:szCs w:val="24"/>
          <w:lang w:val="en-GB"/>
        </w:rPr>
        <w:t>These rules require organisations to protect data, manage risks, and respond quickly to security incidents. GDPR focuses on limiting data access and using strong protection methods. NIS2 requires reporting cyber incidents within 24 hours. DORA ensures systems are tested for resilience and recovery. ISO 27001 requires proper risk assessment and clear security documentation, managed by responsible security and compliance leaders.</w:t>
      </w:r>
    </w:p>
    <w:tbl>
      <w:tblPr>
        <w:tblW w:w="0" w:type="auto"/>
        <w:tblCellSpacing w:w="15" w:type="dxa"/>
        <w:tblBorders>
          <w:top w:val="dashDotStroked" w:sz="24" w:space="0" w:color="074F6A" w:themeColor="accent4" w:themeShade="80"/>
          <w:left w:val="dashDotStroked" w:sz="24" w:space="0" w:color="074F6A" w:themeColor="accent4" w:themeShade="80"/>
          <w:bottom w:val="dashDotStroked" w:sz="24" w:space="0" w:color="074F6A" w:themeColor="accent4" w:themeShade="80"/>
          <w:right w:val="dashDotStroked" w:sz="24" w:space="0" w:color="074F6A" w:themeColor="accent4" w:themeShade="80"/>
        </w:tblBorders>
        <w:tblCellMar>
          <w:top w:w="15" w:type="dxa"/>
          <w:left w:w="15" w:type="dxa"/>
          <w:bottom w:w="15" w:type="dxa"/>
          <w:right w:w="15" w:type="dxa"/>
        </w:tblCellMar>
        <w:tblLook w:val="04A0" w:firstRow="1" w:lastRow="0" w:firstColumn="1" w:lastColumn="0" w:noHBand="0" w:noVBand="1"/>
      </w:tblPr>
      <w:tblGrid>
        <w:gridCol w:w="1376"/>
        <w:gridCol w:w="3026"/>
        <w:gridCol w:w="3595"/>
        <w:gridCol w:w="2063"/>
      </w:tblGrid>
      <w:tr w:rsidR="00085894" w:rsidRPr="00BB3230" w14:paraId="02591586" w14:textId="77777777" w:rsidTr="00E7796B">
        <w:trPr>
          <w:tblHeader/>
          <w:tblCellSpacing w:w="15" w:type="dxa"/>
        </w:trPr>
        <w:tc>
          <w:tcPr>
            <w:tcW w:w="0" w:type="auto"/>
            <w:shd w:val="clear" w:color="auto" w:fill="074F6A" w:themeFill="accent4" w:themeFillShade="80"/>
            <w:vAlign w:val="center"/>
            <w:hideMark/>
          </w:tcPr>
          <w:p w14:paraId="32BFAB07" w14:textId="77777777" w:rsidR="00085894" w:rsidRPr="00BB3230" w:rsidRDefault="00085894"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Regulation</w:t>
            </w:r>
          </w:p>
        </w:tc>
        <w:tc>
          <w:tcPr>
            <w:tcW w:w="0" w:type="auto"/>
            <w:shd w:val="clear" w:color="auto" w:fill="074F6A" w:themeFill="accent4" w:themeFillShade="80"/>
            <w:vAlign w:val="center"/>
            <w:hideMark/>
          </w:tcPr>
          <w:p w14:paraId="7E10F33F" w14:textId="77777777" w:rsidR="00085894" w:rsidRPr="00BB3230" w:rsidRDefault="00085894"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Key Requirement</w:t>
            </w:r>
          </w:p>
        </w:tc>
        <w:tc>
          <w:tcPr>
            <w:tcW w:w="0" w:type="auto"/>
            <w:shd w:val="clear" w:color="auto" w:fill="074F6A" w:themeFill="accent4" w:themeFillShade="80"/>
            <w:vAlign w:val="center"/>
            <w:hideMark/>
          </w:tcPr>
          <w:p w14:paraId="6B50B191" w14:textId="77777777" w:rsidR="00085894" w:rsidRPr="00BB3230" w:rsidRDefault="00085894"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Zero Trust Alignment</w:t>
            </w:r>
          </w:p>
        </w:tc>
        <w:tc>
          <w:tcPr>
            <w:tcW w:w="0" w:type="auto"/>
            <w:shd w:val="clear" w:color="auto" w:fill="074F6A" w:themeFill="accent4" w:themeFillShade="80"/>
            <w:vAlign w:val="center"/>
            <w:hideMark/>
          </w:tcPr>
          <w:p w14:paraId="11B90748" w14:textId="77777777" w:rsidR="00085894" w:rsidRPr="00BB3230" w:rsidRDefault="00085894"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Responsible Role</w:t>
            </w:r>
          </w:p>
        </w:tc>
      </w:tr>
      <w:tr w:rsidR="00085894" w:rsidRPr="00BB3230" w14:paraId="4F61DB52" w14:textId="77777777" w:rsidTr="00E7796B">
        <w:trPr>
          <w:tblCellSpacing w:w="15" w:type="dxa"/>
        </w:trPr>
        <w:tc>
          <w:tcPr>
            <w:tcW w:w="0" w:type="auto"/>
            <w:shd w:val="clear" w:color="auto" w:fill="CAEDFB" w:themeFill="accent4" w:themeFillTint="33"/>
            <w:vAlign w:val="center"/>
            <w:hideMark/>
          </w:tcPr>
          <w:p w14:paraId="2E9B6A48"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GDPR</w:t>
            </w:r>
          </w:p>
        </w:tc>
        <w:tc>
          <w:tcPr>
            <w:tcW w:w="0" w:type="auto"/>
            <w:shd w:val="clear" w:color="auto" w:fill="FAE2D5" w:themeFill="accent2" w:themeFillTint="33"/>
            <w:vAlign w:val="center"/>
            <w:hideMark/>
          </w:tcPr>
          <w:p w14:paraId="1B491345"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Data protection by design &amp; access minimisation</w:t>
            </w:r>
          </w:p>
        </w:tc>
        <w:tc>
          <w:tcPr>
            <w:tcW w:w="0" w:type="auto"/>
            <w:shd w:val="clear" w:color="auto" w:fill="F2CEED" w:themeFill="accent5" w:themeFillTint="33"/>
            <w:vAlign w:val="center"/>
            <w:hideMark/>
          </w:tcPr>
          <w:p w14:paraId="5D74F0A4" w14:textId="132BCD32"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 xml:space="preserve">Least privilege enforcement, encryption, </w:t>
            </w:r>
            <w:r w:rsidR="00AB1872">
              <w:rPr>
                <w:rFonts w:asciiTheme="minorBidi" w:hAnsiTheme="minorBidi" w:cstheme="minorBidi"/>
                <w:b/>
                <w:bCs/>
                <w:sz w:val="24"/>
                <w:szCs w:val="24"/>
                <w:lang w:val="en-GB"/>
              </w:rPr>
              <w:t xml:space="preserve">and </w:t>
            </w:r>
            <w:r w:rsidRPr="00BB3230">
              <w:rPr>
                <w:rFonts w:asciiTheme="minorBidi" w:hAnsiTheme="minorBidi" w:cstheme="minorBidi"/>
                <w:b/>
                <w:bCs/>
                <w:sz w:val="24"/>
                <w:szCs w:val="24"/>
                <w:lang w:val="en-GB"/>
              </w:rPr>
              <w:t>identity verification</w:t>
            </w:r>
          </w:p>
        </w:tc>
        <w:tc>
          <w:tcPr>
            <w:tcW w:w="0" w:type="auto"/>
            <w:shd w:val="clear" w:color="auto" w:fill="D9F2D0" w:themeFill="accent6" w:themeFillTint="33"/>
            <w:vAlign w:val="center"/>
            <w:hideMark/>
          </w:tcPr>
          <w:p w14:paraId="6A40B4B8"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CISO / Compliance Officer</w:t>
            </w:r>
          </w:p>
        </w:tc>
      </w:tr>
      <w:tr w:rsidR="00085894" w:rsidRPr="00BB3230" w14:paraId="0D1C31A0" w14:textId="77777777" w:rsidTr="00E7796B">
        <w:trPr>
          <w:tblCellSpacing w:w="15" w:type="dxa"/>
        </w:trPr>
        <w:tc>
          <w:tcPr>
            <w:tcW w:w="0" w:type="auto"/>
            <w:shd w:val="clear" w:color="auto" w:fill="CAEDFB" w:themeFill="accent4" w:themeFillTint="33"/>
            <w:vAlign w:val="center"/>
            <w:hideMark/>
          </w:tcPr>
          <w:p w14:paraId="7827C8E1"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NIS2</w:t>
            </w:r>
          </w:p>
        </w:tc>
        <w:tc>
          <w:tcPr>
            <w:tcW w:w="0" w:type="auto"/>
            <w:shd w:val="clear" w:color="auto" w:fill="FAE2D5" w:themeFill="accent2" w:themeFillTint="33"/>
            <w:vAlign w:val="center"/>
            <w:hideMark/>
          </w:tcPr>
          <w:p w14:paraId="295255C1"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24-hour incident notification</w:t>
            </w:r>
          </w:p>
        </w:tc>
        <w:tc>
          <w:tcPr>
            <w:tcW w:w="0" w:type="auto"/>
            <w:shd w:val="clear" w:color="auto" w:fill="F2CEED" w:themeFill="accent5" w:themeFillTint="33"/>
            <w:vAlign w:val="center"/>
            <w:hideMark/>
          </w:tcPr>
          <w:p w14:paraId="56B083E3"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Automated SIEM alerts + predefined incident classification workflow</w:t>
            </w:r>
          </w:p>
        </w:tc>
        <w:tc>
          <w:tcPr>
            <w:tcW w:w="0" w:type="auto"/>
            <w:shd w:val="clear" w:color="auto" w:fill="D9F2D0" w:themeFill="accent6" w:themeFillTint="33"/>
            <w:vAlign w:val="center"/>
            <w:hideMark/>
          </w:tcPr>
          <w:p w14:paraId="4CC06CD6"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SOC Manager</w:t>
            </w:r>
          </w:p>
        </w:tc>
      </w:tr>
      <w:tr w:rsidR="00085894" w:rsidRPr="00BB3230" w14:paraId="4F4B0B7C" w14:textId="77777777" w:rsidTr="00E7796B">
        <w:trPr>
          <w:tblCellSpacing w:w="15" w:type="dxa"/>
        </w:trPr>
        <w:tc>
          <w:tcPr>
            <w:tcW w:w="0" w:type="auto"/>
            <w:shd w:val="clear" w:color="auto" w:fill="CAEDFB" w:themeFill="accent4" w:themeFillTint="33"/>
            <w:vAlign w:val="center"/>
            <w:hideMark/>
          </w:tcPr>
          <w:p w14:paraId="0DA87F79"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DORA</w:t>
            </w:r>
          </w:p>
        </w:tc>
        <w:tc>
          <w:tcPr>
            <w:tcW w:w="0" w:type="auto"/>
            <w:shd w:val="clear" w:color="auto" w:fill="FAE2D5" w:themeFill="accent2" w:themeFillTint="33"/>
            <w:vAlign w:val="center"/>
            <w:hideMark/>
          </w:tcPr>
          <w:p w14:paraId="142F0F37"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ICT risk management &amp; resilience testing</w:t>
            </w:r>
          </w:p>
        </w:tc>
        <w:tc>
          <w:tcPr>
            <w:tcW w:w="0" w:type="auto"/>
            <w:shd w:val="clear" w:color="auto" w:fill="F2CEED" w:themeFill="accent5" w:themeFillTint="33"/>
            <w:vAlign w:val="center"/>
            <w:hideMark/>
          </w:tcPr>
          <w:p w14:paraId="6C6764AE"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Continuous monitoring, DR testing, RTO/RPO validation</w:t>
            </w:r>
          </w:p>
        </w:tc>
        <w:tc>
          <w:tcPr>
            <w:tcW w:w="0" w:type="auto"/>
            <w:shd w:val="clear" w:color="auto" w:fill="D9F2D0" w:themeFill="accent6" w:themeFillTint="33"/>
            <w:vAlign w:val="center"/>
            <w:hideMark/>
          </w:tcPr>
          <w:p w14:paraId="558E4DC9"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CISO / Cloud Architect</w:t>
            </w:r>
          </w:p>
        </w:tc>
      </w:tr>
      <w:tr w:rsidR="00085894" w:rsidRPr="00BB3230" w14:paraId="47868F7F" w14:textId="77777777" w:rsidTr="00E7796B">
        <w:trPr>
          <w:tblCellSpacing w:w="15" w:type="dxa"/>
        </w:trPr>
        <w:tc>
          <w:tcPr>
            <w:tcW w:w="0" w:type="auto"/>
            <w:shd w:val="clear" w:color="auto" w:fill="CAEDFB" w:themeFill="accent4" w:themeFillTint="33"/>
            <w:vAlign w:val="center"/>
            <w:hideMark/>
          </w:tcPr>
          <w:p w14:paraId="0D046A5E"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ISO 27001</w:t>
            </w:r>
          </w:p>
        </w:tc>
        <w:tc>
          <w:tcPr>
            <w:tcW w:w="0" w:type="auto"/>
            <w:shd w:val="clear" w:color="auto" w:fill="FAE2D5" w:themeFill="accent2" w:themeFillTint="33"/>
            <w:vAlign w:val="center"/>
            <w:hideMark/>
          </w:tcPr>
          <w:p w14:paraId="7D715536"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Risk assessment &amp; control documentation</w:t>
            </w:r>
          </w:p>
        </w:tc>
        <w:tc>
          <w:tcPr>
            <w:tcW w:w="0" w:type="auto"/>
            <w:shd w:val="clear" w:color="auto" w:fill="F2CEED" w:themeFill="accent5" w:themeFillTint="33"/>
            <w:vAlign w:val="center"/>
            <w:hideMark/>
          </w:tcPr>
          <w:p w14:paraId="7FDEFA3D"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Integrated risk matrix + policy governance</w:t>
            </w:r>
          </w:p>
        </w:tc>
        <w:tc>
          <w:tcPr>
            <w:tcW w:w="0" w:type="auto"/>
            <w:shd w:val="clear" w:color="auto" w:fill="D9F2D0" w:themeFill="accent6" w:themeFillTint="33"/>
            <w:vAlign w:val="center"/>
            <w:hideMark/>
          </w:tcPr>
          <w:p w14:paraId="2832FFA8"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Compliance Officer</w:t>
            </w:r>
          </w:p>
        </w:tc>
      </w:tr>
    </w:tbl>
    <w:p w14:paraId="103BCF36" w14:textId="77777777" w:rsidR="00085894" w:rsidRPr="00BB3230" w:rsidRDefault="00085894" w:rsidP="009B57EA">
      <w:pPr>
        <w:spacing w:line="360" w:lineRule="auto"/>
        <w:jc w:val="left"/>
        <w:rPr>
          <w:rFonts w:asciiTheme="minorBidi" w:hAnsiTheme="minorBidi" w:cstheme="minorBidi"/>
          <w:b/>
          <w:bCs/>
          <w:sz w:val="24"/>
          <w:szCs w:val="24"/>
          <w:lang w:val="en-GB"/>
        </w:rPr>
      </w:pPr>
    </w:p>
    <w:p w14:paraId="5E637D95" w14:textId="2BCAA5ED" w:rsidR="00085894" w:rsidRPr="00F32B98" w:rsidRDefault="00085894"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This structured mapping ensures accountability and traceability across regulatory domains.</w:t>
      </w:r>
    </w:p>
    <w:p w14:paraId="29D594DF" w14:textId="77777777" w:rsidR="00085894" w:rsidRPr="00380DAC" w:rsidRDefault="00085894" w:rsidP="009E2DC2">
      <w:pPr>
        <w:pStyle w:val="Heading2"/>
        <w:jc w:val="left"/>
        <w:rPr>
          <w:rFonts w:asciiTheme="minorBidi" w:hAnsiTheme="minorBidi" w:cstheme="minorBidi"/>
          <w:b/>
          <w:bCs/>
          <w:lang w:val="en-GB"/>
        </w:rPr>
      </w:pPr>
      <w:bookmarkStart w:id="10" w:name="_Toc221787867"/>
      <w:r w:rsidRPr="00380DAC">
        <w:rPr>
          <w:rFonts w:asciiTheme="minorBidi" w:hAnsiTheme="minorBidi" w:cstheme="minorBidi"/>
          <w:b/>
          <w:bCs/>
          <w:lang w:val="en-GB"/>
        </w:rPr>
        <w:t>4.2 NIS2 Incident Reporting Workflow</w:t>
      </w:r>
      <w:bookmarkEnd w:id="10"/>
    </w:p>
    <w:p w14:paraId="01BCFD64" w14:textId="77777777" w:rsidR="00085894" w:rsidRPr="00BB3230" w:rsidRDefault="00085894"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To meet NIS2 notification obligations,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should implement:</w:t>
      </w:r>
    </w:p>
    <w:p w14:paraId="4A5198A7" w14:textId="77777777" w:rsidR="00085894" w:rsidRPr="00BB3230" w:rsidRDefault="00085894">
      <w:pPr>
        <w:numPr>
          <w:ilvl w:val="0"/>
          <w:numId w:val="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Automated anomaly detection via SIEM</w:t>
      </w:r>
    </w:p>
    <w:p w14:paraId="375A28C5" w14:textId="77777777" w:rsidR="00085894" w:rsidRPr="00BB3230" w:rsidRDefault="00085894">
      <w:pPr>
        <w:numPr>
          <w:ilvl w:val="0"/>
          <w:numId w:val="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Incident classification within 6 hours</w:t>
      </w:r>
    </w:p>
    <w:p w14:paraId="18DADFD7" w14:textId="77777777" w:rsidR="00085894" w:rsidRPr="00BB3230" w:rsidRDefault="00085894">
      <w:pPr>
        <w:numPr>
          <w:ilvl w:val="0"/>
          <w:numId w:val="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Executive notification within 12 hours</w:t>
      </w:r>
    </w:p>
    <w:p w14:paraId="1FC9FF84" w14:textId="77777777" w:rsidR="00085894" w:rsidRPr="00BB3230" w:rsidRDefault="00085894">
      <w:pPr>
        <w:numPr>
          <w:ilvl w:val="0"/>
          <w:numId w:val="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Regulatory reporting within 24 hours</w:t>
      </w:r>
    </w:p>
    <w:p w14:paraId="235C3E93" w14:textId="77777777" w:rsidR="00085894" w:rsidRPr="00BB3230" w:rsidRDefault="00085894">
      <w:pPr>
        <w:numPr>
          <w:ilvl w:val="0"/>
          <w:numId w:val="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Post-incident root cause analysis report</w:t>
      </w:r>
    </w:p>
    <w:p w14:paraId="41B11A56" w14:textId="0ED815C8" w:rsidR="00085894" w:rsidRDefault="00085894"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This workflow reduces legal exposure and ensures regulatory defensibility.</w:t>
      </w:r>
    </w:p>
    <w:p w14:paraId="5B48F552" w14:textId="77777777" w:rsidR="00540908" w:rsidRPr="00BB3230" w:rsidRDefault="00540908" w:rsidP="00F32B98">
      <w:pPr>
        <w:spacing w:line="360" w:lineRule="auto"/>
        <w:jc w:val="left"/>
        <w:rPr>
          <w:rFonts w:asciiTheme="minorBidi" w:hAnsiTheme="minorBidi" w:cstheme="minorBidi"/>
          <w:sz w:val="24"/>
          <w:szCs w:val="24"/>
          <w:lang w:val="en-GB"/>
        </w:rPr>
      </w:pPr>
    </w:p>
    <w:p w14:paraId="424C2ABC" w14:textId="77777777" w:rsidR="00085894" w:rsidRDefault="00085894" w:rsidP="009E2DC2">
      <w:pPr>
        <w:pStyle w:val="Heading2"/>
        <w:jc w:val="left"/>
        <w:rPr>
          <w:rFonts w:asciiTheme="minorBidi" w:hAnsiTheme="minorBidi" w:cstheme="minorBidi"/>
          <w:b/>
          <w:bCs/>
          <w:sz w:val="40"/>
          <w:szCs w:val="40"/>
          <w:lang w:val="en-GB"/>
        </w:rPr>
      </w:pPr>
      <w:bookmarkStart w:id="11" w:name="_Toc221787868"/>
      <w:r w:rsidRPr="00BB3230">
        <w:rPr>
          <w:rFonts w:asciiTheme="minorBidi" w:hAnsiTheme="minorBidi" w:cstheme="minorBidi"/>
          <w:b/>
          <w:bCs/>
          <w:sz w:val="40"/>
          <w:szCs w:val="40"/>
          <w:lang w:val="en-GB"/>
        </w:rPr>
        <w:t>4.3 DORA Operational Resilience Integration</w:t>
      </w:r>
      <w:bookmarkEnd w:id="11"/>
    </w:p>
    <w:p w14:paraId="03E6D78D" w14:textId="77777777" w:rsidR="00540908" w:rsidRPr="00540908" w:rsidRDefault="00540908" w:rsidP="00540908">
      <w:pPr>
        <w:rPr>
          <w:lang w:val="en-GB"/>
        </w:rPr>
      </w:pPr>
    </w:p>
    <w:p w14:paraId="7F1051CC" w14:textId="77777777" w:rsidR="00085894" w:rsidRPr="00BB3230" w:rsidRDefault="00085894"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DORA requires operational resilience testing and defined Recovery Time Objectives (RTO) and Recovery Point Objectives (RPO) [6].</w:t>
      </w:r>
    </w:p>
    <w:p w14:paraId="301F07B4" w14:textId="77777777" w:rsidR="00085894" w:rsidRPr="00BB3230" w:rsidRDefault="00085894"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 Zero Trust-aligned design ensures:</w:t>
      </w:r>
    </w:p>
    <w:p w14:paraId="31776353" w14:textId="77777777" w:rsidR="00085894" w:rsidRPr="00BB3230" w:rsidRDefault="00085894">
      <w:pPr>
        <w:numPr>
          <w:ilvl w:val="0"/>
          <w:numId w:val="9"/>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Continuous telemetry collection</w:t>
      </w:r>
    </w:p>
    <w:p w14:paraId="4C2A4650" w14:textId="77777777" w:rsidR="00085894" w:rsidRPr="00BB3230" w:rsidRDefault="00085894">
      <w:pPr>
        <w:numPr>
          <w:ilvl w:val="0"/>
          <w:numId w:val="9"/>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Periodic resilience simulation exercises</w:t>
      </w:r>
    </w:p>
    <w:p w14:paraId="0CD838C4" w14:textId="77777777" w:rsidR="00085894" w:rsidRPr="00BB3230" w:rsidRDefault="00085894">
      <w:pPr>
        <w:numPr>
          <w:ilvl w:val="0"/>
          <w:numId w:val="9"/>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Immutable backup validation</w:t>
      </w:r>
    </w:p>
    <w:p w14:paraId="5E06788A" w14:textId="77777777" w:rsidR="00085894" w:rsidRPr="00BB3230" w:rsidRDefault="00085894">
      <w:pPr>
        <w:numPr>
          <w:ilvl w:val="0"/>
          <w:numId w:val="9"/>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Third-party risk oversight</w:t>
      </w:r>
    </w:p>
    <w:p w14:paraId="394B2EF5" w14:textId="77777777" w:rsidR="00085894" w:rsidRPr="00BB3230" w:rsidRDefault="00085894"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By embedding these controls into operational governance,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aligns architectural enforcement with regulatory resilience expectations rather than relying on reactive compliance measures</w:t>
      </w:r>
    </w:p>
    <w:p w14:paraId="18EA2FCF" w14:textId="619F3D6C" w:rsidR="00757623" w:rsidRDefault="00757623" w:rsidP="00540908">
      <w:pPr>
        <w:pStyle w:val="Heading1"/>
        <w:numPr>
          <w:ilvl w:val="0"/>
          <w:numId w:val="8"/>
        </w:numPr>
        <w:jc w:val="left"/>
        <w:rPr>
          <w:rFonts w:asciiTheme="minorBidi" w:hAnsiTheme="minorBidi" w:cstheme="minorBidi"/>
          <w:b/>
          <w:bCs/>
          <w:sz w:val="32"/>
          <w:szCs w:val="32"/>
          <w:lang w:val="en-GB"/>
        </w:rPr>
      </w:pPr>
      <w:bookmarkStart w:id="12" w:name="_Toc221787869"/>
      <w:r w:rsidRPr="00380DAC">
        <w:rPr>
          <w:rFonts w:asciiTheme="minorBidi" w:hAnsiTheme="minorBidi" w:cstheme="minorBidi"/>
          <w:b/>
          <w:bCs/>
          <w:sz w:val="32"/>
          <w:szCs w:val="32"/>
          <w:lang w:val="en-GB"/>
        </w:rPr>
        <w:t>Quantitative Risk Assessment and Prioritisation</w:t>
      </w:r>
      <w:bookmarkEnd w:id="12"/>
    </w:p>
    <w:p w14:paraId="718DA27B" w14:textId="77777777" w:rsidR="00540908" w:rsidRPr="00540908" w:rsidRDefault="00540908" w:rsidP="00540908">
      <w:pPr>
        <w:pStyle w:val="ListParagraph"/>
        <w:numPr>
          <w:ilvl w:val="0"/>
          <w:numId w:val="8"/>
        </w:numPr>
        <w:rPr>
          <w:lang w:val="en-GB"/>
        </w:rPr>
      </w:pPr>
    </w:p>
    <w:p w14:paraId="4ECB1604" w14:textId="5CFBFF47" w:rsidR="00757623" w:rsidRPr="00F32B98"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A structured risk assessment framework is required to address </w:t>
      </w:r>
      <w:proofErr w:type="spellStart"/>
      <w:r w:rsidRPr="00BB3230">
        <w:rPr>
          <w:rFonts w:asciiTheme="minorBidi" w:hAnsiTheme="minorBidi" w:cstheme="minorBidi"/>
          <w:sz w:val="24"/>
          <w:szCs w:val="24"/>
          <w:lang w:val="en-GB"/>
        </w:rPr>
        <w:t>MediTrust’s</w:t>
      </w:r>
      <w:proofErr w:type="spellEnd"/>
      <w:r w:rsidRPr="00BB3230">
        <w:rPr>
          <w:rFonts w:asciiTheme="minorBidi" w:hAnsiTheme="minorBidi" w:cstheme="minorBidi"/>
          <w:sz w:val="24"/>
          <w:szCs w:val="24"/>
          <w:lang w:val="en-GB"/>
        </w:rPr>
        <w:t xml:space="preserve"> exposure across multi-cloud infrastructure, AI systems, and software supply chains. In alignment with ISO 31000 risk evaluation principles [</w:t>
      </w:r>
      <w:r w:rsidR="00E55532" w:rsidRPr="00BB3230">
        <w:rPr>
          <w:rFonts w:asciiTheme="minorBidi" w:hAnsiTheme="minorBidi" w:cstheme="minorBidi"/>
          <w:sz w:val="24"/>
          <w:szCs w:val="24"/>
          <w:lang w:val="en-GB"/>
        </w:rPr>
        <w:t>6</w:t>
      </w:r>
      <w:r w:rsidRPr="00BB3230">
        <w:rPr>
          <w:rFonts w:asciiTheme="minorBidi" w:hAnsiTheme="minorBidi" w:cstheme="minorBidi"/>
          <w:sz w:val="24"/>
          <w:szCs w:val="24"/>
          <w:lang w:val="en-GB"/>
        </w:rPr>
        <w:t>], risks are assessed using a simplified Likelihood (1–5) and Impact (1–5) scoring model.</w:t>
      </w:r>
    </w:p>
    <w:p w14:paraId="60186F58" w14:textId="77777777" w:rsidR="00757623" w:rsidRDefault="00757623" w:rsidP="009E2DC2">
      <w:pPr>
        <w:pStyle w:val="Heading2"/>
        <w:jc w:val="left"/>
        <w:rPr>
          <w:rFonts w:asciiTheme="minorBidi" w:hAnsiTheme="minorBidi" w:cstheme="minorBidi"/>
          <w:b/>
          <w:bCs/>
          <w:lang w:val="en-GB"/>
        </w:rPr>
      </w:pPr>
      <w:bookmarkStart w:id="13" w:name="_Toc221787870"/>
      <w:r w:rsidRPr="00380DAC">
        <w:rPr>
          <w:rFonts w:asciiTheme="minorBidi" w:hAnsiTheme="minorBidi" w:cstheme="minorBidi"/>
          <w:b/>
          <w:bCs/>
          <w:lang w:val="en-GB"/>
        </w:rPr>
        <w:t>5.1 Risk Scoring Model</w:t>
      </w:r>
      <w:bookmarkEnd w:id="13"/>
    </w:p>
    <w:p w14:paraId="610621A8" w14:textId="77777777" w:rsidR="00540908" w:rsidRPr="00540908" w:rsidRDefault="00540908" w:rsidP="00540908">
      <w:pPr>
        <w:rPr>
          <w:lang w:val="en-GB"/>
        </w:rPr>
      </w:pPr>
    </w:p>
    <w:p w14:paraId="24745F48"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Risk Score = Likelihood × Impact</w:t>
      </w:r>
    </w:p>
    <w:p w14:paraId="1F781E9B" w14:textId="77777777" w:rsidR="00757623" w:rsidRPr="00BB3230" w:rsidRDefault="00757623">
      <w:pPr>
        <w:numPr>
          <w:ilvl w:val="0"/>
          <w:numId w:val="10"/>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1–5 = Low</w:t>
      </w:r>
    </w:p>
    <w:p w14:paraId="5E3AE4CB" w14:textId="77777777" w:rsidR="00757623" w:rsidRPr="00BB3230" w:rsidRDefault="00757623">
      <w:pPr>
        <w:numPr>
          <w:ilvl w:val="0"/>
          <w:numId w:val="10"/>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6–12 = Moderate</w:t>
      </w:r>
    </w:p>
    <w:p w14:paraId="78C71FDE" w14:textId="42ADC120" w:rsidR="00757623" w:rsidRPr="00F32B98" w:rsidRDefault="00757623">
      <w:pPr>
        <w:numPr>
          <w:ilvl w:val="0"/>
          <w:numId w:val="10"/>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15–25 = High</w:t>
      </w:r>
    </w:p>
    <w:p w14:paraId="0A1E848F" w14:textId="77777777" w:rsidR="00757623" w:rsidRPr="00380DAC" w:rsidRDefault="00757623" w:rsidP="009E2DC2">
      <w:pPr>
        <w:pStyle w:val="Heading2"/>
        <w:jc w:val="left"/>
        <w:rPr>
          <w:rFonts w:asciiTheme="minorBidi" w:hAnsiTheme="minorBidi" w:cstheme="minorBidi"/>
          <w:b/>
          <w:bCs/>
          <w:lang w:val="en-GB"/>
        </w:rPr>
      </w:pPr>
      <w:bookmarkStart w:id="14" w:name="_Toc221787871"/>
      <w:r w:rsidRPr="00380DAC">
        <w:rPr>
          <w:rFonts w:asciiTheme="minorBidi" w:hAnsiTheme="minorBidi" w:cstheme="minorBidi"/>
          <w:b/>
          <w:bCs/>
          <w:lang w:val="en-GB"/>
        </w:rPr>
        <w:t>5.2 High-Level Risk Matrix</w:t>
      </w:r>
      <w:bookmarkEnd w:id="14"/>
    </w:p>
    <w:p w14:paraId="4FD00DA2" w14:textId="77777777" w:rsidR="00757623" w:rsidRPr="00BB3230" w:rsidRDefault="00757623" w:rsidP="009B57EA">
      <w:pPr>
        <w:spacing w:line="360" w:lineRule="auto"/>
        <w:jc w:val="left"/>
        <w:rPr>
          <w:rFonts w:asciiTheme="minorBidi" w:hAnsiTheme="minorBidi" w:cstheme="minorBidi"/>
          <w:b/>
          <w:bCs/>
          <w:sz w:val="24"/>
          <w:szCs w:val="24"/>
          <w:lang w:val="en-GB"/>
        </w:rPr>
      </w:pPr>
    </w:p>
    <w:tbl>
      <w:tblPr>
        <w:tblW w:w="0" w:type="auto"/>
        <w:tblCellSpacing w:w="15" w:type="dxa"/>
        <w:tblBorders>
          <w:top w:val="dashDotStroked" w:sz="24" w:space="0" w:color="074F6A" w:themeColor="accent4" w:themeShade="80"/>
          <w:left w:val="dashDotStroked" w:sz="24" w:space="0" w:color="074F6A" w:themeColor="accent4" w:themeShade="80"/>
          <w:bottom w:val="dashDotStroked" w:sz="24" w:space="0" w:color="074F6A" w:themeColor="accent4" w:themeShade="80"/>
          <w:right w:val="dashDotStroked" w:sz="24" w:space="0" w:color="074F6A" w:themeColor="accent4" w:themeShade="80"/>
        </w:tblBorders>
        <w:tblCellMar>
          <w:top w:w="15" w:type="dxa"/>
          <w:left w:w="15" w:type="dxa"/>
          <w:bottom w:w="15" w:type="dxa"/>
          <w:right w:w="15" w:type="dxa"/>
        </w:tblCellMar>
        <w:tblLook w:val="04A0" w:firstRow="1" w:lastRow="0" w:firstColumn="1" w:lastColumn="0" w:noHBand="0" w:noVBand="1"/>
      </w:tblPr>
      <w:tblGrid>
        <w:gridCol w:w="2169"/>
        <w:gridCol w:w="2133"/>
        <w:gridCol w:w="1345"/>
        <w:gridCol w:w="919"/>
        <w:gridCol w:w="806"/>
        <w:gridCol w:w="1098"/>
        <w:gridCol w:w="1590"/>
      </w:tblGrid>
      <w:tr w:rsidR="00757623" w:rsidRPr="00BB3230" w14:paraId="412AF56D" w14:textId="77777777" w:rsidTr="00E7796B">
        <w:trPr>
          <w:tblHeader/>
          <w:tblCellSpacing w:w="15" w:type="dxa"/>
        </w:trPr>
        <w:tc>
          <w:tcPr>
            <w:tcW w:w="0" w:type="auto"/>
            <w:shd w:val="clear" w:color="auto" w:fill="074F6A" w:themeFill="accent4" w:themeFillShade="80"/>
            <w:vAlign w:val="center"/>
            <w:hideMark/>
          </w:tcPr>
          <w:p w14:paraId="7BA7D5B7"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Risk Category</w:t>
            </w:r>
          </w:p>
        </w:tc>
        <w:tc>
          <w:tcPr>
            <w:tcW w:w="0" w:type="auto"/>
            <w:shd w:val="clear" w:color="auto" w:fill="074F6A" w:themeFill="accent4" w:themeFillShade="80"/>
            <w:vAlign w:val="center"/>
            <w:hideMark/>
          </w:tcPr>
          <w:p w14:paraId="70BED3D3"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Description</w:t>
            </w:r>
          </w:p>
        </w:tc>
        <w:tc>
          <w:tcPr>
            <w:tcW w:w="0" w:type="auto"/>
            <w:shd w:val="clear" w:color="auto" w:fill="074F6A" w:themeFill="accent4" w:themeFillShade="80"/>
            <w:vAlign w:val="center"/>
            <w:hideMark/>
          </w:tcPr>
          <w:p w14:paraId="63D139B7"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Likelihood (1–5)</w:t>
            </w:r>
          </w:p>
        </w:tc>
        <w:tc>
          <w:tcPr>
            <w:tcW w:w="0" w:type="auto"/>
            <w:shd w:val="clear" w:color="auto" w:fill="074F6A" w:themeFill="accent4" w:themeFillShade="80"/>
            <w:vAlign w:val="center"/>
            <w:hideMark/>
          </w:tcPr>
          <w:p w14:paraId="6CA00941"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Impact (1–5)</w:t>
            </w:r>
          </w:p>
        </w:tc>
        <w:tc>
          <w:tcPr>
            <w:tcW w:w="0" w:type="auto"/>
            <w:shd w:val="clear" w:color="auto" w:fill="074F6A" w:themeFill="accent4" w:themeFillShade="80"/>
            <w:vAlign w:val="center"/>
            <w:hideMark/>
          </w:tcPr>
          <w:p w14:paraId="528FF268"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Risk Score</w:t>
            </w:r>
          </w:p>
        </w:tc>
        <w:tc>
          <w:tcPr>
            <w:tcW w:w="0" w:type="auto"/>
            <w:shd w:val="clear" w:color="auto" w:fill="074F6A" w:themeFill="accent4" w:themeFillShade="80"/>
            <w:vAlign w:val="center"/>
            <w:hideMark/>
          </w:tcPr>
          <w:p w14:paraId="775359EB"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Risk Level</w:t>
            </w:r>
          </w:p>
        </w:tc>
        <w:tc>
          <w:tcPr>
            <w:tcW w:w="0" w:type="auto"/>
            <w:shd w:val="clear" w:color="auto" w:fill="074F6A" w:themeFill="accent4" w:themeFillShade="80"/>
            <w:vAlign w:val="center"/>
            <w:hideMark/>
          </w:tcPr>
          <w:p w14:paraId="53AD79EA"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Risk Owner</w:t>
            </w:r>
          </w:p>
        </w:tc>
      </w:tr>
      <w:tr w:rsidR="00757623" w:rsidRPr="00BB3230" w14:paraId="1C2079E0" w14:textId="77777777" w:rsidTr="00E7796B">
        <w:trPr>
          <w:tblCellSpacing w:w="15" w:type="dxa"/>
        </w:trPr>
        <w:tc>
          <w:tcPr>
            <w:tcW w:w="0" w:type="auto"/>
            <w:shd w:val="clear" w:color="auto" w:fill="C1E4F5" w:themeFill="accent1" w:themeFillTint="33"/>
            <w:vAlign w:val="center"/>
            <w:hideMark/>
          </w:tcPr>
          <w:p w14:paraId="28163443"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 Misconfiguration</w:t>
            </w:r>
          </w:p>
        </w:tc>
        <w:tc>
          <w:tcPr>
            <w:tcW w:w="0" w:type="auto"/>
            <w:shd w:val="clear" w:color="auto" w:fill="FAE2D5" w:themeFill="accent2" w:themeFillTint="33"/>
            <w:vAlign w:val="center"/>
            <w:hideMark/>
          </w:tcPr>
          <w:p w14:paraId="76DFA3C3"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Exposure of patient data due to </w:t>
            </w:r>
            <w:r w:rsidRPr="00BB3230">
              <w:rPr>
                <w:rFonts w:asciiTheme="minorBidi" w:hAnsiTheme="minorBidi" w:cstheme="minorBidi"/>
                <w:sz w:val="24"/>
                <w:szCs w:val="24"/>
                <w:lang w:val="en-GB"/>
              </w:rPr>
              <w:lastRenderedPageBreak/>
              <w:t>incorrect cloud settings</w:t>
            </w:r>
          </w:p>
        </w:tc>
        <w:tc>
          <w:tcPr>
            <w:tcW w:w="0" w:type="auto"/>
            <w:shd w:val="clear" w:color="auto" w:fill="C1F0C7" w:themeFill="accent3" w:themeFillTint="33"/>
            <w:vAlign w:val="center"/>
            <w:hideMark/>
          </w:tcPr>
          <w:p w14:paraId="7C9A5D3B"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lastRenderedPageBreak/>
              <w:t>4</w:t>
            </w:r>
          </w:p>
        </w:tc>
        <w:tc>
          <w:tcPr>
            <w:tcW w:w="0" w:type="auto"/>
            <w:shd w:val="clear" w:color="auto" w:fill="DAE9F7" w:themeFill="text2" w:themeFillTint="1A"/>
            <w:vAlign w:val="center"/>
            <w:hideMark/>
          </w:tcPr>
          <w:p w14:paraId="48F7A821"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5</w:t>
            </w:r>
          </w:p>
        </w:tc>
        <w:tc>
          <w:tcPr>
            <w:tcW w:w="0" w:type="auto"/>
            <w:shd w:val="clear" w:color="auto" w:fill="D1D1D1" w:themeFill="background2" w:themeFillShade="E6"/>
            <w:vAlign w:val="center"/>
            <w:hideMark/>
          </w:tcPr>
          <w:p w14:paraId="5FF9D207"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20</w:t>
            </w:r>
          </w:p>
        </w:tc>
        <w:tc>
          <w:tcPr>
            <w:tcW w:w="0" w:type="auto"/>
            <w:shd w:val="clear" w:color="auto" w:fill="F2CEED" w:themeFill="accent5" w:themeFillTint="33"/>
            <w:vAlign w:val="center"/>
            <w:hideMark/>
          </w:tcPr>
          <w:p w14:paraId="0DFB40CB"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High</w:t>
            </w:r>
          </w:p>
        </w:tc>
        <w:tc>
          <w:tcPr>
            <w:tcW w:w="0" w:type="auto"/>
            <w:shd w:val="clear" w:color="auto" w:fill="F2F2F2" w:themeFill="background1" w:themeFillShade="F2"/>
            <w:vAlign w:val="center"/>
            <w:hideMark/>
          </w:tcPr>
          <w:p w14:paraId="7AF174F3"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 Security Architect</w:t>
            </w:r>
          </w:p>
        </w:tc>
      </w:tr>
      <w:tr w:rsidR="00757623" w:rsidRPr="00BB3230" w14:paraId="58B44D60" w14:textId="77777777" w:rsidTr="00E7796B">
        <w:trPr>
          <w:tblCellSpacing w:w="15" w:type="dxa"/>
        </w:trPr>
        <w:tc>
          <w:tcPr>
            <w:tcW w:w="0" w:type="auto"/>
            <w:shd w:val="clear" w:color="auto" w:fill="C1E4F5" w:themeFill="accent1" w:themeFillTint="33"/>
            <w:vAlign w:val="center"/>
            <w:hideMark/>
          </w:tcPr>
          <w:p w14:paraId="24F059EC"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Software Supply Chain Compromise</w:t>
            </w:r>
          </w:p>
        </w:tc>
        <w:tc>
          <w:tcPr>
            <w:tcW w:w="0" w:type="auto"/>
            <w:shd w:val="clear" w:color="auto" w:fill="FAE2D5" w:themeFill="accent2" w:themeFillTint="33"/>
            <w:vAlign w:val="center"/>
            <w:hideMark/>
          </w:tcPr>
          <w:p w14:paraId="33B67A84"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Vulnerable third-party libraries or malicious dependency injection</w:t>
            </w:r>
          </w:p>
        </w:tc>
        <w:tc>
          <w:tcPr>
            <w:tcW w:w="0" w:type="auto"/>
            <w:shd w:val="clear" w:color="auto" w:fill="C1F0C7" w:themeFill="accent3" w:themeFillTint="33"/>
            <w:vAlign w:val="center"/>
            <w:hideMark/>
          </w:tcPr>
          <w:p w14:paraId="7A86F43D"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3</w:t>
            </w:r>
          </w:p>
        </w:tc>
        <w:tc>
          <w:tcPr>
            <w:tcW w:w="0" w:type="auto"/>
            <w:shd w:val="clear" w:color="auto" w:fill="DAE9F7" w:themeFill="text2" w:themeFillTint="1A"/>
            <w:vAlign w:val="center"/>
            <w:hideMark/>
          </w:tcPr>
          <w:p w14:paraId="2654C3A5"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5</w:t>
            </w:r>
          </w:p>
        </w:tc>
        <w:tc>
          <w:tcPr>
            <w:tcW w:w="0" w:type="auto"/>
            <w:shd w:val="clear" w:color="auto" w:fill="D1D1D1" w:themeFill="background2" w:themeFillShade="E6"/>
            <w:vAlign w:val="center"/>
            <w:hideMark/>
          </w:tcPr>
          <w:p w14:paraId="1CE2519B"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15</w:t>
            </w:r>
          </w:p>
        </w:tc>
        <w:tc>
          <w:tcPr>
            <w:tcW w:w="0" w:type="auto"/>
            <w:shd w:val="clear" w:color="auto" w:fill="F2CEED" w:themeFill="accent5" w:themeFillTint="33"/>
            <w:vAlign w:val="center"/>
            <w:hideMark/>
          </w:tcPr>
          <w:p w14:paraId="316177C8"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High</w:t>
            </w:r>
          </w:p>
        </w:tc>
        <w:tc>
          <w:tcPr>
            <w:tcW w:w="0" w:type="auto"/>
            <w:shd w:val="clear" w:color="auto" w:fill="F2F2F2" w:themeFill="background1" w:themeFillShade="F2"/>
            <w:vAlign w:val="center"/>
            <w:hideMark/>
          </w:tcPr>
          <w:p w14:paraId="033D10A5" w14:textId="77777777" w:rsidR="00757623" w:rsidRPr="00BB3230" w:rsidRDefault="00757623" w:rsidP="009B57EA">
            <w:pPr>
              <w:spacing w:line="360" w:lineRule="auto"/>
              <w:jc w:val="left"/>
              <w:rPr>
                <w:rFonts w:asciiTheme="minorBidi" w:hAnsiTheme="minorBidi" w:cstheme="minorBidi"/>
                <w:sz w:val="24"/>
                <w:szCs w:val="24"/>
                <w:lang w:val="en-GB"/>
              </w:rPr>
            </w:pPr>
            <w:proofErr w:type="spellStart"/>
            <w:r w:rsidRPr="00BB3230">
              <w:rPr>
                <w:rFonts w:asciiTheme="minorBidi" w:hAnsiTheme="minorBidi" w:cstheme="minorBidi"/>
                <w:sz w:val="24"/>
                <w:szCs w:val="24"/>
                <w:lang w:val="en-GB"/>
              </w:rPr>
              <w:t>DevSecOps</w:t>
            </w:r>
            <w:proofErr w:type="spellEnd"/>
            <w:r w:rsidRPr="00BB3230">
              <w:rPr>
                <w:rFonts w:asciiTheme="minorBidi" w:hAnsiTheme="minorBidi" w:cstheme="minorBidi"/>
                <w:sz w:val="24"/>
                <w:szCs w:val="24"/>
                <w:lang w:val="en-GB"/>
              </w:rPr>
              <w:t xml:space="preserve"> Lead</w:t>
            </w:r>
          </w:p>
        </w:tc>
      </w:tr>
      <w:tr w:rsidR="00757623" w:rsidRPr="00BB3230" w14:paraId="799B2EF1" w14:textId="77777777" w:rsidTr="00E7796B">
        <w:trPr>
          <w:tblCellSpacing w:w="15" w:type="dxa"/>
        </w:trPr>
        <w:tc>
          <w:tcPr>
            <w:tcW w:w="0" w:type="auto"/>
            <w:shd w:val="clear" w:color="auto" w:fill="C1E4F5" w:themeFill="accent1" w:themeFillTint="33"/>
            <w:vAlign w:val="center"/>
            <w:hideMark/>
          </w:tcPr>
          <w:p w14:paraId="18094800"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AI Model Poisoning</w:t>
            </w:r>
          </w:p>
        </w:tc>
        <w:tc>
          <w:tcPr>
            <w:tcW w:w="0" w:type="auto"/>
            <w:shd w:val="clear" w:color="auto" w:fill="FAE2D5" w:themeFill="accent2" w:themeFillTint="33"/>
            <w:vAlign w:val="center"/>
            <w:hideMark/>
          </w:tcPr>
          <w:p w14:paraId="371BF69A"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Corruption of training datasets affecting clinical outputs</w:t>
            </w:r>
          </w:p>
        </w:tc>
        <w:tc>
          <w:tcPr>
            <w:tcW w:w="0" w:type="auto"/>
            <w:shd w:val="clear" w:color="auto" w:fill="C1F0C7" w:themeFill="accent3" w:themeFillTint="33"/>
            <w:vAlign w:val="center"/>
            <w:hideMark/>
          </w:tcPr>
          <w:p w14:paraId="46D03A2D"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2</w:t>
            </w:r>
          </w:p>
        </w:tc>
        <w:tc>
          <w:tcPr>
            <w:tcW w:w="0" w:type="auto"/>
            <w:shd w:val="clear" w:color="auto" w:fill="DAE9F7" w:themeFill="text2" w:themeFillTint="1A"/>
            <w:vAlign w:val="center"/>
            <w:hideMark/>
          </w:tcPr>
          <w:p w14:paraId="3D54AE15"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5</w:t>
            </w:r>
          </w:p>
        </w:tc>
        <w:tc>
          <w:tcPr>
            <w:tcW w:w="0" w:type="auto"/>
            <w:shd w:val="clear" w:color="auto" w:fill="D1D1D1" w:themeFill="background2" w:themeFillShade="E6"/>
            <w:vAlign w:val="center"/>
            <w:hideMark/>
          </w:tcPr>
          <w:p w14:paraId="74A73E62"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10</w:t>
            </w:r>
          </w:p>
        </w:tc>
        <w:tc>
          <w:tcPr>
            <w:tcW w:w="0" w:type="auto"/>
            <w:shd w:val="clear" w:color="auto" w:fill="F2CEED" w:themeFill="accent5" w:themeFillTint="33"/>
            <w:vAlign w:val="center"/>
            <w:hideMark/>
          </w:tcPr>
          <w:p w14:paraId="4F111EE0"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Moderate</w:t>
            </w:r>
          </w:p>
        </w:tc>
        <w:tc>
          <w:tcPr>
            <w:tcW w:w="0" w:type="auto"/>
            <w:shd w:val="clear" w:color="auto" w:fill="F2F2F2" w:themeFill="background1" w:themeFillShade="F2"/>
            <w:vAlign w:val="center"/>
            <w:hideMark/>
          </w:tcPr>
          <w:p w14:paraId="5EDA5928" w14:textId="77777777" w:rsidR="00757623" w:rsidRPr="00BB3230" w:rsidRDefault="00757623" w:rsidP="009B57EA">
            <w:pPr>
              <w:spacing w:line="360" w:lineRule="auto"/>
              <w:jc w:val="left"/>
              <w:rPr>
                <w:rFonts w:asciiTheme="minorBidi" w:hAnsiTheme="minorBidi" w:cstheme="minorBidi"/>
                <w:sz w:val="24"/>
                <w:szCs w:val="24"/>
                <w:lang w:val="en-GB"/>
              </w:rPr>
            </w:pPr>
            <w:proofErr w:type="spellStart"/>
            <w:r w:rsidRPr="00BB3230">
              <w:rPr>
                <w:rFonts w:asciiTheme="minorBidi" w:hAnsiTheme="minorBidi" w:cstheme="minorBidi"/>
                <w:sz w:val="24"/>
                <w:szCs w:val="24"/>
                <w:lang w:val="en-GB"/>
              </w:rPr>
              <w:t>DevSecOps</w:t>
            </w:r>
            <w:proofErr w:type="spellEnd"/>
            <w:r w:rsidRPr="00BB3230">
              <w:rPr>
                <w:rFonts w:asciiTheme="minorBidi" w:hAnsiTheme="minorBidi" w:cstheme="minorBidi"/>
                <w:sz w:val="24"/>
                <w:szCs w:val="24"/>
                <w:lang w:val="en-GB"/>
              </w:rPr>
              <w:t xml:space="preserve"> Lead</w:t>
            </w:r>
          </w:p>
        </w:tc>
      </w:tr>
      <w:tr w:rsidR="00757623" w:rsidRPr="00BB3230" w14:paraId="18A50F15" w14:textId="77777777" w:rsidTr="00E7796B">
        <w:trPr>
          <w:tblCellSpacing w:w="15" w:type="dxa"/>
        </w:trPr>
        <w:tc>
          <w:tcPr>
            <w:tcW w:w="0" w:type="auto"/>
            <w:shd w:val="clear" w:color="auto" w:fill="C1E4F5" w:themeFill="accent1" w:themeFillTint="33"/>
            <w:vAlign w:val="center"/>
            <w:hideMark/>
          </w:tcPr>
          <w:p w14:paraId="5164C478"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Phishing &amp; Credential Theft</w:t>
            </w:r>
          </w:p>
        </w:tc>
        <w:tc>
          <w:tcPr>
            <w:tcW w:w="0" w:type="auto"/>
            <w:shd w:val="clear" w:color="auto" w:fill="FAE2D5" w:themeFill="accent2" w:themeFillTint="33"/>
            <w:vAlign w:val="center"/>
            <w:hideMark/>
          </w:tcPr>
          <w:p w14:paraId="21D1FF3F"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Hybrid workforce credential compromise</w:t>
            </w:r>
          </w:p>
        </w:tc>
        <w:tc>
          <w:tcPr>
            <w:tcW w:w="0" w:type="auto"/>
            <w:shd w:val="clear" w:color="auto" w:fill="C1F0C7" w:themeFill="accent3" w:themeFillTint="33"/>
            <w:vAlign w:val="center"/>
            <w:hideMark/>
          </w:tcPr>
          <w:p w14:paraId="1039CA96"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4</w:t>
            </w:r>
          </w:p>
        </w:tc>
        <w:tc>
          <w:tcPr>
            <w:tcW w:w="0" w:type="auto"/>
            <w:shd w:val="clear" w:color="auto" w:fill="DAE9F7" w:themeFill="text2" w:themeFillTint="1A"/>
            <w:vAlign w:val="center"/>
            <w:hideMark/>
          </w:tcPr>
          <w:p w14:paraId="141DA6E6"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4</w:t>
            </w:r>
          </w:p>
        </w:tc>
        <w:tc>
          <w:tcPr>
            <w:tcW w:w="0" w:type="auto"/>
            <w:shd w:val="clear" w:color="auto" w:fill="D1D1D1" w:themeFill="background2" w:themeFillShade="E6"/>
            <w:vAlign w:val="center"/>
            <w:hideMark/>
          </w:tcPr>
          <w:p w14:paraId="50988731"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16</w:t>
            </w:r>
          </w:p>
        </w:tc>
        <w:tc>
          <w:tcPr>
            <w:tcW w:w="0" w:type="auto"/>
            <w:shd w:val="clear" w:color="auto" w:fill="F2CEED" w:themeFill="accent5" w:themeFillTint="33"/>
            <w:vAlign w:val="center"/>
            <w:hideMark/>
          </w:tcPr>
          <w:p w14:paraId="06874124"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High</w:t>
            </w:r>
          </w:p>
        </w:tc>
        <w:tc>
          <w:tcPr>
            <w:tcW w:w="0" w:type="auto"/>
            <w:shd w:val="clear" w:color="auto" w:fill="F2F2F2" w:themeFill="background1" w:themeFillShade="F2"/>
            <w:vAlign w:val="center"/>
            <w:hideMark/>
          </w:tcPr>
          <w:p w14:paraId="0DDAA97E"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SOC Manager</w:t>
            </w:r>
          </w:p>
        </w:tc>
      </w:tr>
      <w:tr w:rsidR="00757623" w:rsidRPr="00BB3230" w14:paraId="5613B278" w14:textId="77777777" w:rsidTr="00E7796B">
        <w:trPr>
          <w:tblCellSpacing w:w="15" w:type="dxa"/>
        </w:trPr>
        <w:tc>
          <w:tcPr>
            <w:tcW w:w="0" w:type="auto"/>
            <w:shd w:val="clear" w:color="auto" w:fill="C1E4F5" w:themeFill="accent1" w:themeFillTint="33"/>
            <w:vAlign w:val="center"/>
            <w:hideMark/>
          </w:tcPr>
          <w:p w14:paraId="0F4056F9"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Ransomware on Code Repositories</w:t>
            </w:r>
          </w:p>
        </w:tc>
        <w:tc>
          <w:tcPr>
            <w:tcW w:w="0" w:type="auto"/>
            <w:shd w:val="clear" w:color="auto" w:fill="FAE2D5" w:themeFill="accent2" w:themeFillTint="33"/>
            <w:vAlign w:val="center"/>
            <w:hideMark/>
          </w:tcPr>
          <w:p w14:paraId="325546BB"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Encryption of source code and AI datasets</w:t>
            </w:r>
          </w:p>
        </w:tc>
        <w:tc>
          <w:tcPr>
            <w:tcW w:w="0" w:type="auto"/>
            <w:shd w:val="clear" w:color="auto" w:fill="C1F0C7" w:themeFill="accent3" w:themeFillTint="33"/>
            <w:vAlign w:val="center"/>
            <w:hideMark/>
          </w:tcPr>
          <w:p w14:paraId="0C873739"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3</w:t>
            </w:r>
          </w:p>
        </w:tc>
        <w:tc>
          <w:tcPr>
            <w:tcW w:w="0" w:type="auto"/>
            <w:shd w:val="clear" w:color="auto" w:fill="DAE9F7" w:themeFill="text2" w:themeFillTint="1A"/>
            <w:vAlign w:val="center"/>
            <w:hideMark/>
          </w:tcPr>
          <w:p w14:paraId="3A5E3D87"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5</w:t>
            </w:r>
          </w:p>
        </w:tc>
        <w:tc>
          <w:tcPr>
            <w:tcW w:w="0" w:type="auto"/>
            <w:shd w:val="clear" w:color="auto" w:fill="D1D1D1" w:themeFill="background2" w:themeFillShade="E6"/>
            <w:vAlign w:val="center"/>
            <w:hideMark/>
          </w:tcPr>
          <w:p w14:paraId="4C6B4A3F"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15</w:t>
            </w:r>
          </w:p>
        </w:tc>
        <w:tc>
          <w:tcPr>
            <w:tcW w:w="0" w:type="auto"/>
            <w:shd w:val="clear" w:color="auto" w:fill="F2CEED" w:themeFill="accent5" w:themeFillTint="33"/>
            <w:vAlign w:val="center"/>
            <w:hideMark/>
          </w:tcPr>
          <w:p w14:paraId="4B0C236F"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High</w:t>
            </w:r>
          </w:p>
        </w:tc>
        <w:tc>
          <w:tcPr>
            <w:tcW w:w="0" w:type="auto"/>
            <w:shd w:val="clear" w:color="auto" w:fill="F2F2F2" w:themeFill="background1" w:themeFillShade="F2"/>
            <w:vAlign w:val="center"/>
            <w:hideMark/>
          </w:tcPr>
          <w:p w14:paraId="2BB83D48"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CISO</w:t>
            </w:r>
          </w:p>
        </w:tc>
      </w:tr>
    </w:tbl>
    <w:p w14:paraId="4CB29217" w14:textId="77777777" w:rsidR="00757623" w:rsidRPr="00BB3230" w:rsidRDefault="00757623"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 xml:space="preserve"> </w:t>
      </w:r>
    </w:p>
    <w:p w14:paraId="799B56CA" w14:textId="77777777" w:rsidR="00757623" w:rsidRPr="00380DAC" w:rsidRDefault="00757623" w:rsidP="009E2DC2">
      <w:pPr>
        <w:pStyle w:val="Heading2"/>
        <w:jc w:val="left"/>
        <w:rPr>
          <w:rFonts w:asciiTheme="minorBidi" w:hAnsiTheme="minorBidi" w:cstheme="minorBidi"/>
          <w:b/>
          <w:bCs/>
          <w:lang w:val="en-GB"/>
        </w:rPr>
      </w:pPr>
      <w:bookmarkStart w:id="15" w:name="_Toc221787872"/>
      <w:r w:rsidRPr="00380DAC">
        <w:rPr>
          <w:rFonts w:asciiTheme="minorBidi" w:hAnsiTheme="minorBidi" w:cstheme="minorBidi"/>
          <w:b/>
          <w:bCs/>
          <w:lang w:val="en-GB"/>
        </w:rPr>
        <w:t>5.3 Risk Prioritisation Rationale</w:t>
      </w:r>
      <w:bookmarkEnd w:id="15"/>
    </w:p>
    <w:p w14:paraId="575D8CCD" w14:textId="762F031B"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Cloud misconfiguration and credential compromise represent the highest probability risks within hybrid and multi-cloud environments. Software supply chain compromise carries </w:t>
      </w:r>
      <w:r w:rsidR="00921B6F" w:rsidRPr="00BB3230">
        <w:rPr>
          <w:rFonts w:asciiTheme="minorBidi" w:hAnsiTheme="minorBidi" w:cstheme="minorBidi"/>
          <w:sz w:val="24"/>
          <w:szCs w:val="24"/>
          <w:lang w:val="en-GB"/>
        </w:rPr>
        <w:t xml:space="preserve">a </w:t>
      </w:r>
      <w:r w:rsidRPr="00BB3230">
        <w:rPr>
          <w:rFonts w:asciiTheme="minorBidi" w:hAnsiTheme="minorBidi" w:cstheme="minorBidi"/>
          <w:sz w:val="24"/>
          <w:szCs w:val="24"/>
          <w:lang w:val="en-GB"/>
        </w:rPr>
        <w:t>systemic impact due to inherited vulnerabilities within AI pipelines.</w:t>
      </w:r>
    </w:p>
    <w:p w14:paraId="3AEF7368" w14:textId="696C2E09"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Although AI poisoning demonstrates </w:t>
      </w:r>
      <w:r w:rsidR="00921B6F" w:rsidRPr="00BB3230">
        <w:rPr>
          <w:rFonts w:asciiTheme="minorBidi" w:hAnsiTheme="minorBidi" w:cstheme="minorBidi"/>
          <w:sz w:val="24"/>
          <w:szCs w:val="24"/>
          <w:lang w:val="en-GB"/>
        </w:rPr>
        <w:t xml:space="preserve">a </w:t>
      </w:r>
      <w:r w:rsidRPr="00BB3230">
        <w:rPr>
          <w:rFonts w:asciiTheme="minorBidi" w:hAnsiTheme="minorBidi" w:cstheme="minorBidi"/>
          <w:sz w:val="24"/>
          <w:szCs w:val="24"/>
          <w:lang w:val="en-GB"/>
        </w:rPr>
        <w:t>lower statistical likelihood, its clinical consequences justify elevated strategic monitoring.</w:t>
      </w:r>
    </w:p>
    <w:p w14:paraId="08A75A41" w14:textId="7BCE0E03" w:rsidR="00757623" w:rsidRPr="00BB3230" w:rsidRDefault="00757623" w:rsidP="00AF22B6">
      <w:pPr>
        <w:spacing w:line="360" w:lineRule="auto"/>
        <w:jc w:val="left"/>
        <w:rPr>
          <w:rFonts w:asciiTheme="minorBidi" w:hAnsiTheme="minorBidi" w:cstheme="minorBidi"/>
          <w:b/>
          <w:bCs/>
          <w:sz w:val="24"/>
          <w:szCs w:val="24"/>
          <w:lang w:val="en-GB"/>
        </w:rPr>
      </w:pPr>
      <w:r w:rsidRPr="00BB3230">
        <w:rPr>
          <w:rFonts w:asciiTheme="minorBidi" w:hAnsiTheme="minorBidi" w:cstheme="minorBidi"/>
          <w:sz w:val="24"/>
          <w:szCs w:val="24"/>
          <w:lang w:val="en-GB"/>
        </w:rPr>
        <w:t>Risk ownership allocation ensures accountability and aligns mitigation controls with designated security roles</w:t>
      </w:r>
      <w:r w:rsidRPr="00BB3230">
        <w:rPr>
          <w:rFonts w:asciiTheme="minorBidi" w:hAnsiTheme="minorBidi" w:cstheme="minorBidi"/>
          <w:b/>
          <w:bCs/>
          <w:sz w:val="24"/>
          <w:szCs w:val="24"/>
          <w:lang w:val="en-GB"/>
        </w:rPr>
        <w:t>.</w:t>
      </w:r>
    </w:p>
    <w:p w14:paraId="173E30F4" w14:textId="77777777" w:rsidR="00757623" w:rsidRPr="00380DAC" w:rsidRDefault="00757623" w:rsidP="009E2DC2">
      <w:pPr>
        <w:pStyle w:val="Heading2"/>
        <w:jc w:val="left"/>
        <w:rPr>
          <w:rFonts w:asciiTheme="minorBidi" w:hAnsiTheme="minorBidi" w:cstheme="minorBidi"/>
          <w:b/>
          <w:bCs/>
          <w:lang w:val="en-GB"/>
        </w:rPr>
      </w:pPr>
      <w:bookmarkStart w:id="16" w:name="_Toc221787873"/>
      <w:r w:rsidRPr="00380DAC">
        <w:rPr>
          <w:rFonts w:asciiTheme="minorBidi" w:hAnsiTheme="minorBidi" w:cstheme="minorBidi"/>
          <w:b/>
          <w:bCs/>
          <w:lang w:val="en-GB"/>
        </w:rPr>
        <w:t>5.4 Residual Risk Management</w:t>
      </w:r>
      <w:bookmarkEnd w:id="16"/>
    </w:p>
    <w:p w14:paraId="47E8C31A" w14:textId="77777777" w:rsidR="00757623"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Following mitigation measures such as CSPM implementation, dependency scanning, SBOM validation, phishing-resistant MFA, and immutable backups, residual risk should be reassessed quarterly.</w:t>
      </w:r>
    </w:p>
    <w:p w14:paraId="0DFB52C3" w14:textId="77777777" w:rsidR="00387372" w:rsidRDefault="00387372" w:rsidP="009B57EA">
      <w:pPr>
        <w:spacing w:line="360" w:lineRule="auto"/>
        <w:jc w:val="left"/>
        <w:rPr>
          <w:rFonts w:asciiTheme="minorBidi" w:hAnsiTheme="minorBidi" w:cstheme="minorBidi"/>
          <w:sz w:val="24"/>
          <w:szCs w:val="24"/>
          <w:lang w:val="en-GB"/>
        </w:rPr>
      </w:pPr>
    </w:p>
    <w:p w14:paraId="67CE60DC" w14:textId="7366D221" w:rsidR="00387372" w:rsidRDefault="00387372" w:rsidP="00387372">
      <w:pPr>
        <w:spacing w:line="360" w:lineRule="auto"/>
        <w:rPr>
          <w:rFonts w:asciiTheme="minorBidi" w:hAnsiTheme="minorBidi" w:cstheme="minorBidi"/>
          <w:sz w:val="24"/>
          <w:szCs w:val="24"/>
          <w:lang w:val="en-GB"/>
        </w:rPr>
      </w:pPr>
      <w:r>
        <w:rPr>
          <w:noProof/>
        </w:rPr>
        <w:drawing>
          <wp:inline distT="0" distB="0" distL="0" distR="0" wp14:anchorId="4A981FA5" wp14:editId="4902C6E5">
            <wp:extent cx="4076700" cy="2495550"/>
            <wp:effectExtent l="0" t="0" r="0" b="0"/>
            <wp:docPr id="544372040" name="Picture 1" descr="A diagram of a risk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372040" name="Picture 1" descr="A diagram of a risk management&#10;&#10;AI-generated content may be incorrect."/>
                    <pic:cNvPicPr/>
                  </pic:nvPicPr>
                  <pic:blipFill>
                    <a:blip r:embed="rId15"/>
                    <a:stretch>
                      <a:fillRect/>
                    </a:stretch>
                  </pic:blipFill>
                  <pic:spPr>
                    <a:xfrm>
                      <a:off x="0" y="0"/>
                      <a:ext cx="4076700" cy="2495550"/>
                    </a:xfrm>
                    <a:prstGeom prst="rect">
                      <a:avLst/>
                    </a:prstGeom>
                  </pic:spPr>
                </pic:pic>
              </a:graphicData>
            </a:graphic>
          </wp:inline>
        </w:drawing>
      </w:r>
    </w:p>
    <w:p w14:paraId="4F3B4EF1" w14:textId="5FC1A583" w:rsidR="00540908" w:rsidRPr="00BB3230" w:rsidRDefault="00540908" w:rsidP="00540908">
      <w:pPr>
        <w:pStyle w:val="Caption"/>
        <w:rPr>
          <w:rFonts w:asciiTheme="minorBidi" w:hAnsiTheme="minorBidi" w:cstheme="minorBidi"/>
          <w:sz w:val="24"/>
          <w:szCs w:val="24"/>
          <w:lang w:val="en-GB"/>
        </w:rPr>
      </w:pPr>
      <w:r>
        <w:t xml:space="preserve">Figure </w:t>
      </w:r>
      <w:r>
        <w:fldChar w:fldCharType="begin"/>
      </w:r>
      <w:r>
        <w:instrText xml:space="preserve"> SEQ Figure \* ARABIC </w:instrText>
      </w:r>
      <w:r>
        <w:fldChar w:fldCharType="separate"/>
      </w:r>
      <w:r>
        <w:rPr>
          <w:noProof/>
        </w:rPr>
        <w:t>4</w:t>
      </w:r>
      <w:r>
        <w:fldChar w:fldCharType="end"/>
      </w:r>
      <w:r>
        <w:rPr>
          <w:lang w:val="en-GB"/>
        </w:rPr>
        <w:t>:</w:t>
      </w:r>
      <w:proofErr w:type="spellStart"/>
      <w:r>
        <w:rPr>
          <w:lang w:val="en-GB"/>
        </w:rPr>
        <w:t>rish</w:t>
      </w:r>
      <w:proofErr w:type="spellEnd"/>
      <w:r>
        <w:rPr>
          <w:lang w:val="en-GB"/>
        </w:rPr>
        <w:t xml:space="preserve"> Management</w:t>
      </w:r>
    </w:p>
    <w:p w14:paraId="37E8D890" w14:textId="79F59257" w:rsidR="00757623" w:rsidRPr="00F32B98"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Risk reviews must be integrated into board-level governance reporting under NIST CSF 2.0 “Govern” function [</w:t>
      </w:r>
      <w:r w:rsidR="00E55532" w:rsidRPr="00BB3230">
        <w:rPr>
          <w:rFonts w:asciiTheme="minorBidi" w:hAnsiTheme="minorBidi" w:cstheme="minorBidi"/>
          <w:sz w:val="24"/>
          <w:szCs w:val="24"/>
          <w:lang w:val="en-GB"/>
        </w:rPr>
        <w:t>7</w:t>
      </w:r>
      <w:r w:rsidRPr="00BB3230">
        <w:rPr>
          <w:rFonts w:asciiTheme="minorBidi" w:hAnsiTheme="minorBidi" w:cstheme="minorBidi"/>
          <w:sz w:val="24"/>
          <w:szCs w:val="24"/>
          <w:lang w:val="en-GB"/>
        </w:rPr>
        <w:t>].</w:t>
      </w:r>
    </w:p>
    <w:p w14:paraId="7AC8D8BC"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A high-level risk analysis identifies the following critical risks:</w:t>
      </w:r>
    </w:p>
    <w:tbl>
      <w:tblPr>
        <w:tblW w:w="0" w:type="auto"/>
        <w:tblCellSpacing w:w="15" w:type="dxa"/>
        <w:tblBorders>
          <w:top w:val="dashDotStroked" w:sz="24" w:space="0" w:color="074F6A" w:themeColor="accent4" w:themeShade="80"/>
          <w:left w:val="dashDotStroked" w:sz="24" w:space="0" w:color="074F6A" w:themeColor="accent4" w:themeShade="80"/>
          <w:bottom w:val="dashDotStroked" w:sz="24" w:space="0" w:color="074F6A" w:themeColor="accent4" w:themeShade="80"/>
          <w:right w:val="dashDotStroked" w:sz="24" w:space="0" w:color="074F6A" w:themeColor="accent4" w:themeShade="80"/>
        </w:tblBorders>
        <w:tblCellMar>
          <w:top w:w="15" w:type="dxa"/>
          <w:left w:w="15" w:type="dxa"/>
          <w:bottom w:w="15" w:type="dxa"/>
          <w:right w:w="15" w:type="dxa"/>
        </w:tblCellMar>
        <w:tblLook w:val="04A0" w:firstRow="1" w:lastRow="0" w:firstColumn="1" w:lastColumn="0" w:noHBand="0" w:noVBand="1"/>
      </w:tblPr>
      <w:tblGrid>
        <w:gridCol w:w="2442"/>
        <w:gridCol w:w="1955"/>
        <w:gridCol w:w="1883"/>
        <w:gridCol w:w="3780"/>
      </w:tblGrid>
      <w:tr w:rsidR="00757623" w:rsidRPr="00BB3230" w14:paraId="4BB0F2CD" w14:textId="77777777" w:rsidTr="00E7796B">
        <w:trPr>
          <w:tblHeader/>
          <w:tblCellSpacing w:w="15" w:type="dxa"/>
        </w:trPr>
        <w:tc>
          <w:tcPr>
            <w:tcW w:w="0" w:type="auto"/>
            <w:shd w:val="clear" w:color="auto" w:fill="074F6A" w:themeFill="accent4" w:themeFillShade="80"/>
            <w:vAlign w:val="center"/>
            <w:hideMark/>
          </w:tcPr>
          <w:p w14:paraId="062FAEFE" w14:textId="77777777" w:rsidR="00757623" w:rsidRPr="00BB3230" w:rsidRDefault="00757623" w:rsidP="009B57EA">
            <w:pPr>
              <w:spacing w:after="160" w:line="360" w:lineRule="auto"/>
              <w:jc w:val="left"/>
              <w:rPr>
                <w:rFonts w:asciiTheme="minorBidi" w:hAnsiTheme="minorBidi" w:cstheme="minorBidi"/>
                <w:b/>
                <w:bCs/>
                <w:color w:val="FFFFFF" w:themeColor="background1"/>
                <w:sz w:val="24"/>
                <w:szCs w:val="24"/>
              </w:rPr>
            </w:pPr>
            <w:r w:rsidRPr="00BB3230">
              <w:rPr>
                <w:rFonts w:asciiTheme="minorBidi" w:hAnsiTheme="minorBidi" w:cstheme="minorBidi"/>
                <w:b/>
                <w:bCs/>
                <w:color w:val="FFFFFF" w:themeColor="background1"/>
                <w:sz w:val="24"/>
                <w:szCs w:val="24"/>
              </w:rPr>
              <w:t>Risk Category</w:t>
            </w:r>
          </w:p>
        </w:tc>
        <w:tc>
          <w:tcPr>
            <w:tcW w:w="0" w:type="auto"/>
            <w:shd w:val="clear" w:color="auto" w:fill="074F6A" w:themeFill="accent4" w:themeFillShade="80"/>
            <w:vAlign w:val="center"/>
            <w:hideMark/>
          </w:tcPr>
          <w:p w14:paraId="6E590223" w14:textId="77777777" w:rsidR="00757623" w:rsidRPr="00BB3230" w:rsidRDefault="00757623" w:rsidP="009B57EA">
            <w:pPr>
              <w:spacing w:after="160" w:line="360" w:lineRule="auto"/>
              <w:jc w:val="left"/>
              <w:rPr>
                <w:rFonts w:asciiTheme="minorBidi" w:hAnsiTheme="minorBidi" w:cstheme="minorBidi"/>
                <w:b/>
                <w:bCs/>
                <w:color w:val="FFFFFF" w:themeColor="background1"/>
                <w:sz w:val="24"/>
                <w:szCs w:val="24"/>
              </w:rPr>
            </w:pPr>
            <w:r w:rsidRPr="00BB3230">
              <w:rPr>
                <w:rFonts w:asciiTheme="minorBidi" w:hAnsiTheme="minorBidi" w:cstheme="minorBidi"/>
                <w:b/>
                <w:bCs/>
                <w:color w:val="FFFFFF" w:themeColor="background1"/>
                <w:sz w:val="24"/>
                <w:szCs w:val="24"/>
              </w:rPr>
              <w:t>Threat Example</w:t>
            </w:r>
          </w:p>
        </w:tc>
        <w:tc>
          <w:tcPr>
            <w:tcW w:w="0" w:type="auto"/>
            <w:shd w:val="clear" w:color="auto" w:fill="074F6A" w:themeFill="accent4" w:themeFillShade="80"/>
            <w:vAlign w:val="center"/>
            <w:hideMark/>
          </w:tcPr>
          <w:p w14:paraId="67B3FDEF" w14:textId="77777777" w:rsidR="00757623" w:rsidRPr="00BB3230" w:rsidRDefault="00757623" w:rsidP="009B57EA">
            <w:pPr>
              <w:spacing w:after="160" w:line="360" w:lineRule="auto"/>
              <w:jc w:val="left"/>
              <w:rPr>
                <w:rFonts w:asciiTheme="minorBidi" w:hAnsiTheme="minorBidi" w:cstheme="minorBidi"/>
                <w:b/>
                <w:bCs/>
                <w:color w:val="FFFFFF" w:themeColor="background1"/>
                <w:sz w:val="24"/>
                <w:szCs w:val="24"/>
              </w:rPr>
            </w:pPr>
            <w:r w:rsidRPr="00BB3230">
              <w:rPr>
                <w:rFonts w:asciiTheme="minorBidi" w:hAnsiTheme="minorBidi" w:cstheme="minorBidi"/>
                <w:b/>
                <w:bCs/>
                <w:color w:val="FFFFFF" w:themeColor="background1"/>
                <w:sz w:val="24"/>
                <w:szCs w:val="24"/>
              </w:rPr>
              <w:t>Impact</w:t>
            </w:r>
          </w:p>
        </w:tc>
        <w:tc>
          <w:tcPr>
            <w:tcW w:w="0" w:type="auto"/>
            <w:shd w:val="clear" w:color="auto" w:fill="074F6A" w:themeFill="accent4" w:themeFillShade="80"/>
            <w:vAlign w:val="center"/>
            <w:hideMark/>
          </w:tcPr>
          <w:p w14:paraId="7F21B886" w14:textId="77777777" w:rsidR="00757623" w:rsidRPr="00BB3230" w:rsidRDefault="00757623" w:rsidP="009B57EA">
            <w:pPr>
              <w:spacing w:after="160" w:line="360" w:lineRule="auto"/>
              <w:jc w:val="left"/>
              <w:rPr>
                <w:rFonts w:asciiTheme="minorBidi" w:hAnsiTheme="minorBidi" w:cstheme="minorBidi"/>
                <w:b/>
                <w:bCs/>
                <w:color w:val="FFFFFF" w:themeColor="background1"/>
                <w:sz w:val="24"/>
                <w:szCs w:val="24"/>
              </w:rPr>
            </w:pPr>
            <w:r w:rsidRPr="00BB3230">
              <w:rPr>
                <w:rFonts w:asciiTheme="minorBidi" w:hAnsiTheme="minorBidi" w:cstheme="minorBidi"/>
                <w:b/>
                <w:bCs/>
                <w:color w:val="FFFFFF" w:themeColor="background1"/>
                <w:sz w:val="24"/>
                <w:szCs w:val="24"/>
              </w:rPr>
              <w:t>Mitigation Strategy</w:t>
            </w:r>
          </w:p>
        </w:tc>
      </w:tr>
      <w:tr w:rsidR="00757623" w:rsidRPr="00BB3230" w14:paraId="26898E94" w14:textId="77777777" w:rsidTr="00E7796B">
        <w:trPr>
          <w:tblCellSpacing w:w="15" w:type="dxa"/>
        </w:trPr>
        <w:tc>
          <w:tcPr>
            <w:tcW w:w="0" w:type="auto"/>
            <w:shd w:val="clear" w:color="auto" w:fill="DAE9F7" w:themeFill="text2" w:themeFillTint="1A"/>
            <w:vAlign w:val="center"/>
            <w:hideMark/>
          </w:tcPr>
          <w:p w14:paraId="5E5F81B4"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AI Supply Chain</w:t>
            </w:r>
          </w:p>
        </w:tc>
        <w:tc>
          <w:tcPr>
            <w:tcW w:w="0" w:type="auto"/>
            <w:shd w:val="clear" w:color="auto" w:fill="FAE2D5" w:themeFill="accent2" w:themeFillTint="33"/>
            <w:vAlign w:val="center"/>
            <w:hideMark/>
          </w:tcPr>
          <w:p w14:paraId="10FFD16D"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Poisoned training data</w:t>
            </w:r>
          </w:p>
        </w:tc>
        <w:tc>
          <w:tcPr>
            <w:tcW w:w="0" w:type="auto"/>
            <w:shd w:val="clear" w:color="auto" w:fill="D9F2D0" w:themeFill="accent6" w:themeFillTint="33"/>
            <w:vAlign w:val="center"/>
            <w:hideMark/>
          </w:tcPr>
          <w:p w14:paraId="4111FFD0"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Corrupted diagnostics</w:t>
            </w:r>
          </w:p>
        </w:tc>
        <w:tc>
          <w:tcPr>
            <w:tcW w:w="0" w:type="auto"/>
            <w:shd w:val="clear" w:color="auto" w:fill="F2CEED" w:themeFill="accent5" w:themeFillTint="33"/>
            <w:vAlign w:val="center"/>
            <w:hideMark/>
          </w:tcPr>
          <w:p w14:paraId="6A8FB7C2"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Dataset validation &amp; integrity hashing [5]</w:t>
            </w:r>
          </w:p>
        </w:tc>
      </w:tr>
      <w:tr w:rsidR="00757623" w:rsidRPr="00BB3230" w14:paraId="6DCF09F7" w14:textId="77777777" w:rsidTr="00E7796B">
        <w:trPr>
          <w:tblCellSpacing w:w="15" w:type="dxa"/>
        </w:trPr>
        <w:tc>
          <w:tcPr>
            <w:tcW w:w="0" w:type="auto"/>
            <w:shd w:val="clear" w:color="auto" w:fill="DAE9F7" w:themeFill="text2" w:themeFillTint="1A"/>
            <w:vAlign w:val="center"/>
            <w:hideMark/>
          </w:tcPr>
          <w:p w14:paraId="062F9C56"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Open-Source Dependencies</w:t>
            </w:r>
          </w:p>
        </w:tc>
        <w:tc>
          <w:tcPr>
            <w:tcW w:w="0" w:type="auto"/>
            <w:shd w:val="clear" w:color="auto" w:fill="FAE2D5" w:themeFill="accent2" w:themeFillTint="33"/>
            <w:vAlign w:val="center"/>
            <w:hideMark/>
          </w:tcPr>
          <w:p w14:paraId="6B8D372D"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Vulnerable libraries</w:t>
            </w:r>
          </w:p>
        </w:tc>
        <w:tc>
          <w:tcPr>
            <w:tcW w:w="0" w:type="auto"/>
            <w:shd w:val="clear" w:color="auto" w:fill="D9F2D0" w:themeFill="accent6" w:themeFillTint="33"/>
            <w:vAlign w:val="center"/>
            <w:hideMark/>
          </w:tcPr>
          <w:p w14:paraId="238AB26F"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Code compromise</w:t>
            </w:r>
          </w:p>
        </w:tc>
        <w:tc>
          <w:tcPr>
            <w:tcW w:w="0" w:type="auto"/>
            <w:shd w:val="clear" w:color="auto" w:fill="F2CEED" w:themeFill="accent5" w:themeFillTint="33"/>
            <w:vAlign w:val="center"/>
            <w:hideMark/>
          </w:tcPr>
          <w:p w14:paraId="1AEC142F"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Software Bill of Materials (SBOM) &amp; dependency scanning [10]</w:t>
            </w:r>
          </w:p>
        </w:tc>
      </w:tr>
      <w:tr w:rsidR="00757623" w:rsidRPr="00BB3230" w14:paraId="178F0D7C" w14:textId="77777777" w:rsidTr="00E7796B">
        <w:trPr>
          <w:tblCellSpacing w:w="15" w:type="dxa"/>
        </w:trPr>
        <w:tc>
          <w:tcPr>
            <w:tcW w:w="0" w:type="auto"/>
            <w:shd w:val="clear" w:color="auto" w:fill="DAE9F7" w:themeFill="text2" w:themeFillTint="1A"/>
            <w:vAlign w:val="center"/>
            <w:hideMark/>
          </w:tcPr>
          <w:p w14:paraId="3ABE4018"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Cloud Misconfiguration</w:t>
            </w:r>
          </w:p>
        </w:tc>
        <w:tc>
          <w:tcPr>
            <w:tcW w:w="0" w:type="auto"/>
            <w:shd w:val="clear" w:color="auto" w:fill="FAE2D5" w:themeFill="accent2" w:themeFillTint="33"/>
            <w:vAlign w:val="center"/>
            <w:hideMark/>
          </w:tcPr>
          <w:p w14:paraId="2FAD99D5"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Public storage buckets</w:t>
            </w:r>
          </w:p>
        </w:tc>
        <w:tc>
          <w:tcPr>
            <w:tcW w:w="0" w:type="auto"/>
            <w:shd w:val="clear" w:color="auto" w:fill="D9F2D0" w:themeFill="accent6" w:themeFillTint="33"/>
            <w:vAlign w:val="center"/>
            <w:hideMark/>
          </w:tcPr>
          <w:p w14:paraId="31F3544D"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Data breach</w:t>
            </w:r>
          </w:p>
        </w:tc>
        <w:tc>
          <w:tcPr>
            <w:tcW w:w="0" w:type="auto"/>
            <w:shd w:val="clear" w:color="auto" w:fill="F2CEED" w:themeFill="accent5" w:themeFillTint="33"/>
            <w:vAlign w:val="center"/>
            <w:hideMark/>
          </w:tcPr>
          <w:p w14:paraId="5EF5D23B"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Continuous CSPM scanning [8]</w:t>
            </w:r>
          </w:p>
        </w:tc>
      </w:tr>
      <w:tr w:rsidR="00757623" w:rsidRPr="00BB3230" w14:paraId="75E77F12" w14:textId="77777777" w:rsidTr="00E7796B">
        <w:trPr>
          <w:tblCellSpacing w:w="15" w:type="dxa"/>
        </w:trPr>
        <w:tc>
          <w:tcPr>
            <w:tcW w:w="0" w:type="auto"/>
            <w:shd w:val="clear" w:color="auto" w:fill="DAE9F7" w:themeFill="text2" w:themeFillTint="1A"/>
            <w:vAlign w:val="center"/>
            <w:hideMark/>
          </w:tcPr>
          <w:p w14:paraId="6604FEAC"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Third-Party APIs</w:t>
            </w:r>
          </w:p>
        </w:tc>
        <w:tc>
          <w:tcPr>
            <w:tcW w:w="0" w:type="auto"/>
            <w:shd w:val="clear" w:color="auto" w:fill="FAE2D5" w:themeFill="accent2" w:themeFillTint="33"/>
            <w:vAlign w:val="center"/>
            <w:hideMark/>
          </w:tcPr>
          <w:p w14:paraId="68AB0844"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Compromised vendors</w:t>
            </w:r>
          </w:p>
        </w:tc>
        <w:tc>
          <w:tcPr>
            <w:tcW w:w="0" w:type="auto"/>
            <w:shd w:val="clear" w:color="auto" w:fill="D9F2D0" w:themeFill="accent6" w:themeFillTint="33"/>
            <w:vAlign w:val="center"/>
            <w:hideMark/>
          </w:tcPr>
          <w:p w14:paraId="0468F53E"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Lateral infiltration</w:t>
            </w:r>
          </w:p>
        </w:tc>
        <w:tc>
          <w:tcPr>
            <w:tcW w:w="0" w:type="auto"/>
            <w:shd w:val="clear" w:color="auto" w:fill="F2CEED" w:themeFill="accent5" w:themeFillTint="33"/>
            <w:vAlign w:val="center"/>
            <w:hideMark/>
          </w:tcPr>
          <w:p w14:paraId="49950B83"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Third-party risk assessment under DORA [3]</w:t>
            </w:r>
          </w:p>
        </w:tc>
      </w:tr>
      <w:tr w:rsidR="00757623" w:rsidRPr="00BB3230" w14:paraId="30195481" w14:textId="77777777" w:rsidTr="00E7796B">
        <w:trPr>
          <w:tblCellSpacing w:w="15" w:type="dxa"/>
        </w:trPr>
        <w:tc>
          <w:tcPr>
            <w:tcW w:w="0" w:type="auto"/>
            <w:shd w:val="clear" w:color="auto" w:fill="DAE9F7" w:themeFill="text2" w:themeFillTint="1A"/>
            <w:vAlign w:val="center"/>
            <w:hideMark/>
          </w:tcPr>
          <w:p w14:paraId="4D02D79D"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Credential Theft</w:t>
            </w:r>
          </w:p>
        </w:tc>
        <w:tc>
          <w:tcPr>
            <w:tcW w:w="0" w:type="auto"/>
            <w:shd w:val="clear" w:color="auto" w:fill="FAE2D5" w:themeFill="accent2" w:themeFillTint="33"/>
            <w:vAlign w:val="center"/>
            <w:hideMark/>
          </w:tcPr>
          <w:p w14:paraId="01168877"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Phishing</w:t>
            </w:r>
          </w:p>
        </w:tc>
        <w:tc>
          <w:tcPr>
            <w:tcW w:w="0" w:type="auto"/>
            <w:shd w:val="clear" w:color="auto" w:fill="D9F2D0" w:themeFill="accent6" w:themeFillTint="33"/>
            <w:vAlign w:val="center"/>
            <w:hideMark/>
          </w:tcPr>
          <w:p w14:paraId="587DFC52"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Unauthorized access</w:t>
            </w:r>
          </w:p>
        </w:tc>
        <w:tc>
          <w:tcPr>
            <w:tcW w:w="0" w:type="auto"/>
            <w:shd w:val="clear" w:color="auto" w:fill="F2CEED" w:themeFill="accent5" w:themeFillTint="33"/>
            <w:vAlign w:val="center"/>
            <w:hideMark/>
          </w:tcPr>
          <w:p w14:paraId="7445AD61"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Phishing-resistant MFA [7]</w:t>
            </w:r>
          </w:p>
        </w:tc>
      </w:tr>
    </w:tbl>
    <w:p w14:paraId="7555F48F" w14:textId="77777777" w:rsidR="00757623" w:rsidRPr="00380DAC" w:rsidRDefault="00757623" w:rsidP="009E2DC2">
      <w:pPr>
        <w:pStyle w:val="Heading1"/>
        <w:jc w:val="left"/>
        <w:rPr>
          <w:rFonts w:asciiTheme="minorBidi" w:hAnsiTheme="minorBidi" w:cstheme="minorBidi"/>
          <w:b/>
          <w:bCs/>
          <w:sz w:val="32"/>
          <w:szCs w:val="32"/>
          <w:lang w:val="en-GB"/>
        </w:rPr>
      </w:pPr>
      <w:bookmarkStart w:id="17" w:name="_Toc221787874"/>
      <w:r w:rsidRPr="00380DAC">
        <w:rPr>
          <w:rFonts w:asciiTheme="minorBidi" w:hAnsiTheme="minorBidi" w:cstheme="minorBidi"/>
          <w:b/>
          <w:bCs/>
          <w:sz w:val="32"/>
          <w:szCs w:val="32"/>
          <w:lang w:val="en-GB"/>
        </w:rPr>
        <w:t>6. AI Lifecycle Security and Usage Governance</w:t>
      </w:r>
      <w:bookmarkEnd w:id="17"/>
    </w:p>
    <w:p w14:paraId="3577C942" w14:textId="3DE26425" w:rsidR="00757623" w:rsidRPr="00F32B98" w:rsidRDefault="00757623" w:rsidP="00F32B98">
      <w:pPr>
        <w:spacing w:line="360" w:lineRule="auto"/>
        <w:jc w:val="left"/>
        <w:rPr>
          <w:rFonts w:asciiTheme="minorBidi" w:hAnsiTheme="minorBidi" w:cstheme="minorBidi"/>
          <w:sz w:val="24"/>
          <w:szCs w:val="24"/>
          <w:lang w:val="en-GB"/>
        </w:rPr>
      </w:pPr>
      <w:proofErr w:type="spellStart"/>
      <w:r w:rsidRPr="00BB3230">
        <w:rPr>
          <w:rFonts w:asciiTheme="minorBidi" w:hAnsiTheme="minorBidi" w:cstheme="minorBidi"/>
          <w:sz w:val="24"/>
          <w:szCs w:val="24"/>
          <w:lang w:val="en-GB"/>
        </w:rPr>
        <w:t>MediTrust’s</w:t>
      </w:r>
      <w:proofErr w:type="spellEnd"/>
      <w:r w:rsidRPr="00BB3230">
        <w:rPr>
          <w:rFonts w:asciiTheme="minorBidi" w:hAnsiTheme="minorBidi" w:cstheme="minorBidi"/>
          <w:sz w:val="24"/>
          <w:szCs w:val="24"/>
          <w:lang w:val="en-GB"/>
        </w:rPr>
        <w:t xml:space="preserve"> AI-powered clinical systems introduce risks beyond conventional IT infrastructure, including data poisoning, adversarial manipulation, and model integrity compromise [</w:t>
      </w:r>
      <w:r w:rsidR="00E55532" w:rsidRPr="00BB3230">
        <w:rPr>
          <w:rFonts w:asciiTheme="minorBidi" w:hAnsiTheme="minorBidi" w:cstheme="minorBidi"/>
          <w:sz w:val="24"/>
          <w:szCs w:val="24"/>
          <w:lang w:val="en-GB"/>
        </w:rPr>
        <w:t>8</w:t>
      </w:r>
      <w:r w:rsidRPr="00BB3230">
        <w:rPr>
          <w:rFonts w:asciiTheme="minorBidi" w:hAnsiTheme="minorBidi" w:cstheme="minorBidi"/>
          <w:sz w:val="24"/>
          <w:szCs w:val="24"/>
          <w:lang w:val="en-GB"/>
        </w:rPr>
        <w:t xml:space="preserve">]. </w:t>
      </w:r>
      <w:r w:rsidRPr="00BB3230">
        <w:rPr>
          <w:rFonts w:asciiTheme="minorBidi" w:hAnsiTheme="minorBidi" w:cstheme="minorBidi"/>
          <w:sz w:val="24"/>
          <w:szCs w:val="24"/>
          <w:lang w:val="en-GB"/>
        </w:rPr>
        <w:lastRenderedPageBreak/>
        <w:t>Therefore, AI security must be embedded across the entire development and deployment lifecycle.</w:t>
      </w:r>
    </w:p>
    <w:p w14:paraId="4F70AD3C" w14:textId="77777777" w:rsidR="00757623" w:rsidRPr="00380DAC" w:rsidRDefault="00757623" w:rsidP="009E2DC2">
      <w:pPr>
        <w:pStyle w:val="Heading2"/>
        <w:jc w:val="left"/>
        <w:rPr>
          <w:rFonts w:asciiTheme="minorBidi" w:hAnsiTheme="minorBidi" w:cstheme="minorBidi"/>
          <w:b/>
          <w:bCs/>
          <w:lang w:val="en-GB"/>
        </w:rPr>
      </w:pPr>
      <w:bookmarkStart w:id="18" w:name="_Toc221787875"/>
      <w:r w:rsidRPr="00380DAC">
        <w:rPr>
          <w:rFonts w:asciiTheme="minorBidi" w:hAnsiTheme="minorBidi" w:cstheme="minorBidi"/>
          <w:b/>
          <w:bCs/>
          <w:lang w:val="en-GB"/>
        </w:rPr>
        <w:t>6.1 AI Security Lifecycle Controls</w:t>
      </w:r>
      <w:bookmarkEnd w:id="18"/>
    </w:p>
    <w:p w14:paraId="30B2C2D8"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 proposed Zero Trust-aligned AI governance framework includes:</w:t>
      </w:r>
    </w:p>
    <w:p w14:paraId="54E9AF76" w14:textId="77777777" w:rsidR="00757623" w:rsidRPr="00BB3230" w:rsidRDefault="00757623">
      <w:pPr>
        <w:numPr>
          <w:ilvl w:val="0"/>
          <w:numId w:val="11"/>
        </w:num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Secure Data Acquisition</w:t>
      </w:r>
    </w:p>
    <w:p w14:paraId="23FD174A"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Cryptographic hashing of training datasets</w:t>
      </w:r>
    </w:p>
    <w:p w14:paraId="3F73280E"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Access restriction via least privilege controls</w:t>
      </w:r>
    </w:p>
    <w:p w14:paraId="3FD48770"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Data provenance verification</w:t>
      </w:r>
    </w:p>
    <w:p w14:paraId="575CB22C" w14:textId="77777777" w:rsidR="00757623" w:rsidRPr="00BB3230" w:rsidRDefault="00757623">
      <w:pPr>
        <w:numPr>
          <w:ilvl w:val="0"/>
          <w:numId w:val="11"/>
        </w:num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Secure Model Development</w:t>
      </w:r>
    </w:p>
    <w:p w14:paraId="1A2C1DB3"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Version-controlled repositories</w:t>
      </w:r>
    </w:p>
    <w:p w14:paraId="297C1C18"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Secure CI/CD integration</w:t>
      </w:r>
    </w:p>
    <w:p w14:paraId="194E83D0"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Mandatory peer code review</w:t>
      </w:r>
    </w:p>
    <w:p w14:paraId="742373CA"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Dependency scanning and SBOM documentation</w:t>
      </w:r>
    </w:p>
    <w:p w14:paraId="0F1DF330" w14:textId="77777777" w:rsidR="00757623" w:rsidRPr="00BB3230" w:rsidRDefault="00757623">
      <w:pPr>
        <w:numPr>
          <w:ilvl w:val="0"/>
          <w:numId w:val="11"/>
        </w:num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Model Validation &amp; Testing</w:t>
      </w:r>
    </w:p>
    <w:p w14:paraId="0B073402"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Adversarial robustness testing</w:t>
      </w:r>
    </w:p>
    <w:p w14:paraId="2E62F3B7"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Dataset integrity verification</w:t>
      </w:r>
    </w:p>
    <w:p w14:paraId="252C75CB"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Bias and explainability validation</w:t>
      </w:r>
    </w:p>
    <w:p w14:paraId="35AFBD12" w14:textId="77777777" w:rsidR="00757623" w:rsidRPr="00BB3230" w:rsidRDefault="00757623">
      <w:pPr>
        <w:numPr>
          <w:ilvl w:val="0"/>
          <w:numId w:val="11"/>
        </w:num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Deployment &amp; Monitoring</w:t>
      </w:r>
    </w:p>
    <w:p w14:paraId="31F52A97"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Runtime monitoring for model drift</w:t>
      </w:r>
    </w:p>
    <w:p w14:paraId="256FAE89"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Behaviour anomaly detection</w:t>
      </w:r>
    </w:p>
    <w:p w14:paraId="488782C7"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Controlled access via Zero Trust Network Access</w:t>
      </w:r>
    </w:p>
    <w:p w14:paraId="4C25C4C1" w14:textId="02DD0AE2" w:rsidR="00757623" w:rsidRPr="00F32B98"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These controls reduce exposure to model manipulation and unauthorised access.</w:t>
      </w:r>
    </w:p>
    <w:p w14:paraId="5FF9F947" w14:textId="33B14830" w:rsidR="00757623" w:rsidRPr="00380DAC" w:rsidRDefault="00757623" w:rsidP="009E2DC2">
      <w:pPr>
        <w:pStyle w:val="Heading2"/>
        <w:jc w:val="left"/>
        <w:rPr>
          <w:rFonts w:asciiTheme="minorBidi" w:hAnsiTheme="minorBidi" w:cstheme="minorBidi"/>
          <w:b/>
          <w:bCs/>
          <w:lang w:val="en-GB"/>
        </w:rPr>
      </w:pPr>
      <w:bookmarkStart w:id="19" w:name="_Toc221787876"/>
      <w:r w:rsidRPr="00380DAC">
        <w:rPr>
          <w:rFonts w:asciiTheme="minorBidi" w:hAnsiTheme="minorBidi" w:cstheme="minorBidi"/>
          <w:b/>
          <w:bCs/>
          <w:lang w:val="en-GB"/>
        </w:rPr>
        <w:t>6.2 AI Usage Policy</w:t>
      </w:r>
      <w:bookmarkEnd w:id="19"/>
    </w:p>
    <w:p w14:paraId="13DCF87B"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To formalise governance,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must implement an AI Usage Policy containing the following enforceable statements:</w:t>
      </w:r>
    </w:p>
    <w:p w14:paraId="1F353870" w14:textId="77777777" w:rsidR="00757623" w:rsidRPr="00BB3230" w:rsidRDefault="00757623">
      <w:pPr>
        <w:numPr>
          <w:ilvl w:val="0"/>
          <w:numId w:val="1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AI training data must be stored in encrypted repositories with role-based access control.</w:t>
      </w:r>
    </w:p>
    <w:p w14:paraId="57C2EB8A" w14:textId="77777777" w:rsidR="00757623" w:rsidRPr="00BB3230" w:rsidRDefault="00757623">
      <w:pPr>
        <w:numPr>
          <w:ilvl w:val="0"/>
          <w:numId w:val="1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Third-party datasets must undergo integrity verification before integration.</w:t>
      </w:r>
    </w:p>
    <w:p w14:paraId="6BD2F894" w14:textId="77777777" w:rsidR="00757623" w:rsidRPr="00BB3230" w:rsidRDefault="00757623">
      <w:pPr>
        <w:numPr>
          <w:ilvl w:val="0"/>
          <w:numId w:val="1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All AI models must be version-controlled and subject to documented validation procedures.</w:t>
      </w:r>
    </w:p>
    <w:p w14:paraId="179731BD" w14:textId="77777777" w:rsidR="00757623" w:rsidRPr="00BB3230" w:rsidRDefault="00757623">
      <w:pPr>
        <w:numPr>
          <w:ilvl w:val="0"/>
          <w:numId w:val="1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No AI system may be deployed without security review approval by the </w:t>
      </w:r>
      <w:proofErr w:type="spellStart"/>
      <w:r w:rsidRPr="00BB3230">
        <w:rPr>
          <w:rFonts w:asciiTheme="minorBidi" w:hAnsiTheme="minorBidi" w:cstheme="minorBidi"/>
          <w:sz w:val="24"/>
          <w:szCs w:val="24"/>
          <w:lang w:val="en-GB"/>
        </w:rPr>
        <w:t>DevSecOps</w:t>
      </w:r>
      <w:proofErr w:type="spellEnd"/>
      <w:r w:rsidRPr="00BB3230">
        <w:rPr>
          <w:rFonts w:asciiTheme="minorBidi" w:hAnsiTheme="minorBidi" w:cstheme="minorBidi"/>
          <w:sz w:val="24"/>
          <w:szCs w:val="24"/>
          <w:lang w:val="en-GB"/>
        </w:rPr>
        <w:t xml:space="preserve"> Lead.</w:t>
      </w:r>
    </w:p>
    <w:p w14:paraId="1E5BEFC3" w14:textId="77777777" w:rsidR="00757623" w:rsidRPr="00BB3230" w:rsidRDefault="00757623">
      <w:pPr>
        <w:numPr>
          <w:ilvl w:val="0"/>
          <w:numId w:val="1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AI-generated clinical outputs must remain auditable and traceable.</w:t>
      </w:r>
    </w:p>
    <w:p w14:paraId="39FD2C97" w14:textId="4AC78356" w:rsidR="00757623" w:rsidRPr="00BB3230"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lastRenderedPageBreak/>
        <w:t xml:space="preserve">The </w:t>
      </w:r>
      <w:proofErr w:type="spellStart"/>
      <w:r w:rsidRPr="00BB3230">
        <w:rPr>
          <w:rFonts w:asciiTheme="minorBidi" w:hAnsiTheme="minorBidi" w:cstheme="minorBidi"/>
          <w:sz w:val="24"/>
          <w:szCs w:val="24"/>
          <w:lang w:val="en-GB"/>
        </w:rPr>
        <w:t>DevSecOps</w:t>
      </w:r>
      <w:proofErr w:type="spellEnd"/>
      <w:r w:rsidRPr="00BB3230">
        <w:rPr>
          <w:rFonts w:asciiTheme="minorBidi" w:hAnsiTheme="minorBidi" w:cstheme="minorBidi"/>
          <w:sz w:val="24"/>
          <w:szCs w:val="24"/>
          <w:lang w:val="en-GB"/>
        </w:rPr>
        <w:t xml:space="preserve"> Lead is accountable for lifecycle security integration, while the Compliance Officer ensures alignment with GDPR data protection obligations and ethical AI standards [</w:t>
      </w:r>
      <w:r w:rsidR="00E55532" w:rsidRPr="00BB3230">
        <w:rPr>
          <w:rFonts w:asciiTheme="minorBidi" w:hAnsiTheme="minorBidi" w:cstheme="minorBidi"/>
          <w:sz w:val="24"/>
          <w:szCs w:val="24"/>
          <w:lang w:val="en-GB"/>
        </w:rPr>
        <w:t>9</w:t>
      </w:r>
      <w:r w:rsidRPr="00BB3230">
        <w:rPr>
          <w:rFonts w:asciiTheme="minorBidi" w:hAnsiTheme="minorBidi" w:cstheme="minorBidi"/>
          <w:sz w:val="24"/>
          <w:szCs w:val="24"/>
          <w:lang w:val="en-GB"/>
        </w:rPr>
        <w:t>].</w:t>
      </w:r>
    </w:p>
    <w:p w14:paraId="40A460BE" w14:textId="77777777" w:rsidR="00757623" w:rsidRPr="00380DAC" w:rsidRDefault="00757623" w:rsidP="009E2DC2">
      <w:pPr>
        <w:pStyle w:val="Heading2"/>
        <w:jc w:val="left"/>
        <w:rPr>
          <w:rFonts w:asciiTheme="minorBidi" w:hAnsiTheme="minorBidi" w:cstheme="minorBidi"/>
          <w:b/>
          <w:bCs/>
          <w:lang w:val="en-GB"/>
        </w:rPr>
      </w:pPr>
      <w:bookmarkStart w:id="20" w:name="_Toc221787877"/>
      <w:r w:rsidRPr="00380DAC">
        <w:rPr>
          <w:rFonts w:asciiTheme="minorBidi" w:hAnsiTheme="minorBidi" w:cstheme="minorBidi"/>
          <w:b/>
          <w:bCs/>
          <w:lang w:val="en-GB"/>
        </w:rPr>
        <w:t>6.3 Governance Justification</w:t>
      </w:r>
      <w:bookmarkEnd w:id="20"/>
    </w:p>
    <w:p w14:paraId="7D20223A" w14:textId="40E7AA3C"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Embedding AI security within </w:t>
      </w:r>
      <w:proofErr w:type="spellStart"/>
      <w:r w:rsidRPr="00BB3230">
        <w:rPr>
          <w:rFonts w:asciiTheme="minorBidi" w:hAnsiTheme="minorBidi" w:cstheme="minorBidi"/>
          <w:sz w:val="24"/>
          <w:szCs w:val="24"/>
          <w:lang w:val="en-GB"/>
        </w:rPr>
        <w:t>DevSecOps</w:t>
      </w:r>
      <w:proofErr w:type="spellEnd"/>
      <w:r w:rsidRPr="00BB3230">
        <w:rPr>
          <w:rFonts w:asciiTheme="minorBidi" w:hAnsiTheme="minorBidi" w:cstheme="minorBidi"/>
          <w:sz w:val="24"/>
          <w:szCs w:val="24"/>
          <w:lang w:val="en-GB"/>
        </w:rPr>
        <w:t xml:space="preserve"> pipelines ensures continuous validation rather than post-deployment correction [1</w:t>
      </w:r>
      <w:r w:rsidR="00E55532" w:rsidRPr="00BB3230">
        <w:rPr>
          <w:rFonts w:asciiTheme="minorBidi" w:hAnsiTheme="minorBidi" w:cstheme="minorBidi"/>
          <w:sz w:val="24"/>
          <w:szCs w:val="24"/>
          <w:lang w:val="en-GB"/>
        </w:rPr>
        <w:t>0</w:t>
      </w:r>
      <w:r w:rsidRPr="00BB3230">
        <w:rPr>
          <w:rFonts w:asciiTheme="minorBidi" w:hAnsiTheme="minorBidi" w:cstheme="minorBidi"/>
          <w:sz w:val="24"/>
          <w:szCs w:val="24"/>
          <w:lang w:val="en-GB"/>
        </w:rPr>
        <w:t xml:space="preserve">]. By integrating cryptographic integrity controls, secure repositories, and controlled deployment mechanisms,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strengthens both regulatory defensibility and clinical reliability.</w:t>
      </w:r>
    </w:p>
    <w:p w14:paraId="54CDF6AB" w14:textId="63046CB4"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AI governance must therefore function as a continuous assurance process aligned with Zero Trust verification principles rather than a static technical safeguard.</w:t>
      </w:r>
    </w:p>
    <w:p w14:paraId="7E968F4D" w14:textId="77777777" w:rsidR="00757623" w:rsidRPr="00380DAC" w:rsidRDefault="00757623" w:rsidP="009E2DC2">
      <w:pPr>
        <w:pStyle w:val="Heading1"/>
        <w:jc w:val="left"/>
        <w:rPr>
          <w:rFonts w:asciiTheme="minorBidi" w:hAnsiTheme="minorBidi" w:cstheme="minorBidi"/>
          <w:b/>
          <w:bCs/>
          <w:sz w:val="32"/>
          <w:szCs w:val="32"/>
          <w:lang w:val="en-GB"/>
        </w:rPr>
      </w:pPr>
      <w:bookmarkStart w:id="21" w:name="_Toc221787878"/>
      <w:r w:rsidRPr="00380DAC">
        <w:rPr>
          <w:rFonts w:asciiTheme="minorBidi" w:hAnsiTheme="minorBidi" w:cstheme="minorBidi"/>
          <w:b/>
          <w:bCs/>
          <w:sz w:val="32"/>
          <w:szCs w:val="32"/>
          <w:lang w:val="en-GB"/>
        </w:rPr>
        <w:t>7. Cloud Security Governance and Identity Architecture</w:t>
      </w:r>
      <w:bookmarkEnd w:id="21"/>
    </w:p>
    <w:p w14:paraId="5431B9DF" w14:textId="04E5BA87" w:rsidR="00757623" w:rsidRDefault="00757623" w:rsidP="00F32B98">
      <w:pPr>
        <w:spacing w:line="360" w:lineRule="auto"/>
        <w:jc w:val="left"/>
        <w:rPr>
          <w:rFonts w:asciiTheme="minorBidi" w:hAnsiTheme="minorBidi" w:cstheme="minorBidi"/>
          <w:sz w:val="24"/>
          <w:szCs w:val="24"/>
          <w:lang w:val="en-GB"/>
        </w:rPr>
      </w:pPr>
      <w:proofErr w:type="spellStart"/>
      <w:r w:rsidRPr="00BB3230">
        <w:rPr>
          <w:rFonts w:asciiTheme="minorBidi" w:hAnsiTheme="minorBidi" w:cstheme="minorBidi"/>
          <w:sz w:val="24"/>
          <w:szCs w:val="24"/>
          <w:lang w:val="en-GB"/>
        </w:rPr>
        <w:t>MediTrust’s</w:t>
      </w:r>
      <w:proofErr w:type="spellEnd"/>
      <w:r w:rsidRPr="00BB3230">
        <w:rPr>
          <w:rFonts w:asciiTheme="minorBidi" w:hAnsiTheme="minorBidi" w:cstheme="minorBidi"/>
          <w:sz w:val="24"/>
          <w:szCs w:val="24"/>
          <w:lang w:val="en-GB"/>
        </w:rPr>
        <w:t xml:space="preserve"> reliance on multi-cloud infrastructure increases exposure to configuration errors, identity misuse, and lateral attack propagation. A Zero Trust-aligned cloud governance model must therefore prioritise identity-centric enforcement, configuration monitoring, and segmentation controls.</w:t>
      </w:r>
    </w:p>
    <w:p w14:paraId="4CE2A5D2" w14:textId="77777777" w:rsidR="00AF22B6" w:rsidRDefault="00387372" w:rsidP="00AF22B6">
      <w:pPr>
        <w:keepNext/>
        <w:spacing w:line="360" w:lineRule="auto"/>
      </w:pPr>
      <w:r>
        <w:rPr>
          <w:noProof/>
        </w:rPr>
        <w:drawing>
          <wp:inline distT="0" distB="0" distL="0" distR="0" wp14:anchorId="06DFBE9E" wp14:editId="18F775BA">
            <wp:extent cx="4003589" cy="2422263"/>
            <wp:effectExtent l="0" t="0" r="0" b="0"/>
            <wp:docPr id="287160617" name="Picture 1" descr="A person holding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160617" name="Picture 1" descr="A person holding a computer&#10;&#10;AI-generated content may be incorrect."/>
                    <pic:cNvPicPr/>
                  </pic:nvPicPr>
                  <pic:blipFill>
                    <a:blip r:embed="rId16"/>
                    <a:stretch>
                      <a:fillRect/>
                    </a:stretch>
                  </pic:blipFill>
                  <pic:spPr>
                    <a:xfrm>
                      <a:off x="0" y="0"/>
                      <a:ext cx="4013422" cy="2428212"/>
                    </a:xfrm>
                    <a:prstGeom prst="rect">
                      <a:avLst/>
                    </a:prstGeom>
                  </pic:spPr>
                </pic:pic>
              </a:graphicData>
            </a:graphic>
          </wp:inline>
        </w:drawing>
      </w:r>
    </w:p>
    <w:p w14:paraId="54568796" w14:textId="243D7E6A" w:rsidR="00387372" w:rsidRPr="00F32B98" w:rsidRDefault="00AF22B6" w:rsidP="00AF22B6">
      <w:pPr>
        <w:pStyle w:val="Caption"/>
        <w:rPr>
          <w:rFonts w:asciiTheme="minorBidi" w:hAnsiTheme="minorBidi" w:cstheme="minorBidi"/>
          <w:sz w:val="24"/>
          <w:szCs w:val="24"/>
          <w:lang w:val="en-GB"/>
        </w:rPr>
      </w:pPr>
      <w:r>
        <w:t xml:space="preserve">Figure </w:t>
      </w:r>
      <w:r>
        <w:fldChar w:fldCharType="begin"/>
      </w:r>
      <w:r>
        <w:instrText xml:space="preserve"> SEQ Figure \* ARABIC </w:instrText>
      </w:r>
      <w:r>
        <w:fldChar w:fldCharType="separate"/>
      </w:r>
      <w:r w:rsidR="00540908">
        <w:rPr>
          <w:noProof/>
        </w:rPr>
        <w:t>5</w:t>
      </w:r>
      <w:r>
        <w:fldChar w:fldCharType="end"/>
      </w:r>
      <w:r>
        <w:rPr>
          <w:lang w:val="en-GB"/>
        </w:rPr>
        <w:t>: Top skills for cybersecurity Engineers</w:t>
      </w:r>
    </w:p>
    <w:p w14:paraId="12B472D0" w14:textId="77777777" w:rsidR="00757623" w:rsidRDefault="00757623" w:rsidP="009E2DC2">
      <w:pPr>
        <w:pStyle w:val="Heading2"/>
        <w:jc w:val="left"/>
        <w:rPr>
          <w:rFonts w:asciiTheme="minorBidi" w:hAnsiTheme="minorBidi" w:cstheme="minorBidi"/>
          <w:b/>
          <w:bCs/>
        </w:rPr>
      </w:pPr>
      <w:bookmarkStart w:id="22" w:name="_Toc221787879"/>
      <w:r w:rsidRPr="00380DAC">
        <w:rPr>
          <w:rFonts w:asciiTheme="minorBidi" w:hAnsiTheme="minorBidi" w:cstheme="minorBidi"/>
          <w:b/>
          <w:bCs/>
        </w:rPr>
        <w:t>7.1 Cloud Security Control Framework</w:t>
      </w:r>
      <w:bookmarkEnd w:id="22"/>
    </w:p>
    <w:p w14:paraId="6FDA232F" w14:textId="77777777" w:rsidR="006C3729" w:rsidRPr="006C3729" w:rsidRDefault="006C3729" w:rsidP="006C3729">
      <w:pPr>
        <w:spacing w:line="360" w:lineRule="auto"/>
        <w:contextualSpacing/>
        <w:jc w:val="left"/>
        <w:rPr>
          <w:rFonts w:asciiTheme="minorBidi" w:hAnsiTheme="minorBidi" w:cstheme="minorBidi"/>
          <w:sz w:val="24"/>
          <w:szCs w:val="24"/>
          <w:lang w:val="en-GB"/>
        </w:rPr>
      </w:pPr>
      <w:r w:rsidRPr="006C3729">
        <w:rPr>
          <w:rFonts w:asciiTheme="minorBidi" w:hAnsiTheme="minorBidi" w:cstheme="minorBidi"/>
          <w:sz w:val="24"/>
          <w:szCs w:val="24"/>
          <w:lang w:val="en-GB"/>
        </w:rPr>
        <w:t>These security controls help protect systems and respond to threats effectively. CSPM checks cloud settings to find mistakes or compliance issues. ZTNA limits users to only the specific applications they need. Phishing-resistant MFA (FIDO2) stops attackers from stealing or reusing passwords. SIEM collects and analyses security data to detect threats. EDR monitors devices for suspicious behaviour and isolates infected systems. SOAR automates response actions to quickly contain security incidents.</w:t>
      </w:r>
    </w:p>
    <w:p w14:paraId="2FA53E06"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 proposed protection architecture includes the following modern controls:</w:t>
      </w:r>
    </w:p>
    <w:p w14:paraId="71494950" w14:textId="77777777" w:rsidR="00757623" w:rsidRPr="00BB3230" w:rsidRDefault="00757623" w:rsidP="009B57EA">
      <w:pPr>
        <w:spacing w:line="360" w:lineRule="auto"/>
        <w:jc w:val="left"/>
        <w:rPr>
          <w:rFonts w:asciiTheme="minorBidi" w:hAnsiTheme="minorBidi" w:cstheme="minorBidi"/>
          <w:b/>
          <w:bCs/>
          <w:sz w:val="24"/>
          <w:szCs w:val="24"/>
          <w:lang w:val="en-GB"/>
        </w:rPr>
      </w:pPr>
    </w:p>
    <w:tbl>
      <w:tblPr>
        <w:tblW w:w="0" w:type="auto"/>
        <w:tblCellSpacing w:w="15" w:type="dxa"/>
        <w:tblBorders>
          <w:top w:val="dashDotStroked" w:sz="24" w:space="0" w:color="074F6A" w:themeColor="accent4" w:themeShade="80"/>
          <w:left w:val="dashDotStroked" w:sz="24" w:space="0" w:color="074F6A" w:themeColor="accent4" w:themeShade="80"/>
          <w:bottom w:val="dashDotStroked" w:sz="24" w:space="0" w:color="074F6A" w:themeColor="accent4" w:themeShade="80"/>
          <w:right w:val="dashDotStroked" w:sz="24" w:space="0" w:color="074F6A" w:themeColor="accent4" w:themeShade="80"/>
        </w:tblBorders>
        <w:tblCellMar>
          <w:top w:w="15" w:type="dxa"/>
          <w:left w:w="15" w:type="dxa"/>
          <w:bottom w:w="15" w:type="dxa"/>
          <w:right w:w="15" w:type="dxa"/>
        </w:tblCellMar>
        <w:tblLook w:val="04A0" w:firstRow="1" w:lastRow="0" w:firstColumn="1" w:lastColumn="0" w:noHBand="0" w:noVBand="1"/>
      </w:tblPr>
      <w:tblGrid>
        <w:gridCol w:w="3714"/>
        <w:gridCol w:w="4288"/>
        <w:gridCol w:w="2058"/>
      </w:tblGrid>
      <w:tr w:rsidR="00757623" w:rsidRPr="00BB3230" w14:paraId="53A453CC" w14:textId="77777777" w:rsidTr="00E7796B">
        <w:trPr>
          <w:tblHeader/>
          <w:tblCellSpacing w:w="15" w:type="dxa"/>
        </w:trPr>
        <w:tc>
          <w:tcPr>
            <w:tcW w:w="0" w:type="auto"/>
            <w:shd w:val="clear" w:color="auto" w:fill="0B769F" w:themeFill="accent4" w:themeFillShade="BF"/>
            <w:vAlign w:val="center"/>
            <w:hideMark/>
          </w:tcPr>
          <w:p w14:paraId="238E79CD"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Control</w:t>
            </w:r>
          </w:p>
        </w:tc>
        <w:tc>
          <w:tcPr>
            <w:tcW w:w="0" w:type="auto"/>
            <w:shd w:val="clear" w:color="auto" w:fill="0B769F" w:themeFill="accent4" w:themeFillShade="BF"/>
            <w:vAlign w:val="center"/>
            <w:hideMark/>
          </w:tcPr>
          <w:p w14:paraId="2BE36B24"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Purpose</w:t>
            </w:r>
          </w:p>
        </w:tc>
        <w:tc>
          <w:tcPr>
            <w:tcW w:w="0" w:type="auto"/>
            <w:shd w:val="clear" w:color="auto" w:fill="0B769F" w:themeFill="accent4" w:themeFillShade="BF"/>
            <w:vAlign w:val="center"/>
            <w:hideMark/>
          </w:tcPr>
          <w:p w14:paraId="4E920A5C"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Responsible Role</w:t>
            </w:r>
          </w:p>
        </w:tc>
      </w:tr>
      <w:tr w:rsidR="00757623" w:rsidRPr="00BB3230" w14:paraId="191204FC" w14:textId="77777777" w:rsidTr="00E7796B">
        <w:trPr>
          <w:tblCellSpacing w:w="15" w:type="dxa"/>
        </w:trPr>
        <w:tc>
          <w:tcPr>
            <w:tcW w:w="0" w:type="auto"/>
            <w:shd w:val="clear" w:color="auto" w:fill="CAEDFB" w:themeFill="accent4" w:themeFillTint="33"/>
            <w:vAlign w:val="center"/>
            <w:hideMark/>
          </w:tcPr>
          <w:p w14:paraId="622F93EC"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 Security Posture Management (CSPM)</w:t>
            </w:r>
          </w:p>
        </w:tc>
        <w:tc>
          <w:tcPr>
            <w:tcW w:w="0" w:type="auto"/>
            <w:shd w:val="clear" w:color="auto" w:fill="FAE2D5" w:themeFill="accent2" w:themeFillTint="33"/>
            <w:vAlign w:val="center"/>
            <w:hideMark/>
          </w:tcPr>
          <w:p w14:paraId="564AA444"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Detects misconfiguration and compliance drift</w:t>
            </w:r>
          </w:p>
        </w:tc>
        <w:tc>
          <w:tcPr>
            <w:tcW w:w="0" w:type="auto"/>
            <w:shd w:val="clear" w:color="auto" w:fill="D9F2D0" w:themeFill="accent6" w:themeFillTint="33"/>
            <w:vAlign w:val="center"/>
            <w:hideMark/>
          </w:tcPr>
          <w:p w14:paraId="088CB540"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 Security Architect</w:t>
            </w:r>
          </w:p>
        </w:tc>
      </w:tr>
      <w:tr w:rsidR="00757623" w:rsidRPr="00BB3230" w14:paraId="4A7C007D" w14:textId="77777777" w:rsidTr="00E7796B">
        <w:trPr>
          <w:tblCellSpacing w:w="15" w:type="dxa"/>
        </w:trPr>
        <w:tc>
          <w:tcPr>
            <w:tcW w:w="0" w:type="auto"/>
            <w:shd w:val="clear" w:color="auto" w:fill="CAEDFB" w:themeFill="accent4" w:themeFillTint="33"/>
            <w:vAlign w:val="center"/>
            <w:hideMark/>
          </w:tcPr>
          <w:p w14:paraId="6355FBE1"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Zero Trust Network Access (ZTNA)</w:t>
            </w:r>
          </w:p>
        </w:tc>
        <w:tc>
          <w:tcPr>
            <w:tcW w:w="0" w:type="auto"/>
            <w:shd w:val="clear" w:color="auto" w:fill="FAE2D5" w:themeFill="accent2" w:themeFillTint="33"/>
            <w:vAlign w:val="center"/>
            <w:hideMark/>
          </w:tcPr>
          <w:p w14:paraId="74ACD9C0"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Restricts access to specific applications instead of full network access</w:t>
            </w:r>
          </w:p>
        </w:tc>
        <w:tc>
          <w:tcPr>
            <w:tcW w:w="0" w:type="auto"/>
            <w:shd w:val="clear" w:color="auto" w:fill="D9F2D0" w:themeFill="accent6" w:themeFillTint="33"/>
            <w:vAlign w:val="center"/>
            <w:hideMark/>
          </w:tcPr>
          <w:p w14:paraId="262A93FC"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 Security Architect</w:t>
            </w:r>
          </w:p>
        </w:tc>
      </w:tr>
      <w:tr w:rsidR="00757623" w:rsidRPr="00BB3230" w14:paraId="028BF957" w14:textId="77777777" w:rsidTr="00E7796B">
        <w:trPr>
          <w:tblCellSpacing w:w="15" w:type="dxa"/>
        </w:trPr>
        <w:tc>
          <w:tcPr>
            <w:tcW w:w="0" w:type="auto"/>
            <w:shd w:val="clear" w:color="auto" w:fill="CAEDFB" w:themeFill="accent4" w:themeFillTint="33"/>
            <w:vAlign w:val="center"/>
            <w:hideMark/>
          </w:tcPr>
          <w:p w14:paraId="122BA25D"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Phishing-Resistant MFA (FIDO2)</w:t>
            </w:r>
          </w:p>
        </w:tc>
        <w:tc>
          <w:tcPr>
            <w:tcW w:w="0" w:type="auto"/>
            <w:shd w:val="clear" w:color="auto" w:fill="FAE2D5" w:themeFill="accent2" w:themeFillTint="33"/>
            <w:vAlign w:val="center"/>
            <w:hideMark/>
          </w:tcPr>
          <w:p w14:paraId="2F00934B"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Prevents credential theft and password replay attacks</w:t>
            </w:r>
          </w:p>
        </w:tc>
        <w:tc>
          <w:tcPr>
            <w:tcW w:w="0" w:type="auto"/>
            <w:shd w:val="clear" w:color="auto" w:fill="D9F2D0" w:themeFill="accent6" w:themeFillTint="33"/>
            <w:vAlign w:val="center"/>
            <w:hideMark/>
          </w:tcPr>
          <w:p w14:paraId="441F5EFD"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CISO / SOC</w:t>
            </w:r>
          </w:p>
        </w:tc>
      </w:tr>
      <w:tr w:rsidR="00757623" w:rsidRPr="00BB3230" w14:paraId="7DBBD97E" w14:textId="77777777" w:rsidTr="00E7796B">
        <w:trPr>
          <w:tblCellSpacing w:w="15" w:type="dxa"/>
        </w:trPr>
        <w:tc>
          <w:tcPr>
            <w:tcW w:w="0" w:type="auto"/>
            <w:shd w:val="clear" w:color="auto" w:fill="CAEDFB" w:themeFill="accent4" w:themeFillTint="33"/>
            <w:vAlign w:val="center"/>
            <w:hideMark/>
          </w:tcPr>
          <w:p w14:paraId="4EE92185"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Security Information and Event Management (SIEM)</w:t>
            </w:r>
          </w:p>
        </w:tc>
        <w:tc>
          <w:tcPr>
            <w:tcW w:w="0" w:type="auto"/>
            <w:shd w:val="clear" w:color="auto" w:fill="FAE2D5" w:themeFill="accent2" w:themeFillTint="33"/>
            <w:vAlign w:val="center"/>
            <w:hideMark/>
          </w:tcPr>
          <w:p w14:paraId="60B7DDE2"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Aggregates and correlates security telemetry</w:t>
            </w:r>
          </w:p>
        </w:tc>
        <w:tc>
          <w:tcPr>
            <w:tcW w:w="0" w:type="auto"/>
            <w:shd w:val="clear" w:color="auto" w:fill="D9F2D0" w:themeFill="accent6" w:themeFillTint="33"/>
            <w:vAlign w:val="center"/>
            <w:hideMark/>
          </w:tcPr>
          <w:p w14:paraId="08C80D88"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SOC Manager</w:t>
            </w:r>
          </w:p>
        </w:tc>
      </w:tr>
      <w:tr w:rsidR="00757623" w:rsidRPr="00BB3230" w14:paraId="2566224B" w14:textId="77777777" w:rsidTr="00E7796B">
        <w:trPr>
          <w:tblCellSpacing w:w="15" w:type="dxa"/>
        </w:trPr>
        <w:tc>
          <w:tcPr>
            <w:tcW w:w="0" w:type="auto"/>
            <w:shd w:val="clear" w:color="auto" w:fill="CAEDFB" w:themeFill="accent4" w:themeFillTint="33"/>
            <w:vAlign w:val="center"/>
            <w:hideMark/>
          </w:tcPr>
          <w:p w14:paraId="2A93B4BB"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Endpoint Detection &amp; Response (EDR)</w:t>
            </w:r>
          </w:p>
        </w:tc>
        <w:tc>
          <w:tcPr>
            <w:tcW w:w="0" w:type="auto"/>
            <w:shd w:val="clear" w:color="auto" w:fill="FAE2D5" w:themeFill="accent2" w:themeFillTint="33"/>
            <w:vAlign w:val="center"/>
            <w:hideMark/>
          </w:tcPr>
          <w:p w14:paraId="7F892A71"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Detects behavioural anomalies and isolates compromised endpoints</w:t>
            </w:r>
          </w:p>
        </w:tc>
        <w:tc>
          <w:tcPr>
            <w:tcW w:w="0" w:type="auto"/>
            <w:shd w:val="clear" w:color="auto" w:fill="D9F2D0" w:themeFill="accent6" w:themeFillTint="33"/>
            <w:vAlign w:val="center"/>
            <w:hideMark/>
          </w:tcPr>
          <w:p w14:paraId="4C2E4050"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SOC Manager</w:t>
            </w:r>
          </w:p>
        </w:tc>
      </w:tr>
      <w:tr w:rsidR="00757623" w:rsidRPr="00BB3230" w14:paraId="23C3D261" w14:textId="77777777" w:rsidTr="00E7796B">
        <w:trPr>
          <w:tblCellSpacing w:w="15" w:type="dxa"/>
        </w:trPr>
        <w:tc>
          <w:tcPr>
            <w:tcW w:w="0" w:type="auto"/>
            <w:shd w:val="clear" w:color="auto" w:fill="CAEDFB" w:themeFill="accent4" w:themeFillTint="33"/>
            <w:vAlign w:val="center"/>
            <w:hideMark/>
          </w:tcPr>
          <w:p w14:paraId="5A3E59EE"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Security Orchestration, Automation and Response (SOAR)</w:t>
            </w:r>
          </w:p>
        </w:tc>
        <w:tc>
          <w:tcPr>
            <w:tcW w:w="0" w:type="auto"/>
            <w:shd w:val="clear" w:color="auto" w:fill="FAE2D5" w:themeFill="accent2" w:themeFillTint="33"/>
            <w:vAlign w:val="center"/>
            <w:hideMark/>
          </w:tcPr>
          <w:p w14:paraId="250CF2A1"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Automates incident containment workflows</w:t>
            </w:r>
          </w:p>
        </w:tc>
        <w:tc>
          <w:tcPr>
            <w:tcW w:w="0" w:type="auto"/>
            <w:shd w:val="clear" w:color="auto" w:fill="D9F2D0" w:themeFill="accent6" w:themeFillTint="33"/>
            <w:vAlign w:val="center"/>
            <w:hideMark/>
          </w:tcPr>
          <w:p w14:paraId="7CC4C4EE"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SOC Manager</w:t>
            </w:r>
          </w:p>
        </w:tc>
      </w:tr>
    </w:tbl>
    <w:p w14:paraId="2A6A86B7" w14:textId="77777777" w:rsidR="00757623" w:rsidRPr="00BB3230" w:rsidRDefault="00757623" w:rsidP="009B57EA">
      <w:pPr>
        <w:spacing w:line="360" w:lineRule="auto"/>
        <w:jc w:val="left"/>
        <w:rPr>
          <w:rFonts w:asciiTheme="minorBidi" w:hAnsiTheme="minorBidi" w:cstheme="minorBidi"/>
          <w:b/>
          <w:bCs/>
          <w:sz w:val="24"/>
          <w:szCs w:val="24"/>
          <w:lang w:val="en-GB"/>
        </w:rPr>
      </w:pPr>
    </w:p>
    <w:p w14:paraId="5E766D8E" w14:textId="66BF6C6E" w:rsidR="00757623" w:rsidRPr="00F32B98"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This layered yet identity-driven approach integrates detection and automated response capabilities consistent with Zero Trust principles.</w:t>
      </w:r>
    </w:p>
    <w:p w14:paraId="0055D52E" w14:textId="77777777" w:rsidR="00757623" w:rsidRPr="00380DAC" w:rsidRDefault="00757623" w:rsidP="009E2DC2">
      <w:pPr>
        <w:pStyle w:val="Heading2"/>
        <w:jc w:val="left"/>
        <w:rPr>
          <w:rFonts w:asciiTheme="minorBidi" w:hAnsiTheme="minorBidi" w:cstheme="minorBidi"/>
          <w:b/>
          <w:bCs/>
          <w:lang w:val="en-GB"/>
        </w:rPr>
      </w:pPr>
      <w:bookmarkStart w:id="23" w:name="_Toc221787880"/>
      <w:r w:rsidRPr="00380DAC">
        <w:rPr>
          <w:rFonts w:asciiTheme="minorBidi" w:hAnsiTheme="minorBidi" w:cstheme="minorBidi"/>
          <w:b/>
          <w:bCs/>
          <w:lang w:val="en-GB"/>
        </w:rPr>
        <w:t>7.2 Identity Resilience Architecture</w:t>
      </w:r>
      <w:bookmarkEnd w:id="23"/>
    </w:p>
    <w:p w14:paraId="77DFEB19"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Because identity systems become central enforcement points in Zero Trust environments, resilience mechanisms are required:</w:t>
      </w:r>
    </w:p>
    <w:p w14:paraId="644B106C" w14:textId="77777777" w:rsidR="00757623" w:rsidRPr="00BB3230" w:rsidRDefault="00757623">
      <w:pPr>
        <w:numPr>
          <w:ilvl w:val="0"/>
          <w:numId w:val="13"/>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Distributed identity provider nodes</w:t>
      </w:r>
    </w:p>
    <w:p w14:paraId="2EC1EE81" w14:textId="77777777" w:rsidR="00757623" w:rsidRPr="00BB3230" w:rsidRDefault="00757623">
      <w:pPr>
        <w:numPr>
          <w:ilvl w:val="0"/>
          <w:numId w:val="13"/>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Failover authentication services</w:t>
      </w:r>
    </w:p>
    <w:p w14:paraId="60E79A96" w14:textId="77777777" w:rsidR="00757623" w:rsidRPr="00BB3230" w:rsidRDefault="00757623">
      <w:pPr>
        <w:numPr>
          <w:ilvl w:val="0"/>
          <w:numId w:val="13"/>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Segmented identity domains</w:t>
      </w:r>
    </w:p>
    <w:p w14:paraId="30225086" w14:textId="77777777" w:rsidR="00757623" w:rsidRPr="00BB3230" w:rsidRDefault="00757623">
      <w:pPr>
        <w:numPr>
          <w:ilvl w:val="0"/>
          <w:numId w:val="13"/>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Continuous authentication validation</w:t>
      </w:r>
    </w:p>
    <w:p w14:paraId="267DC7BF" w14:textId="658713F7" w:rsidR="00757623" w:rsidRPr="00F32B98"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These controls reduce concentration risk and prevent systemic disruption if </w:t>
      </w:r>
      <w:r w:rsidR="00921B6F" w:rsidRPr="00BB3230">
        <w:rPr>
          <w:rFonts w:asciiTheme="minorBidi" w:hAnsiTheme="minorBidi" w:cstheme="minorBidi"/>
          <w:sz w:val="24"/>
          <w:szCs w:val="24"/>
          <w:lang w:val="en-GB"/>
        </w:rPr>
        <w:t xml:space="preserve">the </w:t>
      </w:r>
      <w:r w:rsidRPr="00BB3230">
        <w:rPr>
          <w:rFonts w:asciiTheme="minorBidi" w:hAnsiTheme="minorBidi" w:cstheme="minorBidi"/>
          <w:sz w:val="24"/>
          <w:szCs w:val="24"/>
          <w:lang w:val="en-GB"/>
        </w:rPr>
        <w:t>authentication infrastructure is compromised [</w:t>
      </w:r>
      <w:r w:rsidR="00FC0F40" w:rsidRPr="00BB3230">
        <w:rPr>
          <w:rFonts w:asciiTheme="minorBidi" w:hAnsiTheme="minorBidi" w:cstheme="minorBidi"/>
          <w:sz w:val="24"/>
          <w:szCs w:val="24"/>
          <w:lang w:val="en-GB"/>
        </w:rPr>
        <w:t>11</w:t>
      </w:r>
      <w:r w:rsidRPr="00BB3230">
        <w:rPr>
          <w:rFonts w:asciiTheme="minorBidi" w:hAnsiTheme="minorBidi" w:cstheme="minorBidi"/>
          <w:sz w:val="24"/>
          <w:szCs w:val="24"/>
          <w:lang w:val="en-GB"/>
        </w:rPr>
        <w:t>].</w:t>
      </w:r>
    </w:p>
    <w:p w14:paraId="42649ED6" w14:textId="77777777" w:rsidR="00757623" w:rsidRPr="00EE53FB" w:rsidRDefault="00757623" w:rsidP="009E2DC2">
      <w:pPr>
        <w:pStyle w:val="Heading2"/>
        <w:jc w:val="left"/>
        <w:rPr>
          <w:rFonts w:asciiTheme="minorBidi" w:hAnsiTheme="minorBidi" w:cstheme="minorBidi"/>
          <w:b/>
          <w:bCs/>
          <w:lang w:val="en-GB"/>
        </w:rPr>
      </w:pPr>
      <w:bookmarkStart w:id="24" w:name="_Toc221787881"/>
      <w:r w:rsidRPr="00EE53FB">
        <w:rPr>
          <w:rFonts w:asciiTheme="minorBidi" w:hAnsiTheme="minorBidi" w:cstheme="minorBidi"/>
          <w:b/>
          <w:bCs/>
          <w:lang w:val="en-GB"/>
        </w:rPr>
        <w:t>7.3 Micro-Segmentation and Workload Isolation</w:t>
      </w:r>
      <w:bookmarkEnd w:id="24"/>
    </w:p>
    <w:p w14:paraId="292E5747" w14:textId="47198BC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Cloud workloads processing patient data must be logically segmented based on </w:t>
      </w:r>
      <w:r w:rsidR="00AB1872">
        <w:rPr>
          <w:rFonts w:asciiTheme="minorBidi" w:hAnsiTheme="minorBidi" w:cstheme="minorBidi"/>
          <w:sz w:val="24"/>
          <w:szCs w:val="24"/>
          <w:lang w:val="en-GB"/>
        </w:rPr>
        <w:t xml:space="preserve">the </w:t>
      </w:r>
      <w:r w:rsidRPr="00BB3230">
        <w:rPr>
          <w:rFonts w:asciiTheme="minorBidi" w:hAnsiTheme="minorBidi" w:cstheme="minorBidi"/>
          <w:sz w:val="24"/>
          <w:szCs w:val="24"/>
          <w:lang w:val="en-GB"/>
        </w:rPr>
        <w:t>sensitivity level. East-west traffic restrictions ensure that compromise of one application environment does not expose AI training repositories or clinical data systems.</w:t>
      </w:r>
    </w:p>
    <w:p w14:paraId="61800B8D" w14:textId="048F73C3" w:rsidR="00757623" w:rsidRPr="00F32B98"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lastRenderedPageBreak/>
        <w:t>Segmentation combined with CSPM monitoring significantly reduces lateral movement opportunities within hybrid cloud ecosystems.</w:t>
      </w:r>
    </w:p>
    <w:p w14:paraId="08480B00" w14:textId="77777777" w:rsidR="00757623" w:rsidRPr="00EE53FB" w:rsidRDefault="00757623" w:rsidP="009E2DC2">
      <w:pPr>
        <w:pStyle w:val="Heading2"/>
        <w:jc w:val="left"/>
        <w:rPr>
          <w:rFonts w:asciiTheme="minorBidi" w:hAnsiTheme="minorBidi" w:cstheme="minorBidi"/>
          <w:b/>
          <w:bCs/>
          <w:lang w:val="en-GB"/>
        </w:rPr>
      </w:pPr>
      <w:bookmarkStart w:id="25" w:name="_Toc221787882"/>
      <w:r w:rsidRPr="00EE53FB">
        <w:rPr>
          <w:rFonts w:asciiTheme="minorBidi" w:hAnsiTheme="minorBidi" w:cstheme="minorBidi"/>
          <w:b/>
          <w:bCs/>
          <w:lang w:val="en-GB"/>
        </w:rPr>
        <w:t>7.4 Strategic Justification</w:t>
      </w:r>
      <w:bookmarkEnd w:id="25"/>
    </w:p>
    <w:p w14:paraId="213E4564" w14:textId="1416293B" w:rsidR="00085894" w:rsidRPr="00F32B98"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Cloud governance under Zero Trust shifts control emphasis from perimeter defence to workload-level and </w:t>
      </w:r>
      <w:r w:rsidR="00921B6F" w:rsidRPr="00BB3230">
        <w:rPr>
          <w:rFonts w:asciiTheme="minorBidi" w:hAnsiTheme="minorBidi" w:cstheme="minorBidi"/>
          <w:sz w:val="24"/>
          <w:szCs w:val="24"/>
          <w:lang w:val="en-GB"/>
        </w:rPr>
        <w:t>identity-level</w:t>
      </w:r>
      <w:r w:rsidRPr="00BB3230">
        <w:rPr>
          <w:rFonts w:asciiTheme="minorBidi" w:hAnsiTheme="minorBidi" w:cstheme="minorBidi"/>
          <w:sz w:val="24"/>
          <w:szCs w:val="24"/>
          <w:lang w:val="en-GB"/>
        </w:rPr>
        <w:t xml:space="preserve"> verification. By integrating configuration monitoring, phishing-resistant authentication, telemetry aggregation, and automated containment,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strengthens both regulatory compliance and operational resilience.</w:t>
      </w:r>
    </w:p>
    <w:p w14:paraId="629ED9BB" w14:textId="77777777" w:rsidR="007B18E0" w:rsidRPr="00EE53FB" w:rsidRDefault="007B18E0" w:rsidP="009E2DC2">
      <w:pPr>
        <w:pStyle w:val="Heading1"/>
        <w:jc w:val="left"/>
        <w:rPr>
          <w:rFonts w:asciiTheme="minorBidi" w:hAnsiTheme="minorBidi" w:cstheme="minorBidi"/>
          <w:b/>
          <w:bCs/>
          <w:sz w:val="32"/>
          <w:szCs w:val="32"/>
          <w:lang w:val="en-GB"/>
        </w:rPr>
      </w:pPr>
      <w:bookmarkStart w:id="26" w:name="_Toc221787883"/>
      <w:r w:rsidRPr="00EE53FB">
        <w:rPr>
          <w:rFonts w:asciiTheme="minorBidi" w:hAnsiTheme="minorBidi" w:cstheme="minorBidi"/>
          <w:b/>
          <w:bCs/>
          <w:sz w:val="32"/>
          <w:szCs w:val="32"/>
          <w:lang w:val="en-GB"/>
        </w:rPr>
        <w:t>8. Detection, Automation and Incident Response Framework</w:t>
      </w:r>
      <w:bookmarkEnd w:id="26"/>
      <w:r w:rsidRPr="00EE53FB">
        <w:rPr>
          <w:rFonts w:asciiTheme="minorBidi" w:hAnsiTheme="minorBidi" w:cstheme="minorBidi"/>
          <w:b/>
          <w:bCs/>
          <w:sz w:val="32"/>
          <w:szCs w:val="32"/>
          <w:lang w:val="en-GB"/>
        </w:rPr>
        <w:t xml:space="preserve"> </w:t>
      </w:r>
    </w:p>
    <w:p w14:paraId="26303FEC" w14:textId="49938655"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Continuous detection and automated containment are essential to ensure operational resilience and regulatory compliance under NIS2 and DORA.</w:t>
      </w:r>
    </w:p>
    <w:p w14:paraId="24110AEB" w14:textId="77777777" w:rsidR="007B18E0" w:rsidRPr="00EE53FB" w:rsidRDefault="007B18E0" w:rsidP="009E2DC2">
      <w:pPr>
        <w:pStyle w:val="Heading2"/>
        <w:jc w:val="left"/>
        <w:rPr>
          <w:rFonts w:asciiTheme="minorBidi" w:hAnsiTheme="minorBidi" w:cstheme="minorBidi"/>
          <w:b/>
          <w:bCs/>
          <w:lang w:val="en-GB"/>
        </w:rPr>
      </w:pPr>
      <w:bookmarkStart w:id="27" w:name="_Toc221787884"/>
      <w:r w:rsidRPr="00EE53FB">
        <w:rPr>
          <w:rFonts w:asciiTheme="minorBidi" w:hAnsiTheme="minorBidi" w:cstheme="minorBidi"/>
          <w:b/>
          <w:bCs/>
          <w:lang w:val="en-GB"/>
        </w:rPr>
        <w:t>8.1 Detection Architecture</w:t>
      </w:r>
      <w:bookmarkEnd w:id="27"/>
    </w:p>
    <w:p w14:paraId="3CDC9D1B" w14:textId="77777777" w:rsidR="007B18E0" w:rsidRPr="00BB3230" w:rsidRDefault="007B18E0" w:rsidP="009B57EA">
      <w:pPr>
        <w:spacing w:line="360" w:lineRule="auto"/>
        <w:jc w:val="left"/>
        <w:rPr>
          <w:rFonts w:asciiTheme="minorBidi" w:hAnsiTheme="minorBidi" w:cstheme="minorBidi"/>
          <w:sz w:val="24"/>
          <w:szCs w:val="24"/>
          <w:lang w:val="en-GB"/>
        </w:rPr>
      </w:pPr>
      <w:proofErr w:type="spellStart"/>
      <w:r w:rsidRPr="00BB3230">
        <w:rPr>
          <w:rFonts w:asciiTheme="minorBidi" w:hAnsiTheme="minorBidi" w:cstheme="minorBidi"/>
          <w:sz w:val="24"/>
          <w:szCs w:val="24"/>
          <w:lang w:val="en-GB"/>
        </w:rPr>
        <w:t>MediTrust’s</w:t>
      </w:r>
      <w:proofErr w:type="spellEnd"/>
      <w:r w:rsidRPr="00BB3230">
        <w:rPr>
          <w:rFonts w:asciiTheme="minorBidi" w:hAnsiTheme="minorBidi" w:cstheme="minorBidi"/>
          <w:sz w:val="24"/>
          <w:szCs w:val="24"/>
          <w:lang w:val="en-GB"/>
        </w:rPr>
        <w:t xml:space="preserve"> detection model integrates:</w:t>
      </w:r>
    </w:p>
    <w:p w14:paraId="7683F670" w14:textId="77777777" w:rsidR="007B18E0" w:rsidRPr="00BB3230" w:rsidRDefault="007B18E0">
      <w:pPr>
        <w:numPr>
          <w:ilvl w:val="0"/>
          <w:numId w:val="14"/>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SIEM for real-time telemetry aggregation</w:t>
      </w:r>
    </w:p>
    <w:p w14:paraId="3F921A87" w14:textId="77777777" w:rsidR="007B18E0" w:rsidRPr="00BB3230" w:rsidRDefault="007B18E0">
      <w:pPr>
        <w:numPr>
          <w:ilvl w:val="0"/>
          <w:numId w:val="14"/>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EDR for endpoint behavioural monitoring</w:t>
      </w:r>
    </w:p>
    <w:p w14:paraId="63107FFD" w14:textId="77777777" w:rsidR="007B18E0" w:rsidRPr="00BB3230" w:rsidRDefault="007B18E0">
      <w:pPr>
        <w:numPr>
          <w:ilvl w:val="0"/>
          <w:numId w:val="14"/>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Cloud-native logging across multi-cloud platforms</w:t>
      </w:r>
    </w:p>
    <w:p w14:paraId="0B0AE9AD" w14:textId="77777777" w:rsidR="007B18E0" w:rsidRPr="00BB3230" w:rsidRDefault="007B18E0">
      <w:pPr>
        <w:numPr>
          <w:ilvl w:val="0"/>
          <w:numId w:val="14"/>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Identity monitoring for anomalous authentication attempts</w:t>
      </w:r>
    </w:p>
    <w:p w14:paraId="43B99B5C" w14:textId="73722C17"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These systems correlate logs across endpoints, AI repositories, identity platforms, and cloud workloads to identify suspicious patterns.</w:t>
      </w:r>
    </w:p>
    <w:p w14:paraId="4289F542" w14:textId="77777777" w:rsidR="007B18E0" w:rsidRPr="00EE53FB" w:rsidRDefault="007B18E0" w:rsidP="009E2DC2">
      <w:pPr>
        <w:pStyle w:val="Heading2"/>
        <w:jc w:val="left"/>
        <w:rPr>
          <w:rFonts w:asciiTheme="minorBidi" w:hAnsiTheme="minorBidi" w:cstheme="minorBidi"/>
          <w:b/>
          <w:bCs/>
          <w:lang w:val="en-GB"/>
        </w:rPr>
      </w:pPr>
      <w:bookmarkStart w:id="28" w:name="_Toc221787885"/>
      <w:r w:rsidRPr="00EE53FB">
        <w:rPr>
          <w:rFonts w:asciiTheme="minorBidi" w:hAnsiTheme="minorBidi" w:cstheme="minorBidi"/>
          <w:b/>
          <w:bCs/>
          <w:lang w:val="en-GB"/>
        </w:rPr>
        <w:t>8.2 Automated Response Workflow</w:t>
      </w:r>
      <w:bookmarkEnd w:id="28"/>
    </w:p>
    <w:p w14:paraId="4192C0D7"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To reduce attacker dwell time, the following automated containment sequence should be implemented:</w:t>
      </w:r>
    </w:p>
    <w:p w14:paraId="35FCC61B" w14:textId="77777777" w:rsidR="007B18E0" w:rsidRPr="00BB3230" w:rsidRDefault="007B18E0">
      <w:pPr>
        <w:numPr>
          <w:ilvl w:val="0"/>
          <w:numId w:val="15"/>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Detection of anomaly (via SIEM/EDR correlation)</w:t>
      </w:r>
    </w:p>
    <w:p w14:paraId="3D48D705" w14:textId="77777777" w:rsidR="007B18E0" w:rsidRPr="00BB3230" w:rsidRDefault="007B18E0">
      <w:pPr>
        <w:numPr>
          <w:ilvl w:val="0"/>
          <w:numId w:val="15"/>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Automatic risk scoring of the event</w:t>
      </w:r>
    </w:p>
    <w:p w14:paraId="2E6DB329" w14:textId="77777777" w:rsidR="007B18E0" w:rsidRPr="00BB3230" w:rsidRDefault="007B18E0">
      <w:pPr>
        <w:numPr>
          <w:ilvl w:val="0"/>
          <w:numId w:val="15"/>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Immediate isolation of affected endpoint or workload</w:t>
      </w:r>
    </w:p>
    <w:p w14:paraId="417EE54A" w14:textId="77777777" w:rsidR="007B18E0" w:rsidRPr="00BB3230" w:rsidRDefault="007B18E0">
      <w:pPr>
        <w:numPr>
          <w:ilvl w:val="0"/>
          <w:numId w:val="15"/>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Temporary credential suspension</w:t>
      </w:r>
    </w:p>
    <w:p w14:paraId="3C2F26F8" w14:textId="77777777" w:rsidR="007B18E0" w:rsidRPr="00BB3230" w:rsidRDefault="007B18E0">
      <w:pPr>
        <w:numPr>
          <w:ilvl w:val="0"/>
          <w:numId w:val="15"/>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Notification to SOC and CISO</w:t>
      </w:r>
    </w:p>
    <w:p w14:paraId="77F6BED3" w14:textId="77777777" w:rsidR="007B18E0" w:rsidRPr="00BB3230" w:rsidRDefault="007B18E0">
      <w:pPr>
        <w:numPr>
          <w:ilvl w:val="0"/>
          <w:numId w:val="15"/>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Incident classification (within 6 hours)</w:t>
      </w:r>
    </w:p>
    <w:p w14:paraId="50039079" w14:textId="77777777" w:rsidR="007B18E0" w:rsidRPr="00BB3230" w:rsidRDefault="007B18E0">
      <w:pPr>
        <w:numPr>
          <w:ilvl w:val="0"/>
          <w:numId w:val="15"/>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Regulatory notification trigger (if required under NIS2)</w:t>
      </w:r>
    </w:p>
    <w:p w14:paraId="74FE096E" w14:textId="248151C4"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This workflow integrates SOAR orchestration to ensure rapid and consistent response.</w:t>
      </w:r>
    </w:p>
    <w:p w14:paraId="50BCBE9D" w14:textId="77777777" w:rsidR="007B18E0" w:rsidRPr="00EE53FB" w:rsidRDefault="007B18E0" w:rsidP="009E2DC2">
      <w:pPr>
        <w:pStyle w:val="Heading2"/>
        <w:jc w:val="left"/>
        <w:rPr>
          <w:rFonts w:asciiTheme="minorBidi" w:hAnsiTheme="minorBidi" w:cstheme="minorBidi"/>
          <w:b/>
          <w:bCs/>
          <w:lang w:val="en-GB"/>
        </w:rPr>
      </w:pPr>
      <w:bookmarkStart w:id="29" w:name="_Toc221787886"/>
      <w:r w:rsidRPr="00EE53FB">
        <w:rPr>
          <w:rFonts w:asciiTheme="minorBidi" w:hAnsiTheme="minorBidi" w:cstheme="minorBidi"/>
          <w:b/>
          <w:bCs/>
          <w:lang w:val="en-GB"/>
        </w:rPr>
        <w:lastRenderedPageBreak/>
        <w:t>8.3 Regulatory Integration</w:t>
      </w:r>
      <w:bookmarkEnd w:id="29"/>
    </w:p>
    <w:p w14:paraId="73E97E66" w14:textId="4182DC7D"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Under NIS2, significant incidents must be reported within 24 hours. Automated logging and classification mechanisms ensure evidence preservation and audit traceability.</w:t>
      </w:r>
    </w:p>
    <w:p w14:paraId="0C87946C" w14:textId="5DA889A0"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Under DORA, resilience testing must validate response effectiveness [</w:t>
      </w:r>
      <w:r w:rsidR="00FC0F40" w:rsidRPr="00BB3230">
        <w:rPr>
          <w:rFonts w:asciiTheme="minorBidi" w:hAnsiTheme="minorBidi" w:cstheme="minorBidi"/>
          <w:sz w:val="24"/>
          <w:szCs w:val="24"/>
          <w:lang w:val="en-GB"/>
        </w:rPr>
        <w:t>12]</w:t>
      </w:r>
      <w:r w:rsidRPr="00BB3230">
        <w:rPr>
          <w:rFonts w:asciiTheme="minorBidi" w:hAnsiTheme="minorBidi" w:cstheme="minorBidi"/>
          <w:sz w:val="24"/>
          <w:szCs w:val="24"/>
          <w:lang w:val="en-GB"/>
        </w:rPr>
        <w:t>. Therefore, quarterly incident simulation exercises should be conducted to test automation efficiency and escalation processes.</w:t>
      </w:r>
    </w:p>
    <w:p w14:paraId="48559DA5" w14:textId="77777777" w:rsidR="007B18E0" w:rsidRPr="00EE53FB" w:rsidRDefault="007B18E0" w:rsidP="009E2DC2">
      <w:pPr>
        <w:pStyle w:val="Heading2"/>
        <w:jc w:val="left"/>
        <w:rPr>
          <w:rFonts w:asciiTheme="minorBidi" w:hAnsiTheme="minorBidi" w:cstheme="minorBidi"/>
          <w:b/>
          <w:bCs/>
          <w:lang w:val="en-GB"/>
        </w:rPr>
      </w:pPr>
      <w:bookmarkStart w:id="30" w:name="_Toc221787887"/>
      <w:r w:rsidRPr="00EE53FB">
        <w:rPr>
          <w:rFonts w:asciiTheme="minorBidi" w:hAnsiTheme="minorBidi" w:cstheme="minorBidi"/>
          <w:b/>
          <w:bCs/>
          <w:lang w:val="en-GB"/>
        </w:rPr>
        <w:t>8.4 Strategic Justification</w:t>
      </w:r>
      <w:bookmarkEnd w:id="30"/>
    </w:p>
    <w:p w14:paraId="178D9571"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Traditional perimeter models often rely on manual investigation after compromise. In contrast, Zero Trust detection integrates real-time telemetry with automated containment, reducing recovery cost and limiting breach propagation.</w:t>
      </w:r>
    </w:p>
    <w:p w14:paraId="440ED7A3" w14:textId="050D3C57" w:rsidR="007B18E0" w:rsidRPr="00EE53FB" w:rsidRDefault="007B18E0" w:rsidP="00EE53FB">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However, automation must be carefully calibrated to prevent operational disruptions caused by false positives. Human oversight remains necessary for high-impact decisions.</w:t>
      </w:r>
    </w:p>
    <w:p w14:paraId="6377DC32" w14:textId="611CA4B0" w:rsidR="009B57EA" w:rsidRPr="00F32B98" w:rsidRDefault="009E2DC2" w:rsidP="00F32B98">
      <w:pPr>
        <w:pStyle w:val="Heading2"/>
        <w:jc w:val="left"/>
        <w:rPr>
          <w:rFonts w:asciiTheme="minorBidi" w:hAnsiTheme="minorBidi" w:cstheme="minorBidi"/>
          <w:b/>
          <w:bCs/>
          <w:lang w:val="en-GB"/>
        </w:rPr>
      </w:pPr>
      <w:bookmarkStart w:id="31" w:name="_Toc221787888"/>
      <w:r w:rsidRPr="00EE53FB">
        <w:rPr>
          <w:rFonts w:asciiTheme="minorBidi" w:hAnsiTheme="minorBidi" w:cstheme="minorBidi"/>
          <w:b/>
          <w:bCs/>
          <w:lang w:val="en-GB"/>
        </w:rPr>
        <w:t xml:space="preserve">8.5 </w:t>
      </w:r>
      <w:r w:rsidR="007B18E0" w:rsidRPr="00EE53FB">
        <w:rPr>
          <w:rFonts w:asciiTheme="minorBidi" w:hAnsiTheme="minorBidi" w:cstheme="minorBidi"/>
          <w:b/>
          <w:bCs/>
          <w:lang w:val="en-GB"/>
        </w:rPr>
        <w:t>Disaster Recovery and Operational Continuity Plan</w:t>
      </w:r>
      <w:r w:rsidR="009B57EA" w:rsidRPr="00EE53FB">
        <w:rPr>
          <w:rFonts w:asciiTheme="minorBidi" w:hAnsiTheme="minorBidi" w:cstheme="minorBidi"/>
          <w:b/>
          <w:bCs/>
          <w:lang w:val="en-GB"/>
        </w:rPr>
        <w:t>:</w:t>
      </w:r>
      <w:bookmarkEnd w:id="31"/>
    </w:p>
    <w:p w14:paraId="6AFBBDE5" w14:textId="6919D3A8" w:rsidR="00EE53FB" w:rsidRPr="00BB3230" w:rsidRDefault="007B18E0" w:rsidP="00AF22B6">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A ransomware attack targeting AI training datasets and source code repositories represents a high-impact scenario for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The Disaster Recovery (DR) plan must therefore ensure rapid containment, system restoration, and regulatory defensibility.</w:t>
      </w:r>
    </w:p>
    <w:p w14:paraId="6CCE1E9E" w14:textId="77777777" w:rsidR="00463B1C" w:rsidRDefault="007B18E0" w:rsidP="00463B1C">
      <w:pPr>
        <w:keepNext/>
        <w:spacing w:line="360" w:lineRule="auto"/>
      </w:pPr>
      <w:r w:rsidRPr="00BB3230">
        <w:rPr>
          <w:rFonts w:asciiTheme="minorBidi" w:hAnsiTheme="minorBidi" w:cstheme="minorBidi"/>
          <w:noProof/>
          <w:sz w:val="24"/>
          <w:szCs w:val="24"/>
        </w:rPr>
        <w:lastRenderedPageBreak/>
        <w:drawing>
          <wp:inline distT="0" distB="0" distL="0" distR="0" wp14:anchorId="61E06A4A" wp14:editId="13A35C0D">
            <wp:extent cx="4049927" cy="4519710"/>
            <wp:effectExtent l="95250" t="114300" r="103505" b="109855"/>
            <wp:docPr id="1448634703" name="Picture 1" descr="A of a security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132656" name="Picture 1" descr="A of a security system"/>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69792" cy="4541879"/>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5A7B033" w14:textId="261A8DAA" w:rsidR="007B18E0" w:rsidRPr="00BB3230" w:rsidRDefault="00463B1C" w:rsidP="00463B1C">
      <w:pPr>
        <w:pStyle w:val="Caption"/>
        <w:rPr>
          <w:rFonts w:asciiTheme="minorBidi" w:hAnsiTheme="minorBidi" w:cstheme="minorBidi"/>
          <w:b/>
          <w:bCs/>
          <w:sz w:val="24"/>
          <w:szCs w:val="24"/>
          <w:lang w:val="en-GB"/>
        </w:rPr>
      </w:pPr>
      <w:r>
        <w:t xml:space="preserve">Figure </w:t>
      </w:r>
      <w:r>
        <w:fldChar w:fldCharType="begin"/>
      </w:r>
      <w:r>
        <w:instrText xml:space="preserve"> SEQ Figure \* ARABIC </w:instrText>
      </w:r>
      <w:r>
        <w:fldChar w:fldCharType="separate"/>
      </w:r>
      <w:r w:rsidR="00540908">
        <w:rPr>
          <w:noProof/>
        </w:rPr>
        <w:t>6</w:t>
      </w:r>
      <w:r>
        <w:fldChar w:fldCharType="end"/>
      </w:r>
      <w:r>
        <w:rPr>
          <w:lang w:val="en-GB"/>
        </w:rPr>
        <w:t>:</w:t>
      </w:r>
      <w:r w:rsidR="00AB1872">
        <w:rPr>
          <w:lang w:val="en-GB"/>
        </w:rPr>
        <w:t xml:space="preserve"> </w:t>
      </w:r>
      <w:r w:rsidRPr="006547EE">
        <w:rPr>
          <w:lang w:val="en-GB"/>
        </w:rPr>
        <w:t>Operational Continuity Plan</w:t>
      </w:r>
    </w:p>
    <w:p w14:paraId="4D1F6BE5" w14:textId="6BF508A0" w:rsidR="007B18E0" w:rsidRPr="00BB3230" w:rsidRDefault="009B57EA"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 xml:space="preserve"> </w:t>
      </w:r>
    </w:p>
    <w:p w14:paraId="497B0216" w14:textId="1E5C907E" w:rsidR="007B18E0" w:rsidRPr="00EE53FB" w:rsidRDefault="007B18E0" w:rsidP="009E2DC2">
      <w:pPr>
        <w:pStyle w:val="Heading1"/>
        <w:jc w:val="left"/>
        <w:rPr>
          <w:rFonts w:asciiTheme="minorBidi" w:hAnsiTheme="minorBidi" w:cstheme="minorBidi"/>
          <w:b/>
          <w:bCs/>
          <w:sz w:val="32"/>
          <w:szCs w:val="32"/>
          <w:lang w:val="en-GB"/>
        </w:rPr>
      </w:pPr>
      <w:bookmarkStart w:id="32" w:name="_Toc221787889"/>
      <w:r w:rsidRPr="00EE53FB">
        <w:rPr>
          <w:rFonts w:asciiTheme="minorBidi" w:hAnsiTheme="minorBidi" w:cstheme="minorBidi"/>
          <w:b/>
          <w:bCs/>
          <w:sz w:val="32"/>
          <w:szCs w:val="32"/>
          <w:lang w:val="en-GB"/>
        </w:rPr>
        <w:t>9</w:t>
      </w:r>
      <w:r w:rsidR="009E2DC2" w:rsidRPr="00EE53FB">
        <w:rPr>
          <w:rFonts w:asciiTheme="minorBidi" w:hAnsiTheme="minorBidi" w:cstheme="minorBidi"/>
          <w:b/>
          <w:bCs/>
          <w:sz w:val="32"/>
          <w:szCs w:val="32"/>
          <w:lang w:val="en-GB"/>
        </w:rPr>
        <w:t xml:space="preserve">. </w:t>
      </w:r>
      <w:r w:rsidRPr="00EE53FB">
        <w:rPr>
          <w:rFonts w:asciiTheme="minorBidi" w:hAnsiTheme="minorBidi" w:cstheme="minorBidi"/>
          <w:b/>
          <w:bCs/>
          <w:sz w:val="32"/>
          <w:szCs w:val="32"/>
          <w:lang w:val="en-GB"/>
        </w:rPr>
        <w:t>Ransomware Response Phases</w:t>
      </w:r>
      <w:bookmarkEnd w:id="32"/>
    </w:p>
    <w:p w14:paraId="0F0BF44A"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 proposed recovery model follows five structured phases:</w:t>
      </w:r>
    </w:p>
    <w:p w14:paraId="58A77CBE"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1. Containment Phase</w:t>
      </w:r>
    </w:p>
    <w:p w14:paraId="2C697844" w14:textId="77777777" w:rsidR="007B18E0" w:rsidRPr="00BB3230" w:rsidRDefault="007B18E0">
      <w:pPr>
        <w:numPr>
          <w:ilvl w:val="0"/>
          <w:numId w:val="16"/>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Immediate endpoint isolation via EDR</w:t>
      </w:r>
    </w:p>
    <w:p w14:paraId="65378A1D" w14:textId="77777777" w:rsidR="007B18E0" w:rsidRPr="00BB3230" w:rsidRDefault="007B18E0">
      <w:pPr>
        <w:numPr>
          <w:ilvl w:val="0"/>
          <w:numId w:val="16"/>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Credential suspension of affected accounts</w:t>
      </w:r>
    </w:p>
    <w:p w14:paraId="1EBA6A55" w14:textId="77777777" w:rsidR="007B18E0" w:rsidRPr="00BB3230" w:rsidRDefault="007B18E0">
      <w:pPr>
        <w:numPr>
          <w:ilvl w:val="0"/>
          <w:numId w:val="16"/>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Segmentation of impacted workloads</w:t>
      </w:r>
    </w:p>
    <w:p w14:paraId="708DF2A7" w14:textId="77777777" w:rsidR="007B18E0" w:rsidRPr="00BB3230" w:rsidRDefault="007B18E0"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2. Eradication Phase</w:t>
      </w:r>
    </w:p>
    <w:p w14:paraId="10A2DE37" w14:textId="77777777" w:rsidR="007B18E0" w:rsidRPr="00BB3230" w:rsidRDefault="007B18E0">
      <w:pPr>
        <w:numPr>
          <w:ilvl w:val="0"/>
          <w:numId w:val="17"/>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Malware removal</w:t>
      </w:r>
    </w:p>
    <w:p w14:paraId="5333AD09" w14:textId="77777777" w:rsidR="007B18E0" w:rsidRPr="00BB3230" w:rsidRDefault="007B18E0">
      <w:pPr>
        <w:numPr>
          <w:ilvl w:val="0"/>
          <w:numId w:val="17"/>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Forensic analysis to determine entry vector</w:t>
      </w:r>
    </w:p>
    <w:p w14:paraId="00820FEF" w14:textId="77777777" w:rsidR="007B18E0" w:rsidRPr="00BB3230" w:rsidRDefault="007B18E0">
      <w:pPr>
        <w:numPr>
          <w:ilvl w:val="0"/>
          <w:numId w:val="17"/>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Dependency validation within CI/CD pipelines</w:t>
      </w:r>
    </w:p>
    <w:p w14:paraId="18A9F940" w14:textId="77777777" w:rsidR="007B18E0" w:rsidRPr="00BB3230" w:rsidRDefault="007B18E0"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3. Recovery Phase</w:t>
      </w:r>
    </w:p>
    <w:p w14:paraId="4BCBD348" w14:textId="77777777" w:rsidR="007B18E0" w:rsidRPr="00BB3230" w:rsidRDefault="007B18E0">
      <w:pPr>
        <w:numPr>
          <w:ilvl w:val="0"/>
          <w:numId w:val="1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Restoration from immutable, air-gapped backups</w:t>
      </w:r>
    </w:p>
    <w:p w14:paraId="65755DFD" w14:textId="77777777" w:rsidR="007B18E0" w:rsidRPr="00BB3230" w:rsidRDefault="007B18E0">
      <w:pPr>
        <w:numPr>
          <w:ilvl w:val="0"/>
          <w:numId w:val="1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Cryptographic integrity verification of restored data</w:t>
      </w:r>
    </w:p>
    <w:p w14:paraId="62A3998F" w14:textId="77777777" w:rsidR="007B18E0" w:rsidRPr="00BB3230" w:rsidRDefault="007B18E0">
      <w:pPr>
        <w:numPr>
          <w:ilvl w:val="0"/>
          <w:numId w:val="1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lastRenderedPageBreak/>
        <w:t>Controlled system reactivation</w:t>
      </w:r>
    </w:p>
    <w:p w14:paraId="3946FD4F" w14:textId="77777777" w:rsidR="007B18E0" w:rsidRPr="00BB3230" w:rsidRDefault="007B18E0"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4. Validation Phase</w:t>
      </w:r>
    </w:p>
    <w:p w14:paraId="73708AED" w14:textId="77777777" w:rsidR="007B18E0" w:rsidRPr="00BB3230" w:rsidRDefault="007B18E0">
      <w:pPr>
        <w:numPr>
          <w:ilvl w:val="0"/>
          <w:numId w:val="19"/>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Functional testing of AI models</w:t>
      </w:r>
    </w:p>
    <w:p w14:paraId="3F8E8E06" w14:textId="77777777" w:rsidR="007B18E0" w:rsidRPr="00BB3230" w:rsidRDefault="007B18E0">
      <w:pPr>
        <w:numPr>
          <w:ilvl w:val="0"/>
          <w:numId w:val="19"/>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Code integrity review</w:t>
      </w:r>
    </w:p>
    <w:p w14:paraId="5AEB539F" w14:textId="77777777" w:rsidR="007B18E0" w:rsidRPr="00BB3230" w:rsidRDefault="007B18E0">
      <w:pPr>
        <w:numPr>
          <w:ilvl w:val="0"/>
          <w:numId w:val="19"/>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 configuration reassessment</w:t>
      </w:r>
    </w:p>
    <w:p w14:paraId="10F3D3A1" w14:textId="77777777" w:rsidR="007B18E0" w:rsidRPr="00BB3230" w:rsidRDefault="007B18E0"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5. Post-Incident Review</w:t>
      </w:r>
    </w:p>
    <w:p w14:paraId="750A8B4C" w14:textId="77777777" w:rsidR="007B18E0" w:rsidRPr="00BB3230" w:rsidRDefault="007B18E0">
      <w:pPr>
        <w:numPr>
          <w:ilvl w:val="0"/>
          <w:numId w:val="20"/>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Root cause analysis</w:t>
      </w:r>
    </w:p>
    <w:p w14:paraId="308ECB36" w14:textId="77777777" w:rsidR="007B18E0" w:rsidRPr="00BB3230" w:rsidRDefault="007B18E0">
      <w:pPr>
        <w:numPr>
          <w:ilvl w:val="0"/>
          <w:numId w:val="20"/>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Board-level risk report</w:t>
      </w:r>
    </w:p>
    <w:p w14:paraId="0C03E6A2" w14:textId="6560BB95" w:rsidR="007B18E0" w:rsidRPr="00F32B98" w:rsidRDefault="007B18E0">
      <w:pPr>
        <w:numPr>
          <w:ilvl w:val="0"/>
          <w:numId w:val="20"/>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Policy refinement and control enhancement</w:t>
      </w:r>
    </w:p>
    <w:p w14:paraId="0CB379F2" w14:textId="07AFF575" w:rsidR="007B18E0" w:rsidRPr="00EE53FB" w:rsidRDefault="007B18E0" w:rsidP="009E2DC2">
      <w:pPr>
        <w:pStyle w:val="Heading2"/>
        <w:jc w:val="left"/>
        <w:rPr>
          <w:rFonts w:asciiTheme="minorBidi" w:hAnsiTheme="minorBidi" w:cstheme="minorBidi"/>
          <w:b/>
          <w:bCs/>
          <w:lang w:val="en-GB"/>
        </w:rPr>
      </w:pPr>
      <w:bookmarkStart w:id="33" w:name="_Toc221787890"/>
      <w:r w:rsidRPr="00EE53FB">
        <w:rPr>
          <w:rFonts w:asciiTheme="minorBidi" w:hAnsiTheme="minorBidi" w:cstheme="minorBidi"/>
          <w:b/>
          <w:bCs/>
          <w:lang w:val="en-GB"/>
        </w:rPr>
        <w:t>9.</w:t>
      </w:r>
      <w:r w:rsidR="009E2DC2" w:rsidRPr="00EE53FB">
        <w:rPr>
          <w:rFonts w:asciiTheme="minorBidi" w:hAnsiTheme="minorBidi" w:cstheme="minorBidi"/>
          <w:b/>
          <w:bCs/>
          <w:lang w:val="en-GB"/>
        </w:rPr>
        <w:t>1</w:t>
      </w:r>
      <w:r w:rsidRPr="00EE53FB">
        <w:rPr>
          <w:rFonts w:asciiTheme="minorBidi" w:hAnsiTheme="minorBidi" w:cstheme="minorBidi"/>
          <w:b/>
          <w:bCs/>
          <w:lang w:val="en-GB"/>
        </w:rPr>
        <w:t xml:space="preserve"> Recovery Objectives</w:t>
      </w:r>
      <w:bookmarkEnd w:id="33"/>
    </w:p>
    <w:p w14:paraId="5C59E904" w14:textId="2598203D"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To align with DORA operational resilience requirements [</w:t>
      </w:r>
      <w:r w:rsidR="00FC0F40" w:rsidRPr="00BB3230">
        <w:rPr>
          <w:rFonts w:asciiTheme="minorBidi" w:hAnsiTheme="minorBidi" w:cstheme="minorBidi"/>
          <w:sz w:val="24"/>
          <w:szCs w:val="24"/>
          <w:lang w:val="en-GB"/>
        </w:rPr>
        <w:t>13</w:t>
      </w:r>
      <w:r w:rsidRPr="00BB3230">
        <w:rPr>
          <w:rFonts w:asciiTheme="minorBidi" w:hAnsiTheme="minorBidi" w:cstheme="minorBidi"/>
          <w:sz w:val="24"/>
          <w:szCs w:val="24"/>
          <w:lang w:val="en-GB"/>
        </w:rPr>
        <w:t>]</w:t>
      </w:r>
      <w:r w:rsidR="00FC0F40" w:rsidRPr="00BB3230">
        <w:rPr>
          <w:rFonts w:asciiTheme="minorBidi" w:hAnsiTheme="minorBidi" w:cstheme="minorBidi"/>
          <w:sz w:val="24"/>
          <w:szCs w:val="24"/>
          <w:lang w:val="en-GB"/>
        </w:rPr>
        <w:t>.</w:t>
      </w:r>
    </w:p>
    <w:p w14:paraId="004D2FD3" w14:textId="77777777" w:rsidR="007B18E0" w:rsidRPr="00BB3230" w:rsidRDefault="007B18E0">
      <w:pPr>
        <w:numPr>
          <w:ilvl w:val="0"/>
          <w:numId w:val="2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Recovery Time Objective (RTO): 24 hours</w:t>
      </w:r>
    </w:p>
    <w:p w14:paraId="2C305E50" w14:textId="77777777" w:rsidR="007B18E0" w:rsidRPr="00BB3230" w:rsidRDefault="007B18E0">
      <w:pPr>
        <w:numPr>
          <w:ilvl w:val="0"/>
          <w:numId w:val="2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Recovery Point Objective (RPO): 1 hour</w:t>
      </w:r>
    </w:p>
    <w:p w14:paraId="2814BB1F" w14:textId="3A4CA960"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These thresholds balance operational continuity with realistic technical recovery capability.</w:t>
      </w:r>
    </w:p>
    <w:p w14:paraId="3E5B61F6" w14:textId="6136C04D" w:rsidR="007B18E0" w:rsidRPr="00EE53FB" w:rsidRDefault="007B18E0" w:rsidP="009E2DC2">
      <w:pPr>
        <w:pStyle w:val="Heading2"/>
        <w:jc w:val="left"/>
        <w:rPr>
          <w:rFonts w:asciiTheme="minorBidi" w:hAnsiTheme="minorBidi" w:cstheme="minorBidi"/>
          <w:b/>
          <w:bCs/>
          <w:lang w:val="en-GB"/>
        </w:rPr>
      </w:pPr>
      <w:bookmarkStart w:id="34" w:name="_Toc221787891"/>
      <w:r w:rsidRPr="00EE53FB">
        <w:rPr>
          <w:rFonts w:asciiTheme="minorBidi" w:hAnsiTheme="minorBidi" w:cstheme="minorBidi"/>
          <w:b/>
          <w:bCs/>
          <w:lang w:val="en-GB"/>
        </w:rPr>
        <w:t>9.</w:t>
      </w:r>
      <w:r w:rsidR="009E2DC2" w:rsidRPr="00EE53FB">
        <w:rPr>
          <w:rFonts w:asciiTheme="minorBidi" w:hAnsiTheme="minorBidi" w:cstheme="minorBidi"/>
          <w:b/>
          <w:bCs/>
          <w:lang w:val="en-GB"/>
        </w:rPr>
        <w:t>2</w:t>
      </w:r>
      <w:r w:rsidRPr="00EE53FB">
        <w:rPr>
          <w:rFonts w:asciiTheme="minorBidi" w:hAnsiTheme="minorBidi" w:cstheme="minorBidi"/>
          <w:b/>
          <w:bCs/>
          <w:lang w:val="en-GB"/>
        </w:rPr>
        <w:t xml:space="preserve"> Backup and Resilience Controls</w:t>
      </w:r>
      <w:bookmarkEnd w:id="34"/>
    </w:p>
    <w:p w14:paraId="52CA0211" w14:textId="77777777" w:rsidR="007B18E0" w:rsidRPr="00BB3230" w:rsidRDefault="007B18E0">
      <w:pPr>
        <w:numPr>
          <w:ilvl w:val="0"/>
          <w:numId w:val="2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Immutable storage backups</w:t>
      </w:r>
    </w:p>
    <w:p w14:paraId="2ABE2F01" w14:textId="77777777" w:rsidR="007B18E0" w:rsidRPr="00BB3230" w:rsidRDefault="007B18E0">
      <w:pPr>
        <w:numPr>
          <w:ilvl w:val="0"/>
          <w:numId w:val="2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Geographically separated recovery zones</w:t>
      </w:r>
    </w:p>
    <w:p w14:paraId="5D1DF142" w14:textId="77777777" w:rsidR="007B18E0" w:rsidRPr="00BB3230" w:rsidRDefault="007B18E0">
      <w:pPr>
        <w:numPr>
          <w:ilvl w:val="0"/>
          <w:numId w:val="2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Offline backup replication</w:t>
      </w:r>
    </w:p>
    <w:p w14:paraId="60BD5E25" w14:textId="77777777" w:rsidR="007B18E0" w:rsidRPr="00BB3230" w:rsidRDefault="007B18E0">
      <w:pPr>
        <w:numPr>
          <w:ilvl w:val="0"/>
          <w:numId w:val="2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Quarterly disaster simulation exercises</w:t>
      </w:r>
    </w:p>
    <w:p w14:paraId="14964FC4" w14:textId="497D53AD"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Regular resilience testing ensures procedural readiness and compliance documentation.</w:t>
      </w:r>
    </w:p>
    <w:p w14:paraId="657ECDFE" w14:textId="01846B1F" w:rsidR="007B18E0" w:rsidRPr="00EE53FB" w:rsidRDefault="007B18E0" w:rsidP="009E2DC2">
      <w:pPr>
        <w:pStyle w:val="Heading2"/>
        <w:jc w:val="left"/>
        <w:rPr>
          <w:rFonts w:asciiTheme="minorBidi" w:hAnsiTheme="minorBidi" w:cstheme="minorBidi"/>
          <w:b/>
          <w:bCs/>
          <w:lang w:val="en-GB"/>
        </w:rPr>
      </w:pPr>
      <w:bookmarkStart w:id="35" w:name="_Toc221787892"/>
      <w:r w:rsidRPr="00EE53FB">
        <w:rPr>
          <w:rFonts w:asciiTheme="minorBidi" w:hAnsiTheme="minorBidi" w:cstheme="minorBidi"/>
          <w:b/>
          <w:bCs/>
          <w:lang w:val="en-GB"/>
        </w:rPr>
        <w:t>9.</w:t>
      </w:r>
      <w:r w:rsidR="009E2DC2" w:rsidRPr="00EE53FB">
        <w:rPr>
          <w:rFonts w:asciiTheme="minorBidi" w:hAnsiTheme="minorBidi" w:cstheme="minorBidi"/>
          <w:b/>
          <w:bCs/>
          <w:lang w:val="en-GB"/>
        </w:rPr>
        <w:t>3</w:t>
      </w:r>
      <w:r w:rsidRPr="00EE53FB">
        <w:rPr>
          <w:rFonts w:asciiTheme="minorBidi" w:hAnsiTheme="minorBidi" w:cstheme="minorBidi"/>
          <w:b/>
          <w:bCs/>
          <w:lang w:val="en-GB"/>
        </w:rPr>
        <w:t xml:space="preserve"> Strategic Justification</w:t>
      </w:r>
      <w:bookmarkEnd w:id="35"/>
    </w:p>
    <w:p w14:paraId="4CB18787"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Zero Trust limits lateral spread during initial compromise; however, disaster recovery planning ensures business continuity if preventive controls fail.</w:t>
      </w:r>
    </w:p>
    <w:p w14:paraId="5B7FC1B4" w14:textId="3C26AB26"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By integrating structured recovery phases, defined RTO/RPO thresholds, and periodic resilience testing,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strengthens both operational stability and regulatory compliance under DORA and NIS2.</w:t>
      </w:r>
    </w:p>
    <w:p w14:paraId="4F370762" w14:textId="77777777" w:rsidR="007B18E0" w:rsidRPr="00EE53FB" w:rsidRDefault="007B18E0" w:rsidP="009E2DC2">
      <w:pPr>
        <w:pStyle w:val="Heading1"/>
        <w:jc w:val="left"/>
        <w:rPr>
          <w:rFonts w:asciiTheme="minorBidi" w:hAnsiTheme="minorBidi" w:cstheme="minorBidi"/>
          <w:b/>
          <w:bCs/>
          <w:sz w:val="32"/>
          <w:szCs w:val="32"/>
          <w:lang w:val="en-GB"/>
        </w:rPr>
      </w:pPr>
      <w:bookmarkStart w:id="36" w:name="_Toc221787893"/>
      <w:r w:rsidRPr="00EE53FB">
        <w:rPr>
          <w:rFonts w:asciiTheme="minorBidi" w:hAnsiTheme="minorBidi" w:cstheme="minorBidi"/>
          <w:b/>
          <w:bCs/>
          <w:sz w:val="32"/>
          <w:szCs w:val="32"/>
          <w:lang w:val="en-GB"/>
        </w:rPr>
        <w:t>10. Comparative Evaluation of Security Models</w:t>
      </w:r>
      <w:bookmarkEnd w:id="36"/>
    </w:p>
    <w:p w14:paraId="0D231126"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While Zero Trust prioritises identity-centric verification and least privilege enforcement, traditional defence-in-depth strategies rely on layered perimeter controls such as firewalls and network segmentation. Defence-in-depth enhances redundancy but often assumes internal trust once access is granted.</w:t>
      </w:r>
    </w:p>
    <w:p w14:paraId="15558A6A"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lastRenderedPageBreak/>
        <w:t>Secure Access Service Edge (SASE) integrates networking and cloud-delivered security services into a unified architecture. However, SASE primarily optimises secure connectivity rather than governance-level access control.</w:t>
      </w:r>
    </w:p>
    <w:p w14:paraId="0DABD369"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For </w:t>
      </w:r>
      <w:proofErr w:type="spellStart"/>
      <w:r w:rsidRPr="00BB3230">
        <w:rPr>
          <w:rFonts w:asciiTheme="minorBidi" w:hAnsiTheme="minorBidi" w:cstheme="minorBidi"/>
          <w:sz w:val="24"/>
          <w:szCs w:val="24"/>
          <w:lang w:val="en-GB"/>
        </w:rPr>
        <w:t>MediTrust’s</w:t>
      </w:r>
      <w:proofErr w:type="spellEnd"/>
      <w:r w:rsidRPr="00BB3230">
        <w:rPr>
          <w:rFonts w:asciiTheme="minorBidi" w:hAnsiTheme="minorBidi" w:cstheme="minorBidi"/>
          <w:sz w:val="24"/>
          <w:szCs w:val="24"/>
          <w:lang w:val="en-GB"/>
        </w:rPr>
        <w:t xml:space="preserve"> hybrid, AI-driven, and multi-cloud environment, Zero Trust provides stronger containment of lateral movement and identity misuse. Nevertheless, defence-in-depth segmentation remains valuable as a complementary control layer. A hybrid strategy integrating Zero Trust identity enforcement with layered segmentation and cloud-delivered security services offers balanced resilience.</w:t>
      </w:r>
    </w:p>
    <w:p w14:paraId="6E135DBB" w14:textId="0D6A3263"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Therefore, Zero Trust should be implemented as an architectural foundation rather than an exclusive replacement for existing security principles.</w:t>
      </w:r>
    </w:p>
    <w:p w14:paraId="77FFD07B" w14:textId="77777777" w:rsidR="007B18E0" w:rsidRPr="00EE53FB" w:rsidRDefault="007B18E0" w:rsidP="009E2DC2">
      <w:pPr>
        <w:pStyle w:val="Heading1"/>
        <w:jc w:val="left"/>
        <w:rPr>
          <w:rFonts w:asciiTheme="minorBidi" w:hAnsiTheme="minorBidi" w:cstheme="minorBidi"/>
          <w:b/>
          <w:bCs/>
          <w:sz w:val="32"/>
          <w:szCs w:val="32"/>
          <w:lang w:val="en-GB"/>
        </w:rPr>
      </w:pPr>
      <w:bookmarkStart w:id="37" w:name="_Toc221787894"/>
      <w:r w:rsidRPr="00EE53FB">
        <w:rPr>
          <w:rFonts w:asciiTheme="minorBidi" w:hAnsiTheme="minorBidi" w:cstheme="minorBidi"/>
          <w:b/>
          <w:bCs/>
          <w:sz w:val="32"/>
          <w:szCs w:val="32"/>
          <w:lang w:val="en-GB"/>
        </w:rPr>
        <w:t>11. Economic and Strategic Considerations</w:t>
      </w:r>
      <w:bookmarkEnd w:id="37"/>
    </w:p>
    <w:p w14:paraId="2BEE0123"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Zero Trust implementation requires investment in identity infrastructure, telemetry systems, secure development integration, and training. Initial deployment costs may be significant; however, breach cost avoidance, regulatory penalty mitigation, and reputational preservation provide long-term strategic justification.</w:t>
      </w:r>
    </w:p>
    <w:p w14:paraId="64AE5854" w14:textId="10E04AB4"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 phased implementation approach reduces integration risk and financial shock. Prioritising high-risk assets</w:t>
      </w:r>
      <w:r w:rsidR="009B57EA" w:rsidRPr="00BB3230">
        <w:rPr>
          <w:rFonts w:asciiTheme="minorBidi" w:hAnsiTheme="minorBidi" w:cstheme="minorBidi"/>
          <w:sz w:val="24"/>
          <w:szCs w:val="24"/>
          <w:lang w:val="en-GB"/>
        </w:rPr>
        <w:t xml:space="preserve">, </w:t>
      </w:r>
      <w:r w:rsidRPr="00BB3230">
        <w:rPr>
          <w:rFonts w:asciiTheme="minorBidi" w:hAnsiTheme="minorBidi" w:cstheme="minorBidi"/>
          <w:sz w:val="24"/>
          <w:szCs w:val="24"/>
          <w:lang w:val="en-GB"/>
        </w:rPr>
        <w:t>such as AI repositories and patient data systems</w:t>
      </w:r>
      <w:r w:rsidR="009B57EA" w:rsidRPr="00BB3230">
        <w:rPr>
          <w:rFonts w:asciiTheme="minorBidi" w:hAnsiTheme="minorBidi" w:cstheme="minorBidi"/>
          <w:sz w:val="24"/>
          <w:szCs w:val="24"/>
          <w:lang w:val="en-GB"/>
        </w:rPr>
        <w:t xml:space="preserve">, </w:t>
      </w:r>
      <w:r w:rsidRPr="00BB3230">
        <w:rPr>
          <w:rFonts w:asciiTheme="minorBidi" w:hAnsiTheme="minorBidi" w:cstheme="minorBidi"/>
          <w:sz w:val="24"/>
          <w:szCs w:val="24"/>
          <w:lang w:val="en-GB"/>
        </w:rPr>
        <w:t>ensures proportional allocation of resources.</w:t>
      </w:r>
    </w:p>
    <w:p w14:paraId="59ED23F4" w14:textId="595A752A" w:rsidR="007B18E0" w:rsidRPr="00D06AFC" w:rsidRDefault="007B18E0" w:rsidP="00D06AFC">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Strategically, Zero Trust enhances investor confidence, regulatory defensibility, and competitive positioning within the EU healthcare market</w:t>
      </w:r>
      <w:r w:rsidR="009B57EA" w:rsidRPr="00BB3230">
        <w:rPr>
          <w:rFonts w:asciiTheme="minorBidi" w:hAnsiTheme="minorBidi" w:cstheme="minorBidi"/>
          <w:sz w:val="24"/>
          <w:szCs w:val="24"/>
          <w:lang w:val="en-GB"/>
        </w:rPr>
        <w:t>.</w:t>
      </w:r>
    </w:p>
    <w:p w14:paraId="798926DF" w14:textId="5E0B81FD" w:rsidR="007B18E0" w:rsidRPr="00EE53FB" w:rsidRDefault="007B18E0" w:rsidP="009E2DC2">
      <w:pPr>
        <w:pStyle w:val="Heading1"/>
        <w:jc w:val="left"/>
        <w:rPr>
          <w:rFonts w:asciiTheme="minorBidi" w:hAnsiTheme="minorBidi" w:cstheme="minorBidi"/>
          <w:b/>
          <w:bCs/>
          <w:sz w:val="32"/>
          <w:szCs w:val="32"/>
          <w:lang w:val="en-GB"/>
        </w:rPr>
      </w:pPr>
      <w:bookmarkStart w:id="38" w:name="_Toc221787895"/>
      <w:r w:rsidRPr="00EE53FB">
        <w:rPr>
          <w:rFonts w:asciiTheme="minorBidi" w:hAnsiTheme="minorBidi" w:cstheme="minorBidi"/>
          <w:b/>
          <w:bCs/>
          <w:sz w:val="32"/>
          <w:szCs w:val="32"/>
          <w:lang w:val="en-GB"/>
        </w:rPr>
        <w:t>12. Strategic Integration Framework</w:t>
      </w:r>
      <w:r w:rsidR="009B57EA" w:rsidRPr="00EE53FB">
        <w:rPr>
          <w:rFonts w:asciiTheme="minorBidi" w:hAnsiTheme="minorBidi" w:cstheme="minorBidi"/>
          <w:b/>
          <w:bCs/>
          <w:sz w:val="32"/>
          <w:szCs w:val="32"/>
          <w:lang w:val="en-GB"/>
        </w:rPr>
        <w:t>:</w:t>
      </w:r>
      <w:bookmarkEnd w:id="38"/>
    </w:p>
    <w:p w14:paraId="1DA5340C"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 proposed programme integrates governance accountability, structured risk assessment, AI lifecycle protection, cloud configuration control, automated detection, and disaster recovery within a unified Zero Trust framework.</w:t>
      </w:r>
    </w:p>
    <w:p w14:paraId="65CA6DB9"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By aligning organisational roles, regulatory compliance obligations, and technical controls,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establishes a security architecture that reduces breach blast radius, enhances visibility, and strengthens operational resilience.</w:t>
      </w:r>
    </w:p>
    <w:p w14:paraId="346A8777" w14:textId="39BACBB4" w:rsidR="007B18E0" w:rsidRPr="00BB3230" w:rsidRDefault="007B18E0" w:rsidP="009E2DC2">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Security governance is therefore embedded into enterprise strategy rather than treated as a technical afterthought</w:t>
      </w:r>
      <w:r w:rsidR="00FC0F40" w:rsidRPr="00BB3230">
        <w:rPr>
          <w:rFonts w:asciiTheme="minorBidi" w:hAnsiTheme="minorBidi" w:cstheme="minorBidi"/>
          <w:sz w:val="24"/>
          <w:szCs w:val="24"/>
          <w:lang w:val="en-GB"/>
        </w:rPr>
        <w:t xml:space="preserve"> [14].</w:t>
      </w:r>
    </w:p>
    <w:p w14:paraId="75DBB98B" w14:textId="698D930A" w:rsidR="007B18E0" w:rsidRPr="00EE53FB" w:rsidRDefault="007B18E0" w:rsidP="009E2DC2">
      <w:pPr>
        <w:pStyle w:val="Heading1"/>
        <w:jc w:val="left"/>
        <w:rPr>
          <w:rFonts w:asciiTheme="minorBidi" w:hAnsiTheme="minorBidi" w:cstheme="minorBidi"/>
          <w:b/>
          <w:bCs/>
          <w:sz w:val="32"/>
          <w:szCs w:val="32"/>
          <w:lang w:val="en-GB"/>
        </w:rPr>
      </w:pPr>
      <w:bookmarkStart w:id="39" w:name="_Toc221787896"/>
      <w:r w:rsidRPr="00EE53FB">
        <w:rPr>
          <w:rFonts w:asciiTheme="minorBidi" w:hAnsiTheme="minorBidi" w:cstheme="minorBidi"/>
          <w:b/>
          <w:bCs/>
          <w:sz w:val="32"/>
          <w:szCs w:val="32"/>
          <w:lang w:val="en-GB"/>
        </w:rPr>
        <w:lastRenderedPageBreak/>
        <w:t>13.</w:t>
      </w:r>
      <w:r w:rsidR="00FC0F40" w:rsidRPr="00EE53FB">
        <w:rPr>
          <w:rFonts w:asciiTheme="minorBidi" w:hAnsiTheme="minorBidi" w:cstheme="minorBidi"/>
          <w:b/>
          <w:bCs/>
          <w:sz w:val="32"/>
          <w:szCs w:val="32"/>
          <w:lang w:val="en-GB"/>
        </w:rPr>
        <w:t xml:space="preserve"> </w:t>
      </w:r>
      <w:r w:rsidRPr="00EE53FB">
        <w:rPr>
          <w:rFonts w:asciiTheme="minorBidi" w:hAnsiTheme="minorBidi" w:cstheme="minorBidi"/>
          <w:b/>
          <w:bCs/>
          <w:sz w:val="32"/>
          <w:szCs w:val="32"/>
          <w:lang w:val="en-GB"/>
        </w:rPr>
        <w:t>Conclusion</w:t>
      </w:r>
      <w:bookmarkEnd w:id="39"/>
    </w:p>
    <w:p w14:paraId="4CBA023D" w14:textId="77777777" w:rsidR="00775562" w:rsidRPr="00775562" w:rsidRDefault="00775562" w:rsidP="00775562">
      <w:pPr>
        <w:spacing w:after="160" w:line="360" w:lineRule="auto"/>
        <w:jc w:val="left"/>
        <w:rPr>
          <w:rFonts w:asciiTheme="minorBidi" w:hAnsiTheme="minorBidi" w:cstheme="minorBidi"/>
          <w:sz w:val="24"/>
          <w:szCs w:val="24"/>
          <w:lang w:val="en-GB"/>
        </w:rPr>
      </w:pPr>
      <w:proofErr w:type="spellStart"/>
      <w:r w:rsidRPr="00775562">
        <w:rPr>
          <w:rFonts w:asciiTheme="minorBidi" w:hAnsiTheme="minorBidi" w:cstheme="minorBidi"/>
          <w:sz w:val="24"/>
          <w:szCs w:val="24"/>
          <w:lang w:val="en-GB"/>
        </w:rPr>
        <w:t>MediTrust’s</w:t>
      </w:r>
      <w:proofErr w:type="spellEnd"/>
      <w:r w:rsidRPr="00775562">
        <w:rPr>
          <w:rFonts w:asciiTheme="minorBidi" w:hAnsiTheme="minorBidi" w:cstheme="minorBidi"/>
          <w:sz w:val="24"/>
          <w:szCs w:val="24"/>
          <w:lang w:val="en-GB"/>
        </w:rPr>
        <w:t xml:space="preserve"> EU expansion requires a governance-led cybersecurity transformation aligned with Zero Trust. By establishing clear roles, quantitative risk prioritisation, AI lifecycle oversight, cloud security controls, automated detection, and structured disaster recovery, the organisation can meet GDPR, DORA, and NIS2 requirements while strengthening operational resilience.</w:t>
      </w:r>
    </w:p>
    <w:p w14:paraId="16F4AE90" w14:textId="77777777" w:rsidR="00775562" w:rsidRPr="00775562" w:rsidRDefault="00775562" w:rsidP="00775562">
      <w:pPr>
        <w:spacing w:after="160" w:line="360" w:lineRule="auto"/>
        <w:jc w:val="left"/>
        <w:rPr>
          <w:rFonts w:asciiTheme="minorBidi" w:hAnsiTheme="minorBidi" w:cstheme="minorBidi"/>
          <w:sz w:val="24"/>
          <w:szCs w:val="24"/>
          <w:lang w:val="en-GB"/>
        </w:rPr>
      </w:pPr>
      <w:r w:rsidRPr="00775562">
        <w:rPr>
          <w:rFonts w:asciiTheme="minorBidi" w:hAnsiTheme="minorBidi" w:cstheme="minorBidi"/>
          <w:sz w:val="24"/>
          <w:szCs w:val="24"/>
          <w:lang w:val="en-GB"/>
        </w:rPr>
        <w:t>Zero Trust is not merely a technical model but a strategic governance framework combining identity-based verification, continuous monitoring, and adaptive response. Its effectiveness depends on governance maturity, calibrated policies, executive accountability, and ongoing risk oversight; without these, technical controls alone cannot ensure resilience or regulatory defensibility.</w:t>
      </w:r>
    </w:p>
    <w:p w14:paraId="1F1D6418" w14:textId="77777777" w:rsidR="00085894" w:rsidRPr="00BB3230" w:rsidRDefault="00085894" w:rsidP="009B57EA">
      <w:pPr>
        <w:spacing w:after="160" w:line="360" w:lineRule="auto"/>
        <w:jc w:val="left"/>
        <w:rPr>
          <w:rFonts w:asciiTheme="minorBidi" w:hAnsiTheme="minorBidi" w:cstheme="minorBidi"/>
          <w:sz w:val="24"/>
          <w:szCs w:val="24"/>
        </w:rPr>
      </w:pPr>
    </w:p>
    <w:p w14:paraId="13AF69CE" w14:textId="693AEE64" w:rsidR="00380DAC" w:rsidRDefault="00380DAC">
      <w:pPr>
        <w:spacing w:after="160" w:line="278" w:lineRule="auto"/>
        <w:jc w:val="left"/>
        <w:rPr>
          <w:rFonts w:asciiTheme="minorBidi" w:hAnsiTheme="minorBidi" w:cstheme="minorBidi"/>
          <w:sz w:val="24"/>
          <w:szCs w:val="24"/>
        </w:rPr>
      </w:pPr>
      <w:r>
        <w:rPr>
          <w:rFonts w:asciiTheme="minorBidi" w:hAnsiTheme="minorBidi" w:cstheme="minorBidi"/>
          <w:sz w:val="24"/>
          <w:szCs w:val="24"/>
        </w:rPr>
        <w:br w:type="page"/>
      </w:r>
    </w:p>
    <w:p w14:paraId="05A6837F" w14:textId="3997CA5D" w:rsidR="007E472C" w:rsidRDefault="007E472C" w:rsidP="00EE53FB">
      <w:pPr>
        <w:pStyle w:val="Heading1"/>
        <w:jc w:val="left"/>
        <w:rPr>
          <w:rFonts w:asciiTheme="minorBidi" w:hAnsiTheme="minorBidi" w:cstheme="minorBidi"/>
          <w:lang w:val="en-GB"/>
        </w:rPr>
      </w:pPr>
      <w:bookmarkStart w:id="40" w:name="_Toc221787897"/>
      <w:r w:rsidRPr="00BB3230">
        <w:rPr>
          <w:rFonts w:asciiTheme="minorBidi" w:hAnsiTheme="minorBidi" w:cstheme="minorBidi"/>
          <w:lang w:val="en-GB"/>
        </w:rPr>
        <w:lastRenderedPageBreak/>
        <w:t>References:</w:t>
      </w:r>
      <w:bookmarkEnd w:id="40"/>
    </w:p>
    <w:p w14:paraId="504CB92C" w14:textId="77777777" w:rsidR="001C52D9" w:rsidRPr="001C52D9" w:rsidRDefault="001C52D9" w:rsidP="001C52D9">
      <w:pPr>
        <w:rPr>
          <w:lang w:val="en-GB"/>
        </w:rPr>
      </w:pPr>
    </w:p>
    <w:p w14:paraId="63753A47" w14:textId="18E65638" w:rsidR="0007329B" w:rsidRDefault="001F1ABC" w:rsidP="001F1ABC">
      <w:pPr>
        <w:spacing w:line="360" w:lineRule="auto"/>
        <w:jc w:val="left"/>
        <w:rPr>
          <w:rFonts w:asciiTheme="minorBidi" w:hAnsiTheme="minorBidi" w:cstheme="minorBidi"/>
          <w:sz w:val="24"/>
          <w:szCs w:val="24"/>
          <w:lang w:val="en-GB"/>
        </w:rPr>
      </w:pPr>
      <w:r>
        <w:rPr>
          <w:rFonts w:asciiTheme="minorBidi" w:hAnsiTheme="minorBidi" w:cstheme="minorBidi"/>
          <w:sz w:val="24"/>
          <w:szCs w:val="24"/>
          <w:lang w:val="en-GB"/>
        </w:rPr>
        <w:t xml:space="preserve">[1] </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NIST, "</w:t>
      </w:r>
      <w:r w:rsidR="0007329B" w:rsidRPr="0007329B">
        <w:rPr>
          <w:rFonts w:asciiTheme="minorBidi" w:hAnsiTheme="minorBidi" w:cstheme="minorBidi"/>
          <w:i/>
          <w:iCs/>
          <w:sz w:val="24"/>
          <w:szCs w:val="24"/>
          <w:lang w:val="en-GB"/>
        </w:rPr>
        <w:t>Zero Trust Architecture</w:t>
      </w:r>
      <w:r w:rsidR="0007329B" w:rsidRPr="0007329B">
        <w:rPr>
          <w:rFonts w:asciiTheme="minorBidi" w:hAnsiTheme="minorBidi" w:cstheme="minorBidi"/>
          <w:sz w:val="24"/>
          <w:szCs w:val="24"/>
          <w:lang w:val="en-GB"/>
        </w:rPr>
        <w:t xml:space="preserve">," NIST Special Publication 800-207, Aug. 2020. </w:t>
      </w:r>
    </w:p>
    <w:p w14:paraId="74DE6D93" w14:textId="77777777" w:rsidR="0007329B" w:rsidRPr="0007329B" w:rsidRDefault="0007329B" w:rsidP="0007329B">
      <w:pPr>
        <w:spacing w:line="360" w:lineRule="auto"/>
        <w:jc w:val="left"/>
        <w:rPr>
          <w:rFonts w:asciiTheme="minorBidi" w:hAnsiTheme="minorBidi" w:cstheme="minorBidi"/>
          <w:sz w:val="24"/>
          <w:szCs w:val="24"/>
          <w:lang w:val="en-GB"/>
        </w:rPr>
      </w:pPr>
    </w:p>
    <w:p w14:paraId="2349AECE" w14:textId="4A32C618"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[2]</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NIST, "</w:t>
      </w:r>
      <w:r w:rsidR="0007329B" w:rsidRPr="0007329B">
        <w:rPr>
          <w:rFonts w:asciiTheme="minorBidi" w:hAnsiTheme="minorBidi" w:cstheme="minorBidi"/>
          <w:i/>
          <w:iCs/>
          <w:sz w:val="24"/>
          <w:szCs w:val="24"/>
          <w:lang w:val="en-GB"/>
        </w:rPr>
        <w:t>The NIST Cybersecurity Framework (CSF) 2.0</w:t>
      </w:r>
      <w:r w:rsidR="0007329B" w:rsidRPr="0007329B">
        <w:rPr>
          <w:rFonts w:asciiTheme="minorBidi" w:hAnsiTheme="minorBidi" w:cstheme="minorBidi"/>
          <w:sz w:val="24"/>
          <w:szCs w:val="24"/>
          <w:lang w:val="en-GB"/>
        </w:rPr>
        <w:t xml:space="preserve">," National Institute of Standards and </w:t>
      </w:r>
      <w:r w:rsidR="0081780D">
        <w:rPr>
          <w:rFonts w:asciiTheme="minorBidi" w:hAnsiTheme="minorBidi" w:cstheme="minorBidi"/>
          <w:sz w:val="24"/>
          <w:szCs w:val="24"/>
          <w:lang w:val="en-GB"/>
        </w:rPr>
        <w:t xml:space="preserve"> </w:t>
      </w:r>
      <w:r w:rsidR="0007329B" w:rsidRPr="0007329B">
        <w:rPr>
          <w:rFonts w:asciiTheme="minorBidi" w:hAnsiTheme="minorBidi" w:cstheme="minorBidi"/>
          <w:sz w:val="24"/>
          <w:szCs w:val="24"/>
          <w:lang w:val="en-GB"/>
        </w:rPr>
        <w:t>Technology, Gaithersburg, MD, USA, Feb. 2024.</w:t>
      </w:r>
    </w:p>
    <w:p w14:paraId="3B69003D" w14:textId="77777777" w:rsidR="0007329B" w:rsidRPr="0007329B" w:rsidRDefault="0007329B" w:rsidP="0007329B">
      <w:pPr>
        <w:spacing w:line="360" w:lineRule="auto"/>
        <w:jc w:val="left"/>
        <w:rPr>
          <w:rFonts w:asciiTheme="minorBidi" w:hAnsiTheme="minorBidi" w:cstheme="minorBidi"/>
          <w:sz w:val="24"/>
          <w:szCs w:val="24"/>
          <w:lang w:val="en-GB"/>
        </w:rPr>
      </w:pPr>
    </w:p>
    <w:p w14:paraId="5CC3D5B9" w14:textId="0DE210E6"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[3]</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M. Conti, D. Denissov, and Q. Liao, "</w:t>
      </w:r>
      <w:r w:rsidR="0007329B" w:rsidRPr="0007329B">
        <w:rPr>
          <w:rFonts w:asciiTheme="minorBidi" w:hAnsiTheme="minorBidi" w:cstheme="minorBidi"/>
          <w:i/>
          <w:iCs/>
          <w:sz w:val="24"/>
          <w:szCs w:val="24"/>
          <w:lang w:val="en-GB"/>
        </w:rPr>
        <w:t>Zero Trust Security: Principles and Challenges</w:t>
      </w:r>
      <w:r w:rsidR="0007329B" w:rsidRPr="0007329B">
        <w:rPr>
          <w:rFonts w:asciiTheme="minorBidi" w:hAnsiTheme="minorBidi" w:cstheme="minorBidi"/>
          <w:sz w:val="24"/>
          <w:szCs w:val="24"/>
          <w:lang w:val="en-GB"/>
        </w:rPr>
        <w:t xml:space="preserve">," </w:t>
      </w:r>
      <w:r w:rsidR="0007329B" w:rsidRPr="0007329B">
        <w:rPr>
          <w:rFonts w:asciiTheme="minorBidi" w:hAnsiTheme="minorBidi" w:cstheme="minorBidi"/>
          <w:i/>
          <w:iCs/>
          <w:sz w:val="24"/>
          <w:szCs w:val="24"/>
          <w:lang w:val="en-GB"/>
        </w:rPr>
        <w:t>Computer Networks</w:t>
      </w:r>
      <w:r w:rsidR="0007329B" w:rsidRPr="0007329B">
        <w:rPr>
          <w:rFonts w:asciiTheme="minorBidi" w:hAnsiTheme="minorBidi" w:cstheme="minorBidi"/>
          <w:sz w:val="24"/>
          <w:szCs w:val="24"/>
          <w:lang w:val="en-GB"/>
        </w:rPr>
        <w:t>, vol. 213,</w:t>
      </w:r>
      <w:r w:rsidR="00833423">
        <w:rPr>
          <w:rFonts w:asciiTheme="minorBidi" w:hAnsiTheme="minorBidi" w:cstheme="minorBidi"/>
          <w:sz w:val="24"/>
          <w:szCs w:val="24"/>
          <w:lang w:val="en-GB"/>
        </w:rPr>
        <w:t xml:space="preserve"> </w:t>
      </w:r>
      <w:r w:rsidR="0007329B" w:rsidRPr="0007329B">
        <w:rPr>
          <w:rFonts w:asciiTheme="minorBidi" w:hAnsiTheme="minorBidi" w:cstheme="minorBidi"/>
          <w:sz w:val="24"/>
          <w:szCs w:val="24"/>
          <w:lang w:val="en-GB"/>
        </w:rPr>
        <w:t>Aug. 2022.</w:t>
      </w:r>
    </w:p>
    <w:p w14:paraId="6EF0B929" w14:textId="77777777" w:rsidR="00833423" w:rsidRPr="0007329B" w:rsidRDefault="00833423" w:rsidP="0007329B">
      <w:pPr>
        <w:spacing w:line="360" w:lineRule="auto"/>
        <w:jc w:val="left"/>
        <w:rPr>
          <w:rFonts w:asciiTheme="minorBidi" w:hAnsiTheme="minorBidi" w:cstheme="minorBidi"/>
          <w:sz w:val="24"/>
          <w:szCs w:val="24"/>
          <w:lang w:val="en-GB"/>
        </w:rPr>
      </w:pPr>
    </w:p>
    <w:p w14:paraId="5FEAFF95" w14:textId="605808A4"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i/>
          <w:iCs/>
          <w:sz w:val="24"/>
          <w:szCs w:val="24"/>
          <w:lang w:val="en-GB"/>
        </w:rPr>
        <w:t>[4]</w:t>
      </w:r>
      <w:r>
        <w:rPr>
          <w:rFonts w:asciiTheme="minorBidi" w:hAnsiTheme="minorBidi" w:cstheme="minorBidi"/>
          <w:i/>
          <w:iCs/>
          <w:sz w:val="24"/>
          <w:szCs w:val="24"/>
          <w:lang w:val="en-GB"/>
        </w:rPr>
        <w:tab/>
      </w:r>
      <w:r w:rsidR="0007329B" w:rsidRPr="0007329B">
        <w:rPr>
          <w:rFonts w:asciiTheme="minorBidi" w:hAnsiTheme="minorBidi" w:cstheme="minorBidi"/>
          <w:i/>
          <w:iCs/>
          <w:sz w:val="24"/>
          <w:szCs w:val="24"/>
          <w:lang w:val="en-GB"/>
        </w:rPr>
        <w:t>Regulation (EU) 2022/2554 of the European Parliament and of the Council of 14 December 2022 on Digital Operational Resilience for the Financial Sector (DORA)</w:t>
      </w:r>
      <w:r w:rsidR="0007329B" w:rsidRPr="0007329B">
        <w:rPr>
          <w:rFonts w:asciiTheme="minorBidi" w:hAnsiTheme="minorBidi" w:cstheme="minorBidi"/>
          <w:sz w:val="24"/>
          <w:szCs w:val="24"/>
          <w:lang w:val="en-GB"/>
        </w:rPr>
        <w:t xml:space="preserve">, 2022. </w:t>
      </w:r>
    </w:p>
    <w:p w14:paraId="06788C62" w14:textId="77777777" w:rsidR="00833423" w:rsidRPr="0007329B" w:rsidRDefault="00833423" w:rsidP="0007329B">
      <w:pPr>
        <w:spacing w:line="360" w:lineRule="auto"/>
        <w:jc w:val="left"/>
        <w:rPr>
          <w:rFonts w:asciiTheme="minorBidi" w:hAnsiTheme="minorBidi" w:cstheme="minorBidi"/>
          <w:sz w:val="24"/>
          <w:szCs w:val="24"/>
          <w:lang w:val="en-GB"/>
        </w:rPr>
      </w:pPr>
    </w:p>
    <w:p w14:paraId="555BEE1D" w14:textId="44BC5BD7"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[5]</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ENISA, "Technical Guidance on the Implementation of NIS2," European Union Agency for Cybersecurity, Athens, Greece, Sep. 2023.</w:t>
      </w:r>
    </w:p>
    <w:p w14:paraId="64018D70" w14:textId="77777777" w:rsidR="0081780D" w:rsidRPr="0007329B" w:rsidRDefault="0081780D" w:rsidP="0007329B">
      <w:pPr>
        <w:spacing w:line="360" w:lineRule="auto"/>
        <w:jc w:val="left"/>
        <w:rPr>
          <w:rFonts w:asciiTheme="minorBidi" w:hAnsiTheme="minorBidi" w:cstheme="minorBidi"/>
          <w:sz w:val="24"/>
          <w:szCs w:val="24"/>
          <w:lang w:val="en-GB"/>
        </w:rPr>
      </w:pPr>
    </w:p>
    <w:p w14:paraId="0CF42B73" w14:textId="3D106A86" w:rsidR="0081780D" w:rsidRDefault="001F1ABC" w:rsidP="00020CB7">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rPr>
        <w:t>[6]</w:t>
      </w:r>
      <w:r>
        <w:rPr>
          <w:rFonts w:asciiTheme="minorBidi" w:hAnsiTheme="minorBidi" w:cstheme="minorBidi"/>
          <w:sz w:val="24"/>
          <w:szCs w:val="24"/>
        </w:rPr>
        <w:tab/>
      </w:r>
      <w:r w:rsidR="00020CB7" w:rsidRPr="00020CB7">
        <w:rPr>
          <w:rFonts w:asciiTheme="minorBidi" w:hAnsiTheme="minorBidi" w:cstheme="minorBidi"/>
          <w:sz w:val="24"/>
          <w:szCs w:val="24"/>
          <w:lang w:val="en-GB"/>
        </w:rPr>
        <w:t xml:space="preserve">A. Basta et al., </w:t>
      </w:r>
      <w:r w:rsidR="00020CB7" w:rsidRPr="00020CB7">
        <w:rPr>
          <w:rFonts w:asciiTheme="minorBidi" w:hAnsiTheme="minorBidi" w:cstheme="minorBidi"/>
          <w:i/>
          <w:iCs/>
          <w:sz w:val="24"/>
          <w:szCs w:val="24"/>
          <w:lang w:val="en-GB"/>
        </w:rPr>
        <w:t>Open-Source Security Operations Center (SOC): A Complete Guide to Establishing, Managing, and Maintaining a Modern SOC, Wiley</w:t>
      </w:r>
      <w:r w:rsidR="00020CB7" w:rsidRPr="00020CB7">
        <w:rPr>
          <w:rFonts w:asciiTheme="minorBidi" w:hAnsiTheme="minorBidi" w:cstheme="minorBidi"/>
          <w:sz w:val="24"/>
          <w:szCs w:val="24"/>
          <w:lang w:val="en-GB"/>
        </w:rPr>
        <w:t>, United Kingdom, 2024</w:t>
      </w:r>
      <w:r w:rsidR="00020CB7">
        <w:rPr>
          <w:rFonts w:asciiTheme="minorBidi" w:hAnsiTheme="minorBidi" w:cstheme="minorBidi"/>
          <w:sz w:val="24"/>
          <w:szCs w:val="24"/>
          <w:lang w:val="en-GB"/>
        </w:rPr>
        <w:t>.</w:t>
      </w:r>
    </w:p>
    <w:p w14:paraId="5F72400F" w14:textId="77777777" w:rsidR="00020CB7" w:rsidRPr="00020CB7" w:rsidRDefault="00020CB7" w:rsidP="00020CB7">
      <w:pPr>
        <w:spacing w:line="360" w:lineRule="auto"/>
        <w:ind w:left="720" w:hanging="720"/>
        <w:jc w:val="left"/>
        <w:rPr>
          <w:rFonts w:asciiTheme="minorBidi" w:hAnsiTheme="minorBidi" w:cstheme="minorBidi"/>
          <w:sz w:val="24"/>
          <w:szCs w:val="24"/>
          <w:lang w:val="en-GB"/>
        </w:rPr>
      </w:pPr>
    </w:p>
    <w:p w14:paraId="210EA813" w14:textId="5DBB3D30" w:rsidR="0081780D"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[7]</w:t>
      </w:r>
      <w:r>
        <w:rPr>
          <w:rFonts w:asciiTheme="minorBidi" w:hAnsiTheme="minorBidi" w:cstheme="minorBidi"/>
          <w:sz w:val="24"/>
          <w:szCs w:val="24"/>
          <w:lang w:val="en-GB"/>
        </w:rPr>
        <w:tab/>
      </w:r>
      <w:r w:rsidR="0081780D" w:rsidRPr="0081780D">
        <w:rPr>
          <w:rFonts w:asciiTheme="minorBidi" w:hAnsiTheme="minorBidi" w:cstheme="minorBidi"/>
          <w:sz w:val="24"/>
          <w:szCs w:val="24"/>
          <w:lang w:val="en-GB"/>
        </w:rPr>
        <w:t xml:space="preserve">A. K. Sood and R. Enbody, </w:t>
      </w:r>
      <w:r w:rsidR="0081780D" w:rsidRPr="00020CB7">
        <w:rPr>
          <w:rFonts w:asciiTheme="minorBidi" w:hAnsiTheme="minorBidi" w:cstheme="minorBidi"/>
          <w:i/>
          <w:iCs/>
          <w:sz w:val="24"/>
          <w:szCs w:val="24"/>
          <w:lang w:val="en-GB"/>
        </w:rPr>
        <w:t>Empirical Cloud Security: Practical Intelligence to Evaluate Risks and Attacks.</w:t>
      </w:r>
      <w:r w:rsidR="0081780D" w:rsidRPr="0081780D">
        <w:rPr>
          <w:rFonts w:asciiTheme="minorBidi" w:hAnsiTheme="minorBidi" w:cstheme="minorBidi"/>
          <w:sz w:val="24"/>
          <w:szCs w:val="24"/>
          <w:lang w:val="en-GB"/>
        </w:rPr>
        <w:t xml:space="preserve"> Dulles, VA, USA: Mercury Learning and Information, 2015.</w:t>
      </w:r>
    </w:p>
    <w:p w14:paraId="61D02855" w14:textId="77777777" w:rsidR="0081780D" w:rsidRDefault="0081780D" w:rsidP="0081780D">
      <w:pPr>
        <w:spacing w:line="360" w:lineRule="auto"/>
        <w:jc w:val="left"/>
        <w:rPr>
          <w:rFonts w:asciiTheme="minorBidi" w:hAnsiTheme="minorBidi" w:cstheme="minorBidi"/>
          <w:sz w:val="24"/>
          <w:szCs w:val="24"/>
          <w:lang w:val="en-GB"/>
        </w:rPr>
      </w:pPr>
    </w:p>
    <w:p w14:paraId="2BBC72A8" w14:textId="77777777" w:rsidR="00020CB7" w:rsidRPr="00020CB7" w:rsidRDefault="001F1ABC" w:rsidP="00020CB7">
      <w:pPr>
        <w:ind w:left="720" w:hanging="720"/>
        <w:jc w:val="both"/>
        <w:rPr>
          <w:rFonts w:asciiTheme="minorBidi" w:hAnsiTheme="minorBidi" w:cstheme="minorBidi"/>
          <w:sz w:val="24"/>
          <w:szCs w:val="24"/>
          <w:lang w:val="en-GB"/>
        </w:rPr>
      </w:pPr>
      <w:r>
        <w:rPr>
          <w:rFonts w:asciiTheme="minorBidi" w:hAnsiTheme="minorBidi" w:cstheme="minorBidi"/>
          <w:sz w:val="24"/>
          <w:szCs w:val="24"/>
          <w:lang w:val="en-GB"/>
        </w:rPr>
        <w:t>[8]</w:t>
      </w:r>
      <w:r>
        <w:rPr>
          <w:rFonts w:asciiTheme="minorBidi" w:hAnsiTheme="minorBidi" w:cstheme="minorBidi"/>
          <w:sz w:val="24"/>
          <w:szCs w:val="24"/>
          <w:lang w:val="en-GB"/>
        </w:rPr>
        <w:tab/>
      </w:r>
      <w:r w:rsidR="00020CB7" w:rsidRPr="00020CB7">
        <w:rPr>
          <w:rFonts w:asciiTheme="minorBidi" w:hAnsiTheme="minorBidi" w:cstheme="minorBidi"/>
          <w:sz w:val="24"/>
          <w:szCs w:val="24"/>
          <w:lang w:val="en-GB"/>
        </w:rPr>
        <w:t xml:space="preserve">L. J. Fennelly and S. J. Davies, </w:t>
      </w:r>
      <w:r w:rsidR="00020CB7" w:rsidRPr="00020CB7">
        <w:rPr>
          <w:rFonts w:asciiTheme="minorBidi" w:hAnsiTheme="minorBidi" w:cstheme="minorBidi"/>
          <w:i/>
          <w:iCs/>
          <w:sz w:val="24"/>
          <w:szCs w:val="24"/>
          <w:lang w:val="en-GB"/>
        </w:rPr>
        <w:t xml:space="preserve">The Professional Protection Officer: Practical Security Strategies and Emerging Trends, </w:t>
      </w:r>
      <w:r w:rsidR="00020CB7" w:rsidRPr="00020CB7">
        <w:rPr>
          <w:rFonts w:asciiTheme="minorBidi" w:hAnsiTheme="minorBidi" w:cstheme="minorBidi"/>
          <w:sz w:val="24"/>
          <w:szCs w:val="24"/>
          <w:lang w:val="en-GB"/>
        </w:rPr>
        <w:t>Elsevier Science, Netherlands, 2019.</w:t>
      </w:r>
    </w:p>
    <w:p w14:paraId="15751F11" w14:textId="77875D03" w:rsidR="0081780D" w:rsidRPr="0007329B" w:rsidRDefault="0081780D" w:rsidP="00020CB7">
      <w:pPr>
        <w:spacing w:line="360" w:lineRule="auto"/>
        <w:ind w:left="720" w:hanging="720"/>
        <w:jc w:val="left"/>
        <w:rPr>
          <w:rFonts w:asciiTheme="minorBidi" w:hAnsiTheme="minorBidi" w:cstheme="minorBidi"/>
          <w:sz w:val="24"/>
          <w:szCs w:val="24"/>
          <w:lang w:val="en-GB"/>
        </w:rPr>
      </w:pPr>
    </w:p>
    <w:p w14:paraId="2446D953" w14:textId="73FE5BAF" w:rsidR="0081780D" w:rsidRPr="00020CB7" w:rsidRDefault="001F1ABC" w:rsidP="00020CB7">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[9]</w:t>
      </w:r>
      <w:r>
        <w:rPr>
          <w:rFonts w:asciiTheme="minorBidi" w:hAnsiTheme="minorBidi" w:cstheme="minorBidi"/>
          <w:sz w:val="24"/>
          <w:szCs w:val="24"/>
          <w:lang w:val="en-GB"/>
        </w:rPr>
        <w:tab/>
      </w:r>
      <w:r w:rsidR="00020CB7" w:rsidRPr="00020CB7">
        <w:rPr>
          <w:rFonts w:asciiTheme="minorBidi" w:hAnsiTheme="minorBidi" w:cstheme="minorBidi"/>
          <w:sz w:val="24"/>
          <w:szCs w:val="24"/>
          <w:lang w:val="en-GB"/>
        </w:rPr>
        <w:t xml:space="preserve">D. J. Landoll, </w:t>
      </w:r>
      <w:r w:rsidR="00020CB7" w:rsidRPr="00020CB7">
        <w:rPr>
          <w:rFonts w:asciiTheme="minorBidi" w:hAnsiTheme="minorBidi" w:cstheme="minorBidi"/>
          <w:i/>
          <w:iCs/>
          <w:sz w:val="24"/>
          <w:szCs w:val="24"/>
          <w:lang w:val="en-GB"/>
        </w:rPr>
        <w:t>Information Security Policies, Procedures, and Standards: A Practitioner's Reference</w:t>
      </w:r>
      <w:r w:rsidR="00020CB7" w:rsidRPr="00020CB7">
        <w:rPr>
          <w:rFonts w:asciiTheme="minorBidi" w:hAnsiTheme="minorBidi" w:cstheme="minorBidi"/>
          <w:sz w:val="24"/>
          <w:szCs w:val="24"/>
          <w:lang w:val="en-GB"/>
        </w:rPr>
        <w:t>, Taylor &amp; Francis Limited, United Kingdom, 2020.</w:t>
      </w:r>
    </w:p>
    <w:p w14:paraId="026F78A8" w14:textId="77777777" w:rsidR="00020CB7" w:rsidRPr="0007329B" w:rsidRDefault="00020CB7" w:rsidP="00020CB7">
      <w:pPr>
        <w:spacing w:line="360" w:lineRule="auto"/>
        <w:ind w:left="720" w:hanging="720"/>
        <w:jc w:val="left"/>
        <w:rPr>
          <w:rFonts w:asciiTheme="minorBidi" w:hAnsiTheme="minorBidi" w:cstheme="minorBidi"/>
          <w:sz w:val="24"/>
          <w:szCs w:val="24"/>
          <w:lang w:val="en-GB"/>
        </w:rPr>
      </w:pPr>
    </w:p>
    <w:p w14:paraId="08D815C7" w14:textId="313E08C3"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[10]</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 xml:space="preserve">V. </w:t>
      </w:r>
      <w:proofErr w:type="spellStart"/>
      <w:r w:rsidR="0007329B" w:rsidRPr="0007329B">
        <w:rPr>
          <w:rFonts w:asciiTheme="minorBidi" w:hAnsiTheme="minorBidi" w:cstheme="minorBidi"/>
          <w:sz w:val="24"/>
          <w:szCs w:val="24"/>
          <w:lang w:val="en-GB"/>
        </w:rPr>
        <w:t>Piuri</w:t>
      </w:r>
      <w:proofErr w:type="spellEnd"/>
      <w:r w:rsidR="0007329B" w:rsidRPr="0007329B">
        <w:rPr>
          <w:rFonts w:asciiTheme="minorBidi" w:hAnsiTheme="minorBidi" w:cstheme="minorBidi"/>
          <w:sz w:val="24"/>
          <w:szCs w:val="24"/>
          <w:lang w:val="en-GB"/>
        </w:rPr>
        <w:t xml:space="preserve">, W. Meng, and Z. Yan, Eds., </w:t>
      </w:r>
      <w:r w:rsidR="0007329B" w:rsidRPr="0007329B">
        <w:rPr>
          <w:rFonts w:asciiTheme="minorBidi" w:hAnsiTheme="minorBidi" w:cstheme="minorBidi"/>
          <w:i/>
          <w:iCs/>
          <w:sz w:val="24"/>
          <w:szCs w:val="24"/>
          <w:lang w:val="en-GB"/>
        </w:rPr>
        <w:t>Information Security Practice and Experience: 18th International Conference, ISPEC 2023, Copenhagen, Denmark, August 24–25, 2023, Proceedings</w:t>
      </w:r>
      <w:r w:rsidR="0007329B" w:rsidRPr="0007329B">
        <w:rPr>
          <w:rFonts w:asciiTheme="minorBidi" w:hAnsiTheme="minorBidi" w:cstheme="minorBidi"/>
          <w:sz w:val="24"/>
          <w:szCs w:val="24"/>
          <w:lang w:val="en-GB"/>
        </w:rPr>
        <w:t>. Singapore: Springer Nature, 2023.</w:t>
      </w:r>
    </w:p>
    <w:p w14:paraId="63D755E9" w14:textId="77777777" w:rsidR="0081780D" w:rsidRPr="0007329B" w:rsidRDefault="0081780D" w:rsidP="0007329B">
      <w:pPr>
        <w:spacing w:line="360" w:lineRule="auto"/>
        <w:jc w:val="left"/>
        <w:rPr>
          <w:rFonts w:asciiTheme="minorBidi" w:hAnsiTheme="minorBidi" w:cstheme="minorBidi"/>
          <w:sz w:val="24"/>
          <w:szCs w:val="24"/>
          <w:lang w:val="en-GB"/>
        </w:rPr>
      </w:pPr>
    </w:p>
    <w:p w14:paraId="64C81CCD" w14:textId="154AA6B2"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lastRenderedPageBreak/>
        <w:t>[11]</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 xml:space="preserve">R. Martinez, </w:t>
      </w:r>
      <w:r w:rsidR="0007329B" w:rsidRPr="0007329B">
        <w:rPr>
          <w:rFonts w:asciiTheme="minorBidi" w:hAnsiTheme="minorBidi" w:cstheme="minorBidi"/>
          <w:i/>
          <w:iCs/>
          <w:sz w:val="24"/>
          <w:szCs w:val="24"/>
          <w:lang w:val="en-GB"/>
        </w:rPr>
        <w:t>Incident Response with Threat Intelligence: Practical Insights Into Developing an Incident Response Capability Through Intelligence-based Threat Hunting</w:t>
      </w:r>
      <w:r w:rsidR="0007329B" w:rsidRPr="0007329B">
        <w:rPr>
          <w:rFonts w:asciiTheme="minorBidi" w:hAnsiTheme="minorBidi" w:cstheme="minorBidi"/>
          <w:sz w:val="24"/>
          <w:szCs w:val="24"/>
          <w:lang w:val="en-GB"/>
        </w:rPr>
        <w:t xml:space="preserve">. Birmingham, UK: </w:t>
      </w:r>
      <w:proofErr w:type="spellStart"/>
      <w:r w:rsidR="0007329B" w:rsidRPr="0007329B">
        <w:rPr>
          <w:rFonts w:asciiTheme="minorBidi" w:hAnsiTheme="minorBidi" w:cstheme="minorBidi"/>
          <w:sz w:val="24"/>
          <w:szCs w:val="24"/>
          <w:lang w:val="en-GB"/>
        </w:rPr>
        <w:t>Packt</w:t>
      </w:r>
      <w:proofErr w:type="spellEnd"/>
      <w:r w:rsidR="0007329B" w:rsidRPr="0007329B">
        <w:rPr>
          <w:rFonts w:asciiTheme="minorBidi" w:hAnsiTheme="minorBidi" w:cstheme="minorBidi"/>
          <w:sz w:val="24"/>
          <w:szCs w:val="24"/>
          <w:lang w:val="en-GB"/>
        </w:rPr>
        <w:t xml:space="preserve"> Publishing, 2022.</w:t>
      </w:r>
    </w:p>
    <w:p w14:paraId="5EC870A9" w14:textId="77777777" w:rsidR="0081780D" w:rsidRPr="0007329B" w:rsidRDefault="0081780D" w:rsidP="0007329B">
      <w:pPr>
        <w:spacing w:line="360" w:lineRule="auto"/>
        <w:jc w:val="left"/>
        <w:rPr>
          <w:rFonts w:asciiTheme="minorBidi" w:hAnsiTheme="minorBidi" w:cstheme="minorBidi"/>
          <w:sz w:val="24"/>
          <w:szCs w:val="24"/>
          <w:lang w:val="en-GB"/>
        </w:rPr>
      </w:pPr>
    </w:p>
    <w:p w14:paraId="6C05D670" w14:textId="0437DDE5"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[12]</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 xml:space="preserve">P. Ackerman, </w:t>
      </w:r>
      <w:r w:rsidR="0007329B" w:rsidRPr="0007329B">
        <w:rPr>
          <w:rFonts w:asciiTheme="minorBidi" w:hAnsiTheme="minorBidi" w:cstheme="minorBidi"/>
          <w:i/>
          <w:iCs/>
          <w:sz w:val="24"/>
          <w:szCs w:val="24"/>
          <w:lang w:val="en-GB"/>
        </w:rPr>
        <w:t>Modern Cybersecurity Practices: Exploring and Implementing Agile Cybersecurity Frameworks and Strategies for Your Organization</w:t>
      </w:r>
      <w:r w:rsidR="0007329B" w:rsidRPr="0007329B">
        <w:rPr>
          <w:rFonts w:asciiTheme="minorBidi" w:hAnsiTheme="minorBidi" w:cstheme="minorBidi"/>
          <w:sz w:val="24"/>
          <w:szCs w:val="24"/>
          <w:lang w:val="en-GB"/>
        </w:rPr>
        <w:t>. New Delhi, India: BPB Publications, 2020.</w:t>
      </w:r>
    </w:p>
    <w:p w14:paraId="1BD6F443" w14:textId="77777777" w:rsidR="0081780D" w:rsidRPr="0007329B" w:rsidRDefault="0081780D" w:rsidP="0007329B">
      <w:pPr>
        <w:spacing w:line="360" w:lineRule="auto"/>
        <w:jc w:val="left"/>
        <w:rPr>
          <w:rFonts w:asciiTheme="minorBidi" w:hAnsiTheme="minorBidi" w:cstheme="minorBidi"/>
          <w:sz w:val="24"/>
          <w:szCs w:val="24"/>
          <w:lang w:val="en-GB"/>
        </w:rPr>
      </w:pPr>
    </w:p>
    <w:p w14:paraId="37006B18" w14:textId="7300808F"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[13]</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 xml:space="preserve">M. Chapple, </w:t>
      </w:r>
      <w:r w:rsidR="0007329B" w:rsidRPr="0007329B">
        <w:rPr>
          <w:rFonts w:asciiTheme="minorBidi" w:hAnsiTheme="minorBidi" w:cstheme="minorBidi"/>
          <w:i/>
          <w:iCs/>
          <w:sz w:val="24"/>
          <w:szCs w:val="24"/>
          <w:lang w:val="en-GB"/>
        </w:rPr>
        <w:t>Access Control and Identity Management</w:t>
      </w:r>
      <w:r w:rsidR="0007329B" w:rsidRPr="0007329B">
        <w:rPr>
          <w:rFonts w:asciiTheme="minorBidi" w:hAnsiTheme="minorBidi" w:cstheme="minorBidi"/>
          <w:sz w:val="24"/>
          <w:szCs w:val="24"/>
          <w:lang w:val="en-GB"/>
        </w:rPr>
        <w:t>, 3rd ed. Burlington, MA, USA: Jones &amp; Bartlett Learning, 2020.</w:t>
      </w:r>
    </w:p>
    <w:p w14:paraId="6BE2268B" w14:textId="77777777" w:rsidR="0081780D" w:rsidRPr="0007329B" w:rsidRDefault="0081780D" w:rsidP="0007329B">
      <w:pPr>
        <w:spacing w:line="360" w:lineRule="auto"/>
        <w:jc w:val="left"/>
        <w:rPr>
          <w:rFonts w:asciiTheme="minorBidi" w:hAnsiTheme="minorBidi" w:cstheme="minorBidi"/>
          <w:sz w:val="24"/>
          <w:szCs w:val="24"/>
          <w:lang w:val="en-GB"/>
        </w:rPr>
      </w:pPr>
    </w:p>
    <w:p w14:paraId="26193A7B" w14:textId="09D0B233" w:rsidR="0007329B" w:rsidRP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[14]</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 xml:space="preserve">E. Estrin, </w:t>
      </w:r>
      <w:r w:rsidR="0007329B" w:rsidRPr="0007329B">
        <w:rPr>
          <w:rFonts w:asciiTheme="minorBidi" w:hAnsiTheme="minorBidi" w:cstheme="minorBidi"/>
          <w:i/>
          <w:iCs/>
          <w:sz w:val="24"/>
          <w:szCs w:val="24"/>
          <w:lang w:val="en-GB"/>
        </w:rPr>
        <w:t>Security for Cloud Native Applications: The Practical Guide for Securing Modern Applications Using AWS, Azure, and GCP. Sebastopol</w:t>
      </w:r>
      <w:r w:rsidR="0007329B" w:rsidRPr="0007329B">
        <w:rPr>
          <w:rFonts w:asciiTheme="minorBidi" w:hAnsiTheme="minorBidi" w:cstheme="minorBidi"/>
          <w:sz w:val="24"/>
          <w:szCs w:val="24"/>
          <w:lang w:val="en-GB"/>
        </w:rPr>
        <w:t>, CA, USA: O'Reilly Media, 2021.</w:t>
      </w:r>
    </w:p>
    <w:p w14:paraId="687F465C" w14:textId="77777777" w:rsidR="0007329B" w:rsidRPr="0007329B" w:rsidRDefault="0007329B" w:rsidP="0007329B">
      <w:pPr>
        <w:spacing w:line="360" w:lineRule="auto"/>
        <w:jc w:val="left"/>
        <w:rPr>
          <w:rFonts w:asciiTheme="minorBidi" w:hAnsiTheme="minorBidi" w:cstheme="minorBidi"/>
          <w:sz w:val="24"/>
          <w:szCs w:val="24"/>
          <w:lang w:val="en-GB"/>
        </w:rPr>
      </w:pPr>
    </w:p>
    <w:p w14:paraId="22C02AC1" w14:textId="16981548" w:rsidR="005D26C3" w:rsidRDefault="005D26C3" w:rsidP="0007329B">
      <w:pPr>
        <w:spacing w:line="360" w:lineRule="auto"/>
        <w:jc w:val="left"/>
        <w:rPr>
          <w:rFonts w:asciiTheme="minorBidi" w:hAnsiTheme="minorBidi" w:cstheme="minorBidi"/>
          <w:sz w:val="24"/>
          <w:szCs w:val="24"/>
          <w:lang w:val="en-GB"/>
        </w:rPr>
      </w:pPr>
    </w:p>
    <w:p w14:paraId="571AAB0F" w14:textId="77777777" w:rsidR="00B24766" w:rsidRPr="00B24766" w:rsidRDefault="00B24766" w:rsidP="00B24766">
      <w:pPr>
        <w:rPr>
          <w:rFonts w:asciiTheme="minorBidi" w:hAnsiTheme="minorBidi" w:cstheme="minorBidi"/>
          <w:sz w:val="24"/>
          <w:szCs w:val="24"/>
          <w:lang w:val="en-GB"/>
        </w:rPr>
      </w:pPr>
    </w:p>
    <w:p w14:paraId="577ED4C9" w14:textId="77777777" w:rsidR="00B24766" w:rsidRPr="00B24766" w:rsidRDefault="00B24766" w:rsidP="00B24766">
      <w:pPr>
        <w:rPr>
          <w:rFonts w:asciiTheme="minorBidi" w:hAnsiTheme="minorBidi" w:cstheme="minorBidi"/>
          <w:sz w:val="24"/>
          <w:szCs w:val="24"/>
          <w:lang w:val="en-GB"/>
        </w:rPr>
      </w:pPr>
    </w:p>
    <w:p w14:paraId="5CEBA77F" w14:textId="77777777" w:rsidR="00B24766" w:rsidRPr="00B24766" w:rsidRDefault="00B24766" w:rsidP="00B24766">
      <w:pPr>
        <w:rPr>
          <w:rFonts w:asciiTheme="minorBidi" w:hAnsiTheme="minorBidi" w:cstheme="minorBidi"/>
          <w:sz w:val="24"/>
          <w:szCs w:val="24"/>
          <w:lang w:val="en-GB"/>
        </w:rPr>
      </w:pPr>
    </w:p>
    <w:p w14:paraId="3B193200" w14:textId="77777777" w:rsidR="00B24766" w:rsidRPr="00B24766" w:rsidRDefault="00B24766" w:rsidP="00B24766">
      <w:pPr>
        <w:rPr>
          <w:rFonts w:asciiTheme="minorBidi" w:hAnsiTheme="minorBidi" w:cstheme="minorBidi"/>
          <w:sz w:val="24"/>
          <w:szCs w:val="24"/>
          <w:lang w:val="en-GB"/>
        </w:rPr>
      </w:pPr>
    </w:p>
    <w:p w14:paraId="239B197B" w14:textId="77777777" w:rsidR="00B24766" w:rsidRPr="00B24766" w:rsidRDefault="00B24766" w:rsidP="00B24766">
      <w:pPr>
        <w:rPr>
          <w:rFonts w:asciiTheme="minorBidi" w:hAnsiTheme="minorBidi" w:cstheme="minorBidi"/>
          <w:sz w:val="24"/>
          <w:szCs w:val="24"/>
          <w:lang w:val="en-GB"/>
        </w:rPr>
      </w:pPr>
    </w:p>
    <w:p w14:paraId="34927012" w14:textId="77777777" w:rsidR="00B24766" w:rsidRPr="00B24766" w:rsidRDefault="00B24766" w:rsidP="00B24766">
      <w:pPr>
        <w:rPr>
          <w:rFonts w:asciiTheme="minorBidi" w:hAnsiTheme="minorBidi" w:cstheme="minorBidi"/>
          <w:sz w:val="24"/>
          <w:szCs w:val="24"/>
          <w:lang w:val="en-GB"/>
        </w:rPr>
      </w:pPr>
    </w:p>
    <w:p w14:paraId="33277BEB" w14:textId="77777777" w:rsidR="00B24766" w:rsidRDefault="00B24766" w:rsidP="00B24766">
      <w:pPr>
        <w:rPr>
          <w:rFonts w:asciiTheme="minorBidi" w:hAnsiTheme="minorBidi" w:cstheme="minorBidi"/>
          <w:sz w:val="24"/>
          <w:szCs w:val="24"/>
          <w:lang w:val="en-GB"/>
        </w:rPr>
      </w:pPr>
    </w:p>
    <w:p w14:paraId="3210B29A" w14:textId="5B3BBDBB" w:rsidR="00B24766" w:rsidRPr="00B24766" w:rsidRDefault="00B24766" w:rsidP="00B24766">
      <w:pPr>
        <w:tabs>
          <w:tab w:val="left" w:pos="3204"/>
          <w:tab w:val="center" w:pos="5060"/>
        </w:tabs>
        <w:jc w:val="left"/>
        <w:rPr>
          <w:rFonts w:asciiTheme="minorBidi" w:hAnsiTheme="minorBidi" w:cstheme="minorBidi"/>
          <w:sz w:val="24"/>
          <w:szCs w:val="24"/>
          <w:lang w:val="en-GB"/>
        </w:rPr>
      </w:pPr>
      <w:r>
        <w:rPr>
          <w:rFonts w:asciiTheme="minorBidi" w:hAnsiTheme="minorBidi" w:cstheme="minorBidi"/>
          <w:sz w:val="24"/>
          <w:szCs w:val="24"/>
          <w:lang w:val="en-GB"/>
        </w:rPr>
        <w:tab/>
      </w:r>
      <w:r>
        <w:rPr>
          <w:rFonts w:asciiTheme="minorBidi" w:hAnsiTheme="minorBidi" w:cstheme="minorBidi"/>
          <w:sz w:val="24"/>
          <w:szCs w:val="24"/>
          <w:lang w:val="en-GB"/>
        </w:rPr>
        <w:tab/>
      </w:r>
      <w:r>
        <w:rPr>
          <w:rFonts w:asciiTheme="minorBidi" w:hAnsiTheme="minorBidi" w:cstheme="minorBidi"/>
          <w:sz w:val="24"/>
          <w:szCs w:val="24"/>
          <w:lang w:val="en-GB"/>
        </w:rPr>
        <w:tab/>
      </w:r>
      <w:r>
        <w:rPr>
          <w:rFonts w:asciiTheme="minorBidi" w:hAnsiTheme="minorBidi" w:cstheme="minorBidi"/>
          <w:sz w:val="24"/>
          <w:szCs w:val="24"/>
          <w:lang w:val="en-GB"/>
        </w:rPr>
        <w:tab/>
      </w:r>
    </w:p>
    <w:sectPr w:rsidR="00B24766" w:rsidRPr="00B24766" w:rsidSect="00E93AD5">
      <w:type w:val="continuous"/>
      <w:pgSz w:w="11906" w:h="16838" w:code="9"/>
      <w:pgMar w:top="450" w:right="893" w:bottom="1440" w:left="893" w:header="720" w:footer="720" w:gutter="0"/>
      <w:pgBorders w:offsetFrom="page">
        <w:top w:val="dashDotStroked" w:sz="24" w:space="24" w:color="074F6A" w:themeColor="accent4" w:themeShade="80"/>
        <w:left w:val="dashDotStroked" w:sz="24" w:space="24" w:color="074F6A" w:themeColor="accent4" w:themeShade="80"/>
        <w:bottom w:val="dashDotStroked" w:sz="24" w:space="24" w:color="074F6A" w:themeColor="accent4" w:themeShade="80"/>
        <w:right w:val="dashDotStroked" w:sz="24" w:space="24" w:color="074F6A" w:themeColor="accent4" w:themeShade="8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9146A7" w14:textId="77777777" w:rsidR="0088519D" w:rsidRDefault="0088519D" w:rsidP="004D5888">
      <w:r>
        <w:separator/>
      </w:r>
    </w:p>
  </w:endnote>
  <w:endnote w:type="continuationSeparator" w:id="0">
    <w:p w14:paraId="0B4DB27A" w14:textId="77777777" w:rsidR="0088519D" w:rsidRDefault="0088519D" w:rsidP="004D58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2453974"/>
      <w:docPartObj>
        <w:docPartGallery w:val="Page Numbers (Bottom of Page)"/>
        <w:docPartUnique/>
      </w:docPartObj>
    </w:sdtPr>
    <w:sdtEndPr>
      <w:rPr>
        <w:noProof/>
      </w:rPr>
    </w:sdtEndPr>
    <w:sdtContent>
      <w:p w14:paraId="35C2E4C8" w14:textId="77777777" w:rsidR="004D5888" w:rsidRDefault="004D5888">
        <w:pPr>
          <w:pStyle w:val="Footer"/>
        </w:pPr>
        <w:r>
          <w:fldChar w:fldCharType="begin"/>
        </w:r>
        <w:r>
          <w:instrText xml:space="preserve"> PAGE   \* MERGEFORMAT </w:instrText>
        </w:r>
        <w:r>
          <w:fldChar w:fldCharType="separate"/>
        </w:r>
        <w:r>
          <w:rPr>
            <w:noProof/>
          </w:rPr>
          <w:t>2</w:t>
        </w:r>
        <w:r>
          <w:rPr>
            <w:noProof/>
          </w:rPr>
          <w:fldChar w:fldCharType="end"/>
        </w:r>
      </w:p>
    </w:sdtContent>
  </w:sdt>
  <w:p w14:paraId="10CF9BB5" w14:textId="77777777" w:rsidR="004D5888" w:rsidRDefault="004D58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D6D69" w14:textId="77777777" w:rsidR="0088519D" w:rsidRDefault="0088519D" w:rsidP="004D5888">
      <w:r>
        <w:separator/>
      </w:r>
    </w:p>
  </w:footnote>
  <w:footnote w:type="continuationSeparator" w:id="0">
    <w:p w14:paraId="7B03356F" w14:textId="77777777" w:rsidR="0088519D" w:rsidRDefault="0088519D" w:rsidP="004D58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436E32" w14:textId="43434DC7" w:rsidR="004D5888" w:rsidRDefault="009931AE">
    <w:pPr>
      <w:pStyle w:val="Header"/>
    </w:pPr>
    <w:r>
      <w:t xml:space="preserve"> </w:t>
    </w:r>
  </w:p>
  <w:p w14:paraId="232F67F5" w14:textId="080BA1CD" w:rsidR="004D5888" w:rsidRDefault="009931AE">
    <w:pPr>
      <w:pStyle w:val="Header"/>
    </w:pP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FB58BF" w14:textId="2F0D6185" w:rsidR="004D5888" w:rsidRDefault="004D5888" w:rsidP="004D5888">
    <w:pPr>
      <w:pStyle w:val="Header"/>
      <w:jc w:val="left"/>
    </w:pPr>
    <w:r>
      <w:t xml:space="preserve">Student Name: Nasira Perveen </w:t>
    </w:r>
    <w:r>
      <w:tab/>
    </w:r>
    <w:r>
      <w:tab/>
      <w:t>Id: 2331267</w:t>
    </w:r>
  </w:p>
  <w:p w14:paraId="628880BC" w14:textId="77777777" w:rsidR="004D5888" w:rsidRDefault="004D58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C1484"/>
    <w:multiLevelType w:val="multilevel"/>
    <w:tmpl w:val="898A0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1766A5"/>
    <w:multiLevelType w:val="multilevel"/>
    <w:tmpl w:val="3DDC9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337D0F"/>
    <w:multiLevelType w:val="multilevel"/>
    <w:tmpl w:val="EF8C9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0C13F2"/>
    <w:multiLevelType w:val="multilevel"/>
    <w:tmpl w:val="BDB0C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F802154"/>
    <w:multiLevelType w:val="multilevel"/>
    <w:tmpl w:val="AD483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DA5DCC"/>
    <w:multiLevelType w:val="multilevel"/>
    <w:tmpl w:val="3D403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0" w15:restartNumberingAfterBreak="0">
    <w:nsid w:val="534C5EFB"/>
    <w:multiLevelType w:val="multilevel"/>
    <w:tmpl w:val="31168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5E3454"/>
    <w:multiLevelType w:val="multilevel"/>
    <w:tmpl w:val="573AB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F11B9F"/>
    <w:multiLevelType w:val="multilevel"/>
    <w:tmpl w:val="A2644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4A31C16"/>
    <w:multiLevelType w:val="multilevel"/>
    <w:tmpl w:val="7AC44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986C86"/>
    <w:multiLevelType w:val="multilevel"/>
    <w:tmpl w:val="34D098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BDA46D8"/>
    <w:multiLevelType w:val="multilevel"/>
    <w:tmpl w:val="FAE86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7"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8" w15:restartNumberingAfterBreak="0">
    <w:nsid w:val="70F07863"/>
    <w:multiLevelType w:val="multilevel"/>
    <w:tmpl w:val="83DAB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703BD5"/>
    <w:multiLevelType w:val="multilevel"/>
    <w:tmpl w:val="5686B4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69F111C"/>
    <w:multiLevelType w:val="multilevel"/>
    <w:tmpl w:val="1C707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9E182D"/>
    <w:multiLevelType w:val="multilevel"/>
    <w:tmpl w:val="314A6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9909383">
    <w:abstractNumId w:val="5"/>
  </w:num>
  <w:num w:numId="2" w16cid:durableId="568543031">
    <w:abstractNumId w:val="16"/>
  </w:num>
  <w:num w:numId="3" w16cid:durableId="1207790780">
    <w:abstractNumId w:val="4"/>
  </w:num>
  <w:num w:numId="4" w16cid:durableId="2088458160">
    <w:abstractNumId w:val="9"/>
  </w:num>
  <w:num w:numId="5" w16cid:durableId="231694775">
    <w:abstractNumId w:val="17"/>
  </w:num>
  <w:num w:numId="6" w16cid:durableId="276639338">
    <w:abstractNumId w:val="6"/>
  </w:num>
  <w:num w:numId="7" w16cid:durableId="1601722923">
    <w:abstractNumId w:val="15"/>
  </w:num>
  <w:num w:numId="8" w16cid:durableId="826365580">
    <w:abstractNumId w:val="12"/>
  </w:num>
  <w:num w:numId="9" w16cid:durableId="1478372905">
    <w:abstractNumId w:val="21"/>
  </w:num>
  <w:num w:numId="10" w16cid:durableId="1810515814">
    <w:abstractNumId w:val="13"/>
  </w:num>
  <w:num w:numId="11" w16cid:durableId="1378118359">
    <w:abstractNumId w:val="14"/>
  </w:num>
  <w:num w:numId="12" w16cid:durableId="989673679">
    <w:abstractNumId w:val="1"/>
  </w:num>
  <w:num w:numId="13" w16cid:durableId="137961937">
    <w:abstractNumId w:val="2"/>
  </w:num>
  <w:num w:numId="14" w16cid:durableId="967201209">
    <w:abstractNumId w:val="10"/>
  </w:num>
  <w:num w:numId="15" w16cid:durableId="692146662">
    <w:abstractNumId w:val="19"/>
  </w:num>
  <w:num w:numId="16" w16cid:durableId="1764182145">
    <w:abstractNumId w:val="8"/>
  </w:num>
  <w:num w:numId="17" w16cid:durableId="391195143">
    <w:abstractNumId w:val="7"/>
  </w:num>
  <w:num w:numId="18" w16cid:durableId="947084270">
    <w:abstractNumId w:val="0"/>
  </w:num>
  <w:num w:numId="19" w16cid:durableId="609582127">
    <w:abstractNumId w:val="18"/>
  </w:num>
  <w:num w:numId="20" w16cid:durableId="1853448764">
    <w:abstractNumId w:val="11"/>
  </w:num>
  <w:num w:numId="21" w16cid:durableId="1730880804">
    <w:abstractNumId w:val="20"/>
  </w:num>
  <w:num w:numId="22" w16cid:durableId="2033411770">
    <w:abstractNumId w:val="3"/>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888"/>
    <w:rsid w:val="00002BF4"/>
    <w:rsid w:val="00017994"/>
    <w:rsid w:val="00020CB7"/>
    <w:rsid w:val="00047219"/>
    <w:rsid w:val="0007329B"/>
    <w:rsid w:val="00085894"/>
    <w:rsid w:val="000A2AFD"/>
    <w:rsid w:val="000B261A"/>
    <w:rsid w:val="000B56C6"/>
    <w:rsid w:val="000C71F3"/>
    <w:rsid w:val="000C74D7"/>
    <w:rsid w:val="000D41F1"/>
    <w:rsid w:val="0016321C"/>
    <w:rsid w:val="00171A25"/>
    <w:rsid w:val="001B08FD"/>
    <w:rsid w:val="001C2A4F"/>
    <w:rsid w:val="001C52D9"/>
    <w:rsid w:val="001E06C1"/>
    <w:rsid w:val="001E3372"/>
    <w:rsid w:val="001F1ABC"/>
    <w:rsid w:val="002160F8"/>
    <w:rsid w:val="00256547"/>
    <w:rsid w:val="002B15C2"/>
    <w:rsid w:val="002C5BF2"/>
    <w:rsid w:val="002F1459"/>
    <w:rsid w:val="00352900"/>
    <w:rsid w:val="003741F5"/>
    <w:rsid w:val="00380418"/>
    <w:rsid w:val="00380DAC"/>
    <w:rsid w:val="00387372"/>
    <w:rsid w:val="003A1F32"/>
    <w:rsid w:val="003B169F"/>
    <w:rsid w:val="003D7E97"/>
    <w:rsid w:val="00400989"/>
    <w:rsid w:val="004228DA"/>
    <w:rsid w:val="00455538"/>
    <w:rsid w:val="00463B1C"/>
    <w:rsid w:val="00464C0B"/>
    <w:rsid w:val="004C1147"/>
    <w:rsid w:val="004D133D"/>
    <w:rsid w:val="004D5888"/>
    <w:rsid w:val="004F1D36"/>
    <w:rsid w:val="00530375"/>
    <w:rsid w:val="00534E0B"/>
    <w:rsid w:val="00540908"/>
    <w:rsid w:val="00545A34"/>
    <w:rsid w:val="005903C1"/>
    <w:rsid w:val="00594980"/>
    <w:rsid w:val="005D24FC"/>
    <w:rsid w:val="005D26C3"/>
    <w:rsid w:val="005D66BB"/>
    <w:rsid w:val="005F58F2"/>
    <w:rsid w:val="0061728A"/>
    <w:rsid w:val="00627A46"/>
    <w:rsid w:val="006346DB"/>
    <w:rsid w:val="0064550E"/>
    <w:rsid w:val="006A66BC"/>
    <w:rsid w:val="006B7220"/>
    <w:rsid w:val="006C11E3"/>
    <w:rsid w:val="006C3729"/>
    <w:rsid w:val="006D6DF6"/>
    <w:rsid w:val="007028A8"/>
    <w:rsid w:val="00717E73"/>
    <w:rsid w:val="00756337"/>
    <w:rsid w:val="00757623"/>
    <w:rsid w:val="007663D0"/>
    <w:rsid w:val="00773661"/>
    <w:rsid w:val="00775562"/>
    <w:rsid w:val="007B18E0"/>
    <w:rsid w:val="007B1DE7"/>
    <w:rsid w:val="007C29EB"/>
    <w:rsid w:val="007E472C"/>
    <w:rsid w:val="007F452A"/>
    <w:rsid w:val="00815A58"/>
    <w:rsid w:val="0081780D"/>
    <w:rsid w:val="0082506C"/>
    <w:rsid w:val="00833423"/>
    <w:rsid w:val="00847D7A"/>
    <w:rsid w:val="0088519D"/>
    <w:rsid w:val="00894EEF"/>
    <w:rsid w:val="008A61AB"/>
    <w:rsid w:val="008B4C7C"/>
    <w:rsid w:val="008C7018"/>
    <w:rsid w:val="008E25C5"/>
    <w:rsid w:val="00921B6F"/>
    <w:rsid w:val="009364D1"/>
    <w:rsid w:val="00954C27"/>
    <w:rsid w:val="009931AE"/>
    <w:rsid w:val="009B57EA"/>
    <w:rsid w:val="009E2DC2"/>
    <w:rsid w:val="009E3CCB"/>
    <w:rsid w:val="009F5CAD"/>
    <w:rsid w:val="00A30C47"/>
    <w:rsid w:val="00A34459"/>
    <w:rsid w:val="00A7766A"/>
    <w:rsid w:val="00AB1872"/>
    <w:rsid w:val="00AC11D8"/>
    <w:rsid w:val="00AF22B6"/>
    <w:rsid w:val="00AF67C4"/>
    <w:rsid w:val="00B24766"/>
    <w:rsid w:val="00BB3230"/>
    <w:rsid w:val="00BD5F1D"/>
    <w:rsid w:val="00BE1B20"/>
    <w:rsid w:val="00BF2C7B"/>
    <w:rsid w:val="00C378D5"/>
    <w:rsid w:val="00CA4EC6"/>
    <w:rsid w:val="00CA5B49"/>
    <w:rsid w:val="00CB09B0"/>
    <w:rsid w:val="00D06AFC"/>
    <w:rsid w:val="00DA79DB"/>
    <w:rsid w:val="00DC6C9E"/>
    <w:rsid w:val="00E55532"/>
    <w:rsid w:val="00E71D5E"/>
    <w:rsid w:val="00E91BF0"/>
    <w:rsid w:val="00E93AD5"/>
    <w:rsid w:val="00EA1F6C"/>
    <w:rsid w:val="00EA5EF2"/>
    <w:rsid w:val="00EE53FB"/>
    <w:rsid w:val="00EF4C5A"/>
    <w:rsid w:val="00F32B98"/>
    <w:rsid w:val="00F70513"/>
    <w:rsid w:val="00FB67E9"/>
    <w:rsid w:val="00FC0F40"/>
    <w:rsid w:val="00FC5627"/>
    <w:rsid w:val="00FD572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4440C"/>
  <w15:chartTrackingRefBased/>
  <w15:docId w15:val="{0518DE9E-009D-494B-A05D-F4F8DFC7B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888"/>
    <w:pPr>
      <w:spacing w:after="0" w:line="240" w:lineRule="auto"/>
      <w:jc w:val="center"/>
    </w:pPr>
    <w:rPr>
      <w:rFonts w:ascii="Times New Roman" w:eastAsia="SimSun" w:hAnsi="Times New Roman" w:cs="Times New Roman"/>
      <w:kern w:val="0"/>
      <w:sz w:val="20"/>
      <w:szCs w:val="20"/>
      <w:lang w:val="en-US"/>
      <w14:ligatures w14:val="none"/>
    </w:rPr>
  </w:style>
  <w:style w:type="paragraph" w:styleId="Heading1">
    <w:name w:val="heading 1"/>
    <w:basedOn w:val="Normal"/>
    <w:next w:val="Normal"/>
    <w:link w:val="Heading1Char"/>
    <w:qFormat/>
    <w:rsid w:val="004D58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4D58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4D58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4D58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nhideWhenUsed/>
    <w:qFormat/>
    <w:rsid w:val="004D58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588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588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588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588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8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58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58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58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58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58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58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58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5888"/>
    <w:rPr>
      <w:rFonts w:eastAsiaTheme="majorEastAsia" w:cstheme="majorBidi"/>
      <w:color w:val="272727" w:themeColor="text1" w:themeTint="D8"/>
    </w:rPr>
  </w:style>
  <w:style w:type="paragraph" w:styleId="Title">
    <w:name w:val="Title"/>
    <w:basedOn w:val="Normal"/>
    <w:next w:val="Normal"/>
    <w:link w:val="TitleChar"/>
    <w:uiPriority w:val="10"/>
    <w:qFormat/>
    <w:rsid w:val="004D588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58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58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58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5888"/>
    <w:pPr>
      <w:spacing w:before="160"/>
    </w:pPr>
    <w:rPr>
      <w:i/>
      <w:iCs/>
      <w:color w:val="404040" w:themeColor="text1" w:themeTint="BF"/>
    </w:rPr>
  </w:style>
  <w:style w:type="character" w:customStyle="1" w:styleId="QuoteChar">
    <w:name w:val="Quote Char"/>
    <w:basedOn w:val="DefaultParagraphFont"/>
    <w:link w:val="Quote"/>
    <w:uiPriority w:val="29"/>
    <w:rsid w:val="004D5888"/>
    <w:rPr>
      <w:i/>
      <w:iCs/>
      <w:color w:val="404040" w:themeColor="text1" w:themeTint="BF"/>
    </w:rPr>
  </w:style>
  <w:style w:type="paragraph" w:styleId="ListParagraph">
    <w:name w:val="List Paragraph"/>
    <w:basedOn w:val="Normal"/>
    <w:uiPriority w:val="34"/>
    <w:qFormat/>
    <w:rsid w:val="004D5888"/>
    <w:pPr>
      <w:ind w:left="720"/>
      <w:contextualSpacing/>
    </w:pPr>
  </w:style>
  <w:style w:type="character" w:styleId="IntenseEmphasis">
    <w:name w:val="Intense Emphasis"/>
    <w:basedOn w:val="DefaultParagraphFont"/>
    <w:uiPriority w:val="21"/>
    <w:qFormat/>
    <w:rsid w:val="004D5888"/>
    <w:rPr>
      <w:i/>
      <w:iCs/>
      <w:color w:val="0F4761" w:themeColor="accent1" w:themeShade="BF"/>
    </w:rPr>
  </w:style>
  <w:style w:type="paragraph" w:styleId="IntenseQuote">
    <w:name w:val="Intense Quote"/>
    <w:basedOn w:val="Normal"/>
    <w:next w:val="Normal"/>
    <w:link w:val="IntenseQuoteChar"/>
    <w:uiPriority w:val="30"/>
    <w:qFormat/>
    <w:rsid w:val="004D5888"/>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4D5888"/>
    <w:rPr>
      <w:i/>
      <w:iCs/>
      <w:color w:val="0F4761" w:themeColor="accent1" w:themeShade="BF"/>
    </w:rPr>
  </w:style>
  <w:style w:type="character" w:styleId="IntenseReference">
    <w:name w:val="Intense Reference"/>
    <w:basedOn w:val="DefaultParagraphFont"/>
    <w:uiPriority w:val="32"/>
    <w:qFormat/>
    <w:rsid w:val="004D5888"/>
    <w:rPr>
      <w:b/>
      <w:bCs/>
      <w:smallCaps/>
      <w:color w:val="0F4761" w:themeColor="accent1" w:themeShade="BF"/>
      <w:spacing w:val="5"/>
    </w:rPr>
  </w:style>
  <w:style w:type="paragraph" w:customStyle="1" w:styleId="Abstract">
    <w:name w:val="Abstract"/>
    <w:rsid w:val="004D5888"/>
    <w:pPr>
      <w:spacing w:after="200" w:line="240" w:lineRule="auto"/>
      <w:ind w:firstLine="272"/>
      <w:jc w:val="both"/>
    </w:pPr>
    <w:rPr>
      <w:rFonts w:ascii="Times New Roman" w:eastAsia="SimSun" w:hAnsi="Times New Roman" w:cs="Times New Roman"/>
      <w:b/>
      <w:bCs/>
      <w:kern w:val="0"/>
      <w:sz w:val="18"/>
      <w:szCs w:val="18"/>
      <w:lang w:val="en-US"/>
      <w14:ligatures w14:val="none"/>
    </w:rPr>
  </w:style>
  <w:style w:type="paragraph" w:customStyle="1" w:styleId="Affiliation">
    <w:name w:val="Affiliation"/>
    <w:rsid w:val="004D5888"/>
    <w:pPr>
      <w:spacing w:after="0" w:line="240" w:lineRule="auto"/>
      <w:jc w:val="center"/>
    </w:pPr>
    <w:rPr>
      <w:rFonts w:ascii="Times New Roman" w:eastAsia="SimSun" w:hAnsi="Times New Roman" w:cs="Times New Roman"/>
      <w:kern w:val="0"/>
      <w:sz w:val="20"/>
      <w:szCs w:val="20"/>
      <w:lang w:val="en-US"/>
      <w14:ligatures w14:val="none"/>
    </w:rPr>
  </w:style>
  <w:style w:type="paragraph" w:customStyle="1" w:styleId="Author">
    <w:name w:val="Author"/>
    <w:rsid w:val="004D5888"/>
    <w:pPr>
      <w:spacing w:before="360" w:after="40" w:line="240" w:lineRule="auto"/>
      <w:jc w:val="center"/>
    </w:pPr>
    <w:rPr>
      <w:rFonts w:ascii="Times New Roman" w:eastAsia="SimSun" w:hAnsi="Times New Roman" w:cs="Times New Roman"/>
      <w:noProof/>
      <w:kern w:val="0"/>
      <w:sz w:val="22"/>
      <w:szCs w:val="22"/>
      <w:lang w:val="en-US"/>
      <w14:ligatures w14:val="none"/>
    </w:rPr>
  </w:style>
  <w:style w:type="paragraph" w:styleId="BodyText">
    <w:name w:val="Body Text"/>
    <w:basedOn w:val="Normal"/>
    <w:link w:val="BodyTextChar"/>
    <w:rsid w:val="004D5888"/>
    <w:pPr>
      <w:tabs>
        <w:tab w:val="left" w:pos="288"/>
      </w:tabs>
      <w:spacing w:after="120" w:line="228" w:lineRule="auto"/>
      <w:ind w:firstLine="288"/>
      <w:jc w:val="both"/>
    </w:pPr>
    <w:rPr>
      <w:spacing w:val="-1"/>
      <w:lang w:val="x-none" w:eastAsia="x-none"/>
    </w:rPr>
  </w:style>
  <w:style w:type="character" w:customStyle="1" w:styleId="BodyTextChar">
    <w:name w:val="Body Text Char"/>
    <w:basedOn w:val="DefaultParagraphFont"/>
    <w:link w:val="BodyText"/>
    <w:rsid w:val="004D5888"/>
    <w:rPr>
      <w:rFonts w:ascii="Times New Roman" w:eastAsia="SimSun" w:hAnsi="Times New Roman" w:cs="Times New Roman"/>
      <w:spacing w:val="-1"/>
      <w:kern w:val="0"/>
      <w:sz w:val="20"/>
      <w:szCs w:val="20"/>
      <w:lang w:val="x-none" w:eastAsia="x-none"/>
      <w14:ligatures w14:val="none"/>
    </w:rPr>
  </w:style>
  <w:style w:type="paragraph" w:customStyle="1" w:styleId="bulletlist">
    <w:name w:val="bullet list"/>
    <w:basedOn w:val="BodyText"/>
    <w:rsid w:val="004D5888"/>
    <w:pPr>
      <w:numPr>
        <w:numId w:val="1"/>
      </w:numPr>
      <w:tabs>
        <w:tab w:val="clear" w:pos="648"/>
      </w:tabs>
      <w:ind w:left="576" w:hanging="288"/>
    </w:pPr>
  </w:style>
  <w:style w:type="paragraph" w:customStyle="1" w:styleId="equation">
    <w:name w:val="equation"/>
    <w:basedOn w:val="Normal"/>
    <w:rsid w:val="004D5888"/>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4D5888"/>
    <w:pPr>
      <w:numPr>
        <w:numId w:val="2"/>
      </w:numPr>
      <w:tabs>
        <w:tab w:val="left" w:pos="533"/>
      </w:tabs>
      <w:spacing w:before="80" w:after="200" w:line="240" w:lineRule="auto"/>
      <w:ind w:left="0" w:firstLine="0"/>
      <w:jc w:val="both"/>
    </w:pPr>
    <w:rPr>
      <w:rFonts w:ascii="Times New Roman" w:eastAsia="SimSun" w:hAnsi="Times New Roman" w:cs="Times New Roman"/>
      <w:noProof/>
      <w:kern w:val="0"/>
      <w:sz w:val="16"/>
      <w:szCs w:val="16"/>
      <w:lang w:val="en-US"/>
      <w14:ligatures w14:val="none"/>
    </w:rPr>
  </w:style>
  <w:style w:type="paragraph" w:customStyle="1" w:styleId="footnote">
    <w:name w:val="footnote"/>
    <w:rsid w:val="004D5888"/>
    <w:pPr>
      <w:framePr w:hSpace="187" w:vSpace="187" w:wrap="notBeside" w:vAnchor="text" w:hAnchor="page" w:x="6121" w:y="577"/>
      <w:numPr>
        <w:numId w:val="3"/>
      </w:numPr>
      <w:spacing w:after="40" w:line="240" w:lineRule="auto"/>
    </w:pPr>
    <w:rPr>
      <w:rFonts w:ascii="Times New Roman" w:eastAsia="SimSun" w:hAnsi="Times New Roman" w:cs="Times New Roman"/>
      <w:kern w:val="0"/>
      <w:sz w:val="16"/>
      <w:szCs w:val="16"/>
      <w:lang w:val="en-US"/>
      <w14:ligatures w14:val="none"/>
    </w:rPr>
  </w:style>
  <w:style w:type="paragraph" w:customStyle="1" w:styleId="papersubtitle">
    <w:name w:val="paper subtitle"/>
    <w:rsid w:val="004D5888"/>
    <w:pPr>
      <w:spacing w:after="120" w:line="240" w:lineRule="auto"/>
      <w:jc w:val="center"/>
    </w:pPr>
    <w:rPr>
      <w:rFonts w:ascii="Times New Roman" w:eastAsia="MS Mincho" w:hAnsi="Times New Roman" w:cs="Times New Roman"/>
      <w:noProof/>
      <w:kern w:val="0"/>
      <w:sz w:val="28"/>
      <w:szCs w:val="28"/>
      <w:lang w:val="en-US"/>
      <w14:ligatures w14:val="none"/>
    </w:rPr>
  </w:style>
  <w:style w:type="paragraph" w:customStyle="1" w:styleId="papertitle">
    <w:name w:val="paper title"/>
    <w:rsid w:val="004D5888"/>
    <w:pPr>
      <w:spacing w:after="120" w:line="240" w:lineRule="auto"/>
      <w:jc w:val="center"/>
    </w:pPr>
    <w:rPr>
      <w:rFonts w:ascii="Times New Roman" w:eastAsia="MS Mincho" w:hAnsi="Times New Roman" w:cs="Times New Roman"/>
      <w:noProof/>
      <w:kern w:val="0"/>
      <w:sz w:val="48"/>
      <w:szCs w:val="48"/>
      <w:lang w:val="en-US"/>
      <w14:ligatures w14:val="none"/>
    </w:rPr>
  </w:style>
  <w:style w:type="paragraph" w:customStyle="1" w:styleId="references">
    <w:name w:val="references"/>
    <w:rsid w:val="004D5888"/>
    <w:pPr>
      <w:numPr>
        <w:numId w:val="4"/>
      </w:numPr>
      <w:spacing w:after="50" w:line="180" w:lineRule="exact"/>
      <w:jc w:val="both"/>
    </w:pPr>
    <w:rPr>
      <w:rFonts w:ascii="Times New Roman" w:eastAsia="MS Mincho" w:hAnsi="Times New Roman" w:cs="Times New Roman"/>
      <w:noProof/>
      <w:kern w:val="0"/>
      <w:sz w:val="16"/>
      <w:szCs w:val="16"/>
      <w:lang w:val="en-US"/>
      <w14:ligatures w14:val="none"/>
    </w:rPr>
  </w:style>
  <w:style w:type="paragraph" w:customStyle="1" w:styleId="sponsors">
    <w:name w:val="sponsors"/>
    <w:rsid w:val="004D5888"/>
    <w:pPr>
      <w:framePr w:wrap="auto" w:hAnchor="text" w:x="615" w:y="2239"/>
      <w:pBdr>
        <w:top w:val="single" w:sz="4" w:space="2" w:color="auto"/>
      </w:pBdr>
      <w:spacing w:after="0" w:line="240" w:lineRule="auto"/>
      <w:ind w:firstLine="288"/>
    </w:pPr>
    <w:rPr>
      <w:rFonts w:ascii="Times New Roman" w:eastAsia="SimSun" w:hAnsi="Times New Roman" w:cs="Times New Roman"/>
      <w:kern w:val="0"/>
      <w:sz w:val="16"/>
      <w:szCs w:val="16"/>
      <w:lang w:val="en-US"/>
      <w14:ligatures w14:val="none"/>
    </w:rPr>
  </w:style>
  <w:style w:type="paragraph" w:customStyle="1" w:styleId="tablecolhead">
    <w:name w:val="table col head"/>
    <w:basedOn w:val="Normal"/>
    <w:rsid w:val="004D5888"/>
    <w:rPr>
      <w:b/>
      <w:bCs/>
      <w:sz w:val="16"/>
      <w:szCs w:val="16"/>
    </w:rPr>
  </w:style>
  <w:style w:type="paragraph" w:customStyle="1" w:styleId="tablecolsubhead">
    <w:name w:val="table col subhead"/>
    <w:basedOn w:val="tablecolhead"/>
    <w:rsid w:val="004D5888"/>
    <w:rPr>
      <w:i/>
      <w:iCs/>
      <w:sz w:val="15"/>
      <w:szCs w:val="15"/>
    </w:rPr>
  </w:style>
  <w:style w:type="paragraph" w:customStyle="1" w:styleId="tablecopy">
    <w:name w:val="table copy"/>
    <w:rsid w:val="004D5888"/>
    <w:pPr>
      <w:spacing w:after="0" w:line="240" w:lineRule="auto"/>
      <w:jc w:val="both"/>
    </w:pPr>
    <w:rPr>
      <w:rFonts w:ascii="Times New Roman" w:eastAsia="SimSun" w:hAnsi="Times New Roman" w:cs="Times New Roman"/>
      <w:noProof/>
      <w:kern w:val="0"/>
      <w:sz w:val="16"/>
      <w:szCs w:val="16"/>
      <w:lang w:val="en-US"/>
      <w14:ligatures w14:val="none"/>
    </w:rPr>
  </w:style>
  <w:style w:type="paragraph" w:customStyle="1" w:styleId="tablefootnote">
    <w:name w:val="table footnote"/>
    <w:rsid w:val="004D5888"/>
    <w:pPr>
      <w:numPr>
        <w:numId w:val="6"/>
      </w:numPr>
      <w:spacing w:before="60" w:after="30" w:line="240" w:lineRule="auto"/>
      <w:ind w:left="58" w:hanging="29"/>
      <w:jc w:val="right"/>
    </w:pPr>
    <w:rPr>
      <w:rFonts w:ascii="Times New Roman" w:eastAsia="SimSun" w:hAnsi="Times New Roman" w:cs="Times New Roman"/>
      <w:kern w:val="0"/>
      <w:sz w:val="12"/>
      <w:szCs w:val="12"/>
      <w:lang w:val="en-US"/>
      <w14:ligatures w14:val="none"/>
    </w:rPr>
  </w:style>
  <w:style w:type="paragraph" w:customStyle="1" w:styleId="tablehead">
    <w:name w:val="table head"/>
    <w:rsid w:val="004D5888"/>
    <w:pPr>
      <w:numPr>
        <w:numId w:val="5"/>
      </w:numPr>
      <w:spacing w:before="240" w:after="120" w:line="216" w:lineRule="auto"/>
      <w:jc w:val="center"/>
    </w:pPr>
    <w:rPr>
      <w:rFonts w:ascii="Times New Roman" w:eastAsia="SimSun" w:hAnsi="Times New Roman" w:cs="Times New Roman"/>
      <w:smallCaps/>
      <w:noProof/>
      <w:kern w:val="0"/>
      <w:sz w:val="16"/>
      <w:szCs w:val="16"/>
      <w:lang w:val="en-US"/>
      <w14:ligatures w14:val="none"/>
    </w:rPr>
  </w:style>
  <w:style w:type="paragraph" w:customStyle="1" w:styleId="Keywords">
    <w:name w:val="Keywords"/>
    <w:basedOn w:val="Abstract"/>
    <w:qFormat/>
    <w:rsid w:val="004D5888"/>
    <w:pPr>
      <w:spacing w:after="120"/>
      <w:ind w:firstLine="274"/>
    </w:pPr>
    <w:rPr>
      <w:i/>
    </w:rPr>
  </w:style>
  <w:style w:type="paragraph" w:styleId="Header">
    <w:name w:val="header"/>
    <w:basedOn w:val="Normal"/>
    <w:link w:val="HeaderChar"/>
    <w:uiPriority w:val="99"/>
    <w:rsid w:val="004D5888"/>
    <w:pPr>
      <w:tabs>
        <w:tab w:val="center" w:pos="4680"/>
        <w:tab w:val="right" w:pos="9360"/>
      </w:tabs>
    </w:pPr>
  </w:style>
  <w:style w:type="character" w:customStyle="1" w:styleId="HeaderChar">
    <w:name w:val="Header Char"/>
    <w:basedOn w:val="DefaultParagraphFont"/>
    <w:link w:val="Header"/>
    <w:uiPriority w:val="99"/>
    <w:rsid w:val="004D5888"/>
    <w:rPr>
      <w:rFonts w:ascii="Times New Roman" w:eastAsia="SimSun" w:hAnsi="Times New Roman" w:cs="Times New Roman"/>
      <w:kern w:val="0"/>
      <w:sz w:val="20"/>
      <w:szCs w:val="20"/>
      <w:lang w:val="en-US"/>
      <w14:ligatures w14:val="none"/>
    </w:rPr>
  </w:style>
  <w:style w:type="paragraph" w:styleId="Footer">
    <w:name w:val="footer"/>
    <w:basedOn w:val="Normal"/>
    <w:link w:val="FooterChar"/>
    <w:uiPriority w:val="99"/>
    <w:rsid w:val="004D5888"/>
    <w:pPr>
      <w:tabs>
        <w:tab w:val="center" w:pos="4680"/>
        <w:tab w:val="right" w:pos="9360"/>
      </w:tabs>
    </w:pPr>
  </w:style>
  <w:style w:type="character" w:customStyle="1" w:styleId="FooterChar">
    <w:name w:val="Footer Char"/>
    <w:basedOn w:val="DefaultParagraphFont"/>
    <w:link w:val="Footer"/>
    <w:uiPriority w:val="99"/>
    <w:rsid w:val="004D5888"/>
    <w:rPr>
      <w:rFonts w:ascii="Times New Roman" w:eastAsia="SimSun" w:hAnsi="Times New Roman" w:cs="Times New Roman"/>
      <w:kern w:val="0"/>
      <w:sz w:val="20"/>
      <w:szCs w:val="20"/>
      <w:lang w:val="en-US"/>
      <w14:ligatures w14:val="none"/>
    </w:rPr>
  </w:style>
  <w:style w:type="paragraph" w:styleId="Caption">
    <w:name w:val="caption"/>
    <w:basedOn w:val="Normal"/>
    <w:next w:val="Normal"/>
    <w:unhideWhenUsed/>
    <w:qFormat/>
    <w:rsid w:val="004D5888"/>
    <w:pPr>
      <w:spacing w:after="200"/>
    </w:pPr>
    <w:rPr>
      <w:i/>
      <w:iCs/>
      <w:color w:val="0E2841" w:themeColor="text2"/>
      <w:sz w:val="18"/>
      <w:szCs w:val="18"/>
    </w:rPr>
  </w:style>
  <w:style w:type="character" w:styleId="Hyperlink">
    <w:name w:val="Hyperlink"/>
    <w:basedOn w:val="DefaultParagraphFont"/>
    <w:uiPriority w:val="99"/>
    <w:rsid w:val="004D5888"/>
    <w:rPr>
      <w:color w:val="467886" w:themeColor="hyperlink"/>
      <w:u w:val="single"/>
    </w:rPr>
  </w:style>
  <w:style w:type="character" w:styleId="UnresolvedMention">
    <w:name w:val="Unresolved Mention"/>
    <w:basedOn w:val="DefaultParagraphFont"/>
    <w:uiPriority w:val="99"/>
    <w:semiHidden/>
    <w:unhideWhenUsed/>
    <w:rsid w:val="004D5888"/>
    <w:rPr>
      <w:color w:val="605E5C"/>
      <w:shd w:val="clear" w:color="auto" w:fill="E1DFDD"/>
    </w:rPr>
  </w:style>
  <w:style w:type="paragraph" w:styleId="HTMLPreformatted">
    <w:name w:val="HTML Preformatted"/>
    <w:basedOn w:val="Normal"/>
    <w:link w:val="HTMLPreformattedChar"/>
    <w:rsid w:val="004D5888"/>
    <w:rPr>
      <w:rFonts w:ascii="Consolas" w:hAnsi="Consolas"/>
    </w:rPr>
  </w:style>
  <w:style w:type="character" w:customStyle="1" w:styleId="HTMLPreformattedChar">
    <w:name w:val="HTML Preformatted Char"/>
    <w:basedOn w:val="DefaultParagraphFont"/>
    <w:link w:val="HTMLPreformatted"/>
    <w:rsid w:val="004D5888"/>
    <w:rPr>
      <w:rFonts w:ascii="Consolas" w:eastAsia="SimSun" w:hAnsi="Consolas" w:cs="Times New Roman"/>
      <w:kern w:val="0"/>
      <w:sz w:val="20"/>
      <w:szCs w:val="20"/>
      <w:lang w:val="en-US"/>
      <w14:ligatures w14:val="none"/>
    </w:rPr>
  </w:style>
  <w:style w:type="paragraph" w:styleId="NoSpacing">
    <w:name w:val="No Spacing"/>
    <w:link w:val="NoSpacingChar"/>
    <w:uiPriority w:val="1"/>
    <w:qFormat/>
    <w:rsid w:val="004D588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D5888"/>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D5888"/>
    <w:pPr>
      <w:spacing w:before="240" w:after="0" w:line="259" w:lineRule="auto"/>
      <w:outlineLvl w:val="9"/>
    </w:pPr>
    <w:rPr>
      <w:sz w:val="32"/>
      <w:szCs w:val="32"/>
    </w:rPr>
  </w:style>
  <w:style w:type="paragraph" w:styleId="TOC2">
    <w:name w:val="toc 2"/>
    <w:basedOn w:val="Normal"/>
    <w:next w:val="Normal"/>
    <w:autoRedefine/>
    <w:uiPriority w:val="39"/>
    <w:rsid w:val="004D5888"/>
    <w:pPr>
      <w:spacing w:after="100"/>
      <w:ind w:left="200"/>
    </w:pPr>
  </w:style>
  <w:style w:type="paragraph" w:styleId="TOC1">
    <w:name w:val="toc 1"/>
    <w:basedOn w:val="Normal"/>
    <w:next w:val="Normal"/>
    <w:autoRedefine/>
    <w:uiPriority w:val="39"/>
    <w:rsid w:val="004D5888"/>
    <w:pPr>
      <w:spacing w:after="100"/>
    </w:pPr>
  </w:style>
  <w:style w:type="character" w:styleId="CommentReference">
    <w:name w:val="annotation reference"/>
    <w:basedOn w:val="DefaultParagraphFont"/>
    <w:uiPriority w:val="99"/>
    <w:semiHidden/>
    <w:unhideWhenUsed/>
    <w:rsid w:val="009E3CCB"/>
    <w:rPr>
      <w:sz w:val="16"/>
      <w:szCs w:val="16"/>
    </w:rPr>
  </w:style>
  <w:style w:type="paragraph" w:styleId="CommentText">
    <w:name w:val="annotation text"/>
    <w:basedOn w:val="Normal"/>
    <w:link w:val="CommentTextChar"/>
    <w:uiPriority w:val="99"/>
    <w:unhideWhenUsed/>
    <w:rsid w:val="009E3CCB"/>
  </w:style>
  <w:style w:type="character" w:customStyle="1" w:styleId="CommentTextChar">
    <w:name w:val="Comment Text Char"/>
    <w:basedOn w:val="DefaultParagraphFont"/>
    <w:link w:val="CommentText"/>
    <w:uiPriority w:val="99"/>
    <w:rsid w:val="009E3CCB"/>
    <w:rPr>
      <w:rFonts w:ascii="Times New Roman" w:eastAsia="SimSun" w:hAnsi="Times New Roman" w:cs="Times New Roman"/>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9E3CCB"/>
    <w:rPr>
      <w:b/>
      <w:bCs/>
    </w:rPr>
  </w:style>
  <w:style w:type="character" w:customStyle="1" w:styleId="CommentSubjectChar">
    <w:name w:val="Comment Subject Char"/>
    <w:basedOn w:val="CommentTextChar"/>
    <w:link w:val="CommentSubject"/>
    <w:uiPriority w:val="99"/>
    <w:semiHidden/>
    <w:rsid w:val="009E3CCB"/>
    <w:rPr>
      <w:rFonts w:ascii="Times New Roman" w:eastAsia="SimSun" w:hAnsi="Times New Roman" w:cs="Times New Roman"/>
      <w:b/>
      <w:bCs/>
      <w:kern w:val="0"/>
      <w:sz w:val="20"/>
      <w:szCs w:val="20"/>
      <w:lang w:val="en-US"/>
      <w14:ligatures w14:val="none"/>
    </w:rPr>
  </w:style>
  <w:style w:type="paragraph" w:styleId="NormalWeb">
    <w:name w:val="Normal (Web)"/>
    <w:basedOn w:val="Normal"/>
    <w:uiPriority w:val="99"/>
    <w:semiHidden/>
    <w:unhideWhenUsed/>
    <w:rsid w:val="00BF2C7B"/>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jpg"/><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Module Code: ACCA503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840D26-291B-4D02-970E-CE78B3F6B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7015</Words>
  <Characters>39990</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Nasira Perveen Student Id:        2331267                         Module Code:   ACCA5034   Assignment Title:                    Research and case scenario in Data Security and Compliance         Lecturer. Dr Mohammed Ben Farah Submission Date: 31st March 2026 (2 pm)</dc:title>
  <dc:subject/>
  <dc:creator>Nasira Perveen (2331267)</dc:creator>
  <cp:keywords/>
  <dc:description/>
  <cp:lastModifiedBy>Nasira Perveen (2331267)</cp:lastModifiedBy>
  <cp:revision>76</cp:revision>
  <dcterms:created xsi:type="dcterms:W3CDTF">2026-02-12T10:20:00Z</dcterms:created>
  <dcterms:modified xsi:type="dcterms:W3CDTF">2026-03-05T13:45:00Z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86e19fb5-72ac-4a51-8615-1db9e30cba7f</vt:lpwstr>
  </property>
</Properties>
</file>