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03021998"/>
        <w:docPartObj>
          <w:docPartGallery w:val="Cover Pages"/>
          <w:docPartUnique/>
        </w:docPartObj>
      </w:sdtPr>
      <w:sdtEndPr>
        <w:rPr>
          <w:rFonts w:ascii="Calibri" w:eastAsiaTheme="minorHAnsi" w:hAnsi="Calibri" w:cs="Calibri"/>
          <w:b/>
          <w:bCs/>
          <w:kern w:val="2"/>
          <w:sz w:val="24"/>
          <w:szCs w:val="24"/>
          <w:lang w:val="en-GB"/>
          <w14:ligatures w14:val="standardContextual"/>
        </w:rPr>
      </w:sdtEndPr>
      <w:sdtContent>
        <w:p w14:paraId="0CC36A60" w14:textId="78A04D02" w:rsidR="008D23BE" w:rsidRDefault="008D23BE">
          <w:pPr>
            <w:pStyle w:val="NoSpacing"/>
          </w:pPr>
          <w:r>
            <w:rPr>
              <w:noProof/>
            </w:rPr>
            <mc:AlternateContent>
              <mc:Choice Requires="wpg">
                <w:drawing>
                  <wp:anchor distT="0" distB="0" distL="114300" distR="114300" simplePos="0" relativeHeight="251659264" behindDoc="1" locked="0" layoutInCell="1" allowOverlap="1" wp14:anchorId="3FD4A623" wp14:editId="5BF66E9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6EB724CA" w14:textId="4893E2D0" w:rsidR="008D23BE" w:rsidRDefault="00BA4D84">
                                      <w:pPr>
                                        <w:pStyle w:val="NoSpacing"/>
                                        <w:jc w:val="right"/>
                                        <w:rPr>
                                          <w:color w:val="FFFFFF" w:themeColor="background1"/>
                                          <w:sz w:val="28"/>
                                          <w:szCs w:val="28"/>
                                        </w:rPr>
                                      </w:pPr>
                                      <w:r w:rsidRPr="00BA4D84">
                                        <w:rPr>
                                          <w:color w:val="FFFFFF" w:themeColor="background1"/>
                                          <w:sz w:val="28"/>
                                          <w:szCs w:val="28"/>
                                        </w:rPr>
                                        <w:t>ECGE7006P</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FD4A623"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6EB724CA" w14:textId="4893E2D0" w:rsidR="008D23BE" w:rsidRDefault="00BA4D84">
                                <w:pPr>
                                  <w:pStyle w:val="NoSpacing"/>
                                  <w:jc w:val="right"/>
                                  <w:rPr>
                                    <w:color w:val="FFFFFF" w:themeColor="background1"/>
                                    <w:sz w:val="28"/>
                                    <w:szCs w:val="28"/>
                                  </w:rPr>
                                </w:pPr>
                                <w:r w:rsidRPr="00BA4D84">
                                  <w:rPr>
                                    <w:color w:val="FFFFFF" w:themeColor="background1"/>
                                    <w:sz w:val="28"/>
                                    <w:szCs w:val="28"/>
                                  </w:rPr>
                                  <w:t>ECGE7006P</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17FCB96C" wp14:editId="55622AA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1FDC57" w14:textId="4B91E5E5" w:rsidR="008D23BE" w:rsidRDefault="008D23BE">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Tyler King</w:t>
                                    </w:r>
                                  </w:sdtContent>
                                </w:sdt>
                              </w:p>
                              <w:p w14:paraId="5854EE3E" w14:textId="370B52DD" w:rsidR="008D23BE" w:rsidRDefault="008D23B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BA4D84">
                                      <w:rPr>
                                        <w:caps/>
                                        <w:color w:val="595959" w:themeColor="text1" w:themeTint="A6"/>
                                        <w:sz w:val="20"/>
                                        <w:szCs w:val="20"/>
                                      </w:rPr>
                                      <w:t xml:space="preserve">UWSTD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7FCB96C"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631FDC57" w14:textId="4B91E5E5" w:rsidR="008D23BE" w:rsidRDefault="008D23BE">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Tyler King</w:t>
                              </w:r>
                            </w:sdtContent>
                          </w:sdt>
                        </w:p>
                        <w:p w14:paraId="5854EE3E" w14:textId="370B52DD" w:rsidR="008D23BE" w:rsidRDefault="008D23B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BA4D84">
                                <w:rPr>
                                  <w:caps/>
                                  <w:color w:val="595959" w:themeColor="text1" w:themeTint="A6"/>
                                  <w:sz w:val="20"/>
                                  <w:szCs w:val="20"/>
                                </w:rPr>
                                <w:t xml:space="preserve">UWSTD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320BB212" wp14:editId="05BB2F1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1F10BD" w14:textId="369E7922" w:rsidR="008D23BE" w:rsidRPr="00CE4C0B" w:rsidRDefault="008D23BE">
                                <w:pPr>
                                  <w:pStyle w:val="NoSpacing"/>
                                  <w:rPr>
                                    <w:rFonts w:ascii="Calibri" w:eastAsiaTheme="majorEastAsia" w:hAnsi="Calibri" w:cs="Calibri"/>
                                    <w:color w:val="262626" w:themeColor="text1" w:themeTint="D9"/>
                                    <w:sz w:val="48"/>
                                    <w:szCs w:val="48"/>
                                  </w:rPr>
                                </w:pPr>
                                <w:sdt>
                                  <w:sdtPr>
                                    <w:rPr>
                                      <w:rFonts w:ascii="Calibri" w:eastAsiaTheme="majorEastAsia" w:hAnsi="Calibri" w:cs="Calibri"/>
                                      <w:color w:val="262626" w:themeColor="text1" w:themeTint="D9"/>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CE4C0B">
                                      <w:rPr>
                                        <w:rFonts w:ascii="Calibri" w:eastAsiaTheme="majorEastAsia" w:hAnsi="Calibri" w:cs="Calibri"/>
                                        <w:color w:val="262626" w:themeColor="text1" w:themeTint="D9"/>
                                        <w:sz w:val="48"/>
                                        <w:szCs w:val="48"/>
                                      </w:rPr>
                                      <w:t xml:space="preserve">Burnout in Newly Qualified Teachers in Wales: A Critical Analysis of Individual, </w:t>
                                    </w:r>
                                    <w:proofErr w:type="spellStart"/>
                                    <w:r w:rsidRPr="00CE4C0B">
                                      <w:rPr>
                                        <w:rFonts w:ascii="Calibri" w:eastAsiaTheme="majorEastAsia" w:hAnsi="Calibri" w:cs="Calibri"/>
                                        <w:color w:val="262626" w:themeColor="text1" w:themeTint="D9"/>
                                        <w:sz w:val="48"/>
                                        <w:szCs w:val="48"/>
                                      </w:rPr>
                                      <w:t>Organisational</w:t>
                                    </w:r>
                                    <w:proofErr w:type="spellEnd"/>
                                    <w:r w:rsidRPr="00CE4C0B">
                                      <w:rPr>
                                        <w:rFonts w:ascii="Calibri" w:eastAsiaTheme="majorEastAsia" w:hAnsi="Calibri" w:cs="Calibri"/>
                                        <w:color w:val="262626" w:themeColor="text1" w:themeTint="D9"/>
                                        <w:sz w:val="48"/>
                                        <w:szCs w:val="48"/>
                                      </w:rPr>
                                      <w:t xml:space="preserve"> and Systemic Factors</w:t>
                                    </w:r>
                                  </w:sdtContent>
                                </w:sdt>
                              </w:p>
                              <w:p w14:paraId="5174DF53" w14:textId="1EE88BAC" w:rsidR="00BA4D84" w:rsidRDefault="008D23BE">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CE4C0B">
                                      <w:rPr>
                                        <w:color w:val="404040" w:themeColor="text1" w:themeTint="BF"/>
                                        <w:sz w:val="36"/>
                                        <w:szCs w:val="36"/>
                                      </w:rPr>
                                      <w:t xml:space="preserve">By Tyler King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20BB212"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5C1F10BD" w14:textId="369E7922" w:rsidR="008D23BE" w:rsidRPr="00CE4C0B" w:rsidRDefault="008D23BE">
                          <w:pPr>
                            <w:pStyle w:val="NoSpacing"/>
                            <w:rPr>
                              <w:rFonts w:ascii="Calibri" w:eastAsiaTheme="majorEastAsia" w:hAnsi="Calibri" w:cs="Calibri"/>
                              <w:color w:val="262626" w:themeColor="text1" w:themeTint="D9"/>
                              <w:sz w:val="48"/>
                              <w:szCs w:val="48"/>
                            </w:rPr>
                          </w:pPr>
                          <w:sdt>
                            <w:sdtPr>
                              <w:rPr>
                                <w:rFonts w:ascii="Calibri" w:eastAsiaTheme="majorEastAsia" w:hAnsi="Calibri" w:cs="Calibri"/>
                                <w:color w:val="262626" w:themeColor="text1" w:themeTint="D9"/>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CE4C0B">
                                <w:rPr>
                                  <w:rFonts w:ascii="Calibri" w:eastAsiaTheme="majorEastAsia" w:hAnsi="Calibri" w:cs="Calibri"/>
                                  <w:color w:val="262626" w:themeColor="text1" w:themeTint="D9"/>
                                  <w:sz w:val="48"/>
                                  <w:szCs w:val="48"/>
                                </w:rPr>
                                <w:t xml:space="preserve">Burnout in Newly Qualified Teachers in Wales: A Critical Analysis of Individual, </w:t>
                              </w:r>
                              <w:proofErr w:type="spellStart"/>
                              <w:r w:rsidRPr="00CE4C0B">
                                <w:rPr>
                                  <w:rFonts w:ascii="Calibri" w:eastAsiaTheme="majorEastAsia" w:hAnsi="Calibri" w:cs="Calibri"/>
                                  <w:color w:val="262626" w:themeColor="text1" w:themeTint="D9"/>
                                  <w:sz w:val="48"/>
                                  <w:szCs w:val="48"/>
                                </w:rPr>
                                <w:t>Organisational</w:t>
                              </w:r>
                              <w:proofErr w:type="spellEnd"/>
                              <w:r w:rsidRPr="00CE4C0B">
                                <w:rPr>
                                  <w:rFonts w:ascii="Calibri" w:eastAsiaTheme="majorEastAsia" w:hAnsi="Calibri" w:cs="Calibri"/>
                                  <w:color w:val="262626" w:themeColor="text1" w:themeTint="D9"/>
                                  <w:sz w:val="48"/>
                                  <w:szCs w:val="48"/>
                                </w:rPr>
                                <w:t xml:space="preserve"> and Systemic Factors</w:t>
                              </w:r>
                            </w:sdtContent>
                          </w:sdt>
                        </w:p>
                        <w:p w14:paraId="5174DF53" w14:textId="1EE88BAC" w:rsidR="00BA4D84" w:rsidRDefault="008D23BE">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CE4C0B">
                                <w:rPr>
                                  <w:color w:val="404040" w:themeColor="text1" w:themeTint="BF"/>
                                  <w:sz w:val="36"/>
                                  <w:szCs w:val="36"/>
                                </w:rPr>
                                <w:t xml:space="preserve">By Tyler King </w:t>
                              </w:r>
                            </w:sdtContent>
                          </w:sdt>
                        </w:p>
                      </w:txbxContent>
                    </v:textbox>
                    <w10:wrap anchorx="page" anchory="page"/>
                  </v:shape>
                </w:pict>
              </mc:Fallback>
            </mc:AlternateContent>
          </w:r>
        </w:p>
        <w:p w14:paraId="79DAAA32" w14:textId="1FEC243A" w:rsidR="008D23BE" w:rsidRDefault="008D23BE">
          <w:pPr>
            <w:rPr>
              <w:rFonts w:ascii="Calibri" w:hAnsi="Calibri" w:cs="Calibri"/>
              <w:b/>
              <w:bCs/>
              <w:sz w:val="24"/>
              <w:szCs w:val="24"/>
            </w:rPr>
          </w:pPr>
          <w:r>
            <w:rPr>
              <w:rFonts w:ascii="Calibri" w:hAnsi="Calibri" w:cs="Calibri"/>
              <w:b/>
              <w:bCs/>
              <w:sz w:val="24"/>
              <w:szCs w:val="24"/>
            </w:rPr>
            <w:br w:type="page"/>
          </w:r>
        </w:p>
      </w:sdtContent>
    </w:sdt>
    <w:p w14:paraId="7ED9F0A9" w14:textId="62452B98" w:rsidR="001F3EBE" w:rsidRPr="001F3EBE" w:rsidRDefault="001F3EBE" w:rsidP="001F3EBE">
      <w:pPr>
        <w:spacing w:line="360" w:lineRule="auto"/>
        <w:rPr>
          <w:rFonts w:ascii="Calibri" w:hAnsi="Calibri" w:cs="Calibri"/>
          <w:b/>
          <w:bCs/>
          <w:sz w:val="24"/>
          <w:szCs w:val="24"/>
        </w:rPr>
      </w:pPr>
      <w:bookmarkStart w:id="0" w:name="_Toc144215146"/>
      <w:r w:rsidRPr="001F3EBE">
        <w:rPr>
          <w:rFonts w:ascii="Calibri" w:hAnsi="Calibri" w:cs="Calibri"/>
          <w:b/>
          <w:bCs/>
          <w:sz w:val="24"/>
          <w:szCs w:val="24"/>
        </w:rPr>
        <w:lastRenderedPageBreak/>
        <w:t>Declaration Form</w:t>
      </w:r>
      <w:bookmarkEnd w:id="0"/>
      <w:r w:rsidRPr="001F3EBE">
        <w:rPr>
          <w:rFonts w:ascii="Calibri" w:hAnsi="Calibri" w:cs="Calibri"/>
          <w:b/>
          <w:bCs/>
          <w:sz w:val="24"/>
          <w:szCs w:val="24"/>
        </w:rPr>
        <w:t xml:space="preserve"> </w:t>
      </w:r>
    </w:p>
    <w:p w14:paraId="09F274EA" w14:textId="3588CE05" w:rsidR="001F3EBE" w:rsidRPr="001F3EBE" w:rsidRDefault="001F3EBE" w:rsidP="001F3EBE">
      <w:pPr>
        <w:spacing w:line="360" w:lineRule="auto"/>
        <w:rPr>
          <w:rFonts w:ascii="Calibri" w:hAnsi="Calibri" w:cs="Calibri"/>
          <w:b/>
          <w:bCs/>
          <w:sz w:val="24"/>
          <w:szCs w:val="24"/>
          <w:lang w:val="en-US"/>
        </w:rPr>
      </w:pPr>
      <w:r w:rsidRPr="001F3EBE">
        <w:rPr>
          <w:rFonts w:ascii="Calibri" w:hAnsi="Calibri" w:cs="Calibri"/>
          <w:b/>
          <w:bCs/>
          <w:sz w:val="24"/>
          <w:szCs w:val="24"/>
          <w:lang w:val="en-US"/>
        </w:rPr>
        <w:drawing>
          <wp:inline distT="0" distB="0" distL="0" distR="0" wp14:anchorId="72032CC8" wp14:editId="48B72810">
            <wp:extent cx="2076450" cy="996950"/>
            <wp:effectExtent l="0" t="0" r="0" b="0"/>
            <wp:docPr id="1940348667" name="Picture 6" descr="LogoNewy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Newyd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6450" cy="996950"/>
                    </a:xfrm>
                    <a:prstGeom prst="rect">
                      <a:avLst/>
                    </a:prstGeom>
                    <a:noFill/>
                    <a:ln>
                      <a:noFill/>
                    </a:ln>
                  </pic:spPr>
                </pic:pic>
              </a:graphicData>
            </a:graphic>
          </wp:inline>
        </w:drawing>
      </w:r>
    </w:p>
    <w:p w14:paraId="357BEFAD" w14:textId="77777777" w:rsidR="001F3EBE" w:rsidRPr="001F3EBE" w:rsidRDefault="001F3EBE" w:rsidP="001F3EBE">
      <w:pPr>
        <w:spacing w:line="360" w:lineRule="auto"/>
        <w:rPr>
          <w:rFonts w:ascii="Calibri" w:hAnsi="Calibri" w:cs="Calibri"/>
          <w:b/>
          <w:bCs/>
          <w:sz w:val="24"/>
          <w:szCs w:val="24"/>
          <w:lang w:val="en-US"/>
        </w:rPr>
      </w:pPr>
      <w:r w:rsidRPr="001F3EBE">
        <w:rPr>
          <w:rFonts w:ascii="Calibri" w:hAnsi="Calibri" w:cs="Calibri"/>
          <w:b/>
          <w:bCs/>
          <w:sz w:val="24"/>
          <w:szCs w:val="24"/>
          <w:lang w:val="en-US"/>
        </w:rPr>
        <w:t>Master’s Degrees by Examination and Dissertation</w:t>
      </w:r>
    </w:p>
    <w:p w14:paraId="09AD57BE" w14:textId="2E448DC5" w:rsidR="001F3EBE" w:rsidRPr="001F3EBE" w:rsidRDefault="001F3EBE" w:rsidP="001F3EBE">
      <w:pPr>
        <w:spacing w:line="360" w:lineRule="auto"/>
        <w:rPr>
          <w:rFonts w:ascii="Calibri" w:hAnsi="Calibri" w:cs="Calibri"/>
          <w:b/>
          <w:bCs/>
          <w:sz w:val="24"/>
          <w:szCs w:val="24"/>
          <w:lang w:val="en-US"/>
        </w:rPr>
      </w:pPr>
      <w:r w:rsidRPr="001F3EBE">
        <w:rPr>
          <w:rFonts w:ascii="Calibri" w:hAnsi="Calibri" w:cs="Calibri"/>
          <w:b/>
          <w:bCs/>
          <w:sz w:val="24"/>
          <w:szCs w:val="24"/>
          <w:lang w:val="en-US"/>
        </w:rPr>
        <w:t>Declaration Form.</w:t>
      </w:r>
    </w:p>
    <w:p w14:paraId="5A0BB990" w14:textId="77777777" w:rsidR="001F3EBE" w:rsidRPr="001F3EBE" w:rsidRDefault="001F3EBE" w:rsidP="001F3EBE">
      <w:pPr>
        <w:spacing w:line="360" w:lineRule="auto"/>
        <w:rPr>
          <w:rFonts w:ascii="Calibri" w:hAnsi="Calibri" w:cs="Calibri"/>
          <w:b/>
          <w:bCs/>
          <w:sz w:val="24"/>
          <w:szCs w:val="24"/>
          <w:lang w:val="en-US"/>
        </w:rPr>
      </w:pPr>
      <w:r w:rsidRPr="001F3EBE">
        <w:rPr>
          <w:rFonts w:ascii="Calibri" w:hAnsi="Calibri" w:cs="Calibri"/>
          <w:b/>
          <w:bCs/>
          <w:sz w:val="24"/>
          <w:szCs w:val="24"/>
          <w:lang w:val="en-US"/>
        </w:rPr>
        <w:t>1. This work has not previously been accepted in substance for any degree and is not being concurrently submitted in candidature for any degree.</w:t>
      </w:r>
    </w:p>
    <w:p w14:paraId="0EDAA33B" w14:textId="3594A4E4" w:rsidR="001F3EBE" w:rsidRPr="001F3EBE" w:rsidRDefault="001F3EBE" w:rsidP="001F3EBE">
      <w:pPr>
        <w:spacing w:line="360" w:lineRule="auto"/>
        <w:rPr>
          <w:rFonts w:ascii="Calibri" w:hAnsi="Calibri" w:cs="Calibri"/>
          <w:b/>
          <w:bCs/>
          <w:sz w:val="24"/>
          <w:szCs w:val="24"/>
          <w:lang w:val="en-US"/>
        </w:rPr>
      </w:pPr>
      <w:r w:rsidRPr="001F3EBE">
        <w:rPr>
          <w:rFonts w:ascii="Calibri" w:hAnsi="Calibri" w:cs="Calibri"/>
          <w:b/>
          <w:bCs/>
          <w:sz w:val="24"/>
          <w:szCs w:val="24"/>
          <w:lang w:val="en-US"/>
        </w:rPr>
        <w:t>Signed</w:t>
      </w:r>
      <w:r w:rsidR="005B198A">
        <w:rPr>
          <w:rFonts w:ascii="Calibri" w:hAnsi="Calibri" w:cs="Calibri"/>
          <w:b/>
          <w:bCs/>
          <w:sz w:val="24"/>
          <w:szCs w:val="24"/>
          <w:lang w:val="en-US"/>
        </w:rPr>
        <w:t xml:space="preserve"> </w:t>
      </w:r>
      <w:proofErr w:type="gramStart"/>
      <w:r w:rsidR="005B198A">
        <w:rPr>
          <w:rFonts w:ascii="Calibri" w:hAnsi="Calibri" w:cs="Calibri"/>
          <w:b/>
          <w:bCs/>
          <w:sz w:val="24"/>
          <w:szCs w:val="24"/>
          <w:lang w:val="en-US"/>
        </w:rPr>
        <w:t xml:space="preserve">- </w:t>
      </w:r>
      <w:r w:rsidR="00AD095A">
        <w:rPr>
          <w:rFonts w:ascii="Calibri" w:hAnsi="Calibri" w:cs="Calibri"/>
          <w:b/>
          <w:bCs/>
          <w:sz w:val="24"/>
          <w:szCs w:val="24"/>
          <w:lang w:val="en-US"/>
        </w:rPr>
        <w:t xml:space="preserve"> Tyler</w:t>
      </w:r>
      <w:proofErr w:type="gramEnd"/>
      <w:r w:rsidR="00AD095A">
        <w:rPr>
          <w:rFonts w:ascii="Calibri" w:hAnsi="Calibri" w:cs="Calibri"/>
          <w:b/>
          <w:bCs/>
          <w:sz w:val="24"/>
          <w:szCs w:val="24"/>
          <w:lang w:val="en-US"/>
        </w:rPr>
        <w:t xml:space="preserve"> King</w:t>
      </w:r>
    </w:p>
    <w:p w14:paraId="5551DB62" w14:textId="62685F5F" w:rsidR="001F3EBE" w:rsidRPr="001F3EBE" w:rsidRDefault="001F3EBE" w:rsidP="001F3EBE">
      <w:pPr>
        <w:spacing w:line="360" w:lineRule="auto"/>
        <w:rPr>
          <w:rFonts w:ascii="Calibri" w:hAnsi="Calibri" w:cs="Calibri"/>
          <w:b/>
          <w:bCs/>
          <w:sz w:val="24"/>
          <w:szCs w:val="24"/>
          <w:lang w:val="en-US"/>
        </w:rPr>
      </w:pPr>
      <w:r w:rsidRPr="001F3EBE">
        <w:rPr>
          <w:rFonts w:ascii="Calibri" w:hAnsi="Calibri" w:cs="Calibri"/>
          <w:b/>
          <w:bCs/>
          <w:sz w:val="24"/>
          <w:szCs w:val="24"/>
          <w:lang w:val="en-US"/>
        </w:rPr>
        <w:t>Date</w:t>
      </w:r>
      <w:r w:rsidR="00E62456">
        <w:rPr>
          <w:rFonts w:ascii="Calibri" w:hAnsi="Calibri" w:cs="Calibri"/>
          <w:b/>
          <w:bCs/>
          <w:sz w:val="24"/>
          <w:szCs w:val="24"/>
          <w:lang w:val="en-US"/>
        </w:rPr>
        <w:t xml:space="preserve"> – 26/04/2026</w:t>
      </w:r>
    </w:p>
    <w:p w14:paraId="405A33B7" w14:textId="2C8224E3" w:rsidR="001F3EBE" w:rsidRPr="001F3EBE" w:rsidRDefault="001F3EBE" w:rsidP="001F3EBE">
      <w:pPr>
        <w:spacing w:line="360" w:lineRule="auto"/>
        <w:rPr>
          <w:rFonts w:ascii="Calibri" w:hAnsi="Calibri" w:cs="Calibri"/>
          <w:b/>
          <w:bCs/>
          <w:sz w:val="24"/>
          <w:szCs w:val="24"/>
          <w:lang w:val="en-US"/>
        </w:rPr>
      </w:pPr>
      <w:r w:rsidRPr="001F3EBE">
        <w:rPr>
          <w:rFonts w:ascii="Calibri" w:hAnsi="Calibri" w:cs="Calibri"/>
          <w:b/>
          <w:bCs/>
          <w:sz w:val="24"/>
          <w:szCs w:val="24"/>
          <w:lang w:val="en-US"/>
        </w:rPr>
        <w:t xml:space="preserve">2. This dissertation is being submitted in partial fulfilment of the requirements for the degree of </w:t>
      </w:r>
      <w:r w:rsidR="00487708">
        <w:rPr>
          <w:rFonts w:ascii="Calibri" w:hAnsi="Calibri" w:cs="Calibri"/>
          <w:b/>
          <w:bCs/>
          <w:sz w:val="24"/>
          <w:szCs w:val="24"/>
          <w:lang w:val="en-US"/>
        </w:rPr>
        <w:t xml:space="preserve">Master of Arts – Education Studies. </w:t>
      </w:r>
    </w:p>
    <w:p w14:paraId="5F7EC9A5" w14:textId="6F2D1305" w:rsidR="001F3EBE" w:rsidRPr="001F3EBE" w:rsidRDefault="001F3EBE" w:rsidP="001F3EBE">
      <w:pPr>
        <w:spacing w:line="360" w:lineRule="auto"/>
        <w:rPr>
          <w:rFonts w:ascii="Calibri" w:hAnsi="Calibri" w:cs="Calibri"/>
          <w:b/>
          <w:bCs/>
          <w:sz w:val="24"/>
          <w:szCs w:val="24"/>
          <w:lang w:val="en-US"/>
        </w:rPr>
      </w:pPr>
      <w:r w:rsidRPr="001F3EBE">
        <w:rPr>
          <w:rFonts w:ascii="Calibri" w:hAnsi="Calibri" w:cs="Calibri"/>
          <w:b/>
          <w:bCs/>
          <w:sz w:val="24"/>
          <w:szCs w:val="24"/>
          <w:lang w:val="en-US"/>
        </w:rPr>
        <w:t xml:space="preserve">Signed </w:t>
      </w:r>
      <w:r w:rsidR="00487708">
        <w:rPr>
          <w:rFonts w:ascii="Calibri" w:hAnsi="Calibri" w:cs="Calibri"/>
          <w:b/>
          <w:bCs/>
          <w:sz w:val="24"/>
          <w:szCs w:val="24"/>
          <w:lang w:val="en-US"/>
        </w:rPr>
        <w:t xml:space="preserve">Tyler King </w:t>
      </w:r>
    </w:p>
    <w:p w14:paraId="1CAD079E" w14:textId="51E84A9A" w:rsidR="001F3EBE" w:rsidRPr="001F3EBE" w:rsidRDefault="001F3EBE" w:rsidP="001F3EBE">
      <w:pPr>
        <w:spacing w:line="360" w:lineRule="auto"/>
        <w:rPr>
          <w:rFonts w:ascii="Calibri" w:hAnsi="Calibri" w:cs="Calibri"/>
          <w:b/>
          <w:bCs/>
          <w:sz w:val="24"/>
          <w:szCs w:val="24"/>
          <w:lang w:val="en-US"/>
        </w:rPr>
      </w:pPr>
      <w:r w:rsidRPr="001F3EBE">
        <w:rPr>
          <w:rFonts w:ascii="Calibri" w:hAnsi="Calibri" w:cs="Calibri"/>
          <w:b/>
          <w:bCs/>
          <w:sz w:val="24"/>
          <w:szCs w:val="24"/>
          <w:lang w:val="en-US"/>
        </w:rPr>
        <w:t xml:space="preserve">Date </w:t>
      </w:r>
      <w:r w:rsidR="00487708">
        <w:rPr>
          <w:rFonts w:ascii="Calibri" w:hAnsi="Calibri" w:cs="Calibri"/>
          <w:b/>
          <w:bCs/>
          <w:sz w:val="24"/>
          <w:szCs w:val="24"/>
          <w:lang w:val="en-US"/>
        </w:rPr>
        <w:t>26/04/2026</w:t>
      </w:r>
    </w:p>
    <w:p w14:paraId="3509F444" w14:textId="77777777" w:rsidR="001F3EBE" w:rsidRPr="001F3EBE" w:rsidRDefault="001F3EBE" w:rsidP="001F3EBE">
      <w:pPr>
        <w:spacing w:line="360" w:lineRule="auto"/>
        <w:rPr>
          <w:rFonts w:ascii="Calibri" w:hAnsi="Calibri" w:cs="Calibri"/>
          <w:b/>
          <w:bCs/>
          <w:sz w:val="24"/>
          <w:szCs w:val="24"/>
          <w:lang w:val="en-US"/>
        </w:rPr>
      </w:pPr>
      <w:r w:rsidRPr="001F3EBE">
        <w:rPr>
          <w:rFonts w:ascii="Calibri" w:hAnsi="Calibri" w:cs="Calibri"/>
          <w:b/>
          <w:bCs/>
          <w:sz w:val="24"/>
          <w:szCs w:val="24"/>
          <w:lang w:val="en-US"/>
        </w:rPr>
        <w:t>3. This dissertation is the result of my own independent work/investigation, except where otherwise stated.</w:t>
      </w:r>
    </w:p>
    <w:p w14:paraId="59ECB390" w14:textId="77777777" w:rsidR="001F3EBE" w:rsidRPr="001F3EBE" w:rsidRDefault="001F3EBE" w:rsidP="001F3EBE">
      <w:pPr>
        <w:spacing w:line="360" w:lineRule="auto"/>
        <w:rPr>
          <w:rFonts w:ascii="Calibri" w:hAnsi="Calibri" w:cs="Calibri"/>
          <w:b/>
          <w:bCs/>
          <w:sz w:val="24"/>
          <w:szCs w:val="24"/>
          <w:lang w:val="en-US"/>
        </w:rPr>
      </w:pPr>
      <w:r w:rsidRPr="001F3EBE">
        <w:rPr>
          <w:rFonts w:ascii="Calibri" w:hAnsi="Calibri" w:cs="Calibri"/>
          <w:b/>
          <w:bCs/>
          <w:sz w:val="24"/>
          <w:szCs w:val="24"/>
          <w:lang w:val="en-US"/>
        </w:rPr>
        <w:t xml:space="preserve">Other sources are acknowledged by footnotes giving explicit references. </w:t>
      </w:r>
    </w:p>
    <w:p w14:paraId="68B17380" w14:textId="77777777" w:rsidR="001F3EBE" w:rsidRPr="001F3EBE" w:rsidRDefault="001F3EBE" w:rsidP="001F3EBE">
      <w:pPr>
        <w:spacing w:line="360" w:lineRule="auto"/>
        <w:rPr>
          <w:rFonts w:ascii="Calibri" w:hAnsi="Calibri" w:cs="Calibri"/>
          <w:b/>
          <w:bCs/>
          <w:sz w:val="24"/>
          <w:szCs w:val="24"/>
          <w:lang w:val="en-US"/>
        </w:rPr>
      </w:pPr>
      <w:r w:rsidRPr="001F3EBE">
        <w:rPr>
          <w:rFonts w:ascii="Calibri" w:hAnsi="Calibri" w:cs="Calibri"/>
          <w:b/>
          <w:bCs/>
          <w:sz w:val="24"/>
          <w:szCs w:val="24"/>
          <w:lang w:val="en-US"/>
        </w:rPr>
        <w:t>A reference list is appended.</w:t>
      </w:r>
    </w:p>
    <w:p w14:paraId="7AA8EDAF" w14:textId="1BFD804E" w:rsidR="001F3EBE" w:rsidRPr="001F3EBE" w:rsidRDefault="001F3EBE" w:rsidP="001F3EBE">
      <w:pPr>
        <w:spacing w:line="360" w:lineRule="auto"/>
        <w:rPr>
          <w:rFonts w:ascii="Calibri" w:hAnsi="Calibri" w:cs="Calibri"/>
          <w:b/>
          <w:bCs/>
          <w:sz w:val="24"/>
          <w:szCs w:val="24"/>
          <w:lang w:val="en-US"/>
        </w:rPr>
      </w:pPr>
      <w:r w:rsidRPr="001F3EBE">
        <w:rPr>
          <w:rFonts w:ascii="Calibri" w:hAnsi="Calibri" w:cs="Calibri"/>
          <w:b/>
          <w:bCs/>
          <w:sz w:val="24"/>
          <w:szCs w:val="24"/>
          <w:lang w:val="en-US"/>
        </w:rPr>
        <w:t>Signed candidate:</w:t>
      </w:r>
      <w:r w:rsidR="00CB79A9">
        <w:rPr>
          <w:rFonts w:ascii="Calibri" w:hAnsi="Calibri" w:cs="Calibri"/>
          <w:b/>
          <w:bCs/>
          <w:sz w:val="24"/>
          <w:szCs w:val="24"/>
          <w:lang w:val="en-US"/>
        </w:rPr>
        <w:t xml:space="preserve"> Tyler King</w:t>
      </w:r>
    </w:p>
    <w:p w14:paraId="1FC118FA" w14:textId="57C86DF5" w:rsidR="001F3EBE" w:rsidRPr="001F3EBE" w:rsidRDefault="001F3EBE" w:rsidP="001F3EBE">
      <w:pPr>
        <w:spacing w:line="360" w:lineRule="auto"/>
        <w:rPr>
          <w:rFonts w:ascii="Calibri" w:hAnsi="Calibri" w:cs="Calibri"/>
          <w:b/>
          <w:bCs/>
          <w:sz w:val="24"/>
          <w:szCs w:val="24"/>
          <w:lang w:val="en-US"/>
        </w:rPr>
      </w:pPr>
      <w:r w:rsidRPr="001F3EBE">
        <w:rPr>
          <w:rFonts w:ascii="Calibri" w:hAnsi="Calibri" w:cs="Calibri"/>
          <w:b/>
          <w:bCs/>
          <w:sz w:val="24"/>
          <w:szCs w:val="24"/>
          <w:lang w:val="en-US"/>
        </w:rPr>
        <w:t>Date:</w:t>
      </w:r>
      <w:r w:rsidR="00CB79A9">
        <w:rPr>
          <w:rFonts w:ascii="Calibri" w:hAnsi="Calibri" w:cs="Calibri"/>
          <w:b/>
          <w:bCs/>
          <w:sz w:val="24"/>
          <w:szCs w:val="24"/>
          <w:lang w:val="en-US"/>
        </w:rPr>
        <w:t xml:space="preserve"> 26/04/2026</w:t>
      </w:r>
    </w:p>
    <w:p w14:paraId="4DE8024A" w14:textId="77777777" w:rsidR="001F3EBE" w:rsidRPr="001F3EBE" w:rsidRDefault="001F3EBE" w:rsidP="001F3EBE">
      <w:pPr>
        <w:spacing w:line="360" w:lineRule="auto"/>
        <w:rPr>
          <w:rFonts w:ascii="Calibri" w:hAnsi="Calibri" w:cs="Calibri"/>
          <w:b/>
          <w:bCs/>
          <w:sz w:val="24"/>
          <w:szCs w:val="24"/>
          <w:lang w:val="en-US"/>
        </w:rPr>
      </w:pPr>
      <w:r w:rsidRPr="001F3EBE">
        <w:rPr>
          <w:rFonts w:ascii="Calibri" w:hAnsi="Calibri" w:cs="Calibri"/>
          <w:b/>
          <w:bCs/>
          <w:sz w:val="24"/>
          <w:szCs w:val="24"/>
          <w:lang w:val="en-US"/>
        </w:rPr>
        <w:t xml:space="preserve">4. I hereby give consent for my dissertation, if accepted, to be available for photocopying, inter- library loan, and for deposit in the University’s digital repository </w:t>
      </w:r>
    </w:p>
    <w:p w14:paraId="58ACB80F" w14:textId="7698E633" w:rsidR="001F3EBE" w:rsidRPr="001F3EBE" w:rsidRDefault="001F3EBE" w:rsidP="001F3EBE">
      <w:pPr>
        <w:spacing w:line="360" w:lineRule="auto"/>
        <w:rPr>
          <w:rFonts w:ascii="Calibri" w:hAnsi="Calibri" w:cs="Calibri"/>
          <w:b/>
          <w:bCs/>
          <w:sz w:val="24"/>
          <w:szCs w:val="24"/>
          <w:lang w:val="en-US"/>
        </w:rPr>
      </w:pPr>
      <w:r w:rsidRPr="001F3EBE">
        <w:rPr>
          <w:rFonts w:ascii="Calibri" w:hAnsi="Calibri" w:cs="Calibri"/>
          <w:b/>
          <w:bCs/>
          <w:sz w:val="24"/>
          <w:szCs w:val="24"/>
          <w:lang w:val="en-US"/>
        </w:rPr>
        <w:t>Signed (candidate</w:t>
      </w:r>
      <w:r w:rsidR="00CB79A9">
        <w:rPr>
          <w:rFonts w:ascii="Calibri" w:hAnsi="Calibri" w:cs="Calibri"/>
          <w:b/>
          <w:bCs/>
          <w:sz w:val="24"/>
          <w:szCs w:val="24"/>
          <w:lang w:val="en-US"/>
        </w:rPr>
        <w:t xml:space="preserve">) Tyler King </w:t>
      </w:r>
    </w:p>
    <w:p w14:paraId="751DF5DB" w14:textId="16FA2F32" w:rsidR="001F3EBE" w:rsidRPr="001F3EBE" w:rsidRDefault="001F3EBE" w:rsidP="001F3EBE">
      <w:pPr>
        <w:spacing w:line="360" w:lineRule="auto"/>
        <w:rPr>
          <w:rFonts w:ascii="Calibri" w:hAnsi="Calibri" w:cs="Calibri"/>
          <w:b/>
          <w:bCs/>
          <w:sz w:val="24"/>
          <w:szCs w:val="24"/>
          <w:lang w:val="en-US"/>
        </w:rPr>
      </w:pPr>
      <w:r w:rsidRPr="001F3EBE">
        <w:rPr>
          <w:rFonts w:ascii="Calibri" w:hAnsi="Calibri" w:cs="Calibri"/>
          <w:b/>
          <w:bCs/>
          <w:sz w:val="24"/>
          <w:szCs w:val="24"/>
          <w:lang w:val="en-US"/>
        </w:rPr>
        <w:t>Date</w:t>
      </w:r>
      <w:r w:rsidR="00CB79A9">
        <w:rPr>
          <w:rFonts w:ascii="Calibri" w:hAnsi="Calibri" w:cs="Calibri"/>
          <w:b/>
          <w:bCs/>
          <w:sz w:val="24"/>
          <w:szCs w:val="24"/>
          <w:lang w:val="en-US"/>
        </w:rPr>
        <w:t xml:space="preserve"> 26/04/2026</w:t>
      </w:r>
    </w:p>
    <w:p w14:paraId="196DCDAB" w14:textId="77777777" w:rsidR="001F3EBE" w:rsidRPr="001F3EBE" w:rsidRDefault="001F3EBE" w:rsidP="001F3EBE">
      <w:pPr>
        <w:spacing w:line="360" w:lineRule="auto"/>
        <w:rPr>
          <w:rFonts w:ascii="Calibri" w:hAnsi="Calibri" w:cs="Calibri"/>
          <w:b/>
          <w:bCs/>
          <w:sz w:val="24"/>
          <w:szCs w:val="24"/>
          <w:lang w:val="en-US"/>
        </w:rPr>
      </w:pPr>
      <w:r w:rsidRPr="001F3EBE">
        <w:rPr>
          <w:rFonts w:ascii="Calibri" w:hAnsi="Calibri" w:cs="Calibri"/>
          <w:b/>
          <w:bCs/>
          <w:sz w:val="24"/>
          <w:szCs w:val="24"/>
          <w:lang w:val="en-US"/>
        </w:rPr>
        <w:lastRenderedPageBreak/>
        <w:t>Supervisor’s Declaration.</w:t>
      </w:r>
    </w:p>
    <w:p w14:paraId="2477DD62" w14:textId="77777777" w:rsidR="001F3EBE" w:rsidRPr="001F3EBE" w:rsidRDefault="001F3EBE" w:rsidP="001F3EBE">
      <w:pPr>
        <w:spacing w:line="360" w:lineRule="auto"/>
        <w:rPr>
          <w:rFonts w:ascii="Calibri" w:hAnsi="Calibri" w:cs="Calibri"/>
          <w:b/>
          <w:bCs/>
          <w:sz w:val="24"/>
          <w:szCs w:val="24"/>
          <w:lang w:val="en-US"/>
        </w:rPr>
      </w:pPr>
      <w:r w:rsidRPr="001F3EBE">
        <w:rPr>
          <w:rFonts w:ascii="Calibri" w:hAnsi="Calibri" w:cs="Calibri"/>
          <w:b/>
          <w:bCs/>
          <w:sz w:val="24"/>
          <w:szCs w:val="24"/>
          <w:lang w:val="en-US"/>
        </w:rPr>
        <w:t xml:space="preserve">I am satisfied that this work is the result of the </w:t>
      </w:r>
      <w:proofErr w:type="gramStart"/>
      <w:r w:rsidRPr="001F3EBE">
        <w:rPr>
          <w:rFonts w:ascii="Calibri" w:hAnsi="Calibri" w:cs="Calibri"/>
          <w:b/>
          <w:bCs/>
          <w:sz w:val="24"/>
          <w:szCs w:val="24"/>
          <w:lang w:val="en-US"/>
        </w:rPr>
        <w:t>student’s</w:t>
      </w:r>
      <w:proofErr w:type="gramEnd"/>
      <w:r w:rsidRPr="001F3EBE">
        <w:rPr>
          <w:rFonts w:ascii="Calibri" w:hAnsi="Calibri" w:cs="Calibri"/>
          <w:b/>
          <w:bCs/>
          <w:sz w:val="24"/>
          <w:szCs w:val="24"/>
          <w:lang w:val="en-US"/>
        </w:rPr>
        <w:t xml:space="preserve"> own efforts.</w:t>
      </w:r>
    </w:p>
    <w:p w14:paraId="2574BE49" w14:textId="77777777" w:rsidR="001F3EBE" w:rsidRPr="001F3EBE" w:rsidRDefault="001F3EBE" w:rsidP="001F3EBE">
      <w:pPr>
        <w:spacing w:line="360" w:lineRule="auto"/>
        <w:rPr>
          <w:rFonts w:ascii="Calibri" w:hAnsi="Calibri" w:cs="Calibri"/>
          <w:b/>
          <w:bCs/>
          <w:sz w:val="24"/>
          <w:szCs w:val="24"/>
          <w:lang w:val="en-US"/>
        </w:rPr>
      </w:pPr>
      <w:r w:rsidRPr="001F3EBE">
        <w:rPr>
          <w:rFonts w:ascii="Calibri" w:hAnsi="Calibri" w:cs="Calibri"/>
          <w:b/>
          <w:bCs/>
          <w:sz w:val="24"/>
          <w:szCs w:val="24"/>
          <w:lang w:val="en-US"/>
        </w:rPr>
        <w:t>Signed:</w:t>
      </w:r>
    </w:p>
    <w:p w14:paraId="0AB4CD84" w14:textId="77777777" w:rsidR="001F3EBE" w:rsidRPr="001F3EBE" w:rsidRDefault="001F3EBE" w:rsidP="001F3EBE">
      <w:pPr>
        <w:spacing w:line="360" w:lineRule="auto"/>
        <w:rPr>
          <w:rFonts w:ascii="Calibri" w:hAnsi="Calibri" w:cs="Calibri"/>
          <w:b/>
          <w:bCs/>
          <w:sz w:val="24"/>
          <w:szCs w:val="24"/>
          <w:lang w:val="en-US"/>
        </w:rPr>
      </w:pPr>
      <w:r w:rsidRPr="001F3EBE">
        <w:rPr>
          <w:rFonts w:ascii="Calibri" w:hAnsi="Calibri" w:cs="Calibri"/>
          <w:b/>
          <w:bCs/>
          <w:sz w:val="24"/>
          <w:szCs w:val="24"/>
          <w:lang w:val="en-US"/>
        </w:rPr>
        <w:t>Date:</w:t>
      </w:r>
    </w:p>
    <w:p w14:paraId="094FFFC0" w14:textId="77777777" w:rsidR="001F3EBE" w:rsidRDefault="001F3EBE" w:rsidP="008B4C7E">
      <w:pPr>
        <w:spacing w:line="360" w:lineRule="auto"/>
        <w:rPr>
          <w:rFonts w:ascii="Calibri" w:hAnsi="Calibri" w:cs="Calibri"/>
          <w:b/>
          <w:bCs/>
          <w:sz w:val="24"/>
          <w:szCs w:val="24"/>
        </w:rPr>
      </w:pPr>
    </w:p>
    <w:p w14:paraId="6E82E92A" w14:textId="77777777" w:rsidR="005A0AF7" w:rsidRDefault="005A0AF7" w:rsidP="008B4C7E">
      <w:pPr>
        <w:spacing w:line="360" w:lineRule="auto"/>
        <w:rPr>
          <w:rFonts w:ascii="Calibri" w:hAnsi="Calibri" w:cs="Calibri"/>
          <w:b/>
          <w:bCs/>
          <w:sz w:val="24"/>
          <w:szCs w:val="24"/>
        </w:rPr>
      </w:pPr>
    </w:p>
    <w:p w14:paraId="0B36E87C" w14:textId="77777777" w:rsidR="005A0AF7" w:rsidRDefault="005A0AF7" w:rsidP="008B4C7E">
      <w:pPr>
        <w:spacing w:line="360" w:lineRule="auto"/>
        <w:rPr>
          <w:rFonts w:ascii="Calibri" w:hAnsi="Calibri" w:cs="Calibri"/>
          <w:b/>
          <w:bCs/>
          <w:sz w:val="24"/>
          <w:szCs w:val="24"/>
        </w:rPr>
      </w:pPr>
    </w:p>
    <w:p w14:paraId="0CE23034" w14:textId="465963F3" w:rsidR="005A0AF7" w:rsidRDefault="005A0AF7" w:rsidP="008B4C7E">
      <w:pPr>
        <w:spacing w:line="360" w:lineRule="auto"/>
        <w:rPr>
          <w:rFonts w:ascii="Calibri" w:hAnsi="Calibri" w:cs="Calibri"/>
          <w:b/>
          <w:bCs/>
          <w:sz w:val="24"/>
          <w:szCs w:val="24"/>
        </w:rPr>
      </w:pPr>
    </w:p>
    <w:p w14:paraId="69002A08" w14:textId="52AF7F0D" w:rsidR="005A0AF7" w:rsidRDefault="005A0AF7" w:rsidP="001A103D">
      <w:pPr>
        <w:rPr>
          <w:rFonts w:ascii="Calibri" w:hAnsi="Calibri" w:cs="Calibri"/>
          <w:b/>
          <w:bCs/>
          <w:sz w:val="24"/>
          <w:szCs w:val="24"/>
        </w:rPr>
      </w:pPr>
    </w:p>
    <w:p w14:paraId="61B0FDF4" w14:textId="77777777" w:rsidR="001A103D" w:rsidRDefault="001A103D" w:rsidP="001A103D">
      <w:pPr>
        <w:rPr>
          <w:rFonts w:ascii="Calibri" w:hAnsi="Calibri" w:cs="Calibri"/>
          <w:b/>
          <w:bCs/>
          <w:sz w:val="24"/>
          <w:szCs w:val="24"/>
        </w:rPr>
      </w:pPr>
    </w:p>
    <w:p w14:paraId="76A4E3CA" w14:textId="77777777" w:rsidR="001A103D" w:rsidRDefault="001A103D" w:rsidP="001A103D">
      <w:pPr>
        <w:rPr>
          <w:rFonts w:ascii="Calibri" w:hAnsi="Calibri" w:cs="Calibri"/>
          <w:b/>
          <w:bCs/>
          <w:sz w:val="24"/>
          <w:szCs w:val="24"/>
        </w:rPr>
      </w:pPr>
    </w:p>
    <w:p w14:paraId="22F91CC4" w14:textId="77777777" w:rsidR="001A103D" w:rsidRDefault="001A103D" w:rsidP="001A103D">
      <w:pPr>
        <w:rPr>
          <w:rFonts w:ascii="Calibri" w:hAnsi="Calibri" w:cs="Calibri"/>
          <w:b/>
          <w:bCs/>
          <w:sz w:val="24"/>
          <w:szCs w:val="24"/>
        </w:rPr>
      </w:pPr>
    </w:p>
    <w:p w14:paraId="7D9A7125" w14:textId="77777777" w:rsidR="001A103D" w:rsidRDefault="001A103D" w:rsidP="001A103D">
      <w:pPr>
        <w:rPr>
          <w:rFonts w:ascii="Calibri" w:hAnsi="Calibri" w:cs="Calibri"/>
          <w:b/>
          <w:bCs/>
          <w:sz w:val="24"/>
          <w:szCs w:val="24"/>
        </w:rPr>
      </w:pPr>
    </w:p>
    <w:p w14:paraId="21F7BD5A" w14:textId="77777777" w:rsidR="001A103D" w:rsidRDefault="001A103D" w:rsidP="001A103D">
      <w:pPr>
        <w:rPr>
          <w:rFonts w:ascii="Calibri" w:hAnsi="Calibri" w:cs="Calibri"/>
          <w:b/>
          <w:bCs/>
          <w:sz w:val="24"/>
          <w:szCs w:val="24"/>
        </w:rPr>
      </w:pPr>
    </w:p>
    <w:p w14:paraId="6DDCC678" w14:textId="77777777" w:rsidR="001A103D" w:rsidRDefault="001A103D" w:rsidP="001A103D">
      <w:pPr>
        <w:rPr>
          <w:rFonts w:ascii="Calibri" w:hAnsi="Calibri" w:cs="Calibri"/>
          <w:b/>
          <w:bCs/>
          <w:sz w:val="24"/>
          <w:szCs w:val="24"/>
        </w:rPr>
      </w:pPr>
    </w:p>
    <w:p w14:paraId="08A16F61" w14:textId="77777777" w:rsidR="001A103D" w:rsidRDefault="001A103D" w:rsidP="001A103D">
      <w:pPr>
        <w:rPr>
          <w:rFonts w:ascii="Calibri" w:hAnsi="Calibri" w:cs="Calibri"/>
          <w:b/>
          <w:bCs/>
          <w:sz w:val="24"/>
          <w:szCs w:val="24"/>
        </w:rPr>
      </w:pPr>
    </w:p>
    <w:p w14:paraId="4857323E" w14:textId="77777777" w:rsidR="001A103D" w:rsidRDefault="001A103D" w:rsidP="001A103D">
      <w:pPr>
        <w:rPr>
          <w:rFonts w:ascii="Calibri" w:hAnsi="Calibri" w:cs="Calibri"/>
          <w:b/>
          <w:bCs/>
          <w:sz w:val="24"/>
          <w:szCs w:val="24"/>
        </w:rPr>
      </w:pPr>
    </w:p>
    <w:p w14:paraId="37ACE2A3" w14:textId="77777777" w:rsidR="001A103D" w:rsidRDefault="001A103D" w:rsidP="001A103D">
      <w:pPr>
        <w:rPr>
          <w:rFonts w:ascii="Calibri" w:hAnsi="Calibri" w:cs="Calibri"/>
          <w:b/>
          <w:bCs/>
          <w:sz w:val="24"/>
          <w:szCs w:val="24"/>
        </w:rPr>
      </w:pPr>
    </w:p>
    <w:p w14:paraId="75F7DC0F" w14:textId="77777777" w:rsidR="001A103D" w:rsidRDefault="001A103D" w:rsidP="001A103D">
      <w:pPr>
        <w:rPr>
          <w:rFonts w:ascii="Calibri" w:hAnsi="Calibri" w:cs="Calibri"/>
          <w:b/>
          <w:bCs/>
          <w:sz w:val="24"/>
          <w:szCs w:val="24"/>
        </w:rPr>
      </w:pPr>
    </w:p>
    <w:p w14:paraId="733CC0FB" w14:textId="77777777" w:rsidR="001A103D" w:rsidRDefault="001A103D" w:rsidP="001A103D">
      <w:pPr>
        <w:rPr>
          <w:rFonts w:ascii="Calibri" w:hAnsi="Calibri" w:cs="Calibri"/>
          <w:b/>
          <w:bCs/>
          <w:sz w:val="24"/>
          <w:szCs w:val="24"/>
        </w:rPr>
      </w:pPr>
    </w:p>
    <w:p w14:paraId="0F0ED906" w14:textId="77777777" w:rsidR="0011241F" w:rsidRDefault="0011241F" w:rsidP="001A103D">
      <w:pPr>
        <w:rPr>
          <w:rFonts w:ascii="Calibri" w:hAnsi="Calibri" w:cs="Calibri"/>
          <w:b/>
          <w:bCs/>
          <w:sz w:val="24"/>
          <w:szCs w:val="24"/>
        </w:rPr>
      </w:pPr>
    </w:p>
    <w:p w14:paraId="24E066BD" w14:textId="77777777" w:rsidR="0011241F" w:rsidRDefault="0011241F" w:rsidP="001A103D">
      <w:pPr>
        <w:rPr>
          <w:rFonts w:ascii="Calibri" w:hAnsi="Calibri" w:cs="Calibri"/>
          <w:b/>
          <w:bCs/>
          <w:sz w:val="24"/>
          <w:szCs w:val="24"/>
        </w:rPr>
      </w:pPr>
    </w:p>
    <w:p w14:paraId="4B947AC8" w14:textId="77777777" w:rsidR="0011241F" w:rsidRDefault="0011241F" w:rsidP="001A103D">
      <w:pPr>
        <w:rPr>
          <w:rFonts w:ascii="Calibri" w:hAnsi="Calibri" w:cs="Calibri"/>
          <w:b/>
          <w:bCs/>
          <w:sz w:val="24"/>
          <w:szCs w:val="24"/>
        </w:rPr>
      </w:pPr>
    </w:p>
    <w:p w14:paraId="4EE2006E" w14:textId="77777777" w:rsidR="0011241F" w:rsidRDefault="0011241F" w:rsidP="001A103D">
      <w:pPr>
        <w:rPr>
          <w:rFonts w:ascii="Calibri" w:hAnsi="Calibri" w:cs="Calibri"/>
          <w:b/>
          <w:bCs/>
          <w:sz w:val="24"/>
          <w:szCs w:val="24"/>
        </w:rPr>
      </w:pPr>
    </w:p>
    <w:p w14:paraId="14EEC8C0" w14:textId="77777777" w:rsidR="001A103D" w:rsidRDefault="001A103D" w:rsidP="001A103D">
      <w:pPr>
        <w:rPr>
          <w:rFonts w:ascii="Calibri" w:hAnsi="Calibri" w:cs="Calibri"/>
          <w:b/>
          <w:bCs/>
          <w:sz w:val="24"/>
          <w:szCs w:val="24"/>
        </w:rPr>
      </w:pPr>
    </w:p>
    <w:p w14:paraId="69794B22" w14:textId="77777777" w:rsidR="001A103D" w:rsidRDefault="001A103D" w:rsidP="001A103D">
      <w:pPr>
        <w:rPr>
          <w:rFonts w:ascii="Calibri" w:hAnsi="Calibri" w:cs="Calibri"/>
          <w:b/>
          <w:bCs/>
          <w:sz w:val="24"/>
          <w:szCs w:val="24"/>
        </w:rPr>
      </w:pPr>
    </w:p>
    <w:sdt>
      <w:sdtPr>
        <w:id w:val="-1480370068"/>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2D1738BE" w14:textId="42D08099" w:rsidR="001A103D" w:rsidRDefault="001A103D">
          <w:pPr>
            <w:pStyle w:val="TOCHeading"/>
          </w:pPr>
          <w:r>
            <w:t>Contents</w:t>
          </w:r>
        </w:p>
        <w:p w14:paraId="5BFF5EFD" w14:textId="1F05FF90" w:rsidR="00A211FC" w:rsidRDefault="001A103D" w:rsidP="00AA1F38">
          <w:pPr>
            <w:pStyle w:val="TOC2"/>
            <w:rPr>
              <w:rFonts w:eastAsiaTheme="minorEastAsia"/>
              <w:sz w:val="24"/>
              <w:szCs w:val="24"/>
              <w:lang w:eastAsia="en-GB"/>
            </w:rPr>
          </w:pPr>
          <w:r>
            <w:fldChar w:fldCharType="begin"/>
          </w:r>
          <w:r>
            <w:instrText xml:space="preserve"> TOC \o "1-3" \h \z \u </w:instrText>
          </w:r>
          <w:r>
            <w:fldChar w:fldCharType="separate"/>
          </w:r>
          <w:hyperlink w:anchor="_Toc228136317" w:history="1">
            <w:r w:rsidR="00A211FC" w:rsidRPr="001774D8">
              <w:rPr>
                <w:rStyle w:val="Hyperlink"/>
              </w:rPr>
              <w:t>Acknowledgements</w:t>
            </w:r>
            <w:r w:rsidR="00A211FC">
              <w:rPr>
                <w:webHidden/>
              </w:rPr>
              <w:tab/>
            </w:r>
            <w:r w:rsidR="00A211FC">
              <w:rPr>
                <w:webHidden/>
              </w:rPr>
              <w:fldChar w:fldCharType="begin"/>
            </w:r>
            <w:r w:rsidR="00A211FC">
              <w:rPr>
                <w:webHidden/>
              </w:rPr>
              <w:instrText xml:space="preserve"> PAGEREF _Toc228136317 \h </w:instrText>
            </w:r>
            <w:r w:rsidR="00A211FC">
              <w:rPr>
                <w:webHidden/>
              </w:rPr>
            </w:r>
            <w:r w:rsidR="00A211FC">
              <w:rPr>
                <w:webHidden/>
              </w:rPr>
              <w:fldChar w:fldCharType="separate"/>
            </w:r>
            <w:r w:rsidR="00A211FC">
              <w:rPr>
                <w:webHidden/>
              </w:rPr>
              <w:t>5</w:t>
            </w:r>
            <w:r w:rsidR="00A211FC">
              <w:rPr>
                <w:webHidden/>
              </w:rPr>
              <w:fldChar w:fldCharType="end"/>
            </w:r>
          </w:hyperlink>
        </w:p>
        <w:p w14:paraId="6EEBFAAE" w14:textId="19F57878" w:rsidR="00A211FC" w:rsidRDefault="00A211FC" w:rsidP="00AA1F38">
          <w:pPr>
            <w:pStyle w:val="TOC2"/>
            <w:rPr>
              <w:rFonts w:eastAsiaTheme="minorEastAsia"/>
              <w:sz w:val="24"/>
              <w:szCs w:val="24"/>
              <w:lang w:eastAsia="en-GB"/>
            </w:rPr>
          </w:pPr>
          <w:hyperlink w:anchor="_Toc228136318" w:history="1">
            <w:r w:rsidRPr="001774D8">
              <w:rPr>
                <w:rStyle w:val="Hyperlink"/>
              </w:rPr>
              <w:t>Acronyms and Abbreviations</w:t>
            </w:r>
            <w:r>
              <w:rPr>
                <w:webHidden/>
              </w:rPr>
              <w:tab/>
            </w:r>
            <w:r>
              <w:rPr>
                <w:webHidden/>
              </w:rPr>
              <w:fldChar w:fldCharType="begin"/>
            </w:r>
            <w:r>
              <w:rPr>
                <w:webHidden/>
              </w:rPr>
              <w:instrText xml:space="preserve"> PAGEREF _Toc228136318 \h </w:instrText>
            </w:r>
            <w:r>
              <w:rPr>
                <w:webHidden/>
              </w:rPr>
            </w:r>
            <w:r>
              <w:rPr>
                <w:webHidden/>
              </w:rPr>
              <w:fldChar w:fldCharType="separate"/>
            </w:r>
            <w:r>
              <w:rPr>
                <w:webHidden/>
              </w:rPr>
              <w:t>6</w:t>
            </w:r>
            <w:r>
              <w:rPr>
                <w:webHidden/>
              </w:rPr>
              <w:fldChar w:fldCharType="end"/>
            </w:r>
          </w:hyperlink>
        </w:p>
        <w:p w14:paraId="6DFCDF31" w14:textId="260994A5" w:rsidR="00A211FC" w:rsidRDefault="00A211FC" w:rsidP="00AA1F38">
          <w:pPr>
            <w:pStyle w:val="TOC2"/>
            <w:rPr>
              <w:rFonts w:eastAsiaTheme="minorEastAsia"/>
              <w:sz w:val="24"/>
              <w:szCs w:val="24"/>
              <w:lang w:eastAsia="en-GB"/>
            </w:rPr>
          </w:pPr>
          <w:hyperlink w:anchor="_Toc228136319" w:history="1">
            <w:r w:rsidRPr="001774D8">
              <w:rPr>
                <w:rStyle w:val="Hyperlink"/>
              </w:rPr>
              <w:t>Chapter 1: Introduction</w:t>
            </w:r>
            <w:r>
              <w:rPr>
                <w:webHidden/>
              </w:rPr>
              <w:tab/>
            </w:r>
            <w:r>
              <w:rPr>
                <w:webHidden/>
              </w:rPr>
              <w:fldChar w:fldCharType="begin"/>
            </w:r>
            <w:r>
              <w:rPr>
                <w:webHidden/>
              </w:rPr>
              <w:instrText xml:space="preserve"> PAGEREF _Toc228136319 \h </w:instrText>
            </w:r>
            <w:r>
              <w:rPr>
                <w:webHidden/>
              </w:rPr>
            </w:r>
            <w:r>
              <w:rPr>
                <w:webHidden/>
              </w:rPr>
              <w:fldChar w:fldCharType="separate"/>
            </w:r>
            <w:r>
              <w:rPr>
                <w:webHidden/>
              </w:rPr>
              <w:t>7</w:t>
            </w:r>
            <w:r>
              <w:rPr>
                <w:webHidden/>
              </w:rPr>
              <w:fldChar w:fldCharType="end"/>
            </w:r>
          </w:hyperlink>
        </w:p>
        <w:p w14:paraId="190B4FEB" w14:textId="648C866F" w:rsidR="00A211FC" w:rsidRDefault="00A211FC">
          <w:pPr>
            <w:pStyle w:val="TOC3"/>
            <w:tabs>
              <w:tab w:val="right" w:leader="dot" w:pos="9016"/>
            </w:tabs>
            <w:rPr>
              <w:rFonts w:cstheme="minorBidi"/>
              <w:noProof/>
              <w:kern w:val="2"/>
              <w:sz w:val="24"/>
              <w:szCs w:val="24"/>
              <w:lang w:val="en-GB" w:eastAsia="en-GB"/>
              <w14:ligatures w14:val="standardContextual"/>
            </w:rPr>
          </w:pPr>
          <w:hyperlink w:anchor="_Toc228136320" w:history="1">
            <w:r w:rsidRPr="001774D8">
              <w:rPr>
                <w:rStyle w:val="Hyperlink"/>
                <w:noProof/>
              </w:rPr>
              <w:t>1.2 Research Rationale</w:t>
            </w:r>
            <w:r>
              <w:rPr>
                <w:noProof/>
                <w:webHidden/>
              </w:rPr>
              <w:tab/>
            </w:r>
            <w:r>
              <w:rPr>
                <w:noProof/>
                <w:webHidden/>
              </w:rPr>
              <w:fldChar w:fldCharType="begin"/>
            </w:r>
            <w:r>
              <w:rPr>
                <w:noProof/>
                <w:webHidden/>
              </w:rPr>
              <w:instrText xml:space="preserve"> PAGEREF _Toc228136320 \h </w:instrText>
            </w:r>
            <w:r>
              <w:rPr>
                <w:noProof/>
                <w:webHidden/>
              </w:rPr>
            </w:r>
            <w:r>
              <w:rPr>
                <w:noProof/>
                <w:webHidden/>
              </w:rPr>
              <w:fldChar w:fldCharType="separate"/>
            </w:r>
            <w:r>
              <w:rPr>
                <w:noProof/>
                <w:webHidden/>
              </w:rPr>
              <w:t>10</w:t>
            </w:r>
            <w:r>
              <w:rPr>
                <w:noProof/>
                <w:webHidden/>
              </w:rPr>
              <w:fldChar w:fldCharType="end"/>
            </w:r>
          </w:hyperlink>
        </w:p>
        <w:p w14:paraId="62059A40" w14:textId="0342FE9A" w:rsidR="00A211FC" w:rsidRDefault="00A211FC">
          <w:pPr>
            <w:pStyle w:val="TOC3"/>
            <w:tabs>
              <w:tab w:val="right" w:leader="dot" w:pos="9016"/>
            </w:tabs>
            <w:rPr>
              <w:rFonts w:cstheme="minorBidi"/>
              <w:noProof/>
              <w:kern w:val="2"/>
              <w:sz w:val="24"/>
              <w:szCs w:val="24"/>
              <w:lang w:val="en-GB" w:eastAsia="en-GB"/>
              <w14:ligatures w14:val="standardContextual"/>
            </w:rPr>
          </w:pPr>
          <w:hyperlink w:anchor="_Toc228136321" w:history="1">
            <w:r w:rsidRPr="001774D8">
              <w:rPr>
                <w:rStyle w:val="Hyperlink"/>
                <w:noProof/>
              </w:rPr>
              <w:t>1.3 Research Questions</w:t>
            </w:r>
            <w:r>
              <w:rPr>
                <w:noProof/>
                <w:webHidden/>
              </w:rPr>
              <w:tab/>
            </w:r>
            <w:r>
              <w:rPr>
                <w:noProof/>
                <w:webHidden/>
              </w:rPr>
              <w:fldChar w:fldCharType="begin"/>
            </w:r>
            <w:r>
              <w:rPr>
                <w:noProof/>
                <w:webHidden/>
              </w:rPr>
              <w:instrText xml:space="preserve"> PAGEREF _Toc228136321 \h </w:instrText>
            </w:r>
            <w:r>
              <w:rPr>
                <w:noProof/>
                <w:webHidden/>
              </w:rPr>
            </w:r>
            <w:r>
              <w:rPr>
                <w:noProof/>
                <w:webHidden/>
              </w:rPr>
              <w:fldChar w:fldCharType="separate"/>
            </w:r>
            <w:r>
              <w:rPr>
                <w:noProof/>
                <w:webHidden/>
              </w:rPr>
              <w:t>12</w:t>
            </w:r>
            <w:r>
              <w:rPr>
                <w:noProof/>
                <w:webHidden/>
              </w:rPr>
              <w:fldChar w:fldCharType="end"/>
            </w:r>
          </w:hyperlink>
        </w:p>
        <w:p w14:paraId="0BFB65B7" w14:textId="4E89311D" w:rsidR="00A211FC" w:rsidRDefault="00A211FC">
          <w:pPr>
            <w:pStyle w:val="TOC3"/>
            <w:tabs>
              <w:tab w:val="right" w:leader="dot" w:pos="9016"/>
            </w:tabs>
            <w:rPr>
              <w:rFonts w:cstheme="minorBidi"/>
              <w:noProof/>
              <w:kern w:val="2"/>
              <w:sz w:val="24"/>
              <w:szCs w:val="24"/>
              <w:lang w:val="en-GB" w:eastAsia="en-GB"/>
              <w14:ligatures w14:val="standardContextual"/>
            </w:rPr>
          </w:pPr>
          <w:hyperlink w:anchor="_Toc228136322" w:history="1">
            <w:r w:rsidRPr="001774D8">
              <w:rPr>
                <w:rStyle w:val="Hyperlink"/>
                <w:noProof/>
              </w:rPr>
              <w:t>1.4 Review Approach</w:t>
            </w:r>
            <w:r>
              <w:rPr>
                <w:noProof/>
                <w:webHidden/>
              </w:rPr>
              <w:tab/>
            </w:r>
            <w:r>
              <w:rPr>
                <w:noProof/>
                <w:webHidden/>
              </w:rPr>
              <w:fldChar w:fldCharType="begin"/>
            </w:r>
            <w:r>
              <w:rPr>
                <w:noProof/>
                <w:webHidden/>
              </w:rPr>
              <w:instrText xml:space="preserve"> PAGEREF _Toc228136322 \h </w:instrText>
            </w:r>
            <w:r>
              <w:rPr>
                <w:noProof/>
                <w:webHidden/>
              </w:rPr>
            </w:r>
            <w:r>
              <w:rPr>
                <w:noProof/>
                <w:webHidden/>
              </w:rPr>
              <w:fldChar w:fldCharType="separate"/>
            </w:r>
            <w:r>
              <w:rPr>
                <w:noProof/>
                <w:webHidden/>
              </w:rPr>
              <w:t>13</w:t>
            </w:r>
            <w:r>
              <w:rPr>
                <w:noProof/>
                <w:webHidden/>
              </w:rPr>
              <w:fldChar w:fldCharType="end"/>
            </w:r>
          </w:hyperlink>
        </w:p>
        <w:p w14:paraId="4679D680" w14:textId="014BA4CC" w:rsidR="00A211FC" w:rsidRPr="00AA1F38" w:rsidRDefault="00A211FC" w:rsidP="00AA1F38">
          <w:pPr>
            <w:pStyle w:val="TOC2"/>
            <w:rPr>
              <w:rFonts w:eastAsiaTheme="minorEastAsia"/>
              <w:sz w:val="24"/>
              <w:szCs w:val="24"/>
              <w:lang w:eastAsia="en-GB"/>
            </w:rPr>
          </w:pPr>
          <w:hyperlink w:anchor="_Toc228136323" w:history="1">
            <w:r w:rsidRPr="00AA1F38">
              <w:rPr>
                <w:rStyle w:val="Hyperlink"/>
              </w:rPr>
              <w:t>Chapter 2: Methodology of the Literature Review</w:t>
            </w:r>
            <w:r w:rsidRPr="00AA1F38">
              <w:rPr>
                <w:webHidden/>
              </w:rPr>
              <w:tab/>
            </w:r>
            <w:r w:rsidRPr="00AA1F38">
              <w:rPr>
                <w:webHidden/>
              </w:rPr>
              <w:fldChar w:fldCharType="begin"/>
            </w:r>
            <w:r w:rsidRPr="00AA1F38">
              <w:rPr>
                <w:webHidden/>
              </w:rPr>
              <w:instrText xml:space="preserve"> PAGEREF _Toc228136323 \h </w:instrText>
            </w:r>
            <w:r w:rsidRPr="00AA1F38">
              <w:rPr>
                <w:webHidden/>
              </w:rPr>
            </w:r>
            <w:r w:rsidRPr="00AA1F38">
              <w:rPr>
                <w:webHidden/>
              </w:rPr>
              <w:fldChar w:fldCharType="separate"/>
            </w:r>
            <w:r w:rsidRPr="00AA1F38">
              <w:rPr>
                <w:webHidden/>
              </w:rPr>
              <w:t>13</w:t>
            </w:r>
            <w:r w:rsidRPr="00AA1F38">
              <w:rPr>
                <w:webHidden/>
              </w:rPr>
              <w:fldChar w:fldCharType="end"/>
            </w:r>
          </w:hyperlink>
        </w:p>
        <w:p w14:paraId="4B26CF1B" w14:textId="20EFB440" w:rsidR="00A211FC" w:rsidRDefault="00A211FC">
          <w:pPr>
            <w:pStyle w:val="TOC3"/>
            <w:tabs>
              <w:tab w:val="right" w:leader="dot" w:pos="9016"/>
            </w:tabs>
            <w:rPr>
              <w:rFonts w:cstheme="minorBidi"/>
              <w:noProof/>
              <w:kern w:val="2"/>
              <w:sz w:val="24"/>
              <w:szCs w:val="24"/>
              <w:lang w:val="en-GB" w:eastAsia="en-GB"/>
              <w14:ligatures w14:val="standardContextual"/>
            </w:rPr>
          </w:pPr>
          <w:hyperlink w:anchor="_Toc228136324" w:history="1">
            <w:r w:rsidRPr="001774D8">
              <w:rPr>
                <w:rStyle w:val="Hyperlink"/>
                <w:noProof/>
              </w:rPr>
              <w:t>2.1 Introduction</w:t>
            </w:r>
            <w:r>
              <w:rPr>
                <w:noProof/>
                <w:webHidden/>
              </w:rPr>
              <w:tab/>
            </w:r>
            <w:r>
              <w:rPr>
                <w:noProof/>
                <w:webHidden/>
              </w:rPr>
              <w:fldChar w:fldCharType="begin"/>
            </w:r>
            <w:r>
              <w:rPr>
                <w:noProof/>
                <w:webHidden/>
              </w:rPr>
              <w:instrText xml:space="preserve"> PAGEREF _Toc228136324 \h </w:instrText>
            </w:r>
            <w:r>
              <w:rPr>
                <w:noProof/>
                <w:webHidden/>
              </w:rPr>
            </w:r>
            <w:r>
              <w:rPr>
                <w:noProof/>
                <w:webHidden/>
              </w:rPr>
              <w:fldChar w:fldCharType="separate"/>
            </w:r>
            <w:r>
              <w:rPr>
                <w:noProof/>
                <w:webHidden/>
              </w:rPr>
              <w:t>13</w:t>
            </w:r>
            <w:r>
              <w:rPr>
                <w:noProof/>
                <w:webHidden/>
              </w:rPr>
              <w:fldChar w:fldCharType="end"/>
            </w:r>
          </w:hyperlink>
        </w:p>
        <w:p w14:paraId="2AE41A26" w14:textId="66830B9F" w:rsidR="00A211FC" w:rsidRDefault="00A211FC">
          <w:pPr>
            <w:pStyle w:val="TOC3"/>
            <w:tabs>
              <w:tab w:val="right" w:leader="dot" w:pos="9016"/>
            </w:tabs>
            <w:rPr>
              <w:rFonts w:cstheme="minorBidi"/>
              <w:noProof/>
              <w:kern w:val="2"/>
              <w:sz w:val="24"/>
              <w:szCs w:val="24"/>
              <w:lang w:val="en-GB" w:eastAsia="en-GB"/>
              <w14:ligatures w14:val="standardContextual"/>
            </w:rPr>
          </w:pPr>
          <w:hyperlink w:anchor="_Toc228136325" w:history="1">
            <w:r w:rsidRPr="001774D8">
              <w:rPr>
                <w:rStyle w:val="Hyperlink"/>
                <w:noProof/>
              </w:rPr>
              <w:t>2.2 Review Type and Epistemological Positioning</w:t>
            </w:r>
            <w:r>
              <w:rPr>
                <w:noProof/>
                <w:webHidden/>
              </w:rPr>
              <w:tab/>
            </w:r>
            <w:r>
              <w:rPr>
                <w:noProof/>
                <w:webHidden/>
              </w:rPr>
              <w:fldChar w:fldCharType="begin"/>
            </w:r>
            <w:r>
              <w:rPr>
                <w:noProof/>
                <w:webHidden/>
              </w:rPr>
              <w:instrText xml:space="preserve"> PAGEREF _Toc228136325 \h </w:instrText>
            </w:r>
            <w:r>
              <w:rPr>
                <w:noProof/>
                <w:webHidden/>
              </w:rPr>
            </w:r>
            <w:r>
              <w:rPr>
                <w:noProof/>
                <w:webHidden/>
              </w:rPr>
              <w:fldChar w:fldCharType="separate"/>
            </w:r>
            <w:r>
              <w:rPr>
                <w:noProof/>
                <w:webHidden/>
              </w:rPr>
              <w:t>14</w:t>
            </w:r>
            <w:r>
              <w:rPr>
                <w:noProof/>
                <w:webHidden/>
              </w:rPr>
              <w:fldChar w:fldCharType="end"/>
            </w:r>
          </w:hyperlink>
        </w:p>
        <w:p w14:paraId="0BCBE765" w14:textId="5CD662B5" w:rsidR="00A211FC" w:rsidRDefault="00A211FC">
          <w:pPr>
            <w:pStyle w:val="TOC3"/>
            <w:tabs>
              <w:tab w:val="right" w:leader="dot" w:pos="9016"/>
            </w:tabs>
            <w:rPr>
              <w:rFonts w:cstheme="minorBidi"/>
              <w:noProof/>
              <w:kern w:val="2"/>
              <w:sz w:val="24"/>
              <w:szCs w:val="24"/>
              <w:lang w:val="en-GB" w:eastAsia="en-GB"/>
              <w14:ligatures w14:val="standardContextual"/>
            </w:rPr>
          </w:pPr>
          <w:hyperlink w:anchor="_Toc228136326" w:history="1">
            <w:r w:rsidRPr="001774D8">
              <w:rPr>
                <w:rStyle w:val="Hyperlink"/>
                <w:noProof/>
              </w:rPr>
              <w:t>2.3 Search Strategy</w:t>
            </w:r>
            <w:r>
              <w:rPr>
                <w:noProof/>
                <w:webHidden/>
              </w:rPr>
              <w:tab/>
            </w:r>
            <w:r>
              <w:rPr>
                <w:noProof/>
                <w:webHidden/>
              </w:rPr>
              <w:fldChar w:fldCharType="begin"/>
            </w:r>
            <w:r>
              <w:rPr>
                <w:noProof/>
                <w:webHidden/>
              </w:rPr>
              <w:instrText xml:space="preserve"> PAGEREF _Toc228136326 \h </w:instrText>
            </w:r>
            <w:r>
              <w:rPr>
                <w:noProof/>
                <w:webHidden/>
              </w:rPr>
            </w:r>
            <w:r>
              <w:rPr>
                <w:noProof/>
                <w:webHidden/>
              </w:rPr>
              <w:fldChar w:fldCharType="separate"/>
            </w:r>
            <w:r>
              <w:rPr>
                <w:noProof/>
                <w:webHidden/>
              </w:rPr>
              <w:t>15</w:t>
            </w:r>
            <w:r>
              <w:rPr>
                <w:noProof/>
                <w:webHidden/>
              </w:rPr>
              <w:fldChar w:fldCharType="end"/>
            </w:r>
          </w:hyperlink>
        </w:p>
        <w:p w14:paraId="2878BB06" w14:textId="321ACB12" w:rsidR="00A211FC" w:rsidRDefault="00A211FC">
          <w:pPr>
            <w:pStyle w:val="TOC3"/>
            <w:tabs>
              <w:tab w:val="right" w:leader="dot" w:pos="9016"/>
            </w:tabs>
            <w:rPr>
              <w:rFonts w:cstheme="minorBidi"/>
              <w:noProof/>
              <w:kern w:val="2"/>
              <w:sz w:val="24"/>
              <w:szCs w:val="24"/>
              <w:lang w:val="en-GB" w:eastAsia="en-GB"/>
              <w14:ligatures w14:val="standardContextual"/>
            </w:rPr>
          </w:pPr>
          <w:hyperlink w:anchor="_Toc228136327" w:history="1">
            <w:r w:rsidRPr="001774D8">
              <w:rPr>
                <w:rStyle w:val="Hyperlink"/>
                <w:noProof/>
              </w:rPr>
              <w:t>2.4 Inclusion and Exclusion Criteria</w:t>
            </w:r>
            <w:r>
              <w:rPr>
                <w:noProof/>
                <w:webHidden/>
              </w:rPr>
              <w:tab/>
            </w:r>
            <w:r>
              <w:rPr>
                <w:noProof/>
                <w:webHidden/>
              </w:rPr>
              <w:fldChar w:fldCharType="begin"/>
            </w:r>
            <w:r>
              <w:rPr>
                <w:noProof/>
                <w:webHidden/>
              </w:rPr>
              <w:instrText xml:space="preserve"> PAGEREF _Toc228136327 \h </w:instrText>
            </w:r>
            <w:r>
              <w:rPr>
                <w:noProof/>
                <w:webHidden/>
              </w:rPr>
            </w:r>
            <w:r>
              <w:rPr>
                <w:noProof/>
                <w:webHidden/>
              </w:rPr>
              <w:fldChar w:fldCharType="separate"/>
            </w:r>
            <w:r>
              <w:rPr>
                <w:noProof/>
                <w:webHidden/>
              </w:rPr>
              <w:t>16</w:t>
            </w:r>
            <w:r>
              <w:rPr>
                <w:noProof/>
                <w:webHidden/>
              </w:rPr>
              <w:fldChar w:fldCharType="end"/>
            </w:r>
          </w:hyperlink>
        </w:p>
        <w:p w14:paraId="3AABAAE6" w14:textId="50AE4E37" w:rsidR="00A211FC" w:rsidRDefault="00A211FC">
          <w:pPr>
            <w:pStyle w:val="TOC3"/>
            <w:tabs>
              <w:tab w:val="right" w:leader="dot" w:pos="9016"/>
            </w:tabs>
            <w:rPr>
              <w:rFonts w:cstheme="minorBidi"/>
              <w:noProof/>
              <w:kern w:val="2"/>
              <w:sz w:val="24"/>
              <w:szCs w:val="24"/>
              <w:lang w:val="en-GB" w:eastAsia="en-GB"/>
              <w14:ligatures w14:val="standardContextual"/>
            </w:rPr>
          </w:pPr>
          <w:hyperlink w:anchor="_Toc228136328" w:history="1">
            <w:r w:rsidRPr="001774D8">
              <w:rPr>
                <w:rStyle w:val="Hyperlink"/>
                <w:noProof/>
              </w:rPr>
              <w:t>2.5 Approach to Thematic Synthesis</w:t>
            </w:r>
            <w:r>
              <w:rPr>
                <w:noProof/>
                <w:webHidden/>
              </w:rPr>
              <w:tab/>
            </w:r>
            <w:r>
              <w:rPr>
                <w:noProof/>
                <w:webHidden/>
              </w:rPr>
              <w:fldChar w:fldCharType="begin"/>
            </w:r>
            <w:r>
              <w:rPr>
                <w:noProof/>
                <w:webHidden/>
              </w:rPr>
              <w:instrText xml:space="preserve"> PAGEREF _Toc228136328 \h </w:instrText>
            </w:r>
            <w:r>
              <w:rPr>
                <w:noProof/>
                <w:webHidden/>
              </w:rPr>
            </w:r>
            <w:r>
              <w:rPr>
                <w:noProof/>
                <w:webHidden/>
              </w:rPr>
              <w:fldChar w:fldCharType="separate"/>
            </w:r>
            <w:r>
              <w:rPr>
                <w:noProof/>
                <w:webHidden/>
              </w:rPr>
              <w:t>17</w:t>
            </w:r>
            <w:r>
              <w:rPr>
                <w:noProof/>
                <w:webHidden/>
              </w:rPr>
              <w:fldChar w:fldCharType="end"/>
            </w:r>
          </w:hyperlink>
        </w:p>
        <w:p w14:paraId="66C80B99" w14:textId="4CD94CA9" w:rsidR="00A211FC" w:rsidRDefault="00A211FC">
          <w:pPr>
            <w:pStyle w:val="TOC3"/>
            <w:tabs>
              <w:tab w:val="right" w:leader="dot" w:pos="9016"/>
            </w:tabs>
            <w:rPr>
              <w:rFonts w:cstheme="minorBidi"/>
              <w:noProof/>
              <w:kern w:val="2"/>
              <w:sz w:val="24"/>
              <w:szCs w:val="24"/>
              <w:lang w:val="en-GB" w:eastAsia="en-GB"/>
              <w14:ligatures w14:val="standardContextual"/>
            </w:rPr>
          </w:pPr>
          <w:hyperlink w:anchor="_Toc228136329" w:history="1">
            <w:r w:rsidRPr="001774D8">
              <w:rPr>
                <w:rStyle w:val="Hyperlink"/>
                <w:noProof/>
              </w:rPr>
              <w:t>2.6 Quality Appraisal</w:t>
            </w:r>
            <w:r>
              <w:rPr>
                <w:noProof/>
                <w:webHidden/>
              </w:rPr>
              <w:tab/>
            </w:r>
            <w:r>
              <w:rPr>
                <w:noProof/>
                <w:webHidden/>
              </w:rPr>
              <w:fldChar w:fldCharType="begin"/>
            </w:r>
            <w:r>
              <w:rPr>
                <w:noProof/>
                <w:webHidden/>
              </w:rPr>
              <w:instrText xml:space="preserve"> PAGEREF _Toc228136329 \h </w:instrText>
            </w:r>
            <w:r>
              <w:rPr>
                <w:noProof/>
                <w:webHidden/>
              </w:rPr>
            </w:r>
            <w:r>
              <w:rPr>
                <w:noProof/>
                <w:webHidden/>
              </w:rPr>
              <w:fldChar w:fldCharType="separate"/>
            </w:r>
            <w:r>
              <w:rPr>
                <w:noProof/>
                <w:webHidden/>
              </w:rPr>
              <w:t>18</w:t>
            </w:r>
            <w:r>
              <w:rPr>
                <w:noProof/>
                <w:webHidden/>
              </w:rPr>
              <w:fldChar w:fldCharType="end"/>
            </w:r>
          </w:hyperlink>
        </w:p>
        <w:p w14:paraId="2371E8D1" w14:textId="1A9CF17F" w:rsidR="00A211FC" w:rsidRDefault="00A211FC" w:rsidP="00AA1F38">
          <w:pPr>
            <w:pStyle w:val="TOC2"/>
            <w:rPr>
              <w:rFonts w:eastAsiaTheme="minorEastAsia"/>
              <w:sz w:val="24"/>
              <w:szCs w:val="24"/>
              <w:lang w:eastAsia="en-GB"/>
            </w:rPr>
          </w:pPr>
          <w:hyperlink w:anchor="_Toc228136330" w:history="1">
            <w:r w:rsidRPr="001774D8">
              <w:rPr>
                <w:rStyle w:val="Hyperlink"/>
              </w:rPr>
              <w:t>Chapter 3: Literature Review</w:t>
            </w:r>
            <w:r>
              <w:rPr>
                <w:webHidden/>
              </w:rPr>
              <w:tab/>
            </w:r>
            <w:r>
              <w:rPr>
                <w:webHidden/>
              </w:rPr>
              <w:fldChar w:fldCharType="begin"/>
            </w:r>
            <w:r>
              <w:rPr>
                <w:webHidden/>
              </w:rPr>
              <w:instrText xml:space="preserve"> PAGEREF _Toc228136330 \h </w:instrText>
            </w:r>
            <w:r>
              <w:rPr>
                <w:webHidden/>
              </w:rPr>
            </w:r>
            <w:r>
              <w:rPr>
                <w:webHidden/>
              </w:rPr>
              <w:fldChar w:fldCharType="separate"/>
            </w:r>
            <w:r>
              <w:rPr>
                <w:webHidden/>
              </w:rPr>
              <w:t>19</w:t>
            </w:r>
            <w:r>
              <w:rPr>
                <w:webHidden/>
              </w:rPr>
              <w:fldChar w:fldCharType="end"/>
            </w:r>
          </w:hyperlink>
        </w:p>
        <w:p w14:paraId="63FD538B" w14:textId="408D3E70" w:rsidR="00A211FC" w:rsidRDefault="00A211FC">
          <w:pPr>
            <w:pStyle w:val="TOC3"/>
            <w:tabs>
              <w:tab w:val="right" w:leader="dot" w:pos="9016"/>
            </w:tabs>
            <w:rPr>
              <w:rFonts w:cstheme="minorBidi"/>
              <w:noProof/>
              <w:kern w:val="2"/>
              <w:sz w:val="24"/>
              <w:szCs w:val="24"/>
              <w:lang w:val="en-GB" w:eastAsia="en-GB"/>
              <w14:ligatures w14:val="standardContextual"/>
            </w:rPr>
          </w:pPr>
          <w:hyperlink w:anchor="_Toc228136331" w:history="1">
            <w:r w:rsidRPr="001774D8">
              <w:rPr>
                <w:rStyle w:val="Hyperlink"/>
                <w:noProof/>
              </w:rPr>
              <w:t>3.1 Introduction</w:t>
            </w:r>
            <w:r>
              <w:rPr>
                <w:noProof/>
                <w:webHidden/>
              </w:rPr>
              <w:tab/>
            </w:r>
            <w:r>
              <w:rPr>
                <w:noProof/>
                <w:webHidden/>
              </w:rPr>
              <w:fldChar w:fldCharType="begin"/>
            </w:r>
            <w:r>
              <w:rPr>
                <w:noProof/>
                <w:webHidden/>
              </w:rPr>
              <w:instrText xml:space="preserve"> PAGEREF _Toc228136331 \h </w:instrText>
            </w:r>
            <w:r>
              <w:rPr>
                <w:noProof/>
                <w:webHidden/>
              </w:rPr>
            </w:r>
            <w:r>
              <w:rPr>
                <w:noProof/>
                <w:webHidden/>
              </w:rPr>
              <w:fldChar w:fldCharType="separate"/>
            </w:r>
            <w:r>
              <w:rPr>
                <w:noProof/>
                <w:webHidden/>
              </w:rPr>
              <w:t>19</w:t>
            </w:r>
            <w:r>
              <w:rPr>
                <w:noProof/>
                <w:webHidden/>
              </w:rPr>
              <w:fldChar w:fldCharType="end"/>
            </w:r>
          </w:hyperlink>
        </w:p>
        <w:p w14:paraId="087AEF7D" w14:textId="0FDC5467" w:rsidR="00A211FC" w:rsidRDefault="00A211FC">
          <w:pPr>
            <w:pStyle w:val="TOC3"/>
            <w:tabs>
              <w:tab w:val="right" w:leader="dot" w:pos="9016"/>
            </w:tabs>
            <w:rPr>
              <w:rFonts w:cstheme="minorBidi"/>
              <w:noProof/>
              <w:kern w:val="2"/>
              <w:sz w:val="24"/>
              <w:szCs w:val="24"/>
              <w:lang w:val="en-GB" w:eastAsia="en-GB"/>
              <w14:ligatures w14:val="standardContextual"/>
            </w:rPr>
          </w:pPr>
          <w:hyperlink w:anchor="_Toc228136332" w:history="1">
            <w:r w:rsidRPr="001774D8">
              <w:rPr>
                <w:rStyle w:val="Hyperlink"/>
                <w:noProof/>
              </w:rPr>
              <w:t>3.2 Individual-Level Factors</w:t>
            </w:r>
            <w:r>
              <w:rPr>
                <w:noProof/>
                <w:webHidden/>
              </w:rPr>
              <w:tab/>
            </w:r>
            <w:r>
              <w:rPr>
                <w:noProof/>
                <w:webHidden/>
              </w:rPr>
              <w:fldChar w:fldCharType="begin"/>
            </w:r>
            <w:r>
              <w:rPr>
                <w:noProof/>
                <w:webHidden/>
              </w:rPr>
              <w:instrText xml:space="preserve"> PAGEREF _Toc228136332 \h </w:instrText>
            </w:r>
            <w:r>
              <w:rPr>
                <w:noProof/>
                <w:webHidden/>
              </w:rPr>
            </w:r>
            <w:r>
              <w:rPr>
                <w:noProof/>
                <w:webHidden/>
              </w:rPr>
              <w:fldChar w:fldCharType="separate"/>
            </w:r>
            <w:r>
              <w:rPr>
                <w:noProof/>
                <w:webHidden/>
              </w:rPr>
              <w:t>20</w:t>
            </w:r>
            <w:r>
              <w:rPr>
                <w:noProof/>
                <w:webHidden/>
              </w:rPr>
              <w:fldChar w:fldCharType="end"/>
            </w:r>
          </w:hyperlink>
        </w:p>
        <w:p w14:paraId="6F4248C7" w14:textId="6D38BC8F" w:rsidR="00A211FC" w:rsidRDefault="00A211FC">
          <w:pPr>
            <w:pStyle w:val="TOC3"/>
            <w:tabs>
              <w:tab w:val="right" w:leader="dot" w:pos="9016"/>
            </w:tabs>
            <w:rPr>
              <w:rFonts w:cstheme="minorBidi"/>
              <w:noProof/>
              <w:kern w:val="2"/>
              <w:sz w:val="24"/>
              <w:szCs w:val="24"/>
              <w:lang w:val="en-GB" w:eastAsia="en-GB"/>
              <w14:ligatures w14:val="standardContextual"/>
            </w:rPr>
          </w:pPr>
          <w:hyperlink w:anchor="_Toc228136333" w:history="1">
            <w:r w:rsidRPr="001774D8">
              <w:rPr>
                <w:rStyle w:val="Hyperlink"/>
                <w:noProof/>
              </w:rPr>
              <w:t>3.3 Critical Evaluation of Individual-Level Perspectives</w:t>
            </w:r>
            <w:r>
              <w:rPr>
                <w:noProof/>
                <w:webHidden/>
              </w:rPr>
              <w:tab/>
            </w:r>
            <w:r>
              <w:rPr>
                <w:noProof/>
                <w:webHidden/>
              </w:rPr>
              <w:fldChar w:fldCharType="begin"/>
            </w:r>
            <w:r>
              <w:rPr>
                <w:noProof/>
                <w:webHidden/>
              </w:rPr>
              <w:instrText xml:space="preserve"> PAGEREF _Toc228136333 \h </w:instrText>
            </w:r>
            <w:r>
              <w:rPr>
                <w:noProof/>
                <w:webHidden/>
              </w:rPr>
            </w:r>
            <w:r>
              <w:rPr>
                <w:noProof/>
                <w:webHidden/>
              </w:rPr>
              <w:fldChar w:fldCharType="separate"/>
            </w:r>
            <w:r>
              <w:rPr>
                <w:noProof/>
                <w:webHidden/>
              </w:rPr>
              <w:t>22</w:t>
            </w:r>
            <w:r>
              <w:rPr>
                <w:noProof/>
                <w:webHidden/>
              </w:rPr>
              <w:fldChar w:fldCharType="end"/>
            </w:r>
          </w:hyperlink>
        </w:p>
        <w:p w14:paraId="5CEEE73D" w14:textId="7635960E" w:rsidR="00A211FC" w:rsidRDefault="00A211FC">
          <w:pPr>
            <w:pStyle w:val="TOC3"/>
            <w:tabs>
              <w:tab w:val="right" w:leader="dot" w:pos="9016"/>
            </w:tabs>
            <w:rPr>
              <w:rFonts w:cstheme="minorBidi"/>
              <w:noProof/>
              <w:kern w:val="2"/>
              <w:sz w:val="24"/>
              <w:szCs w:val="24"/>
              <w:lang w:val="en-GB" w:eastAsia="en-GB"/>
              <w14:ligatures w14:val="standardContextual"/>
            </w:rPr>
          </w:pPr>
          <w:hyperlink w:anchor="_Toc228136334" w:history="1">
            <w:r w:rsidRPr="001774D8">
              <w:rPr>
                <w:rStyle w:val="Hyperlink"/>
                <w:noProof/>
              </w:rPr>
              <w:t>3.4 Organisational-Level Factors</w:t>
            </w:r>
            <w:r>
              <w:rPr>
                <w:noProof/>
                <w:webHidden/>
              </w:rPr>
              <w:tab/>
            </w:r>
            <w:r>
              <w:rPr>
                <w:noProof/>
                <w:webHidden/>
              </w:rPr>
              <w:fldChar w:fldCharType="begin"/>
            </w:r>
            <w:r>
              <w:rPr>
                <w:noProof/>
                <w:webHidden/>
              </w:rPr>
              <w:instrText xml:space="preserve"> PAGEREF _Toc228136334 \h </w:instrText>
            </w:r>
            <w:r>
              <w:rPr>
                <w:noProof/>
                <w:webHidden/>
              </w:rPr>
            </w:r>
            <w:r>
              <w:rPr>
                <w:noProof/>
                <w:webHidden/>
              </w:rPr>
              <w:fldChar w:fldCharType="separate"/>
            </w:r>
            <w:r>
              <w:rPr>
                <w:noProof/>
                <w:webHidden/>
              </w:rPr>
              <w:t>23</w:t>
            </w:r>
            <w:r>
              <w:rPr>
                <w:noProof/>
                <w:webHidden/>
              </w:rPr>
              <w:fldChar w:fldCharType="end"/>
            </w:r>
          </w:hyperlink>
        </w:p>
        <w:p w14:paraId="5429ED32" w14:textId="74B67F3F" w:rsidR="00A211FC" w:rsidRDefault="00A211FC">
          <w:pPr>
            <w:pStyle w:val="TOC3"/>
            <w:tabs>
              <w:tab w:val="right" w:leader="dot" w:pos="9016"/>
            </w:tabs>
            <w:rPr>
              <w:rFonts w:cstheme="minorBidi"/>
              <w:noProof/>
              <w:kern w:val="2"/>
              <w:sz w:val="24"/>
              <w:szCs w:val="24"/>
              <w:lang w:val="en-GB" w:eastAsia="en-GB"/>
              <w14:ligatures w14:val="standardContextual"/>
            </w:rPr>
          </w:pPr>
          <w:hyperlink w:anchor="_Toc228136335" w:history="1">
            <w:r w:rsidRPr="001774D8">
              <w:rPr>
                <w:rStyle w:val="Hyperlink"/>
                <w:noProof/>
              </w:rPr>
              <w:t>3.5 Critical Evaluation of Organisational-Level Research</w:t>
            </w:r>
            <w:r>
              <w:rPr>
                <w:noProof/>
                <w:webHidden/>
              </w:rPr>
              <w:tab/>
            </w:r>
            <w:r>
              <w:rPr>
                <w:noProof/>
                <w:webHidden/>
              </w:rPr>
              <w:fldChar w:fldCharType="begin"/>
            </w:r>
            <w:r>
              <w:rPr>
                <w:noProof/>
                <w:webHidden/>
              </w:rPr>
              <w:instrText xml:space="preserve"> PAGEREF _Toc228136335 \h </w:instrText>
            </w:r>
            <w:r>
              <w:rPr>
                <w:noProof/>
                <w:webHidden/>
              </w:rPr>
            </w:r>
            <w:r>
              <w:rPr>
                <w:noProof/>
                <w:webHidden/>
              </w:rPr>
              <w:fldChar w:fldCharType="separate"/>
            </w:r>
            <w:r>
              <w:rPr>
                <w:noProof/>
                <w:webHidden/>
              </w:rPr>
              <w:t>24</w:t>
            </w:r>
            <w:r>
              <w:rPr>
                <w:noProof/>
                <w:webHidden/>
              </w:rPr>
              <w:fldChar w:fldCharType="end"/>
            </w:r>
          </w:hyperlink>
        </w:p>
        <w:p w14:paraId="677D6F6D" w14:textId="6860242D" w:rsidR="00A211FC" w:rsidRDefault="00A211FC">
          <w:pPr>
            <w:pStyle w:val="TOC3"/>
            <w:tabs>
              <w:tab w:val="right" w:leader="dot" w:pos="9016"/>
            </w:tabs>
            <w:rPr>
              <w:rFonts w:cstheme="minorBidi"/>
              <w:noProof/>
              <w:kern w:val="2"/>
              <w:sz w:val="24"/>
              <w:szCs w:val="24"/>
              <w:lang w:val="en-GB" w:eastAsia="en-GB"/>
              <w14:ligatures w14:val="standardContextual"/>
            </w:rPr>
          </w:pPr>
          <w:hyperlink w:anchor="_Toc228136336" w:history="1">
            <w:r w:rsidRPr="001774D8">
              <w:rPr>
                <w:rStyle w:val="Hyperlink"/>
                <w:noProof/>
              </w:rPr>
              <w:t>3.6 Systemic and Policy-Level Factors</w:t>
            </w:r>
            <w:r>
              <w:rPr>
                <w:noProof/>
                <w:webHidden/>
              </w:rPr>
              <w:tab/>
            </w:r>
            <w:r>
              <w:rPr>
                <w:noProof/>
                <w:webHidden/>
              </w:rPr>
              <w:fldChar w:fldCharType="begin"/>
            </w:r>
            <w:r>
              <w:rPr>
                <w:noProof/>
                <w:webHidden/>
              </w:rPr>
              <w:instrText xml:space="preserve"> PAGEREF _Toc228136336 \h </w:instrText>
            </w:r>
            <w:r>
              <w:rPr>
                <w:noProof/>
                <w:webHidden/>
              </w:rPr>
            </w:r>
            <w:r>
              <w:rPr>
                <w:noProof/>
                <w:webHidden/>
              </w:rPr>
              <w:fldChar w:fldCharType="separate"/>
            </w:r>
            <w:r>
              <w:rPr>
                <w:noProof/>
                <w:webHidden/>
              </w:rPr>
              <w:t>25</w:t>
            </w:r>
            <w:r>
              <w:rPr>
                <w:noProof/>
                <w:webHidden/>
              </w:rPr>
              <w:fldChar w:fldCharType="end"/>
            </w:r>
          </w:hyperlink>
        </w:p>
        <w:p w14:paraId="5228A7C0" w14:textId="24D81358" w:rsidR="00A211FC" w:rsidRDefault="00A211FC">
          <w:pPr>
            <w:pStyle w:val="TOC3"/>
            <w:tabs>
              <w:tab w:val="right" w:leader="dot" w:pos="9016"/>
            </w:tabs>
            <w:rPr>
              <w:rFonts w:cstheme="minorBidi"/>
              <w:noProof/>
              <w:kern w:val="2"/>
              <w:sz w:val="24"/>
              <w:szCs w:val="24"/>
              <w:lang w:val="en-GB" w:eastAsia="en-GB"/>
              <w14:ligatures w14:val="standardContextual"/>
            </w:rPr>
          </w:pPr>
          <w:hyperlink w:anchor="_Toc228136337" w:history="1">
            <w:r w:rsidRPr="001774D8">
              <w:rPr>
                <w:rStyle w:val="Hyperlink"/>
                <w:noProof/>
              </w:rPr>
              <w:t>3.7 The Welsh Policy Context and Implications for Early Career Teacher Burnout</w:t>
            </w:r>
            <w:r>
              <w:rPr>
                <w:noProof/>
                <w:webHidden/>
              </w:rPr>
              <w:tab/>
            </w:r>
            <w:r>
              <w:rPr>
                <w:noProof/>
                <w:webHidden/>
              </w:rPr>
              <w:fldChar w:fldCharType="begin"/>
            </w:r>
            <w:r>
              <w:rPr>
                <w:noProof/>
                <w:webHidden/>
              </w:rPr>
              <w:instrText xml:space="preserve"> PAGEREF _Toc228136337 \h </w:instrText>
            </w:r>
            <w:r>
              <w:rPr>
                <w:noProof/>
                <w:webHidden/>
              </w:rPr>
            </w:r>
            <w:r>
              <w:rPr>
                <w:noProof/>
                <w:webHidden/>
              </w:rPr>
              <w:fldChar w:fldCharType="separate"/>
            </w:r>
            <w:r>
              <w:rPr>
                <w:noProof/>
                <w:webHidden/>
              </w:rPr>
              <w:t>26</w:t>
            </w:r>
            <w:r>
              <w:rPr>
                <w:noProof/>
                <w:webHidden/>
              </w:rPr>
              <w:fldChar w:fldCharType="end"/>
            </w:r>
          </w:hyperlink>
        </w:p>
        <w:p w14:paraId="7CB853F4" w14:textId="6D1E9AFD" w:rsidR="00A211FC" w:rsidRDefault="00A211FC">
          <w:pPr>
            <w:pStyle w:val="TOC3"/>
            <w:tabs>
              <w:tab w:val="right" w:leader="dot" w:pos="9016"/>
            </w:tabs>
            <w:rPr>
              <w:rFonts w:cstheme="minorBidi"/>
              <w:noProof/>
              <w:kern w:val="2"/>
              <w:sz w:val="24"/>
              <w:szCs w:val="24"/>
              <w:lang w:val="en-GB" w:eastAsia="en-GB"/>
              <w14:ligatures w14:val="standardContextual"/>
            </w:rPr>
          </w:pPr>
          <w:hyperlink w:anchor="_Toc228136338" w:history="1">
            <w:r w:rsidRPr="001774D8">
              <w:rPr>
                <w:rStyle w:val="Hyperlink"/>
                <w:noProof/>
              </w:rPr>
              <w:t>3.8 Critical Evaluation of Systemic and Policy-Level Research</w:t>
            </w:r>
            <w:r>
              <w:rPr>
                <w:noProof/>
                <w:webHidden/>
              </w:rPr>
              <w:tab/>
            </w:r>
            <w:r>
              <w:rPr>
                <w:noProof/>
                <w:webHidden/>
              </w:rPr>
              <w:fldChar w:fldCharType="begin"/>
            </w:r>
            <w:r>
              <w:rPr>
                <w:noProof/>
                <w:webHidden/>
              </w:rPr>
              <w:instrText xml:space="preserve"> PAGEREF _Toc228136338 \h </w:instrText>
            </w:r>
            <w:r>
              <w:rPr>
                <w:noProof/>
                <w:webHidden/>
              </w:rPr>
            </w:r>
            <w:r>
              <w:rPr>
                <w:noProof/>
                <w:webHidden/>
              </w:rPr>
              <w:fldChar w:fldCharType="separate"/>
            </w:r>
            <w:r>
              <w:rPr>
                <w:noProof/>
                <w:webHidden/>
              </w:rPr>
              <w:t>27</w:t>
            </w:r>
            <w:r>
              <w:rPr>
                <w:noProof/>
                <w:webHidden/>
              </w:rPr>
              <w:fldChar w:fldCharType="end"/>
            </w:r>
          </w:hyperlink>
        </w:p>
        <w:p w14:paraId="4679A45D" w14:textId="31E06614" w:rsidR="00A211FC" w:rsidRDefault="00A211FC">
          <w:pPr>
            <w:pStyle w:val="TOC3"/>
            <w:tabs>
              <w:tab w:val="right" w:leader="dot" w:pos="9016"/>
            </w:tabs>
            <w:rPr>
              <w:rFonts w:cstheme="minorBidi"/>
              <w:noProof/>
              <w:kern w:val="2"/>
              <w:sz w:val="24"/>
              <w:szCs w:val="24"/>
              <w:lang w:val="en-GB" w:eastAsia="en-GB"/>
              <w14:ligatures w14:val="standardContextual"/>
            </w:rPr>
          </w:pPr>
          <w:hyperlink w:anchor="_Toc228136339" w:history="1">
            <w:r w:rsidRPr="001774D8">
              <w:rPr>
                <w:rStyle w:val="Hyperlink"/>
                <w:noProof/>
              </w:rPr>
              <w:t>3.9 Theoretical Frameworks in Burnout Research</w:t>
            </w:r>
            <w:r>
              <w:rPr>
                <w:noProof/>
                <w:webHidden/>
              </w:rPr>
              <w:tab/>
            </w:r>
            <w:r>
              <w:rPr>
                <w:noProof/>
                <w:webHidden/>
              </w:rPr>
              <w:fldChar w:fldCharType="begin"/>
            </w:r>
            <w:r>
              <w:rPr>
                <w:noProof/>
                <w:webHidden/>
              </w:rPr>
              <w:instrText xml:space="preserve"> PAGEREF _Toc228136339 \h </w:instrText>
            </w:r>
            <w:r>
              <w:rPr>
                <w:noProof/>
                <w:webHidden/>
              </w:rPr>
            </w:r>
            <w:r>
              <w:rPr>
                <w:noProof/>
                <w:webHidden/>
              </w:rPr>
              <w:fldChar w:fldCharType="separate"/>
            </w:r>
            <w:r>
              <w:rPr>
                <w:noProof/>
                <w:webHidden/>
              </w:rPr>
              <w:t>29</w:t>
            </w:r>
            <w:r>
              <w:rPr>
                <w:noProof/>
                <w:webHidden/>
              </w:rPr>
              <w:fldChar w:fldCharType="end"/>
            </w:r>
          </w:hyperlink>
        </w:p>
        <w:p w14:paraId="43A34CD7" w14:textId="38786921" w:rsidR="00A211FC" w:rsidRDefault="00A211FC">
          <w:pPr>
            <w:pStyle w:val="TOC3"/>
            <w:tabs>
              <w:tab w:val="right" w:leader="dot" w:pos="9016"/>
            </w:tabs>
            <w:rPr>
              <w:rFonts w:cstheme="minorBidi"/>
              <w:noProof/>
              <w:kern w:val="2"/>
              <w:sz w:val="24"/>
              <w:szCs w:val="24"/>
              <w:lang w:val="en-GB" w:eastAsia="en-GB"/>
              <w14:ligatures w14:val="standardContextual"/>
            </w:rPr>
          </w:pPr>
          <w:hyperlink w:anchor="_Toc228136340" w:history="1">
            <w:r w:rsidRPr="001774D8">
              <w:rPr>
                <w:rStyle w:val="Hyperlink"/>
                <w:noProof/>
              </w:rPr>
              <w:t>3.10 Interconnection of Burnout Factors</w:t>
            </w:r>
            <w:r>
              <w:rPr>
                <w:noProof/>
                <w:webHidden/>
              </w:rPr>
              <w:tab/>
            </w:r>
            <w:r>
              <w:rPr>
                <w:noProof/>
                <w:webHidden/>
              </w:rPr>
              <w:fldChar w:fldCharType="begin"/>
            </w:r>
            <w:r>
              <w:rPr>
                <w:noProof/>
                <w:webHidden/>
              </w:rPr>
              <w:instrText xml:space="preserve"> PAGEREF _Toc228136340 \h </w:instrText>
            </w:r>
            <w:r>
              <w:rPr>
                <w:noProof/>
                <w:webHidden/>
              </w:rPr>
            </w:r>
            <w:r>
              <w:rPr>
                <w:noProof/>
                <w:webHidden/>
              </w:rPr>
              <w:fldChar w:fldCharType="separate"/>
            </w:r>
            <w:r>
              <w:rPr>
                <w:noProof/>
                <w:webHidden/>
              </w:rPr>
              <w:t>31</w:t>
            </w:r>
            <w:r>
              <w:rPr>
                <w:noProof/>
                <w:webHidden/>
              </w:rPr>
              <w:fldChar w:fldCharType="end"/>
            </w:r>
          </w:hyperlink>
        </w:p>
        <w:p w14:paraId="6AC7B1C3" w14:textId="251A461E" w:rsidR="00A211FC" w:rsidRDefault="00A211FC">
          <w:pPr>
            <w:pStyle w:val="TOC3"/>
            <w:tabs>
              <w:tab w:val="right" w:leader="dot" w:pos="9016"/>
            </w:tabs>
            <w:rPr>
              <w:rFonts w:cstheme="minorBidi"/>
              <w:noProof/>
              <w:kern w:val="2"/>
              <w:sz w:val="24"/>
              <w:szCs w:val="24"/>
              <w:lang w:val="en-GB" w:eastAsia="en-GB"/>
              <w14:ligatures w14:val="standardContextual"/>
            </w:rPr>
          </w:pPr>
          <w:hyperlink w:anchor="_Toc228136341" w:history="1">
            <w:r w:rsidRPr="001774D8">
              <w:rPr>
                <w:rStyle w:val="Hyperlink"/>
                <w:noProof/>
              </w:rPr>
              <w:t>3.11 Conclusion</w:t>
            </w:r>
            <w:r>
              <w:rPr>
                <w:noProof/>
                <w:webHidden/>
              </w:rPr>
              <w:tab/>
            </w:r>
            <w:r>
              <w:rPr>
                <w:noProof/>
                <w:webHidden/>
              </w:rPr>
              <w:fldChar w:fldCharType="begin"/>
            </w:r>
            <w:r>
              <w:rPr>
                <w:noProof/>
                <w:webHidden/>
              </w:rPr>
              <w:instrText xml:space="preserve"> PAGEREF _Toc228136341 \h </w:instrText>
            </w:r>
            <w:r>
              <w:rPr>
                <w:noProof/>
                <w:webHidden/>
              </w:rPr>
            </w:r>
            <w:r>
              <w:rPr>
                <w:noProof/>
                <w:webHidden/>
              </w:rPr>
              <w:fldChar w:fldCharType="separate"/>
            </w:r>
            <w:r>
              <w:rPr>
                <w:noProof/>
                <w:webHidden/>
              </w:rPr>
              <w:t>32</w:t>
            </w:r>
            <w:r>
              <w:rPr>
                <w:noProof/>
                <w:webHidden/>
              </w:rPr>
              <w:fldChar w:fldCharType="end"/>
            </w:r>
          </w:hyperlink>
        </w:p>
        <w:p w14:paraId="09FB87FE" w14:textId="3F9F4E57" w:rsidR="00A211FC" w:rsidRDefault="00A211FC" w:rsidP="00AA1F38">
          <w:pPr>
            <w:pStyle w:val="TOC2"/>
            <w:rPr>
              <w:rFonts w:eastAsiaTheme="minorEastAsia"/>
              <w:sz w:val="24"/>
              <w:szCs w:val="24"/>
              <w:lang w:eastAsia="en-GB"/>
            </w:rPr>
          </w:pPr>
          <w:hyperlink w:anchor="_Toc228136342" w:history="1">
            <w:r w:rsidRPr="001774D8">
              <w:rPr>
                <w:rStyle w:val="Hyperlink"/>
              </w:rPr>
              <w:t>Chapter 4: Thematic Analysis of Burnout Among Newly Qualified Teachers</w:t>
            </w:r>
            <w:r>
              <w:rPr>
                <w:webHidden/>
              </w:rPr>
              <w:tab/>
            </w:r>
            <w:r>
              <w:rPr>
                <w:webHidden/>
              </w:rPr>
              <w:fldChar w:fldCharType="begin"/>
            </w:r>
            <w:r>
              <w:rPr>
                <w:webHidden/>
              </w:rPr>
              <w:instrText xml:space="preserve"> PAGEREF _Toc228136342 \h </w:instrText>
            </w:r>
            <w:r>
              <w:rPr>
                <w:webHidden/>
              </w:rPr>
            </w:r>
            <w:r>
              <w:rPr>
                <w:webHidden/>
              </w:rPr>
              <w:fldChar w:fldCharType="separate"/>
            </w:r>
            <w:r>
              <w:rPr>
                <w:webHidden/>
              </w:rPr>
              <w:t>33</w:t>
            </w:r>
            <w:r>
              <w:rPr>
                <w:webHidden/>
              </w:rPr>
              <w:fldChar w:fldCharType="end"/>
            </w:r>
          </w:hyperlink>
        </w:p>
        <w:p w14:paraId="119CE262" w14:textId="0CF026F4" w:rsidR="00A211FC" w:rsidRDefault="00A211FC">
          <w:pPr>
            <w:pStyle w:val="TOC3"/>
            <w:tabs>
              <w:tab w:val="right" w:leader="dot" w:pos="9016"/>
            </w:tabs>
            <w:rPr>
              <w:rFonts w:cstheme="minorBidi"/>
              <w:noProof/>
              <w:kern w:val="2"/>
              <w:sz w:val="24"/>
              <w:szCs w:val="24"/>
              <w:lang w:val="en-GB" w:eastAsia="en-GB"/>
              <w14:ligatures w14:val="standardContextual"/>
            </w:rPr>
          </w:pPr>
          <w:hyperlink w:anchor="_Toc228136343" w:history="1">
            <w:r w:rsidRPr="001774D8">
              <w:rPr>
                <w:rStyle w:val="Hyperlink"/>
                <w:noProof/>
              </w:rPr>
              <w:t>4.1 Introduction</w:t>
            </w:r>
            <w:r>
              <w:rPr>
                <w:noProof/>
                <w:webHidden/>
              </w:rPr>
              <w:tab/>
            </w:r>
            <w:r>
              <w:rPr>
                <w:noProof/>
                <w:webHidden/>
              </w:rPr>
              <w:fldChar w:fldCharType="begin"/>
            </w:r>
            <w:r>
              <w:rPr>
                <w:noProof/>
                <w:webHidden/>
              </w:rPr>
              <w:instrText xml:space="preserve"> PAGEREF _Toc228136343 \h </w:instrText>
            </w:r>
            <w:r>
              <w:rPr>
                <w:noProof/>
                <w:webHidden/>
              </w:rPr>
            </w:r>
            <w:r>
              <w:rPr>
                <w:noProof/>
                <w:webHidden/>
              </w:rPr>
              <w:fldChar w:fldCharType="separate"/>
            </w:r>
            <w:r>
              <w:rPr>
                <w:noProof/>
                <w:webHidden/>
              </w:rPr>
              <w:t>33</w:t>
            </w:r>
            <w:r>
              <w:rPr>
                <w:noProof/>
                <w:webHidden/>
              </w:rPr>
              <w:fldChar w:fldCharType="end"/>
            </w:r>
          </w:hyperlink>
        </w:p>
        <w:p w14:paraId="4AA58B8A" w14:textId="1ABC19CC" w:rsidR="00A211FC" w:rsidRDefault="00A211FC">
          <w:pPr>
            <w:pStyle w:val="TOC3"/>
            <w:tabs>
              <w:tab w:val="right" w:leader="dot" w:pos="9016"/>
            </w:tabs>
            <w:rPr>
              <w:rFonts w:cstheme="minorBidi"/>
              <w:noProof/>
              <w:kern w:val="2"/>
              <w:sz w:val="24"/>
              <w:szCs w:val="24"/>
              <w:lang w:val="en-GB" w:eastAsia="en-GB"/>
              <w14:ligatures w14:val="standardContextual"/>
            </w:rPr>
          </w:pPr>
          <w:hyperlink w:anchor="_Toc228136344" w:history="1">
            <w:r w:rsidRPr="001774D8">
              <w:rPr>
                <w:rStyle w:val="Hyperlink"/>
                <w:noProof/>
              </w:rPr>
              <w:t>4.2 Individual-Level Factors: Emotional and Psychological Demands</w:t>
            </w:r>
            <w:r>
              <w:rPr>
                <w:noProof/>
                <w:webHidden/>
              </w:rPr>
              <w:tab/>
            </w:r>
            <w:r>
              <w:rPr>
                <w:noProof/>
                <w:webHidden/>
              </w:rPr>
              <w:fldChar w:fldCharType="begin"/>
            </w:r>
            <w:r>
              <w:rPr>
                <w:noProof/>
                <w:webHidden/>
              </w:rPr>
              <w:instrText xml:space="preserve"> PAGEREF _Toc228136344 \h </w:instrText>
            </w:r>
            <w:r>
              <w:rPr>
                <w:noProof/>
                <w:webHidden/>
              </w:rPr>
            </w:r>
            <w:r>
              <w:rPr>
                <w:noProof/>
                <w:webHidden/>
              </w:rPr>
              <w:fldChar w:fldCharType="separate"/>
            </w:r>
            <w:r>
              <w:rPr>
                <w:noProof/>
                <w:webHidden/>
              </w:rPr>
              <w:t>34</w:t>
            </w:r>
            <w:r>
              <w:rPr>
                <w:noProof/>
                <w:webHidden/>
              </w:rPr>
              <w:fldChar w:fldCharType="end"/>
            </w:r>
          </w:hyperlink>
        </w:p>
        <w:p w14:paraId="4BE700FA" w14:textId="6B37E766" w:rsidR="00A211FC" w:rsidRDefault="00A211FC">
          <w:pPr>
            <w:pStyle w:val="TOC3"/>
            <w:tabs>
              <w:tab w:val="right" w:leader="dot" w:pos="9016"/>
            </w:tabs>
            <w:rPr>
              <w:rFonts w:cstheme="minorBidi"/>
              <w:noProof/>
              <w:kern w:val="2"/>
              <w:sz w:val="24"/>
              <w:szCs w:val="24"/>
              <w:lang w:val="en-GB" w:eastAsia="en-GB"/>
              <w14:ligatures w14:val="standardContextual"/>
            </w:rPr>
          </w:pPr>
          <w:hyperlink w:anchor="_Toc228136345" w:history="1">
            <w:r w:rsidRPr="001774D8">
              <w:rPr>
                <w:rStyle w:val="Hyperlink"/>
                <w:noProof/>
              </w:rPr>
              <w:t>4.3 Organisational Factors: School Environment and Workload</w:t>
            </w:r>
            <w:r>
              <w:rPr>
                <w:noProof/>
                <w:webHidden/>
              </w:rPr>
              <w:tab/>
            </w:r>
            <w:r>
              <w:rPr>
                <w:noProof/>
                <w:webHidden/>
              </w:rPr>
              <w:fldChar w:fldCharType="begin"/>
            </w:r>
            <w:r>
              <w:rPr>
                <w:noProof/>
                <w:webHidden/>
              </w:rPr>
              <w:instrText xml:space="preserve"> PAGEREF _Toc228136345 \h </w:instrText>
            </w:r>
            <w:r>
              <w:rPr>
                <w:noProof/>
                <w:webHidden/>
              </w:rPr>
            </w:r>
            <w:r>
              <w:rPr>
                <w:noProof/>
                <w:webHidden/>
              </w:rPr>
              <w:fldChar w:fldCharType="separate"/>
            </w:r>
            <w:r>
              <w:rPr>
                <w:noProof/>
                <w:webHidden/>
              </w:rPr>
              <w:t>35</w:t>
            </w:r>
            <w:r>
              <w:rPr>
                <w:noProof/>
                <w:webHidden/>
              </w:rPr>
              <w:fldChar w:fldCharType="end"/>
            </w:r>
          </w:hyperlink>
        </w:p>
        <w:p w14:paraId="781D5A79" w14:textId="751B544A" w:rsidR="00A211FC" w:rsidRDefault="00A211FC" w:rsidP="00AA1F38">
          <w:pPr>
            <w:pStyle w:val="TOC2"/>
            <w:rPr>
              <w:rFonts w:eastAsiaTheme="minorEastAsia"/>
              <w:sz w:val="24"/>
              <w:szCs w:val="24"/>
              <w:lang w:eastAsia="en-GB"/>
            </w:rPr>
          </w:pPr>
          <w:hyperlink w:anchor="_Toc228136346" w:history="1">
            <w:r w:rsidRPr="001774D8">
              <w:rPr>
                <w:rStyle w:val="Hyperlink"/>
              </w:rPr>
              <w:t>Chapter 5: Discussion</w:t>
            </w:r>
            <w:r>
              <w:rPr>
                <w:webHidden/>
              </w:rPr>
              <w:tab/>
            </w:r>
            <w:r>
              <w:rPr>
                <w:webHidden/>
              </w:rPr>
              <w:fldChar w:fldCharType="begin"/>
            </w:r>
            <w:r>
              <w:rPr>
                <w:webHidden/>
              </w:rPr>
              <w:instrText xml:space="preserve"> PAGEREF _Toc228136346 \h </w:instrText>
            </w:r>
            <w:r>
              <w:rPr>
                <w:webHidden/>
              </w:rPr>
            </w:r>
            <w:r>
              <w:rPr>
                <w:webHidden/>
              </w:rPr>
              <w:fldChar w:fldCharType="separate"/>
            </w:r>
            <w:r>
              <w:rPr>
                <w:webHidden/>
              </w:rPr>
              <w:t>38</w:t>
            </w:r>
            <w:r>
              <w:rPr>
                <w:webHidden/>
              </w:rPr>
              <w:fldChar w:fldCharType="end"/>
            </w:r>
          </w:hyperlink>
        </w:p>
        <w:p w14:paraId="1924C421" w14:textId="4FBC634C" w:rsidR="00A211FC" w:rsidRDefault="00A211FC">
          <w:pPr>
            <w:pStyle w:val="TOC3"/>
            <w:tabs>
              <w:tab w:val="right" w:leader="dot" w:pos="9016"/>
            </w:tabs>
            <w:rPr>
              <w:rFonts w:cstheme="minorBidi"/>
              <w:noProof/>
              <w:kern w:val="2"/>
              <w:sz w:val="24"/>
              <w:szCs w:val="24"/>
              <w:lang w:val="en-GB" w:eastAsia="en-GB"/>
              <w14:ligatures w14:val="standardContextual"/>
            </w:rPr>
          </w:pPr>
          <w:hyperlink w:anchor="_Toc228136347" w:history="1">
            <w:r w:rsidRPr="001774D8">
              <w:rPr>
                <w:rStyle w:val="Hyperlink"/>
                <w:noProof/>
              </w:rPr>
              <w:t>5.1 Introduction</w:t>
            </w:r>
            <w:r>
              <w:rPr>
                <w:noProof/>
                <w:webHidden/>
              </w:rPr>
              <w:tab/>
            </w:r>
            <w:r>
              <w:rPr>
                <w:noProof/>
                <w:webHidden/>
              </w:rPr>
              <w:fldChar w:fldCharType="begin"/>
            </w:r>
            <w:r>
              <w:rPr>
                <w:noProof/>
                <w:webHidden/>
              </w:rPr>
              <w:instrText xml:space="preserve"> PAGEREF _Toc228136347 \h </w:instrText>
            </w:r>
            <w:r>
              <w:rPr>
                <w:noProof/>
                <w:webHidden/>
              </w:rPr>
            </w:r>
            <w:r>
              <w:rPr>
                <w:noProof/>
                <w:webHidden/>
              </w:rPr>
              <w:fldChar w:fldCharType="separate"/>
            </w:r>
            <w:r>
              <w:rPr>
                <w:noProof/>
                <w:webHidden/>
              </w:rPr>
              <w:t>38</w:t>
            </w:r>
            <w:r>
              <w:rPr>
                <w:noProof/>
                <w:webHidden/>
              </w:rPr>
              <w:fldChar w:fldCharType="end"/>
            </w:r>
          </w:hyperlink>
        </w:p>
        <w:p w14:paraId="3284D651" w14:textId="17C19F8C" w:rsidR="00A211FC" w:rsidRDefault="00A211FC">
          <w:pPr>
            <w:pStyle w:val="TOC3"/>
            <w:tabs>
              <w:tab w:val="right" w:leader="dot" w:pos="9016"/>
            </w:tabs>
            <w:rPr>
              <w:rFonts w:cstheme="minorBidi"/>
              <w:noProof/>
              <w:kern w:val="2"/>
              <w:sz w:val="24"/>
              <w:szCs w:val="24"/>
              <w:lang w:val="en-GB" w:eastAsia="en-GB"/>
              <w14:ligatures w14:val="standardContextual"/>
            </w:rPr>
          </w:pPr>
          <w:hyperlink w:anchor="_Toc228136348" w:history="1">
            <w:r w:rsidRPr="001774D8">
              <w:rPr>
                <w:rStyle w:val="Hyperlink"/>
                <w:noProof/>
              </w:rPr>
              <w:t>5.2 Individual-Level Factors in Relation to Existing Literature</w:t>
            </w:r>
            <w:r>
              <w:rPr>
                <w:noProof/>
                <w:webHidden/>
              </w:rPr>
              <w:tab/>
            </w:r>
            <w:r>
              <w:rPr>
                <w:noProof/>
                <w:webHidden/>
              </w:rPr>
              <w:fldChar w:fldCharType="begin"/>
            </w:r>
            <w:r>
              <w:rPr>
                <w:noProof/>
                <w:webHidden/>
              </w:rPr>
              <w:instrText xml:space="preserve"> PAGEREF _Toc228136348 \h </w:instrText>
            </w:r>
            <w:r>
              <w:rPr>
                <w:noProof/>
                <w:webHidden/>
              </w:rPr>
            </w:r>
            <w:r>
              <w:rPr>
                <w:noProof/>
                <w:webHidden/>
              </w:rPr>
              <w:fldChar w:fldCharType="separate"/>
            </w:r>
            <w:r>
              <w:rPr>
                <w:noProof/>
                <w:webHidden/>
              </w:rPr>
              <w:t>39</w:t>
            </w:r>
            <w:r>
              <w:rPr>
                <w:noProof/>
                <w:webHidden/>
              </w:rPr>
              <w:fldChar w:fldCharType="end"/>
            </w:r>
          </w:hyperlink>
        </w:p>
        <w:p w14:paraId="2D1EC156" w14:textId="3494F3BF" w:rsidR="00A211FC" w:rsidRDefault="00A211FC">
          <w:pPr>
            <w:pStyle w:val="TOC3"/>
            <w:tabs>
              <w:tab w:val="right" w:leader="dot" w:pos="9016"/>
            </w:tabs>
            <w:rPr>
              <w:rFonts w:cstheme="minorBidi"/>
              <w:noProof/>
              <w:kern w:val="2"/>
              <w:sz w:val="24"/>
              <w:szCs w:val="24"/>
              <w:lang w:val="en-GB" w:eastAsia="en-GB"/>
              <w14:ligatures w14:val="standardContextual"/>
            </w:rPr>
          </w:pPr>
          <w:hyperlink w:anchor="_Toc228136349" w:history="1">
            <w:r w:rsidRPr="001774D8">
              <w:rPr>
                <w:rStyle w:val="Hyperlink"/>
                <w:noProof/>
              </w:rPr>
              <w:t>5.4 Systemic and Policy-Level Factors in Relation to Literature</w:t>
            </w:r>
            <w:r>
              <w:rPr>
                <w:noProof/>
                <w:webHidden/>
              </w:rPr>
              <w:tab/>
            </w:r>
            <w:r>
              <w:rPr>
                <w:noProof/>
                <w:webHidden/>
              </w:rPr>
              <w:fldChar w:fldCharType="begin"/>
            </w:r>
            <w:r>
              <w:rPr>
                <w:noProof/>
                <w:webHidden/>
              </w:rPr>
              <w:instrText xml:space="preserve"> PAGEREF _Toc228136349 \h </w:instrText>
            </w:r>
            <w:r>
              <w:rPr>
                <w:noProof/>
                <w:webHidden/>
              </w:rPr>
            </w:r>
            <w:r>
              <w:rPr>
                <w:noProof/>
                <w:webHidden/>
              </w:rPr>
              <w:fldChar w:fldCharType="separate"/>
            </w:r>
            <w:r>
              <w:rPr>
                <w:noProof/>
                <w:webHidden/>
              </w:rPr>
              <w:t>42</w:t>
            </w:r>
            <w:r>
              <w:rPr>
                <w:noProof/>
                <w:webHidden/>
              </w:rPr>
              <w:fldChar w:fldCharType="end"/>
            </w:r>
          </w:hyperlink>
        </w:p>
        <w:p w14:paraId="0FEBC6E7" w14:textId="2C655A8A" w:rsidR="00A211FC" w:rsidRDefault="00A211FC">
          <w:pPr>
            <w:pStyle w:val="TOC3"/>
            <w:tabs>
              <w:tab w:val="right" w:leader="dot" w:pos="9016"/>
            </w:tabs>
            <w:rPr>
              <w:rFonts w:cstheme="minorBidi"/>
              <w:noProof/>
              <w:kern w:val="2"/>
              <w:sz w:val="24"/>
              <w:szCs w:val="24"/>
              <w:lang w:val="en-GB" w:eastAsia="en-GB"/>
              <w14:ligatures w14:val="standardContextual"/>
            </w:rPr>
          </w:pPr>
          <w:hyperlink w:anchor="_Toc228136350" w:history="1">
            <w:r w:rsidRPr="001774D8">
              <w:rPr>
                <w:rStyle w:val="Hyperlink"/>
                <w:noProof/>
              </w:rPr>
              <w:t>5.5 Theoretical Interpretation of Findings</w:t>
            </w:r>
            <w:r>
              <w:rPr>
                <w:noProof/>
                <w:webHidden/>
              </w:rPr>
              <w:tab/>
            </w:r>
            <w:r>
              <w:rPr>
                <w:noProof/>
                <w:webHidden/>
              </w:rPr>
              <w:fldChar w:fldCharType="begin"/>
            </w:r>
            <w:r>
              <w:rPr>
                <w:noProof/>
                <w:webHidden/>
              </w:rPr>
              <w:instrText xml:space="preserve"> PAGEREF _Toc228136350 \h </w:instrText>
            </w:r>
            <w:r>
              <w:rPr>
                <w:noProof/>
                <w:webHidden/>
              </w:rPr>
            </w:r>
            <w:r>
              <w:rPr>
                <w:noProof/>
                <w:webHidden/>
              </w:rPr>
              <w:fldChar w:fldCharType="separate"/>
            </w:r>
            <w:r>
              <w:rPr>
                <w:noProof/>
                <w:webHidden/>
              </w:rPr>
              <w:t>44</w:t>
            </w:r>
            <w:r>
              <w:rPr>
                <w:noProof/>
                <w:webHidden/>
              </w:rPr>
              <w:fldChar w:fldCharType="end"/>
            </w:r>
          </w:hyperlink>
        </w:p>
        <w:p w14:paraId="633A4A68" w14:textId="4405A76D" w:rsidR="00A211FC" w:rsidRDefault="00A211FC">
          <w:pPr>
            <w:pStyle w:val="TOC3"/>
            <w:tabs>
              <w:tab w:val="right" w:leader="dot" w:pos="9016"/>
            </w:tabs>
            <w:rPr>
              <w:rFonts w:cstheme="minorBidi"/>
              <w:noProof/>
              <w:kern w:val="2"/>
              <w:sz w:val="24"/>
              <w:szCs w:val="24"/>
              <w:lang w:val="en-GB" w:eastAsia="en-GB"/>
              <w14:ligatures w14:val="standardContextual"/>
            </w:rPr>
          </w:pPr>
          <w:hyperlink w:anchor="_Toc228136351" w:history="1">
            <w:r w:rsidRPr="001774D8">
              <w:rPr>
                <w:rStyle w:val="Hyperlink"/>
                <w:noProof/>
              </w:rPr>
              <w:t>5.6 Implications</w:t>
            </w:r>
            <w:r>
              <w:rPr>
                <w:noProof/>
                <w:webHidden/>
              </w:rPr>
              <w:tab/>
            </w:r>
            <w:r>
              <w:rPr>
                <w:noProof/>
                <w:webHidden/>
              </w:rPr>
              <w:fldChar w:fldCharType="begin"/>
            </w:r>
            <w:r>
              <w:rPr>
                <w:noProof/>
                <w:webHidden/>
              </w:rPr>
              <w:instrText xml:space="preserve"> PAGEREF _Toc228136351 \h </w:instrText>
            </w:r>
            <w:r>
              <w:rPr>
                <w:noProof/>
                <w:webHidden/>
              </w:rPr>
            </w:r>
            <w:r>
              <w:rPr>
                <w:noProof/>
                <w:webHidden/>
              </w:rPr>
              <w:fldChar w:fldCharType="separate"/>
            </w:r>
            <w:r>
              <w:rPr>
                <w:noProof/>
                <w:webHidden/>
              </w:rPr>
              <w:t>46</w:t>
            </w:r>
            <w:r>
              <w:rPr>
                <w:noProof/>
                <w:webHidden/>
              </w:rPr>
              <w:fldChar w:fldCharType="end"/>
            </w:r>
          </w:hyperlink>
        </w:p>
        <w:p w14:paraId="4E45645A" w14:textId="74AF6BE9" w:rsidR="00A211FC" w:rsidRDefault="00A211FC">
          <w:pPr>
            <w:pStyle w:val="TOC3"/>
            <w:tabs>
              <w:tab w:val="right" w:leader="dot" w:pos="9016"/>
            </w:tabs>
            <w:rPr>
              <w:rFonts w:cstheme="minorBidi"/>
              <w:noProof/>
              <w:kern w:val="2"/>
              <w:sz w:val="24"/>
              <w:szCs w:val="24"/>
              <w:lang w:val="en-GB" w:eastAsia="en-GB"/>
              <w14:ligatures w14:val="standardContextual"/>
            </w:rPr>
          </w:pPr>
          <w:hyperlink w:anchor="_Toc228136352" w:history="1">
            <w:r w:rsidRPr="001774D8">
              <w:rPr>
                <w:rStyle w:val="Hyperlink"/>
                <w:noProof/>
              </w:rPr>
              <w:t>5.7 Limitations</w:t>
            </w:r>
            <w:r>
              <w:rPr>
                <w:noProof/>
                <w:webHidden/>
              </w:rPr>
              <w:tab/>
            </w:r>
            <w:r>
              <w:rPr>
                <w:noProof/>
                <w:webHidden/>
              </w:rPr>
              <w:fldChar w:fldCharType="begin"/>
            </w:r>
            <w:r>
              <w:rPr>
                <w:noProof/>
                <w:webHidden/>
              </w:rPr>
              <w:instrText xml:space="preserve"> PAGEREF _Toc228136352 \h </w:instrText>
            </w:r>
            <w:r>
              <w:rPr>
                <w:noProof/>
                <w:webHidden/>
              </w:rPr>
            </w:r>
            <w:r>
              <w:rPr>
                <w:noProof/>
                <w:webHidden/>
              </w:rPr>
              <w:fldChar w:fldCharType="separate"/>
            </w:r>
            <w:r>
              <w:rPr>
                <w:noProof/>
                <w:webHidden/>
              </w:rPr>
              <w:t>46</w:t>
            </w:r>
            <w:r>
              <w:rPr>
                <w:noProof/>
                <w:webHidden/>
              </w:rPr>
              <w:fldChar w:fldCharType="end"/>
            </w:r>
          </w:hyperlink>
        </w:p>
        <w:p w14:paraId="5727B21A" w14:textId="0E308E64" w:rsidR="00A211FC" w:rsidRDefault="00A211FC">
          <w:pPr>
            <w:pStyle w:val="TOC3"/>
            <w:tabs>
              <w:tab w:val="right" w:leader="dot" w:pos="9016"/>
            </w:tabs>
            <w:rPr>
              <w:rFonts w:cstheme="minorBidi"/>
              <w:noProof/>
              <w:kern w:val="2"/>
              <w:sz w:val="24"/>
              <w:szCs w:val="24"/>
              <w:lang w:val="en-GB" w:eastAsia="en-GB"/>
              <w14:ligatures w14:val="standardContextual"/>
            </w:rPr>
          </w:pPr>
          <w:hyperlink w:anchor="_Toc228136353" w:history="1">
            <w:r w:rsidRPr="001774D8">
              <w:rPr>
                <w:rStyle w:val="Hyperlink"/>
                <w:noProof/>
              </w:rPr>
              <w:t>5.7 Conclusion</w:t>
            </w:r>
            <w:r>
              <w:rPr>
                <w:noProof/>
                <w:webHidden/>
              </w:rPr>
              <w:tab/>
            </w:r>
            <w:r>
              <w:rPr>
                <w:noProof/>
                <w:webHidden/>
              </w:rPr>
              <w:fldChar w:fldCharType="begin"/>
            </w:r>
            <w:r>
              <w:rPr>
                <w:noProof/>
                <w:webHidden/>
              </w:rPr>
              <w:instrText xml:space="preserve"> PAGEREF _Toc228136353 \h </w:instrText>
            </w:r>
            <w:r>
              <w:rPr>
                <w:noProof/>
                <w:webHidden/>
              </w:rPr>
            </w:r>
            <w:r>
              <w:rPr>
                <w:noProof/>
                <w:webHidden/>
              </w:rPr>
              <w:fldChar w:fldCharType="separate"/>
            </w:r>
            <w:r>
              <w:rPr>
                <w:noProof/>
                <w:webHidden/>
              </w:rPr>
              <w:t>47</w:t>
            </w:r>
            <w:r>
              <w:rPr>
                <w:noProof/>
                <w:webHidden/>
              </w:rPr>
              <w:fldChar w:fldCharType="end"/>
            </w:r>
          </w:hyperlink>
        </w:p>
        <w:p w14:paraId="28E86E62" w14:textId="0063136A" w:rsidR="00A211FC" w:rsidRDefault="00A211FC" w:rsidP="00AA1F38">
          <w:pPr>
            <w:pStyle w:val="TOC2"/>
            <w:rPr>
              <w:rFonts w:eastAsiaTheme="minorEastAsia"/>
              <w:sz w:val="24"/>
              <w:szCs w:val="24"/>
              <w:lang w:eastAsia="en-GB"/>
            </w:rPr>
          </w:pPr>
          <w:hyperlink w:anchor="_Toc228136354" w:history="1">
            <w:r w:rsidRPr="001774D8">
              <w:rPr>
                <w:rStyle w:val="Hyperlink"/>
              </w:rPr>
              <w:t>Chapter 6: Recommendations</w:t>
            </w:r>
            <w:r>
              <w:rPr>
                <w:webHidden/>
              </w:rPr>
              <w:tab/>
            </w:r>
            <w:r>
              <w:rPr>
                <w:webHidden/>
              </w:rPr>
              <w:fldChar w:fldCharType="begin"/>
            </w:r>
            <w:r>
              <w:rPr>
                <w:webHidden/>
              </w:rPr>
              <w:instrText xml:space="preserve"> PAGEREF _Toc228136354 \h </w:instrText>
            </w:r>
            <w:r>
              <w:rPr>
                <w:webHidden/>
              </w:rPr>
            </w:r>
            <w:r>
              <w:rPr>
                <w:webHidden/>
              </w:rPr>
              <w:fldChar w:fldCharType="separate"/>
            </w:r>
            <w:r>
              <w:rPr>
                <w:webHidden/>
              </w:rPr>
              <w:t>47</w:t>
            </w:r>
            <w:r>
              <w:rPr>
                <w:webHidden/>
              </w:rPr>
              <w:fldChar w:fldCharType="end"/>
            </w:r>
          </w:hyperlink>
        </w:p>
        <w:p w14:paraId="77DF5E65" w14:textId="54218E99" w:rsidR="00A211FC" w:rsidRDefault="00A211FC">
          <w:pPr>
            <w:pStyle w:val="TOC3"/>
            <w:tabs>
              <w:tab w:val="right" w:leader="dot" w:pos="9016"/>
            </w:tabs>
            <w:rPr>
              <w:rFonts w:cstheme="minorBidi"/>
              <w:noProof/>
              <w:kern w:val="2"/>
              <w:sz w:val="24"/>
              <w:szCs w:val="24"/>
              <w:lang w:val="en-GB" w:eastAsia="en-GB"/>
              <w14:ligatures w14:val="standardContextual"/>
            </w:rPr>
          </w:pPr>
          <w:hyperlink w:anchor="_Toc228136355" w:history="1">
            <w:r w:rsidRPr="001774D8">
              <w:rPr>
                <w:rStyle w:val="Hyperlink"/>
                <w:noProof/>
              </w:rPr>
              <w:t>6.1 Policy Recommendations</w:t>
            </w:r>
            <w:r>
              <w:rPr>
                <w:noProof/>
                <w:webHidden/>
              </w:rPr>
              <w:tab/>
            </w:r>
            <w:r>
              <w:rPr>
                <w:noProof/>
                <w:webHidden/>
              </w:rPr>
              <w:fldChar w:fldCharType="begin"/>
            </w:r>
            <w:r>
              <w:rPr>
                <w:noProof/>
                <w:webHidden/>
              </w:rPr>
              <w:instrText xml:space="preserve"> PAGEREF _Toc228136355 \h </w:instrText>
            </w:r>
            <w:r>
              <w:rPr>
                <w:noProof/>
                <w:webHidden/>
              </w:rPr>
            </w:r>
            <w:r>
              <w:rPr>
                <w:noProof/>
                <w:webHidden/>
              </w:rPr>
              <w:fldChar w:fldCharType="separate"/>
            </w:r>
            <w:r>
              <w:rPr>
                <w:noProof/>
                <w:webHidden/>
              </w:rPr>
              <w:t>48</w:t>
            </w:r>
            <w:r>
              <w:rPr>
                <w:noProof/>
                <w:webHidden/>
              </w:rPr>
              <w:fldChar w:fldCharType="end"/>
            </w:r>
          </w:hyperlink>
        </w:p>
        <w:p w14:paraId="4F353CC1" w14:textId="0C3990E5" w:rsidR="00A211FC" w:rsidRDefault="00A211FC">
          <w:pPr>
            <w:pStyle w:val="TOC3"/>
            <w:tabs>
              <w:tab w:val="right" w:leader="dot" w:pos="9016"/>
            </w:tabs>
            <w:rPr>
              <w:rFonts w:cstheme="minorBidi"/>
              <w:noProof/>
              <w:kern w:val="2"/>
              <w:sz w:val="24"/>
              <w:szCs w:val="24"/>
              <w:lang w:val="en-GB" w:eastAsia="en-GB"/>
              <w14:ligatures w14:val="standardContextual"/>
            </w:rPr>
          </w:pPr>
          <w:hyperlink w:anchor="_Toc228136356" w:history="1">
            <w:r w:rsidRPr="001774D8">
              <w:rPr>
                <w:rStyle w:val="Hyperlink"/>
                <w:noProof/>
              </w:rPr>
              <w:t>6.2 Organisational Recommendations</w:t>
            </w:r>
            <w:r>
              <w:rPr>
                <w:noProof/>
                <w:webHidden/>
              </w:rPr>
              <w:tab/>
            </w:r>
            <w:r>
              <w:rPr>
                <w:noProof/>
                <w:webHidden/>
              </w:rPr>
              <w:fldChar w:fldCharType="begin"/>
            </w:r>
            <w:r>
              <w:rPr>
                <w:noProof/>
                <w:webHidden/>
              </w:rPr>
              <w:instrText xml:space="preserve"> PAGEREF _Toc228136356 \h </w:instrText>
            </w:r>
            <w:r>
              <w:rPr>
                <w:noProof/>
                <w:webHidden/>
              </w:rPr>
            </w:r>
            <w:r>
              <w:rPr>
                <w:noProof/>
                <w:webHidden/>
              </w:rPr>
              <w:fldChar w:fldCharType="separate"/>
            </w:r>
            <w:r>
              <w:rPr>
                <w:noProof/>
                <w:webHidden/>
              </w:rPr>
              <w:t>49</w:t>
            </w:r>
            <w:r>
              <w:rPr>
                <w:noProof/>
                <w:webHidden/>
              </w:rPr>
              <w:fldChar w:fldCharType="end"/>
            </w:r>
          </w:hyperlink>
        </w:p>
        <w:p w14:paraId="48689FE4" w14:textId="7D1E83C2" w:rsidR="00A211FC" w:rsidRDefault="00A211FC">
          <w:pPr>
            <w:pStyle w:val="TOC3"/>
            <w:tabs>
              <w:tab w:val="right" w:leader="dot" w:pos="9016"/>
            </w:tabs>
            <w:rPr>
              <w:rFonts w:cstheme="minorBidi"/>
              <w:noProof/>
              <w:kern w:val="2"/>
              <w:sz w:val="24"/>
              <w:szCs w:val="24"/>
              <w:lang w:val="en-GB" w:eastAsia="en-GB"/>
              <w14:ligatures w14:val="standardContextual"/>
            </w:rPr>
          </w:pPr>
          <w:hyperlink w:anchor="_Toc228136357" w:history="1">
            <w:r w:rsidRPr="001774D8">
              <w:rPr>
                <w:rStyle w:val="Hyperlink"/>
                <w:noProof/>
              </w:rPr>
              <w:t>6.3 Individual-Level Recommendations</w:t>
            </w:r>
            <w:r>
              <w:rPr>
                <w:noProof/>
                <w:webHidden/>
              </w:rPr>
              <w:tab/>
            </w:r>
            <w:r>
              <w:rPr>
                <w:noProof/>
                <w:webHidden/>
              </w:rPr>
              <w:fldChar w:fldCharType="begin"/>
            </w:r>
            <w:r>
              <w:rPr>
                <w:noProof/>
                <w:webHidden/>
              </w:rPr>
              <w:instrText xml:space="preserve"> PAGEREF _Toc228136357 \h </w:instrText>
            </w:r>
            <w:r>
              <w:rPr>
                <w:noProof/>
                <w:webHidden/>
              </w:rPr>
            </w:r>
            <w:r>
              <w:rPr>
                <w:noProof/>
                <w:webHidden/>
              </w:rPr>
              <w:fldChar w:fldCharType="separate"/>
            </w:r>
            <w:r>
              <w:rPr>
                <w:noProof/>
                <w:webHidden/>
              </w:rPr>
              <w:t>50</w:t>
            </w:r>
            <w:r>
              <w:rPr>
                <w:noProof/>
                <w:webHidden/>
              </w:rPr>
              <w:fldChar w:fldCharType="end"/>
            </w:r>
          </w:hyperlink>
        </w:p>
        <w:p w14:paraId="70CAB741" w14:textId="366BA51E" w:rsidR="00A211FC" w:rsidRDefault="00A211FC">
          <w:pPr>
            <w:pStyle w:val="TOC3"/>
            <w:tabs>
              <w:tab w:val="right" w:leader="dot" w:pos="9016"/>
            </w:tabs>
            <w:rPr>
              <w:rFonts w:cstheme="minorBidi"/>
              <w:noProof/>
              <w:kern w:val="2"/>
              <w:sz w:val="24"/>
              <w:szCs w:val="24"/>
              <w:lang w:val="en-GB" w:eastAsia="en-GB"/>
              <w14:ligatures w14:val="standardContextual"/>
            </w:rPr>
          </w:pPr>
          <w:hyperlink w:anchor="_Toc228136358" w:history="1">
            <w:r w:rsidRPr="001774D8">
              <w:rPr>
                <w:rStyle w:val="Hyperlink"/>
                <w:noProof/>
              </w:rPr>
              <w:t>6.4 Recommendations for Future Research</w:t>
            </w:r>
            <w:r>
              <w:rPr>
                <w:noProof/>
                <w:webHidden/>
              </w:rPr>
              <w:tab/>
            </w:r>
            <w:r>
              <w:rPr>
                <w:noProof/>
                <w:webHidden/>
              </w:rPr>
              <w:fldChar w:fldCharType="begin"/>
            </w:r>
            <w:r>
              <w:rPr>
                <w:noProof/>
                <w:webHidden/>
              </w:rPr>
              <w:instrText xml:space="preserve"> PAGEREF _Toc228136358 \h </w:instrText>
            </w:r>
            <w:r>
              <w:rPr>
                <w:noProof/>
                <w:webHidden/>
              </w:rPr>
            </w:r>
            <w:r>
              <w:rPr>
                <w:noProof/>
                <w:webHidden/>
              </w:rPr>
              <w:fldChar w:fldCharType="separate"/>
            </w:r>
            <w:r>
              <w:rPr>
                <w:noProof/>
                <w:webHidden/>
              </w:rPr>
              <w:t>50</w:t>
            </w:r>
            <w:r>
              <w:rPr>
                <w:noProof/>
                <w:webHidden/>
              </w:rPr>
              <w:fldChar w:fldCharType="end"/>
            </w:r>
          </w:hyperlink>
        </w:p>
        <w:p w14:paraId="2BE5391E" w14:textId="504C1B4F" w:rsidR="00A211FC" w:rsidRDefault="00A211FC">
          <w:pPr>
            <w:pStyle w:val="TOC3"/>
            <w:tabs>
              <w:tab w:val="right" w:leader="dot" w:pos="9016"/>
            </w:tabs>
            <w:rPr>
              <w:rFonts w:cstheme="minorBidi"/>
              <w:noProof/>
              <w:kern w:val="2"/>
              <w:sz w:val="24"/>
              <w:szCs w:val="24"/>
              <w:lang w:val="en-GB" w:eastAsia="en-GB"/>
              <w14:ligatures w14:val="standardContextual"/>
            </w:rPr>
          </w:pPr>
          <w:hyperlink w:anchor="_Toc228136359" w:history="1">
            <w:r w:rsidRPr="001774D8">
              <w:rPr>
                <w:rStyle w:val="Hyperlink"/>
                <w:noProof/>
              </w:rPr>
              <w:t>6.5 Summary</w:t>
            </w:r>
            <w:r>
              <w:rPr>
                <w:noProof/>
                <w:webHidden/>
              </w:rPr>
              <w:tab/>
            </w:r>
            <w:r>
              <w:rPr>
                <w:noProof/>
                <w:webHidden/>
              </w:rPr>
              <w:fldChar w:fldCharType="begin"/>
            </w:r>
            <w:r>
              <w:rPr>
                <w:noProof/>
                <w:webHidden/>
              </w:rPr>
              <w:instrText xml:space="preserve"> PAGEREF _Toc228136359 \h </w:instrText>
            </w:r>
            <w:r>
              <w:rPr>
                <w:noProof/>
                <w:webHidden/>
              </w:rPr>
            </w:r>
            <w:r>
              <w:rPr>
                <w:noProof/>
                <w:webHidden/>
              </w:rPr>
              <w:fldChar w:fldCharType="separate"/>
            </w:r>
            <w:r>
              <w:rPr>
                <w:noProof/>
                <w:webHidden/>
              </w:rPr>
              <w:t>51</w:t>
            </w:r>
            <w:r>
              <w:rPr>
                <w:noProof/>
                <w:webHidden/>
              </w:rPr>
              <w:fldChar w:fldCharType="end"/>
            </w:r>
          </w:hyperlink>
        </w:p>
        <w:p w14:paraId="13CCFB29" w14:textId="7D73C81B" w:rsidR="00A211FC" w:rsidRDefault="00A211FC" w:rsidP="00AA1F38">
          <w:pPr>
            <w:pStyle w:val="TOC2"/>
            <w:rPr>
              <w:rFonts w:eastAsiaTheme="minorEastAsia"/>
              <w:sz w:val="24"/>
              <w:szCs w:val="24"/>
              <w:lang w:eastAsia="en-GB"/>
            </w:rPr>
          </w:pPr>
          <w:hyperlink w:anchor="_Toc228136360" w:history="1">
            <w:r w:rsidRPr="001774D8">
              <w:rPr>
                <w:rStyle w:val="Hyperlink"/>
              </w:rPr>
              <w:t>Reference list</w:t>
            </w:r>
            <w:r>
              <w:rPr>
                <w:webHidden/>
              </w:rPr>
              <w:tab/>
            </w:r>
            <w:r>
              <w:rPr>
                <w:webHidden/>
              </w:rPr>
              <w:fldChar w:fldCharType="begin"/>
            </w:r>
            <w:r>
              <w:rPr>
                <w:webHidden/>
              </w:rPr>
              <w:instrText xml:space="preserve"> PAGEREF _Toc228136360 \h </w:instrText>
            </w:r>
            <w:r>
              <w:rPr>
                <w:webHidden/>
              </w:rPr>
            </w:r>
            <w:r>
              <w:rPr>
                <w:webHidden/>
              </w:rPr>
              <w:fldChar w:fldCharType="separate"/>
            </w:r>
            <w:r>
              <w:rPr>
                <w:webHidden/>
              </w:rPr>
              <w:t>53</w:t>
            </w:r>
            <w:r>
              <w:rPr>
                <w:webHidden/>
              </w:rPr>
              <w:fldChar w:fldCharType="end"/>
            </w:r>
          </w:hyperlink>
        </w:p>
        <w:p w14:paraId="39CBFD68" w14:textId="2718B0FC" w:rsidR="00A211FC" w:rsidRDefault="00A211FC">
          <w:pPr>
            <w:pStyle w:val="TOC3"/>
            <w:tabs>
              <w:tab w:val="right" w:leader="dot" w:pos="9016"/>
            </w:tabs>
            <w:rPr>
              <w:rFonts w:cstheme="minorBidi"/>
              <w:noProof/>
              <w:kern w:val="2"/>
              <w:sz w:val="24"/>
              <w:szCs w:val="24"/>
              <w:lang w:val="en-GB" w:eastAsia="en-GB"/>
              <w14:ligatures w14:val="standardContextual"/>
            </w:rPr>
          </w:pPr>
          <w:hyperlink w:anchor="_Toc228136361" w:history="1">
            <w:r w:rsidRPr="001774D8">
              <w:rPr>
                <w:rStyle w:val="Hyperlink"/>
                <w:noProof/>
              </w:rPr>
              <w:t>Appendix 1</w:t>
            </w:r>
            <w:r>
              <w:rPr>
                <w:noProof/>
                <w:webHidden/>
              </w:rPr>
              <w:tab/>
            </w:r>
            <w:r>
              <w:rPr>
                <w:noProof/>
                <w:webHidden/>
              </w:rPr>
              <w:fldChar w:fldCharType="begin"/>
            </w:r>
            <w:r>
              <w:rPr>
                <w:noProof/>
                <w:webHidden/>
              </w:rPr>
              <w:instrText xml:space="preserve"> PAGEREF _Toc228136361 \h </w:instrText>
            </w:r>
            <w:r>
              <w:rPr>
                <w:noProof/>
                <w:webHidden/>
              </w:rPr>
            </w:r>
            <w:r>
              <w:rPr>
                <w:noProof/>
                <w:webHidden/>
              </w:rPr>
              <w:fldChar w:fldCharType="separate"/>
            </w:r>
            <w:r>
              <w:rPr>
                <w:noProof/>
                <w:webHidden/>
              </w:rPr>
              <w:t>57</w:t>
            </w:r>
            <w:r>
              <w:rPr>
                <w:noProof/>
                <w:webHidden/>
              </w:rPr>
              <w:fldChar w:fldCharType="end"/>
            </w:r>
          </w:hyperlink>
        </w:p>
        <w:p w14:paraId="61C54A62" w14:textId="38A6A899" w:rsidR="00A211FC" w:rsidRDefault="00A211FC">
          <w:pPr>
            <w:pStyle w:val="TOC3"/>
            <w:tabs>
              <w:tab w:val="right" w:leader="dot" w:pos="9016"/>
            </w:tabs>
            <w:rPr>
              <w:rFonts w:cstheme="minorBidi"/>
              <w:noProof/>
              <w:kern w:val="2"/>
              <w:sz w:val="24"/>
              <w:szCs w:val="24"/>
              <w:lang w:val="en-GB" w:eastAsia="en-GB"/>
              <w14:ligatures w14:val="standardContextual"/>
            </w:rPr>
          </w:pPr>
          <w:hyperlink w:anchor="_Toc228136362" w:history="1">
            <w:r w:rsidRPr="001774D8">
              <w:rPr>
                <w:rStyle w:val="Hyperlink"/>
                <w:noProof/>
              </w:rPr>
              <w:t>Appendix 2</w:t>
            </w:r>
            <w:r>
              <w:rPr>
                <w:noProof/>
                <w:webHidden/>
              </w:rPr>
              <w:tab/>
            </w:r>
            <w:r>
              <w:rPr>
                <w:noProof/>
                <w:webHidden/>
              </w:rPr>
              <w:fldChar w:fldCharType="begin"/>
            </w:r>
            <w:r>
              <w:rPr>
                <w:noProof/>
                <w:webHidden/>
              </w:rPr>
              <w:instrText xml:space="preserve"> PAGEREF _Toc228136362 \h </w:instrText>
            </w:r>
            <w:r>
              <w:rPr>
                <w:noProof/>
                <w:webHidden/>
              </w:rPr>
            </w:r>
            <w:r>
              <w:rPr>
                <w:noProof/>
                <w:webHidden/>
              </w:rPr>
              <w:fldChar w:fldCharType="separate"/>
            </w:r>
            <w:r>
              <w:rPr>
                <w:noProof/>
                <w:webHidden/>
              </w:rPr>
              <w:t>58</w:t>
            </w:r>
            <w:r>
              <w:rPr>
                <w:noProof/>
                <w:webHidden/>
              </w:rPr>
              <w:fldChar w:fldCharType="end"/>
            </w:r>
          </w:hyperlink>
        </w:p>
        <w:p w14:paraId="68C37601" w14:textId="249667C0" w:rsidR="00A211FC" w:rsidRDefault="00A211FC">
          <w:pPr>
            <w:pStyle w:val="TOC3"/>
            <w:tabs>
              <w:tab w:val="right" w:leader="dot" w:pos="9016"/>
            </w:tabs>
            <w:rPr>
              <w:rFonts w:cstheme="minorBidi"/>
              <w:noProof/>
              <w:kern w:val="2"/>
              <w:sz w:val="24"/>
              <w:szCs w:val="24"/>
              <w:lang w:val="en-GB" w:eastAsia="en-GB"/>
              <w14:ligatures w14:val="standardContextual"/>
            </w:rPr>
          </w:pPr>
          <w:hyperlink w:anchor="_Toc228136363" w:history="1">
            <w:r w:rsidRPr="001774D8">
              <w:rPr>
                <w:rStyle w:val="Hyperlink"/>
                <w:noProof/>
              </w:rPr>
              <w:t>Appendix 3</w:t>
            </w:r>
            <w:r>
              <w:rPr>
                <w:noProof/>
                <w:webHidden/>
              </w:rPr>
              <w:tab/>
            </w:r>
            <w:r>
              <w:rPr>
                <w:noProof/>
                <w:webHidden/>
              </w:rPr>
              <w:fldChar w:fldCharType="begin"/>
            </w:r>
            <w:r>
              <w:rPr>
                <w:noProof/>
                <w:webHidden/>
              </w:rPr>
              <w:instrText xml:space="preserve"> PAGEREF _Toc228136363 \h </w:instrText>
            </w:r>
            <w:r>
              <w:rPr>
                <w:noProof/>
                <w:webHidden/>
              </w:rPr>
            </w:r>
            <w:r>
              <w:rPr>
                <w:noProof/>
                <w:webHidden/>
              </w:rPr>
              <w:fldChar w:fldCharType="separate"/>
            </w:r>
            <w:r>
              <w:rPr>
                <w:noProof/>
                <w:webHidden/>
              </w:rPr>
              <w:t>59</w:t>
            </w:r>
            <w:r>
              <w:rPr>
                <w:noProof/>
                <w:webHidden/>
              </w:rPr>
              <w:fldChar w:fldCharType="end"/>
            </w:r>
          </w:hyperlink>
        </w:p>
        <w:p w14:paraId="6EE8A278" w14:textId="2D92ED7D" w:rsidR="001A103D" w:rsidRDefault="001A103D">
          <w:r>
            <w:rPr>
              <w:b/>
              <w:bCs/>
              <w:noProof/>
            </w:rPr>
            <w:fldChar w:fldCharType="end"/>
          </w:r>
        </w:p>
      </w:sdtContent>
    </w:sdt>
    <w:p w14:paraId="79397A56" w14:textId="77777777" w:rsidR="001A103D" w:rsidRDefault="001A103D" w:rsidP="008B4C7E">
      <w:pPr>
        <w:spacing w:line="360" w:lineRule="auto"/>
        <w:rPr>
          <w:rFonts w:ascii="Calibri" w:hAnsi="Calibri" w:cs="Calibri"/>
          <w:b/>
          <w:bCs/>
          <w:sz w:val="24"/>
          <w:szCs w:val="24"/>
        </w:rPr>
      </w:pPr>
    </w:p>
    <w:p w14:paraId="217E0025" w14:textId="54119054" w:rsidR="00750F24" w:rsidRDefault="00750F24" w:rsidP="00AA1F38">
      <w:pPr>
        <w:spacing w:line="360" w:lineRule="auto"/>
        <w:jc w:val="right"/>
        <w:rPr>
          <w:rFonts w:ascii="Calibri" w:hAnsi="Calibri" w:cs="Calibri"/>
          <w:b/>
          <w:bCs/>
          <w:sz w:val="24"/>
          <w:szCs w:val="24"/>
        </w:rPr>
      </w:pPr>
    </w:p>
    <w:p w14:paraId="340B7177" w14:textId="77777777" w:rsidR="00750F24" w:rsidRDefault="00750F24" w:rsidP="001622ED">
      <w:pPr>
        <w:pStyle w:val="Heading2"/>
      </w:pPr>
      <w:bookmarkStart w:id="1" w:name="_Toc228130626"/>
      <w:bookmarkStart w:id="2" w:name="_Toc228132083"/>
      <w:bookmarkStart w:id="3" w:name="_Toc228132118"/>
      <w:r>
        <w:br/>
      </w:r>
    </w:p>
    <w:p w14:paraId="20899C5F" w14:textId="77777777" w:rsidR="00750F24" w:rsidRDefault="00750F24" w:rsidP="001622ED">
      <w:pPr>
        <w:pStyle w:val="Heading2"/>
      </w:pPr>
    </w:p>
    <w:p w14:paraId="7C2B84E3" w14:textId="77777777" w:rsidR="00750F24" w:rsidRDefault="00750F24" w:rsidP="001622ED">
      <w:pPr>
        <w:pStyle w:val="Heading2"/>
      </w:pPr>
    </w:p>
    <w:p w14:paraId="11F2B88B" w14:textId="77777777" w:rsidR="00750F24" w:rsidRDefault="00750F24" w:rsidP="001622ED">
      <w:pPr>
        <w:pStyle w:val="Heading2"/>
      </w:pPr>
    </w:p>
    <w:p w14:paraId="008A1401" w14:textId="77777777" w:rsidR="00750F24" w:rsidRDefault="00750F24" w:rsidP="001622ED">
      <w:pPr>
        <w:pStyle w:val="Heading2"/>
      </w:pPr>
    </w:p>
    <w:p w14:paraId="22329C26" w14:textId="77777777" w:rsidR="00750F24" w:rsidRDefault="00750F24" w:rsidP="001622ED">
      <w:pPr>
        <w:pStyle w:val="Heading2"/>
      </w:pPr>
    </w:p>
    <w:p w14:paraId="497B687F" w14:textId="77777777" w:rsidR="00750F24" w:rsidRDefault="00750F24" w:rsidP="001622ED">
      <w:pPr>
        <w:pStyle w:val="Heading2"/>
      </w:pPr>
    </w:p>
    <w:p w14:paraId="179D24B3" w14:textId="77777777" w:rsidR="00750F24" w:rsidRDefault="00750F24" w:rsidP="001622ED">
      <w:pPr>
        <w:pStyle w:val="Heading2"/>
      </w:pPr>
    </w:p>
    <w:p w14:paraId="44432B45" w14:textId="77777777" w:rsidR="00750F24" w:rsidRDefault="00750F24" w:rsidP="001622ED">
      <w:pPr>
        <w:pStyle w:val="Heading2"/>
      </w:pPr>
    </w:p>
    <w:p w14:paraId="0878C548" w14:textId="77777777" w:rsidR="00750F24" w:rsidRDefault="00750F24" w:rsidP="001622ED">
      <w:pPr>
        <w:pStyle w:val="Heading2"/>
      </w:pPr>
    </w:p>
    <w:p w14:paraId="29F6477C" w14:textId="77777777" w:rsidR="00275C24" w:rsidRPr="00275C24" w:rsidRDefault="00275C24" w:rsidP="00275C24"/>
    <w:bookmarkEnd w:id="1"/>
    <w:bookmarkEnd w:id="2"/>
    <w:bookmarkEnd w:id="3"/>
    <w:p w14:paraId="6CD001ED" w14:textId="05B44470" w:rsidR="005A0AF7" w:rsidRDefault="005A0AF7">
      <w:pPr>
        <w:rPr>
          <w:rFonts w:ascii="Calibri" w:hAnsi="Calibri" w:cs="Calibri"/>
          <w:b/>
          <w:bCs/>
          <w:sz w:val="24"/>
          <w:szCs w:val="24"/>
        </w:rPr>
      </w:pPr>
    </w:p>
    <w:p w14:paraId="60B037F0" w14:textId="0DDD78FE" w:rsidR="00275C24" w:rsidRDefault="00275C24" w:rsidP="00275C24">
      <w:pPr>
        <w:pStyle w:val="Heading2"/>
      </w:pPr>
      <w:bookmarkStart w:id="4" w:name="_Toc228136317"/>
      <w:r>
        <w:lastRenderedPageBreak/>
        <w:t>Acknowledgements</w:t>
      </w:r>
      <w:bookmarkEnd w:id="4"/>
    </w:p>
    <w:p w14:paraId="067683FA" w14:textId="77777777" w:rsidR="00275C24" w:rsidRPr="00275C24" w:rsidRDefault="00275C24" w:rsidP="00275C24"/>
    <w:p w14:paraId="4361343F" w14:textId="2D9F00F4" w:rsidR="00275C24" w:rsidRPr="00275C24" w:rsidRDefault="00275C24" w:rsidP="00275C24">
      <w:pPr>
        <w:spacing w:line="360" w:lineRule="auto"/>
        <w:rPr>
          <w:rFonts w:ascii="Calibri" w:hAnsi="Calibri" w:cs="Calibri"/>
          <w:sz w:val="24"/>
          <w:szCs w:val="24"/>
        </w:rPr>
      </w:pPr>
      <w:r w:rsidRPr="00275C24">
        <w:rPr>
          <w:rFonts w:ascii="Calibri" w:hAnsi="Calibri" w:cs="Calibri"/>
          <w:sz w:val="24"/>
          <w:szCs w:val="24"/>
        </w:rPr>
        <w:t xml:space="preserve">I would like to express my sincere gratitude to </w:t>
      </w:r>
      <w:r w:rsidR="00AA1F38" w:rsidRPr="00275C24">
        <w:rPr>
          <w:rFonts w:ascii="Calibri" w:hAnsi="Calibri" w:cs="Calibri"/>
          <w:sz w:val="24"/>
          <w:szCs w:val="24"/>
        </w:rPr>
        <w:t>all</w:t>
      </w:r>
      <w:r w:rsidRPr="00275C24">
        <w:rPr>
          <w:rFonts w:ascii="Calibri" w:hAnsi="Calibri" w:cs="Calibri"/>
          <w:sz w:val="24"/>
          <w:szCs w:val="24"/>
        </w:rPr>
        <w:t xml:space="preserve"> the</w:t>
      </w:r>
      <w:r>
        <w:rPr>
          <w:rFonts w:ascii="Calibri" w:hAnsi="Calibri" w:cs="Calibri"/>
          <w:sz w:val="24"/>
          <w:szCs w:val="24"/>
        </w:rPr>
        <w:t xml:space="preserve"> incredible faculty</w:t>
      </w:r>
      <w:r w:rsidRPr="00275C24">
        <w:rPr>
          <w:rFonts w:ascii="Calibri" w:hAnsi="Calibri" w:cs="Calibri"/>
          <w:sz w:val="24"/>
          <w:szCs w:val="24"/>
        </w:rPr>
        <w:t xml:space="preserve"> staff who have supported me throughout this </w:t>
      </w:r>
      <w:r>
        <w:rPr>
          <w:rFonts w:ascii="Calibri" w:hAnsi="Calibri" w:cs="Calibri"/>
          <w:sz w:val="24"/>
          <w:szCs w:val="24"/>
        </w:rPr>
        <w:t xml:space="preserve">journey, namely Sue, </w:t>
      </w:r>
      <w:proofErr w:type="spellStart"/>
      <w:r>
        <w:rPr>
          <w:rFonts w:ascii="Calibri" w:hAnsi="Calibri" w:cs="Calibri"/>
          <w:sz w:val="24"/>
          <w:szCs w:val="24"/>
        </w:rPr>
        <w:t>Yiying</w:t>
      </w:r>
      <w:proofErr w:type="spellEnd"/>
      <w:r>
        <w:rPr>
          <w:rFonts w:ascii="Calibri" w:hAnsi="Calibri" w:cs="Calibri"/>
          <w:sz w:val="24"/>
          <w:szCs w:val="24"/>
        </w:rPr>
        <w:t xml:space="preserve"> and Huw.</w:t>
      </w:r>
      <w:r w:rsidRPr="00275C24">
        <w:rPr>
          <w:rFonts w:ascii="Calibri" w:hAnsi="Calibri" w:cs="Calibri"/>
          <w:sz w:val="24"/>
          <w:szCs w:val="24"/>
        </w:rPr>
        <w:t xml:space="preserve"> Your kindness, empathy, and encouragement have made a significant difference during what has been a challenging period of study, and I am truly thankful for the guidance and understanding you have shown.</w:t>
      </w:r>
    </w:p>
    <w:p w14:paraId="031E1B66" w14:textId="77777777" w:rsidR="00275C24" w:rsidRPr="00275C24" w:rsidRDefault="00275C24" w:rsidP="00275C24">
      <w:pPr>
        <w:spacing w:line="360" w:lineRule="auto"/>
        <w:rPr>
          <w:rFonts w:ascii="Calibri" w:hAnsi="Calibri" w:cs="Calibri"/>
          <w:sz w:val="24"/>
          <w:szCs w:val="24"/>
        </w:rPr>
      </w:pPr>
      <w:r w:rsidRPr="00275C24">
        <w:rPr>
          <w:rFonts w:ascii="Calibri" w:hAnsi="Calibri" w:cs="Calibri"/>
          <w:sz w:val="24"/>
          <w:szCs w:val="24"/>
        </w:rPr>
        <w:t>I would also like to thank my daughter, Lottie. You are the reason I continue to push myself, even when things feel difficult. Everything I do is driven by a desire to make you proud and to create a future that reflects perseverance and resilience.</w:t>
      </w:r>
    </w:p>
    <w:p w14:paraId="350DC89C" w14:textId="77777777" w:rsidR="00275C24" w:rsidRPr="00275C24" w:rsidRDefault="00275C24" w:rsidP="00275C24">
      <w:pPr>
        <w:spacing w:line="360" w:lineRule="auto"/>
        <w:rPr>
          <w:rFonts w:ascii="Calibri" w:hAnsi="Calibri" w:cs="Calibri"/>
          <w:sz w:val="24"/>
          <w:szCs w:val="24"/>
        </w:rPr>
      </w:pPr>
      <w:r w:rsidRPr="00275C24">
        <w:rPr>
          <w:rFonts w:ascii="Calibri" w:hAnsi="Calibri" w:cs="Calibri"/>
          <w:sz w:val="24"/>
          <w:szCs w:val="24"/>
        </w:rPr>
        <w:t>This year has not always been easy, and there have been moments where I have doubted myself more than I care to admit. To those who continued to believe in me during those times, thank you. Your support has meant more than I can properly put into words, and it has carried me through to the completion of this dissertation.</w:t>
      </w:r>
    </w:p>
    <w:p w14:paraId="73B7101B" w14:textId="77777777" w:rsidR="00275C24" w:rsidRPr="00275C24" w:rsidRDefault="00275C24" w:rsidP="00275C24"/>
    <w:p w14:paraId="6FB23DA6" w14:textId="77777777" w:rsidR="005A0AF7" w:rsidRDefault="005A0AF7">
      <w:pPr>
        <w:rPr>
          <w:rFonts w:ascii="Calibri" w:hAnsi="Calibri" w:cs="Calibri"/>
          <w:b/>
          <w:bCs/>
          <w:sz w:val="24"/>
          <w:szCs w:val="24"/>
        </w:rPr>
      </w:pPr>
      <w:r>
        <w:rPr>
          <w:rFonts w:ascii="Calibri" w:hAnsi="Calibri" w:cs="Calibri"/>
          <w:b/>
          <w:bCs/>
          <w:sz w:val="24"/>
          <w:szCs w:val="24"/>
        </w:rPr>
        <w:br w:type="page"/>
      </w:r>
    </w:p>
    <w:p w14:paraId="6123D451" w14:textId="0846E940" w:rsidR="005A0AF7" w:rsidRDefault="005A0AF7">
      <w:pPr>
        <w:rPr>
          <w:rFonts w:ascii="Calibri" w:hAnsi="Calibri" w:cs="Calibri"/>
          <w:b/>
          <w:bCs/>
          <w:sz w:val="24"/>
          <w:szCs w:val="24"/>
        </w:rPr>
      </w:pPr>
    </w:p>
    <w:p w14:paraId="4C9464BD" w14:textId="734658F7" w:rsidR="00B65539" w:rsidRPr="00E459FD" w:rsidRDefault="00B65539" w:rsidP="001622ED">
      <w:pPr>
        <w:pStyle w:val="Heading2"/>
        <w:rPr>
          <w:rFonts w:ascii="Calibri" w:hAnsi="Calibri" w:cs="Calibri"/>
        </w:rPr>
      </w:pPr>
      <w:bookmarkStart w:id="5" w:name="_Toc228130627"/>
      <w:bookmarkStart w:id="6" w:name="_Toc228132084"/>
      <w:bookmarkStart w:id="7" w:name="_Toc228132119"/>
      <w:bookmarkStart w:id="8" w:name="_Toc228132251"/>
      <w:bookmarkStart w:id="9" w:name="_Toc228136318"/>
      <w:r w:rsidRPr="00E459FD">
        <w:rPr>
          <w:rFonts w:ascii="Calibri" w:hAnsi="Calibri" w:cs="Calibri"/>
        </w:rPr>
        <w:t>Acronyms and Abbreviations</w:t>
      </w:r>
      <w:bookmarkEnd w:id="5"/>
      <w:bookmarkEnd w:id="6"/>
      <w:bookmarkEnd w:id="7"/>
      <w:bookmarkEnd w:id="8"/>
      <w:bookmarkEnd w:id="9"/>
    </w:p>
    <w:p w14:paraId="0596602F" w14:textId="152B2E63" w:rsidR="00B65539" w:rsidRDefault="00B65539" w:rsidP="008B4C7E">
      <w:pPr>
        <w:spacing w:line="360" w:lineRule="auto"/>
        <w:rPr>
          <w:rFonts w:ascii="Calibri" w:hAnsi="Calibri" w:cs="Calibri"/>
          <w:b/>
          <w:bCs/>
          <w:sz w:val="24"/>
          <w:szCs w:val="24"/>
        </w:rPr>
      </w:pPr>
      <w:r>
        <w:rPr>
          <w:rFonts w:ascii="Calibri" w:hAnsi="Calibri" w:cs="Calibri"/>
          <w:b/>
          <w:bCs/>
          <w:sz w:val="24"/>
          <w:szCs w:val="24"/>
        </w:rPr>
        <w:t xml:space="preserve">NQTs </w:t>
      </w:r>
      <w:r w:rsidR="00327580">
        <w:rPr>
          <w:rFonts w:ascii="Calibri" w:hAnsi="Calibri" w:cs="Calibri"/>
          <w:b/>
          <w:bCs/>
          <w:sz w:val="24"/>
          <w:szCs w:val="24"/>
        </w:rPr>
        <w:t xml:space="preserve">- </w:t>
      </w:r>
      <w:r>
        <w:rPr>
          <w:rFonts w:ascii="Calibri" w:hAnsi="Calibri" w:cs="Calibri"/>
          <w:b/>
          <w:bCs/>
          <w:sz w:val="24"/>
          <w:szCs w:val="24"/>
        </w:rPr>
        <w:t xml:space="preserve">Newly Qualified Teachers </w:t>
      </w:r>
    </w:p>
    <w:p w14:paraId="0B95C5C8" w14:textId="287FCD09" w:rsidR="00B65539" w:rsidRDefault="00B65539" w:rsidP="008B4C7E">
      <w:pPr>
        <w:spacing w:line="360" w:lineRule="auto"/>
        <w:rPr>
          <w:rFonts w:ascii="Calibri" w:hAnsi="Calibri" w:cs="Calibri"/>
          <w:b/>
          <w:bCs/>
          <w:sz w:val="24"/>
          <w:szCs w:val="24"/>
        </w:rPr>
      </w:pPr>
      <w:r>
        <w:rPr>
          <w:rFonts w:ascii="Calibri" w:hAnsi="Calibri" w:cs="Calibri"/>
          <w:b/>
          <w:bCs/>
          <w:sz w:val="24"/>
          <w:szCs w:val="24"/>
        </w:rPr>
        <w:t xml:space="preserve">MBI </w:t>
      </w:r>
      <w:r w:rsidR="00327580">
        <w:rPr>
          <w:rFonts w:ascii="Calibri" w:hAnsi="Calibri" w:cs="Calibri"/>
          <w:b/>
          <w:bCs/>
          <w:sz w:val="24"/>
          <w:szCs w:val="24"/>
        </w:rPr>
        <w:t xml:space="preserve">- </w:t>
      </w:r>
      <w:r w:rsidR="009D6713">
        <w:rPr>
          <w:rFonts w:ascii="Calibri" w:hAnsi="Calibri" w:cs="Calibri"/>
          <w:b/>
          <w:bCs/>
          <w:sz w:val="24"/>
          <w:szCs w:val="24"/>
        </w:rPr>
        <w:t>Maslach Burnout Inventory</w:t>
      </w:r>
    </w:p>
    <w:p w14:paraId="0B6172EF" w14:textId="242EE356" w:rsidR="00C85142" w:rsidRDefault="00C85142" w:rsidP="008B4C7E">
      <w:pPr>
        <w:spacing w:line="360" w:lineRule="auto"/>
        <w:rPr>
          <w:rFonts w:ascii="Calibri" w:hAnsi="Calibri" w:cs="Calibri"/>
          <w:b/>
          <w:bCs/>
          <w:sz w:val="24"/>
          <w:szCs w:val="24"/>
        </w:rPr>
      </w:pPr>
      <w:proofErr w:type="spellStart"/>
      <w:r>
        <w:rPr>
          <w:rFonts w:ascii="Calibri" w:hAnsi="Calibri" w:cs="Calibri"/>
          <w:b/>
          <w:bCs/>
          <w:sz w:val="24"/>
          <w:szCs w:val="24"/>
        </w:rPr>
        <w:t>CfW</w:t>
      </w:r>
      <w:proofErr w:type="spellEnd"/>
      <w:r>
        <w:rPr>
          <w:rFonts w:ascii="Calibri" w:hAnsi="Calibri" w:cs="Calibri"/>
          <w:b/>
          <w:bCs/>
          <w:sz w:val="24"/>
          <w:szCs w:val="24"/>
        </w:rPr>
        <w:t xml:space="preserve"> </w:t>
      </w:r>
      <w:r w:rsidR="00327580">
        <w:rPr>
          <w:rFonts w:ascii="Calibri" w:hAnsi="Calibri" w:cs="Calibri"/>
          <w:b/>
          <w:bCs/>
          <w:sz w:val="24"/>
          <w:szCs w:val="24"/>
        </w:rPr>
        <w:t>-</w:t>
      </w:r>
      <w:r>
        <w:rPr>
          <w:rFonts w:ascii="Calibri" w:hAnsi="Calibri" w:cs="Calibri"/>
          <w:b/>
          <w:bCs/>
          <w:sz w:val="24"/>
          <w:szCs w:val="24"/>
        </w:rPr>
        <w:t xml:space="preserve"> Curriculum for Wales </w:t>
      </w:r>
    </w:p>
    <w:p w14:paraId="78AFEA6A" w14:textId="77777777" w:rsidR="00D046F8" w:rsidRDefault="00A149B8" w:rsidP="008B4C7E">
      <w:pPr>
        <w:spacing w:line="360" w:lineRule="auto"/>
        <w:rPr>
          <w:rFonts w:ascii="Calibri" w:hAnsi="Calibri" w:cs="Calibri"/>
          <w:b/>
          <w:bCs/>
          <w:sz w:val="24"/>
          <w:szCs w:val="24"/>
        </w:rPr>
      </w:pPr>
      <w:r>
        <w:rPr>
          <w:rFonts w:ascii="Calibri" w:hAnsi="Calibri" w:cs="Calibri"/>
          <w:b/>
          <w:bCs/>
          <w:sz w:val="24"/>
          <w:szCs w:val="24"/>
        </w:rPr>
        <w:t>JD-R</w:t>
      </w:r>
      <w:r w:rsidR="00327580">
        <w:rPr>
          <w:rFonts w:ascii="Calibri" w:hAnsi="Calibri" w:cs="Calibri"/>
          <w:b/>
          <w:bCs/>
          <w:sz w:val="24"/>
          <w:szCs w:val="24"/>
        </w:rPr>
        <w:t xml:space="preserve"> </w:t>
      </w:r>
      <w:r w:rsidR="00D046F8">
        <w:rPr>
          <w:rFonts w:ascii="Calibri" w:hAnsi="Calibri" w:cs="Calibri"/>
          <w:b/>
          <w:bCs/>
          <w:sz w:val="24"/>
          <w:szCs w:val="24"/>
        </w:rPr>
        <w:t xml:space="preserve">– Job Demands Resource Model </w:t>
      </w:r>
    </w:p>
    <w:p w14:paraId="3F8E318C" w14:textId="54528EDA" w:rsidR="00B1405A" w:rsidRDefault="00B1405A" w:rsidP="008B4C7E">
      <w:pPr>
        <w:spacing w:line="360" w:lineRule="auto"/>
        <w:rPr>
          <w:rFonts w:ascii="Calibri" w:hAnsi="Calibri" w:cs="Calibri"/>
          <w:b/>
          <w:bCs/>
          <w:sz w:val="24"/>
          <w:szCs w:val="24"/>
        </w:rPr>
      </w:pPr>
      <w:r>
        <w:rPr>
          <w:rFonts w:ascii="Calibri" w:hAnsi="Calibri" w:cs="Calibri"/>
          <w:b/>
          <w:bCs/>
          <w:sz w:val="24"/>
          <w:szCs w:val="24"/>
        </w:rPr>
        <w:t>ECT’s – Early Care</w:t>
      </w:r>
      <w:r w:rsidR="005A0AF7">
        <w:rPr>
          <w:rFonts w:ascii="Calibri" w:hAnsi="Calibri" w:cs="Calibri"/>
          <w:b/>
          <w:bCs/>
          <w:sz w:val="24"/>
          <w:szCs w:val="24"/>
        </w:rPr>
        <w:t>er Teachers</w:t>
      </w:r>
    </w:p>
    <w:p w14:paraId="37C161C3" w14:textId="0B3483C6" w:rsidR="00A149B8" w:rsidRDefault="00327580" w:rsidP="008B4C7E">
      <w:pPr>
        <w:spacing w:line="360" w:lineRule="auto"/>
        <w:rPr>
          <w:rFonts w:ascii="Calibri" w:hAnsi="Calibri" w:cs="Calibri"/>
          <w:b/>
          <w:bCs/>
          <w:sz w:val="24"/>
          <w:szCs w:val="24"/>
        </w:rPr>
      </w:pPr>
      <w:r>
        <w:rPr>
          <w:rFonts w:ascii="Calibri" w:hAnsi="Calibri" w:cs="Calibri"/>
          <w:b/>
          <w:bCs/>
          <w:sz w:val="24"/>
          <w:szCs w:val="24"/>
        </w:rPr>
        <w:t xml:space="preserve"> </w:t>
      </w:r>
    </w:p>
    <w:p w14:paraId="32D56287" w14:textId="77777777" w:rsidR="00C85142" w:rsidRDefault="00C85142" w:rsidP="008B4C7E">
      <w:pPr>
        <w:spacing w:line="360" w:lineRule="auto"/>
        <w:rPr>
          <w:rFonts w:ascii="Calibri" w:hAnsi="Calibri" w:cs="Calibri"/>
          <w:b/>
          <w:bCs/>
          <w:sz w:val="24"/>
          <w:szCs w:val="24"/>
        </w:rPr>
      </w:pPr>
    </w:p>
    <w:p w14:paraId="635A78FC" w14:textId="77777777" w:rsidR="00B65539" w:rsidRDefault="00B65539">
      <w:pPr>
        <w:rPr>
          <w:rFonts w:ascii="Calibri" w:hAnsi="Calibri" w:cs="Calibri"/>
          <w:b/>
          <w:bCs/>
          <w:sz w:val="24"/>
          <w:szCs w:val="24"/>
        </w:rPr>
      </w:pPr>
      <w:r>
        <w:rPr>
          <w:rFonts w:ascii="Calibri" w:hAnsi="Calibri" w:cs="Calibri"/>
          <w:b/>
          <w:bCs/>
          <w:sz w:val="24"/>
          <w:szCs w:val="24"/>
        </w:rPr>
        <w:br w:type="page"/>
      </w:r>
    </w:p>
    <w:p w14:paraId="2E5D5240" w14:textId="73E99733" w:rsidR="00595D93" w:rsidRPr="00E459FD" w:rsidRDefault="00595D93" w:rsidP="001622ED">
      <w:pPr>
        <w:pStyle w:val="Heading2"/>
        <w:rPr>
          <w:rFonts w:ascii="Calibri" w:hAnsi="Calibri" w:cs="Calibri"/>
          <w:b/>
          <w:bCs/>
        </w:rPr>
      </w:pPr>
      <w:bookmarkStart w:id="10" w:name="_Toc228130628"/>
      <w:bookmarkStart w:id="11" w:name="_Toc228132085"/>
      <w:bookmarkStart w:id="12" w:name="_Toc228132120"/>
      <w:bookmarkStart w:id="13" w:name="_Toc228132252"/>
      <w:bookmarkStart w:id="14" w:name="_Toc228136319"/>
      <w:r w:rsidRPr="00E459FD">
        <w:rPr>
          <w:rFonts w:ascii="Calibri" w:hAnsi="Calibri" w:cs="Calibri"/>
          <w:b/>
          <w:bCs/>
        </w:rPr>
        <w:lastRenderedPageBreak/>
        <w:t>Chapter 1: Introduction</w:t>
      </w:r>
      <w:bookmarkEnd w:id="10"/>
      <w:bookmarkEnd w:id="11"/>
      <w:bookmarkEnd w:id="12"/>
      <w:bookmarkEnd w:id="13"/>
      <w:bookmarkEnd w:id="14"/>
      <w:r w:rsidRPr="00E459FD">
        <w:rPr>
          <w:rFonts w:ascii="Calibri" w:hAnsi="Calibri" w:cs="Calibri"/>
          <w:b/>
          <w:bCs/>
        </w:rPr>
        <w:t xml:space="preserve"> </w:t>
      </w:r>
    </w:p>
    <w:p w14:paraId="31E7AFFD" w14:textId="77777777" w:rsidR="00C41BE7" w:rsidRPr="00C41BE7" w:rsidRDefault="00C41BE7" w:rsidP="00D74C75">
      <w:pPr>
        <w:spacing w:line="360" w:lineRule="auto"/>
        <w:rPr>
          <w:rFonts w:ascii="Calibri" w:hAnsi="Calibri" w:cs="Calibri"/>
          <w:sz w:val="24"/>
          <w:szCs w:val="24"/>
        </w:rPr>
      </w:pPr>
      <w:r w:rsidRPr="00C41BE7">
        <w:rPr>
          <w:rFonts w:ascii="Calibri" w:hAnsi="Calibri" w:cs="Calibri"/>
          <w:sz w:val="24"/>
          <w:szCs w:val="24"/>
        </w:rPr>
        <w:t>Burnout has become an increasingly prominent concern within occupational psychology and educational research, reflecting growing recognition of the psychological costs associated with contemporary professional life (Schaufeli, 2018). According to Maslach and Leiter (2016), burnout refers to a prolonged state of emotional, cognitive, and physical exhaustion resulting from sustained exposure to chronic workplace stressors. Within human service professions, and particularly teaching, burnout has been conceptualised as a multidimensional construct comprising emotional exhaustion, depersonalisation, and reduced personal accomplishment (Watts and Robertson, 2011).</w:t>
      </w:r>
    </w:p>
    <w:p w14:paraId="20574837" w14:textId="77777777" w:rsidR="00C41BE7" w:rsidRPr="00C41BE7" w:rsidRDefault="00C41BE7" w:rsidP="00D74C75">
      <w:pPr>
        <w:spacing w:line="360" w:lineRule="auto"/>
        <w:rPr>
          <w:rFonts w:ascii="Calibri" w:hAnsi="Calibri" w:cs="Calibri"/>
          <w:sz w:val="24"/>
          <w:szCs w:val="24"/>
        </w:rPr>
      </w:pPr>
      <w:r w:rsidRPr="00C41BE7">
        <w:rPr>
          <w:rFonts w:ascii="Calibri" w:hAnsi="Calibri" w:cs="Calibri"/>
          <w:sz w:val="24"/>
          <w:szCs w:val="24"/>
        </w:rPr>
        <w:t>The prevailing conceptualisation of burnout is rooted in the seminal work of Maslach and Jackson (1981), who advanced a multidimensional model framing burnout as a psychological syndrome arising from chronic interpersonal stressors within occupational contexts. Within this framework, burnout comprises three interrelated dimensions:</w:t>
      </w:r>
    </w:p>
    <w:p w14:paraId="4F7A2E83" w14:textId="4DF60571" w:rsidR="00C41BE7" w:rsidRPr="00C41BE7" w:rsidRDefault="00C41BE7" w:rsidP="00D74C75">
      <w:pPr>
        <w:numPr>
          <w:ilvl w:val="0"/>
          <w:numId w:val="37"/>
        </w:numPr>
        <w:spacing w:line="360" w:lineRule="auto"/>
        <w:rPr>
          <w:rFonts w:ascii="Calibri" w:hAnsi="Calibri" w:cs="Calibri"/>
          <w:sz w:val="24"/>
          <w:szCs w:val="24"/>
        </w:rPr>
      </w:pPr>
      <w:r w:rsidRPr="00C41BE7">
        <w:rPr>
          <w:rFonts w:ascii="Calibri" w:hAnsi="Calibri" w:cs="Calibri"/>
          <w:b/>
          <w:bCs/>
          <w:sz w:val="24"/>
          <w:szCs w:val="24"/>
        </w:rPr>
        <w:t>Emotional exhaustion</w:t>
      </w:r>
      <w:r w:rsidR="003E2EEF">
        <w:rPr>
          <w:rFonts w:ascii="Calibri" w:hAnsi="Calibri" w:cs="Calibri"/>
          <w:sz w:val="24"/>
          <w:szCs w:val="24"/>
        </w:rPr>
        <w:t>:</w:t>
      </w:r>
      <w:r w:rsidRPr="00C41BE7">
        <w:rPr>
          <w:rFonts w:ascii="Calibri" w:hAnsi="Calibri" w:cs="Calibri"/>
          <w:sz w:val="24"/>
          <w:szCs w:val="24"/>
        </w:rPr>
        <w:t xml:space="preserve"> referring to the progressive depletion of emotional and psychological resources </w:t>
      </w:r>
      <w:proofErr w:type="gramStart"/>
      <w:r w:rsidRPr="00C41BE7">
        <w:rPr>
          <w:rFonts w:ascii="Calibri" w:hAnsi="Calibri" w:cs="Calibri"/>
          <w:sz w:val="24"/>
          <w:szCs w:val="24"/>
        </w:rPr>
        <w:t>as a result of</w:t>
      </w:r>
      <w:proofErr w:type="gramEnd"/>
      <w:r w:rsidRPr="00C41BE7">
        <w:rPr>
          <w:rFonts w:ascii="Calibri" w:hAnsi="Calibri" w:cs="Calibri"/>
          <w:sz w:val="24"/>
          <w:szCs w:val="24"/>
        </w:rPr>
        <w:t xml:space="preserve"> sustained workplace demands. </w:t>
      </w:r>
    </w:p>
    <w:p w14:paraId="1D572AD6" w14:textId="76CD2BFE" w:rsidR="00C41BE7" w:rsidRPr="00C41BE7" w:rsidRDefault="00C41BE7" w:rsidP="00D74C75">
      <w:pPr>
        <w:numPr>
          <w:ilvl w:val="0"/>
          <w:numId w:val="37"/>
        </w:numPr>
        <w:spacing w:line="360" w:lineRule="auto"/>
        <w:rPr>
          <w:rFonts w:ascii="Calibri" w:hAnsi="Calibri" w:cs="Calibri"/>
          <w:sz w:val="24"/>
          <w:szCs w:val="24"/>
        </w:rPr>
      </w:pPr>
      <w:r w:rsidRPr="00C41BE7">
        <w:rPr>
          <w:rFonts w:ascii="Calibri" w:hAnsi="Calibri" w:cs="Calibri"/>
          <w:b/>
          <w:bCs/>
          <w:sz w:val="24"/>
          <w:szCs w:val="24"/>
        </w:rPr>
        <w:t>Depersonalisation</w:t>
      </w:r>
      <w:r w:rsidR="003E2EEF">
        <w:rPr>
          <w:rFonts w:ascii="Calibri" w:hAnsi="Calibri" w:cs="Calibri"/>
          <w:sz w:val="24"/>
          <w:szCs w:val="24"/>
        </w:rPr>
        <w:t>:</w:t>
      </w:r>
      <w:r w:rsidRPr="00C41BE7">
        <w:rPr>
          <w:rFonts w:ascii="Calibri" w:hAnsi="Calibri" w:cs="Calibri"/>
          <w:sz w:val="24"/>
          <w:szCs w:val="24"/>
        </w:rPr>
        <w:t xml:space="preserve"> describing the development of detached, impersonal, or cynical responses toward recipients of one’s professional service—in the case of teaching, students. </w:t>
      </w:r>
    </w:p>
    <w:p w14:paraId="34132604" w14:textId="64F037EE" w:rsidR="00C41BE7" w:rsidRPr="00C41BE7" w:rsidRDefault="00C41BE7" w:rsidP="00D74C75">
      <w:pPr>
        <w:numPr>
          <w:ilvl w:val="0"/>
          <w:numId w:val="37"/>
        </w:numPr>
        <w:spacing w:line="360" w:lineRule="auto"/>
        <w:rPr>
          <w:rFonts w:ascii="Calibri" w:hAnsi="Calibri" w:cs="Calibri"/>
          <w:sz w:val="24"/>
          <w:szCs w:val="24"/>
        </w:rPr>
      </w:pPr>
      <w:r w:rsidRPr="00C41BE7">
        <w:rPr>
          <w:rFonts w:ascii="Calibri" w:hAnsi="Calibri" w:cs="Calibri"/>
          <w:b/>
          <w:bCs/>
          <w:sz w:val="24"/>
          <w:szCs w:val="24"/>
        </w:rPr>
        <w:t>Reduced personal accomplishment</w:t>
      </w:r>
      <w:r w:rsidR="003E2EEF">
        <w:rPr>
          <w:rFonts w:ascii="Calibri" w:hAnsi="Calibri" w:cs="Calibri"/>
          <w:sz w:val="24"/>
          <w:szCs w:val="24"/>
        </w:rPr>
        <w:t>:</w:t>
      </w:r>
      <w:r w:rsidRPr="00C41BE7">
        <w:rPr>
          <w:rFonts w:ascii="Calibri" w:hAnsi="Calibri" w:cs="Calibri"/>
          <w:sz w:val="24"/>
          <w:szCs w:val="24"/>
        </w:rPr>
        <w:t xml:space="preserve"> capturing a decline in perceived professional competence and efficacy, often accompanied by diminished job satisfaction. </w:t>
      </w:r>
    </w:p>
    <w:p w14:paraId="5DA62BDC" w14:textId="77777777" w:rsidR="00C41BE7" w:rsidRPr="00C41BE7" w:rsidRDefault="00C41BE7" w:rsidP="00D74C75">
      <w:pPr>
        <w:spacing w:line="360" w:lineRule="auto"/>
        <w:rPr>
          <w:rFonts w:ascii="Calibri" w:hAnsi="Calibri" w:cs="Calibri"/>
          <w:sz w:val="24"/>
          <w:szCs w:val="24"/>
        </w:rPr>
      </w:pPr>
      <w:r w:rsidRPr="00C41BE7">
        <w:rPr>
          <w:rFonts w:ascii="Calibri" w:hAnsi="Calibri" w:cs="Calibri"/>
          <w:sz w:val="24"/>
          <w:szCs w:val="24"/>
        </w:rPr>
        <w:t>These dimensions are operationalised through the Maslach Burnout Inventory (MBI), a standardised self-report measure that has become the dominant instrument in empirical burnout research. While the MBI has played a central role in shaping scholarly understanding, its widespread use has also contributed to the framing of burnout primarily as an individual-level psychological construct. This positioning has attracted increasing critical scrutiny within contemporary literature. For example, Bianchi, Swingler and Schonfeld (2024) argue that the MBI may insufficiently capture the complexity of burnout, particularly its structural and contextual dimensions. As such, reliance on this measure may inadvertently reinforce individualised interpretations of what is, arguably, a broader socio-organisational phenomenon. This critique is explored further throughout the dissertation.</w:t>
      </w:r>
    </w:p>
    <w:p w14:paraId="4AED90E8" w14:textId="7DA7D4C1" w:rsidR="00C41BE7" w:rsidRPr="00C41BE7" w:rsidRDefault="00C41BE7" w:rsidP="00D74C75">
      <w:pPr>
        <w:spacing w:line="360" w:lineRule="auto"/>
        <w:rPr>
          <w:rFonts w:ascii="Calibri" w:hAnsi="Calibri" w:cs="Calibri"/>
          <w:sz w:val="24"/>
          <w:szCs w:val="24"/>
        </w:rPr>
      </w:pPr>
      <w:r w:rsidRPr="00C41BE7">
        <w:rPr>
          <w:rFonts w:ascii="Calibri" w:hAnsi="Calibri" w:cs="Calibri"/>
          <w:sz w:val="24"/>
          <w:szCs w:val="24"/>
        </w:rPr>
        <w:lastRenderedPageBreak/>
        <w:t>While early conceptualisations of burnout emphasised individual psychological processes, subsequent scholarship has increasingly situated the phenomenon within broader organisational and socio-political contexts. McKay, MacDonald and Longmuir (2025) identify teaching as a high-risk profession due to its emotional demands, relational intensity, and expanding administrative responsibilities. Organisational stressors commonly associated with teacher burnout include large class sizes, excessive workload, student behavioural challenges, limited decision-making autonomy, insufficient administrative support, and accountability-driven performance measures. Work intensification</w:t>
      </w:r>
      <w:r w:rsidR="00BA4D76">
        <w:rPr>
          <w:rFonts w:ascii="Calibri" w:hAnsi="Calibri" w:cs="Calibri"/>
          <w:sz w:val="24"/>
          <w:szCs w:val="24"/>
        </w:rPr>
        <w:t xml:space="preserve"> which is </w:t>
      </w:r>
      <w:r w:rsidRPr="00C41BE7">
        <w:rPr>
          <w:rFonts w:ascii="Calibri" w:hAnsi="Calibri" w:cs="Calibri"/>
          <w:sz w:val="24"/>
          <w:szCs w:val="24"/>
        </w:rPr>
        <w:t>characterised by increasing demands alongside constrained resources</w:t>
      </w:r>
      <w:r w:rsidR="00BA4D76">
        <w:rPr>
          <w:rFonts w:ascii="Calibri" w:hAnsi="Calibri" w:cs="Calibri"/>
          <w:sz w:val="24"/>
          <w:szCs w:val="24"/>
        </w:rPr>
        <w:t xml:space="preserve">, </w:t>
      </w:r>
      <w:r w:rsidRPr="00C41BE7">
        <w:rPr>
          <w:rFonts w:ascii="Calibri" w:hAnsi="Calibri" w:cs="Calibri"/>
          <w:sz w:val="24"/>
          <w:szCs w:val="24"/>
        </w:rPr>
        <w:t>has been consistently linked to emotional exhaustion and depersonalisation (Nagar, 2012). This shift in focus reflects a broader recognition that burnout cannot be fully understood without considering the structural conditions within which teachers operate.</w:t>
      </w:r>
    </w:p>
    <w:p w14:paraId="16DCE309" w14:textId="77777777" w:rsidR="00C41BE7" w:rsidRPr="00C41BE7" w:rsidRDefault="00C41BE7" w:rsidP="00D74C75">
      <w:pPr>
        <w:spacing w:line="360" w:lineRule="auto"/>
        <w:rPr>
          <w:rFonts w:ascii="Calibri" w:hAnsi="Calibri" w:cs="Calibri"/>
          <w:sz w:val="24"/>
          <w:szCs w:val="24"/>
        </w:rPr>
      </w:pPr>
      <w:r w:rsidRPr="00C41BE7">
        <w:rPr>
          <w:rFonts w:ascii="Calibri" w:hAnsi="Calibri" w:cs="Calibri"/>
          <w:sz w:val="24"/>
          <w:szCs w:val="24"/>
        </w:rPr>
        <w:t>At the same time, research acknowledges that individual characteristics may shape vulnerability to burnout (</w:t>
      </w:r>
      <w:proofErr w:type="spellStart"/>
      <w:r w:rsidRPr="00C41BE7">
        <w:rPr>
          <w:rFonts w:ascii="Calibri" w:hAnsi="Calibri" w:cs="Calibri"/>
          <w:sz w:val="24"/>
          <w:szCs w:val="24"/>
        </w:rPr>
        <w:t>Geuens</w:t>
      </w:r>
      <w:proofErr w:type="spellEnd"/>
      <w:r w:rsidRPr="00C41BE7">
        <w:rPr>
          <w:rFonts w:ascii="Calibri" w:hAnsi="Calibri" w:cs="Calibri"/>
          <w:sz w:val="24"/>
          <w:szCs w:val="24"/>
        </w:rPr>
        <w:t xml:space="preserve">, Van Bogaert and Franck, 2017). Variables such as age, career stage, gender, personality traits, and self-efficacy beliefs have demonstrated varying associations with burnout dimensions (Alarcon, </w:t>
      </w:r>
      <w:proofErr w:type="spellStart"/>
      <w:r w:rsidRPr="00C41BE7">
        <w:rPr>
          <w:rFonts w:ascii="Calibri" w:hAnsi="Calibri" w:cs="Calibri"/>
          <w:sz w:val="24"/>
          <w:szCs w:val="24"/>
        </w:rPr>
        <w:t>Eschleman</w:t>
      </w:r>
      <w:proofErr w:type="spellEnd"/>
      <w:r w:rsidRPr="00C41BE7">
        <w:rPr>
          <w:rFonts w:ascii="Calibri" w:hAnsi="Calibri" w:cs="Calibri"/>
          <w:sz w:val="24"/>
          <w:szCs w:val="24"/>
        </w:rPr>
        <w:t xml:space="preserve"> and Bowling, 2009). Younger and early-career teachers frequently report higher levels of emotional exhaustion, while perfectionistic tendencies and lower perceived competence may exacerbate feelings of reduced accomplishment (Paetz, 2024). However, contemporary scholarship cautions against deterministic interpretations of these associations. Rather than viewing burnout </w:t>
      </w:r>
      <w:proofErr w:type="gramStart"/>
      <w:r w:rsidRPr="00C41BE7">
        <w:rPr>
          <w:rFonts w:ascii="Calibri" w:hAnsi="Calibri" w:cs="Calibri"/>
          <w:sz w:val="24"/>
          <w:szCs w:val="24"/>
        </w:rPr>
        <w:t>as a consequence of</w:t>
      </w:r>
      <w:proofErr w:type="gramEnd"/>
      <w:r w:rsidRPr="00C41BE7">
        <w:rPr>
          <w:rFonts w:ascii="Calibri" w:hAnsi="Calibri" w:cs="Calibri"/>
          <w:sz w:val="24"/>
          <w:szCs w:val="24"/>
        </w:rPr>
        <w:t xml:space="preserve"> individual weakness, it is increasingly conceptualised as the product of dynamic interactions between personal dispositions and contextual conditions.</w:t>
      </w:r>
    </w:p>
    <w:p w14:paraId="32FE8013" w14:textId="1DF69ADB" w:rsidR="00C41BE7" w:rsidRPr="00C41BE7" w:rsidRDefault="00C41BE7" w:rsidP="00D74C75">
      <w:pPr>
        <w:spacing w:line="360" w:lineRule="auto"/>
        <w:rPr>
          <w:rFonts w:ascii="Calibri" w:hAnsi="Calibri" w:cs="Calibri"/>
          <w:sz w:val="24"/>
          <w:szCs w:val="24"/>
        </w:rPr>
      </w:pPr>
      <w:r w:rsidRPr="00C41BE7">
        <w:rPr>
          <w:rFonts w:ascii="Calibri" w:hAnsi="Calibri" w:cs="Calibri"/>
          <w:sz w:val="24"/>
          <w:szCs w:val="24"/>
        </w:rPr>
        <w:t>Beyond the organisational level, broader societal and policy-related transformations have further intensified pressures on the teaching profession. Mahmoodi-</w:t>
      </w:r>
      <w:proofErr w:type="spellStart"/>
      <w:r w:rsidRPr="00C41BE7">
        <w:rPr>
          <w:rFonts w:ascii="Calibri" w:hAnsi="Calibri" w:cs="Calibri"/>
          <w:sz w:val="24"/>
          <w:szCs w:val="24"/>
        </w:rPr>
        <w:t>Shahrebabaki</w:t>
      </w:r>
      <w:proofErr w:type="spellEnd"/>
      <w:r w:rsidRPr="00C41BE7">
        <w:rPr>
          <w:rFonts w:ascii="Calibri" w:hAnsi="Calibri" w:cs="Calibri"/>
          <w:sz w:val="24"/>
          <w:szCs w:val="24"/>
        </w:rPr>
        <w:t xml:space="preserve"> (2019) highlights how increased public scrutiny, heightened accountability mechanisms, and ongoing educational reforms have reshaped the landscape in which teachers operate. According to Leiter and Maslach (2016), burnout emerges from mismatches between individuals and their work environments across key domains, including workload, control, reward, community, fairness, and values. Within educational contexts, these mismatches may manifest as tensions between teachers’ intrinsic motivations and externally imposed performance targets. Furthermore, the emotional labour inherent in teaching</w:t>
      </w:r>
      <w:r w:rsidR="00BA4D76">
        <w:rPr>
          <w:rFonts w:ascii="Calibri" w:hAnsi="Calibri" w:cs="Calibri"/>
          <w:sz w:val="24"/>
          <w:szCs w:val="24"/>
        </w:rPr>
        <w:t xml:space="preserve"> which </w:t>
      </w:r>
      <w:r w:rsidRPr="00C41BE7">
        <w:rPr>
          <w:rFonts w:ascii="Calibri" w:hAnsi="Calibri" w:cs="Calibri"/>
          <w:sz w:val="24"/>
          <w:szCs w:val="24"/>
        </w:rPr>
        <w:lastRenderedPageBreak/>
        <w:t>requir</w:t>
      </w:r>
      <w:r w:rsidR="00BA4D76">
        <w:rPr>
          <w:rFonts w:ascii="Calibri" w:hAnsi="Calibri" w:cs="Calibri"/>
          <w:sz w:val="24"/>
          <w:szCs w:val="24"/>
        </w:rPr>
        <w:t>es</w:t>
      </w:r>
      <w:r w:rsidRPr="00C41BE7">
        <w:rPr>
          <w:rFonts w:ascii="Calibri" w:hAnsi="Calibri" w:cs="Calibri"/>
          <w:sz w:val="24"/>
          <w:szCs w:val="24"/>
        </w:rPr>
        <w:t xml:space="preserve"> the regulation of personal emotions while managing complex interpersonal relationships</w:t>
      </w:r>
      <w:r w:rsidR="00BA4D76">
        <w:rPr>
          <w:rFonts w:ascii="Calibri" w:hAnsi="Calibri" w:cs="Calibri"/>
          <w:sz w:val="24"/>
          <w:szCs w:val="24"/>
        </w:rPr>
        <w:t xml:space="preserve">, </w:t>
      </w:r>
      <w:r w:rsidRPr="00C41BE7">
        <w:rPr>
          <w:rFonts w:ascii="Calibri" w:hAnsi="Calibri" w:cs="Calibri"/>
          <w:sz w:val="24"/>
          <w:szCs w:val="24"/>
        </w:rPr>
        <w:t>adds an additional layer of strain (Bodenheimer and Shuster, 2020). Consequently, burnout can be understood not merely as a response to stress, but as a broader disruption to professional identity, purpose, and meaning.</w:t>
      </w:r>
    </w:p>
    <w:p w14:paraId="68842E65" w14:textId="77777777" w:rsidR="00C41BE7" w:rsidRPr="00C41BE7" w:rsidRDefault="00C41BE7" w:rsidP="00D74C75">
      <w:pPr>
        <w:spacing w:line="360" w:lineRule="auto"/>
        <w:rPr>
          <w:rFonts w:ascii="Calibri" w:hAnsi="Calibri" w:cs="Calibri"/>
          <w:sz w:val="24"/>
          <w:szCs w:val="24"/>
        </w:rPr>
      </w:pPr>
      <w:r w:rsidRPr="00C41BE7">
        <w:rPr>
          <w:rFonts w:ascii="Calibri" w:hAnsi="Calibri" w:cs="Calibri"/>
          <w:sz w:val="24"/>
          <w:szCs w:val="24"/>
        </w:rPr>
        <w:t>Importantly, burnout carries implications beyond individual wellbeing. Empirical evidence indicates that higher levels of teacher burnout are associated with diminished instructional quality, more negative teacher–student interactions, and reduced student engagement and achievement (Madigan and Kim, 2021). These reciprocal dynamics underscore the systemic significance of burnout, positioning it not only as a workforce retention issue but also as a matter of educational quality and equity. As such, addressing burnout is of critical importance at both individual and institutional levels.</w:t>
      </w:r>
    </w:p>
    <w:p w14:paraId="31F4BC33" w14:textId="1D13450F" w:rsidR="00C41BE7" w:rsidRPr="00C41BE7" w:rsidRDefault="00C41BE7" w:rsidP="00D74C75">
      <w:pPr>
        <w:spacing w:line="360" w:lineRule="auto"/>
        <w:rPr>
          <w:rFonts w:ascii="Calibri" w:hAnsi="Calibri" w:cs="Calibri"/>
          <w:sz w:val="24"/>
          <w:szCs w:val="24"/>
        </w:rPr>
      </w:pPr>
      <w:r w:rsidRPr="00C41BE7">
        <w:rPr>
          <w:rFonts w:ascii="Calibri" w:hAnsi="Calibri" w:cs="Calibri"/>
          <w:sz w:val="24"/>
          <w:szCs w:val="24"/>
        </w:rPr>
        <w:t>Within this broader discourse NQTs represent a particularly vulnerable cohort. The transition from initial teacher education to full professional responsibility is frequently characterised by “reality shock,” identity negotiation, and heightened evaluative pressure (Markle, 2020). Lambert and Gray (2020) further emphasise that early-career teachers must simultaneously refine pedagogical practice, manage classroom complexity, establish authority, and adapt to institutional cultures while meeting external accountability requirements. Attrition data consistently indicate that the highest rates of teacher departure occur within the first five years of practice, positioning the early career phase as a critical period for understanding burnout processes (Tompkins, 2023). This highlights the importance of examining burnout not only as an outcome, but as a process that unfolds during professional socialisation.</w:t>
      </w:r>
    </w:p>
    <w:p w14:paraId="14E4AC66" w14:textId="77777777" w:rsidR="00C41BE7" w:rsidRPr="00C41BE7" w:rsidRDefault="00C41BE7" w:rsidP="00D74C75">
      <w:pPr>
        <w:spacing w:line="360" w:lineRule="auto"/>
        <w:rPr>
          <w:rFonts w:ascii="Calibri" w:hAnsi="Calibri" w:cs="Calibri"/>
          <w:sz w:val="24"/>
          <w:szCs w:val="24"/>
        </w:rPr>
      </w:pPr>
      <w:r w:rsidRPr="00C41BE7">
        <w:rPr>
          <w:rFonts w:ascii="Calibri" w:hAnsi="Calibri" w:cs="Calibri"/>
          <w:sz w:val="24"/>
          <w:szCs w:val="24"/>
        </w:rPr>
        <w:t xml:space="preserve">In Wales, this transitional period may be further intensified by the structure of statutory induction. NQTs are required to complete a formal induction phase during their early professional years, often experienced as an extended probationary period lasting up to three years, during which competence is assessed against nationally prescribed professional standards (Welsh Government, 2019). While such frameworks are intended to provide structured support and facilitate professional development, their evaluative nature may also heighten performance anxiety and self-monitoring. Early-career teachers are required not only to develop classroom expertise but also to continually evidence their professional progression (Antonsen, </w:t>
      </w:r>
      <w:proofErr w:type="spellStart"/>
      <w:r w:rsidRPr="00C41BE7">
        <w:rPr>
          <w:rFonts w:ascii="Calibri" w:hAnsi="Calibri" w:cs="Calibri"/>
          <w:sz w:val="24"/>
          <w:szCs w:val="24"/>
        </w:rPr>
        <w:t>Aspfors</w:t>
      </w:r>
      <w:proofErr w:type="spellEnd"/>
      <w:r w:rsidRPr="00C41BE7">
        <w:rPr>
          <w:rFonts w:ascii="Calibri" w:hAnsi="Calibri" w:cs="Calibri"/>
          <w:sz w:val="24"/>
          <w:szCs w:val="24"/>
        </w:rPr>
        <w:t xml:space="preserve"> and Maxwell, 2024).</w:t>
      </w:r>
    </w:p>
    <w:p w14:paraId="23B67D8D" w14:textId="5AE99CD3" w:rsidR="00C41BE7" w:rsidRPr="00C41BE7" w:rsidRDefault="00C41BE7" w:rsidP="00D74C75">
      <w:pPr>
        <w:spacing w:line="360" w:lineRule="auto"/>
        <w:rPr>
          <w:rFonts w:ascii="Calibri" w:hAnsi="Calibri" w:cs="Calibri"/>
          <w:sz w:val="24"/>
          <w:szCs w:val="24"/>
        </w:rPr>
      </w:pPr>
      <w:r w:rsidRPr="00C41BE7">
        <w:rPr>
          <w:rFonts w:ascii="Calibri" w:hAnsi="Calibri" w:cs="Calibri"/>
          <w:sz w:val="24"/>
          <w:szCs w:val="24"/>
        </w:rPr>
        <w:lastRenderedPageBreak/>
        <w:t>Within a system undergoing significant reform</w:t>
      </w:r>
      <w:r w:rsidR="00507D20">
        <w:rPr>
          <w:rFonts w:ascii="Calibri" w:hAnsi="Calibri" w:cs="Calibri"/>
          <w:sz w:val="24"/>
          <w:szCs w:val="24"/>
        </w:rPr>
        <w:t xml:space="preserve">, </w:t>
      </w:r>
      <w:r w:rsidRPr="00C41BE7">
        <w:rPr>
          <w:rFonts w:ascii="Calibri" w:hAnsi="Calibri" w:cs="Calibri"/>
          <w:sz w:val="24"/>
          <w:szCs w:val="24"/>
        </w:rPr>
        <w:t>including the implementation of the Curriculum for Wales (Welsh Government, 202</w:t>
      </w:r>
      <w:r w:rsidR="00E449E3">
        <w:rPr>
          <w:rFonts w:ascii="Calibri" w:hAnsi="Calibri" w:cs="Calibri"/>
          <w:sz w:val="24"/>
          <w:szCs w:val="24"/>
        </w:rPr>
        <w:t>0</w:t>
      </w:r>
      <w:r w:rsidRPr="00C41BE7">
        <w:rPr>
          <w:rFonts w:ascii="Calibri" w:hAnsi="Calibri" w:cs="Calibri"/>
          <w:sz w:val="24"/>
          <w:szCs w:val="24"/>
        </w:rPr>
        <w:t>) and wider accountability developments</w:t>
      </w:r>
      <w:r w:rsidR="00507D20">
        <w:rPr>
          <w:rFonts w:ascii="Calibri" w:hAnsi="Calibri" w:cs="Calibri"/>
          <w:sz w:val="24"/>
          <w:szCs w:val="24"/>
        </w:rPr>
        <w:t xml:space="preserve">, </w:t>
      </w:r>
      <w:r w:rsidRPr="00C41BE7">
        <w:rPr>
          <w:rFonts w:ascii="Calibri" w:hAnsi="Calibri" w:cs="Calibri"/>
          <w:sz w:val="24"/>
          <w:szCs w:val="24"/>
        </w:rPr>
        <w:t>this extended induction context may compound workload pressures and intensify emotional strain. The need to demonstrate competence while adapting to evolving curricular expectations may therefore exacerbate emotional exhaustion and undermine perceived personal accomplishment. This is particularly evident in contexts where mentoring and institutional support structures vary in quality, highlighting the importance of examining how support mechanisms are enacted in practice.</w:t>
      </w:r>
    </w:p>
    <w:p w14:paraId="08FB4E55" w14:textId="068D32D9" w:rsidR="00C41BE7" w:rsidRPr="00C41BE7" w:rsidRDefault="00C41BE7" w:rsidP="00D74C75">
      <w:pPr>
        <w:spacing w:line="360" w:lineRule="auto"/>
        <w:rPr>
          <w:rFonts w:ascii="Calibri" w:hAnsi="Calibri" w:cs="Calibri"/>
          <w:sz w:val="24"/>
          <w:szCs w:val="24"/>
        </w:rPr>
      </w:pPr>
      <w:r w:rsidRPr="00C41BE7">
        <w:rPr>
          <w:rFonts w:ascii="Calibri" w:hAnsi="Calibri" w:cs="Calibri"/>
          <w:sz w:val="24"/>
          <w:szCs w:val="24"/>
        </w:rPr>
        <w:t>Beyond induction-specific pressures, teachers in Wales operate within a shifting socio-political landscape marked by evolving policy agendas, increased scrutiny, and competing stakeholder expectations (Ellis, 2025). While contemporary reforms emphasise innovation, learner-centred pedagogy, and professional autonomy, the practical realities of implementation may generate uncertainty, ambiguity, and increased administrative demands—factors consistently associated with burnout in the wider literature (Bodenheimer and Shuster, 2020). Consequently, burnout among NQTs in Wales must be understood not simply as an individual psychological outcome, but as a phenomenon situated within broader systemic transformation.</w:t>
      </w:r>
    </w:p>
    <w:p w14:paraId="2BF8D3D8" w14:textId="61E9DEE1" w:rsidR="00C41BE7" w:rsidRPr="00E459FD" w:rsidRDefault="00C41BE7" w:rsidP="00825E0B">
      <w:pPr>
        <w:pStyle w:val="Heading3"/>
      </w:pPr>
      <w:bookmarkStart w:id="15" w:name="_Toc228136320"/>
      <w:r w:rsidRPr="00E459FD">
        <w:t>1.2 Research Rationale</w:t>
      </w:r>
      <w:bookmarkEnd w:id="15"/>
      <w:r w:rsidRPr="00E459FD">
        <w:t xml:space="preserve"> </w:t>
      </w:r>
    </w:p>
    <w:p w14:paraId="03E3CB75" w14:textId="77989B9F" w:rsidR="00C41BE7" w:rsidRPr="00D74C75" w:rsidRDefault="00C41BE7" w:rsidP="00D74C75">
      <w:pPr>
        <w:spacing w:line="360" w:lineRule="auto"/>
        <w:rPr>
          <w:rFonts w:ascii="Calibri" w:hAnsi="Calibri" w:cs="Calibri"/>
          <w:sz w:val="24"/>
          <w:szCs w:val="24"/>
        </w:rPr>
      </w:pPr>
      <w:r w:rsidRPr="00D74C75">
        <w:rPr>
          <w:rFonts w:ascii="Calibri" w:hAnsi="Calibri" w:cs="Calibri"/>
          <w:sz w:val="24"/>
          <w:szCs w:val="24"/>
        </w:rPr>
        <w:t>Despite extensive international scholarship on teacher burnout, several important gaps remain within the existing literature. First, the dominance of survey-based research</w:t>
      </w:r>
      <w:r w:rsidR="00507D20" w:rsidRPr="00D74C75">
        <w:rPr>
          <w:rFonts w:ascii="Calibri" w:hAnsi="Calibri" w:cs="Calibri"/>
          <w:sz w:val="24"/>
          <w:szCs w:val="24"/>
        </w:rPr>
        <w:t xml:space="preserve">, </w:t>
      </w:r>
      <w:r w:rsidRPr="00D74C75">
        <w:rPr>
          <w:rFonts w:ascii="Calibri" w:hAnsi="Calibri" w:cs="Calibri"/>
          <w:sz w:val="24"/>
          <w:szCs w:val="24"/>
        </w:rPr>
        <w:t>particularly studies relying on the Maslach Burnout Inventory</w:t>
      </w:r>
      <w:r w:rsidR="00507D20" w:rsidRPr="00D74C75">
        <w:rPr>
          <w:rFonts w:ascii="Calibri" w:hAnsi="Calibri" w:cs="Calibri"/>
          <w:sz w:val="24"/>
          <w:szCs w:val="24"/>
        </w:rPr>
        <w:t xml:space="preserve">, </w:t>
      </w:r>
      <w:r w:rsidRPr="00D74C75">
        <w:rPr>
          <w:rFonts w:ascii="Calibri" w:hAnsi="Calibri" w:cs="Calibri"/>
          <w:sz w:val="24"/>
          <w:szCs w:val="24"/>
        </w:rPr>
        <w:t>has reinforced an individualised framing of burnout, often at the expense of deeper engagement with structural and policy-level contributors. This has limited the extent to which burnout is understood as a socially and contextually embedded phenomenon.</w:t>
      </w:r>
    </w:p>
    <w:p w14:paraId="5500EDA4" w14:textId="77777777" w:rsidR="00C41BE7" w:rsidRPr="00D74C75" w:rsidRDefault="00C41BE7" w:rsidP="00D74C75">
      <w:pPr>
        <w:spacing w:line="360" w:lineRule="auto"/>
        <w:rPr>
          <w:rFonts w:ascii="Calibri" w:hAnsi="Calibri" w:cs="Calibri"/>
          <w:sz w:val="24"/>
          <w:szCs w:val="24"/>
        </w:rPr>
      </w:pPr>
      <w:r w:rsidRPr="00D74C75">
        <w:rPr>
          <w:rFonts w:ascii="Calibri" w:hAnsi="Calibri" w:cs="Calibri"/>
          <w:sz w:val="24"/>
          <w:szCs w:val="24"/>
        </w:rPr>
        <w:t>Second, there remains limited synthesis focusing specifically on devolved educational contexts such as Wales, where policy frameworks, reform trajectories, and induction structures differ significantly from those in England and other UK nations. This lack of contextual specificity restricts the applicability of broader findings and highlights the need for more locally grounded analysis.</w:t>
      </w:r>
    </w:p>
    <w:p w14:paraId="48344A69" w14:textId="3AFFEF10" w:rsidR="00C41BE7" w:rsidRPr="00D74C75" w:rsidRDefault="00BA4D76" w:rsidP="00D74C75">
      <w:pPr>
        <w:spacing w:line="360" w:lineRule="auto"/>
        <w:rPr>
          <w:rFonts w:ascii="Calibri" w:hAnsi="Calibri" w:cs="Calibri"/>
          <w:sz w:val="24"/>
          <w:szCs w:val="24"/>
        </w:rPr>
      </w:pPr>
      <w:r w:rsidRPr="00D74C75">
        <w:rPr>
          <w:rFonts w:ascii="Calibri" w:hAnsi="Calibri" w:cs="Calibri"/>
          <w:sz w:val="24"/>
          <w:szCs w:val="24"/>
        </w:rPr>
        <w:lastRenderedPageBreak/>
        <w:t xml:space="preserve">Third, NQTs are frequently </w:t>
      </w:r>
      <w:r w:rsidRPr="00D74C75">
        <w:rPr>
          <w:rFonts w:ascii="Calibri" w:hAnsi="Calibri" w:cs="Calibri"/>
          <w:sz w:val="24"/>
          <w:szCs w:val="24"/>
        </w:rPr>
        <w:t>considered</w:t>
      </w:r>
      <w:r w:rsidRPr="00D74C75">
        <w:rPr>
          <w:rFonts w:ascii="Calibri" w:hAnsi="Calibri" w:cs="Calibri"/>
          <w:sz w:val="24"/>
          <w:szCs w:val="24"/>
        </w:rPr>
        <w:t xml:space="preserve"> within wider teacher samples, obscuring the distinct challenges associated with early professional socialisation, identity formation, and extended probationary assessment. As a result, the unique vulnerabilities of early-career teachers are often underexplored within the literature. This tendency to </w:t>
      </w:r>
      <w:r w:rsidRPr="000C0423">
        <w:rPr>
          <w:rFonts w:ascii="Calibri" w:hAnsi="Calibri" w:cs="Calibri"/>
          <w:sz w:val="24"/>
          <w:szCs w:val="24"/>
        </w:rPr>
        <w:t>aggregate</w:t>
      </w:r>
      <w:r w:rsidRPr="00D74C75">
        <w:rPr>
          <w:rFonts w:ascii="Calibri" w:hAnsi="Calibri" w:cs="Calibri"/>
          <w:sz w:val="24"/>
          <w:szCs w:val="24"/>
        </w:rPr>
        <w:t xml:space="preserve"> across career stages risks overlooking the transitional nature of the early career phase, where individuals are simultaneously adapting to the practical demands of teaching and negotiating their emerging professional identities. In contrast to more experienced teachers, NQTs are often operating with less established coping strategies and reduced access to informal professional capital, which may heighten their susceptibility to stress and burnout. Consequently, the absence of a more differentiated focus within the literature limits the extent to which the specific pressures and experiences of NQTs are fully understood.</w:t>
      </w:r>
      <w:r w:rsidRPr="00D74C75">
        <w:rPr>
          <w:rFonts w:ascii="Calibri" w:hAnsi="Calibri" w:cs="Calibri"/>
          <w:sz w:val="24"/>
          <w:szCs w:val="24"/>
        </w:rPr>
        <w:t xml:space="preserve"> </w:t>
      </w:r>
      <w:r w:rsidR="00C41BE7" w:rsidRPr="00D74C75">
        <w:rPr>
          <w:rFonts w:ascii="Calibri" w:hAnsi="Calibri" w:cs="Calibri"/>
          <w:sz w:val="24"/>
          <w:szCs w:val="24"/>
        </w:rPr>
        <w:t>Given the intersection of professional induction, curricular reform, and accountability expectations within Wales, there is a clear need for a comprehensive and critically informed synthesis of literature examining the factors contributing to burnout among NQTs. By integrating individual, organisational, and systemic perspectives, this dissertation seeks to move beyond reductive explanations of burnout and develop a more nuanced, contextually grounded understanding of teacher wellbeing.</w:t>
      </w:r>
    </w:p>
    <w:p w14:paraId="0C1419A0" w14:textId="77777777" w:rsidR="000B1B93" w:rsidRPr="00D74C75" w:rsidRDefault="000B1B93" w:rsidP="00D74C75">
      <w:pPr>
        <w:spacing w:line="360" w:lineRule="auto"/>
        <w:rPr>
          <w:rFonts w:ascii="Calibri" w:hAnsi="Calibri" w:cs="Calibri"/>
          <w:sz w:val="24"/>
          <w:szCs w:val="24"/>
        </w:rPr>
      </w:pPr>
      <w:r w:rsidRPr="00D74C75">
        <w:rPr>
          <w:rFonts w:ascii="Calibri" w:hAnsi="Calibri" w:cs="Calibri"/>
          <w:sz w:val="24"/>
          <w:szCs w:val="24"/>
        </w:rPr>
        <w:t>The aim of this study, therefore, is to critically investigate the contributing factors to burnout among NQTs, with particular attention to the Welsh policy and reform context. In doing so, it seeks to contribute to ongoing academic and policy discussions surrounding teacher wellbeing, retention, and professional sustainability. Specifically, the study aims to move beyond predominantly individualised explanations of burnout by examining how structural, organisational, and policy-level factors intersect with the lived experiences of early-career teachers. By situating NQTs’ experiences within the broader context of ongoing educational reform in Wales, the research also seeks to illuminate how shifting expectations, accountability measures, and support frameworks may shape both the emergence and management of burnout. In this way, the study not only addresses a gap within the existing literature but also offers insights with potential relevance for policy development and institutional practice.</w:t>
      </w:r>
      <w:r w:rsidRPr="00D74C75">
        <w:rPr>
          <w:rFonts w:ascii="Calibri" w:hAnsi="Calibri" w:cs="Calibri"/>
          <w:vanish/>
          <w:sz w:val="24"/>
          <w:szCs w:val="24"/>
        </w:rPr>
        <w:t>Top of FormBottom of Form</w:t>
      </w:r>
    </w:p>
    <w:p w14:paraId="44E1E884" w14:textId="77777777" w:rsidR="005B4400" w:rsidRPr="00D74C75" w:rsidRDefault="005B4400" w:rsidP="00D74C75">
      <w:pPr>
        <w:spacing w:line="360" w:lineRule="auto"/>
        <w:rPr>
          <w:rFonts w:ascii="Calibri" w:hAnsi="Calibri" w:cs="Calibri"/>
          <w:b/>
          <w:bCs/>
          <w:sz w:val="24"/>
          <w:szCs w:val="24"/>
          <w:u w:val="single"/>
        </w:rPr>
      </w:pPr>
    </w:p>
    <w:p w14:paraId="431747FB" w14:textId="77777777" w:rsidR="005B4400" w:rsidRPr="00D74C75" w:rsidRDefault="005B4400" w:rsidP="00D74C75">
      <w:pPr>
        <w:spacing w:line="360" w:lineRule="auto"/>
        <w:rPr>
          <w:rFonts w:ascii="Calibri" w:hAnsi="Calibri" w:cs="Calibri"/>
          <w:b/>
          <w:bCs/>
          <w:sz w:val="24"/>
          <w:szCs w:val="24"/>
          <w:u w:val="single"/>
        </w:rPr>
      </w:pPr>
    </w:p>
    <w:p w14:paraId="7DBFAD1B" w14:textId="29A1E692" w:rsidR="003A28B5" w:rsidRPr="00D74C75" w:rsidRDefault="003A28B5" w:rsidP="00D74C75">
      <w:pPr>
        <w:spacing w:line="360" w:lineRule="auto"/>
        <w:rPr>
          <w:rFonts w:ascii="Calibri" w:hAnsi="Calibri" w:cs="Calibri"/>
          <w:sz w:val="24"/>
          <w:szCs w:val="24"/>
        </w:rPr>
      </w:pPr>
      <w:r w:rsidRPr="00D74C75">
        <w:rPr>
          <w:rFonts w:ascii="Calibri" w:hAnsi="Calibri" w:cs="Calibri"/>
          <w:b/>
          <w:bCs/>
          <w:sz w:val="24"/>
          <w:szCs w:val="24"/>
          <w:u w:val="single"/>
        </w:rPr>
        <w:lastRenderedPageBreak/>
        <w:t>Research Aim</w:t>
      </w:r>
      <w:r w:rsidR="008F4600" w:rsidRPr="00D74C75">
        <w:rPr>
          <w:rFonts w:ascii="Calibri" w:hAnsi="Calibri" w:cs="Calibri"/>
          <w:b/>
          <w:bCs/>
          <w:sz w:val="24"/>
          <w:szCs w:val="24"/>
          <w:u w:val="single"/>
        </w:rPr>
        <w:t>s</w:t>
      </w:r>
    </w:p>
    <w:p w14:paraId="3D60EA55" w14:textId="77777777" w:rsidR="003A28B5" w:rsidRPr="00D74C75" w:rsidRDefault="003A28B5" w:rsidP="00D74C75">
      <w:pPr>
        <w:numPr>
          <w:ilvl w:val="0"/>
          <w:numId w:val="22"/>
        </w:numPr>
        <w:spacing w:line="360" w:lineRule="auto"/>
        <w:rPr>
          <w:rFonts w:ascii="Calibri" w:hAnsi="Calibri" w:cs="Calibri"/>
          <w:sz w:val="24"/>
          <w:szCs w:val="24"/>
        </w:rPr>
      </w:pPr>
      <w:r w:rsidRPr="00D74C75">
        <w:rPr>
          <w:rFonts w:ascii="Calibri" w:hAnsi="Calibri" w:cs="Calibri"/>
          <w:sz w:val="24"/>
          <w:szCs w:val="24"/>
        </w:rPr>
        <w:t>To investigate the key factors contributing to burnout among newly qualified teachers in Wales.</w:t>
      </w:r>
    </w:p>
    <w:p w14:paraId="4A0A8CBB" w14:textId="77777777" w:rsidR="003A28B5" w:rsidRPr="00D74C75" w:rsidRDefault="003A28B5" w:rsidP="00D74C75">
      <w:pPr>
        <w:numPr>
          <w:ilvl w:val="0"/>
          <w:numId w:val="22"/>
        </w:numPr>
        <w:spacing w:line="360" w:lineRule="auto"/>
        <w:rPr>
          <w:rFonts w:ascii="Calibri" w:hAnsi="Calibri" w:cs="Calibri"/>
          <w:sz w:val="24"/>
          <w:szCs w:val="24"/>
        </w:rPr>
      </w:pPr>
      <w:r w:rsidRPr="00D74C75">
        <w:rPr>
          <w:rFonts w:ascii="Calibri" w:hAnsi="Calibri" w:cs="Calibri"/>
          <w:sz w:val="24"/>
          <w:szCs w:val="24"/>
        </w:rPr>
        <w:t>To explore how early career experiences and working conditions influence the wellbeing and professional sustainability of newly qualified teachers.</w:t>
      </w:r>
    </w:p>
    <w:p w14:paraId="11C5B136" w14:textId="77777777" w:rsidR="003A28B5" w:rsidRPr="00D74C75" w:rsidRDefault="003A28B5" w:rsidP="00D74C75">
      <w:pPr>
        <w:spacing w:line="360" w:lineRule="auto"/>
        <w:rPr>
          <w:rFonts w:ascii="Calibri" w:hAnsi="Calibri" w:cs="Calibri"/>
          <w:b/>
          <w:bCs/>
          <w:sz w:val="24"/>
          <w:szCs w:val="24"/>
          <w:u w:val="single"/>
        </w:rPr>
      </w:pPr>
      <w:r w:rsidRPr="00D74C75">
        <w:rPr>
          <w:rFonts w:ascii="Calibri" w:hAnsi="Calibri" w:cs="Calibri"/>
          <w:b/>
          <w:bCs/>
          <w:sz w:val="24"/>
          <w:szCs w:val="24"/>
          <w:u w:val="single"/>
        </w:rPr>
        <w:t>Research Objectives</w:t>
      </w:r>
    </w:p>
    <w:p w14:paraId="682C1ED6" w14:textId="77777777" w:rsidR="003A28B5" w:rsidRPr="00D74C75" w:rsidRDefault="003A28B5" w:rsidP="00D74C75">
      <w:pPr>
        <w:numPr>
          <w:ilvl w:val="0"/>
          <w:numId w:val="23"/>
        </w:numPr>
        <w:spacing w:line="360" w:lineRule="auto"/>
        <w:rPr>
          <w:rFonts w:ascii="Calibri" w:hAnsi="Calibri" w:cs="Calibri"/>
          <w:sz w:val="24"/>
          <w:szCs w:val="24"/>
        </w:rPr>
      </w:pPr>
      <w:r w:rsidRPr="00D74C75">
        <w:rPr>
          <w:rFonts w:ascii="Calibri" w:hAnsi="Calibri" w:cs="Calibri"/>
          <w:sz w:val="24"/>
          <w:szCs w:val="24"/>
        </w:rPr>
        <w:t>To identify the main professional and organisational factors that contribute to feelings of burnout among newly qualified teachers.</w:t>
      </w:r>
    </w:p>
    <w:p w14:paraId="1DA92A12" w14:textId="0B4C16D2" w:rsidR="003A28B5" w:rsidRPr="00D74C75" w:rsidRDefault="003A28B5" w:rsidP="00D74C75">
      <w:pPr>
        <w:numPr>
          <w:ilvl w:val="0"/>
          <w:numId w:val="23"/>
        </w:numPr>
        <w:spacing w:line="360" w:lineRule="auto"/>
        <w:rPr>
          <w:rFonts w:ascii="Calibri" w:hAnsi="Calibri" w:cs="Calibri"/>
          <w:sz w:val="24"/>
          <w:szCs w:val="24"/>
        </w:rPr>
      </w:pPr>
      <w:r w:rsidRPr="00D74C75">
        <w:rPr>
          <w:rFonts w:ascii="Calibri" w:hAnsi="Calibri" w:cs="Calibri"/>
          <w:sz w:val="24"/>
          <w:szCs w:val="24"/>
        </w:rPr>
        <w:t>To examine how recent educational reforms in Wales, including the increased autonomy associated with the Curriculum for Wales, may impact the experiences of newly qualified teachers.</w:t>
      </w:r>
    </w:p>
    <w:p w14:paraId="237298E6" w14:textId="0B070C6F" w:rsidR="00AB66FC" w:rsidRPr="00D74C75" w:rsidRDefault="007151DF" w:rsidP="00D74C75">
      <w:pPr>
        <w:pStyle w:val="Heading3"/>
        <w:spacing w:line="360" w:lineRule="auto"/>
        <w:rPr>
          <w:rFonts w:ascii="Calibri" w:hAnsi="Calibri" w:cs="Calibri"/>
          <w:sz w:val="24"/>
          <w:szCs w:val="24"/>
        </w:rPr>
      </w:pPr>
      <w:bookmarkStart w:id="16" w:name="_Toc228136321"/>
      <w:r w:rsidRPr="00D74C75">
        <w:rPr>
          <w:rFonts w:ascii="Calibri" w:hAnsi="Calibri" w:cs="Calibri"/>
          <w:sz w:val="24"/>
          <w:szCs w:val="24"/>
        </w:rPr>
        <w:t>1.3</w:t>
      </w:r>
      <w:r w:rsidR="00AB66FC" w:rsidRPr="00D74C75">
        <w:rPr>
          <w:rFonts w:ascii="Calibri" w:hAnsi="Calibri" w:cs="Calibri"/>
          <w:sz w:val="24"/>
          <w:szCs w:val="24"/>
        </w:rPr>
        <w:t xml:space="preserve"> Research Questions</w:t>
      </w:r>
      <w:bookmarkEnd w:id="16"/>
    </w:p>
    <w:p w14:paraId="54480A1E" w14:textId="4C70ADA3" w:rsidR="00AB66FC" w:rsidRPr="00D74C75" w:rsidRDefault="00AB66FC" w:rsidP="00D74C75">
      <w:pPr>
        <w:spacing w:line="360" w:lineRule="auto"/>
        <w:rPr>
          <w:rFonts w:ascii="Calibri" w:hAnsi="Calibri" w:cs="Calibri"/>
          <w:sz w:val="24"/>
          <w:szCs w:val="24"/>
        </w:rPr>
      </w:pPr>
      <w:r w:rsidRPr="00D74C75">
        <w:rPr>
          <w:rFonts w:ascii="Calibri" w:hAnsi="Calibri" w:cs="Calibri"/>
          <w:sz w:val="24"/>
          <w:szCs w:val="24"/>
        </w:rPr>
        <w:t xml:space="preserve">This dissertation aims to critically examine the existing literature on contributing factors to burnout among </w:t>
      </w:r>
      <w:r w:rsidR="002E1720" w:rsidRPr="00D74C75">
        <w:rPr>
          <w:rFonts w:ascii="Calibri" w:hAnsi="Calibri" w:cs="Calibri"/>
          <w:sz w:val="24"/>
          <w:szCs w:val="24"/>
        </w:rPr>
        <w:t>NQTs</w:t>
      </w:r>
      <w:r w:rsidRPr="00D74C75">
        <w:rPr>
          <w:rFonts w:ascii="Calibri" w:hAnsi="Calibri" w:cs="Calibri"/>
          <w:sz w:val="24"/>
          <w:szCs w:val="24"/>
        </w:rPr>
        <w:t xml:space="preserve">, with particular attention to the Welsh educational context. While teacher burnout has been widely studied, research frequently adopts an individualised psychological framing and often lacks contextual specificity. </w:t>
      </w:r>
      <w:proofErr w:type="gramStart"/>
      <w:r w:rsidRPr="00D74C75">
        <w:rPr>
          <w:rFonts w:ascii="Calibri" w:hAnsi="Calibri" w:cs="Calibri"/>
          <w:sz w:val="24"/>
          <w:szCs w:val="24"/>
        </w:rPr>
        <w:t>In light of</w:t>
      </w:r>
      <w:proofErr w:type="gramEnd"/>
      <w:r w:rsidRPr="00D74C75">
        <w:rPr>
          <w:rFonts w:ascii="Calibri" w:hAnsi="Calibri" w:cs="Calibri"/>
          <w:sz w:val="24"/>
          <w:szCs w:val="24"/>
        </w:rPr>
        <w:t xml:space="preserve"> ongoing educational reform and the extended induction framework within Wales, a critical synthesis of the literature is required to assess how burnout among early-career teachers is conceptualised, researched, and understood.</w:t>
      </w:r>
    </w:p>
    <w:p w14:paraId="58469600" w14:textId="18D56236" w:rsidR="00AB66FC" w:rsidRPr="00D74C75" w:rsidRDefault="00AB66FC" w:rsidP="00D74C75">
      <w:pPr>
        <w:spacing w:line="360" w:lineRule="auto"/>
        <w:rPr>
          <w:rFonts w:ascii="Calibri" w:hAnsi="Calibri" w:cs="Calibri"/>
          <w:sz w:val="24"/>
          <w:szCs w:val="24"/>
        </w:rPr>
      </w:pPr>
      <w:r w:rsidRPr="00D74C75">
        <w:rPr>
          <w:rFonts w:ascii="Calibri" w:hAnsi="Calibri" w:cs="Calibri"/>
          <w:sz w:val="24"/>
          <w:szCs w:val="24"/>
        </w:rPr>
        <w:t>To address this aim, the review is guided by the following research questions:</w:t>
      </w:r>
    </w:p>
    <w:p w14:paraId="30760093" w14:textId="6CB7BF0E" w:rsidR="00AB66FC" w:rsidRPr="00D74C75" w:rsidRDefault="00AB66FC" w:rsidP="00D74C75">
      <w:pPr>
        <w:pStyle w:val="ListParagraph"/>
        <w:numPr>
          <w:ilvl w:val="0"/>
          <w:numId w:val="17"/>
        </w:numPr>
        <w:spacing w:line="360" w:lineRule="auto"/>
        <w:rPr>
          <w:rFonts w:ascii="Calibri" w:hAnsi="Calibri" w:cs="Calibri"/>
          <w:sz w:val="24"/>
          <w:szCs w:val="24"/>
        </w:rPr>
      </w:pPr>
      <w:r w:rsidRPr="00D74C75">
        <w:rPr>
          <w:rFonts w:ascii="Calibri" w:hAnsi="Calibri" w:cs="Calibri"/>
          <w:sz w:val="24"/>
          <w:szCs w:val="24"/>
        </w:rPr>
        <w:t xml:space="preserve">What factors are identified within existing literature as contributing to burnout among </w:t>
      </w:r>
      <w:r w:rsidR="002E1720" w:rsidRPr="00D74C75">
        <w:rPr>
          <w:rFonts w:ascii="Calibri" w:hAnsi="Calibri" w:cs="Calibri"/>
          <w:sz w:val="24"/>
          <w:szCs w:val="24"/>
        </w:rPr>
        <w:t>NQTs</w:t>
      </w:r>
      <w:r w:rsidRPr="00D74C75">
        <w:rPr>
          <w:rFonts w:ascii="Calibri" w:hAnsi="Calibri" w:cs="Calibri"/>
          <w:sz w:val="24"/>
          <w:szCs w:val="24"/>
        </w:rPr>
        <w:t xml:space="preserve"> and how are these factors conceptualised across individual, organisational, and systemic levels?</w:t>
      </w:r>
    </w:p>
    <w:p w14:paraId="0A10765F" w14:textId="6029802F" w:rsidR="00AB66FC" w:rsidRPr="00D74C75" w:rsidRDefault="00AB66FC" w:rsidP="00D74C75">
      <w:pPr>
        <w:pStyle w:val="ListParagraph"/>
        <w:numPr>
          <w:ilvl w:val="0"/>
          <w:numId w:val="17"/>
        </w:numPr>
        <w:spacing w:line="360" w:lineRule="auto"/>
        <w:rPr>
          <w:rFonts w:ascii="Calibri" w:hAnsi="Calibri" w:cs="Calibri"/>
          <w:sz w:val="24"/>
          <w:szCs w:val="24"/>
        </w:rPr>
      </w:pPr>
      <w:r w:rsidRPr="00D74C75">
        <w:rPr>
          <w:rFonts w:ascii="Calibri" w:hAnsi="Calibri" w:cs="Calibri"/>
          <w:sz w:val="24"/>
          <w:szCs w:val="24"/>
        </w:rPr>
        <w:t xml:space="preserve">To what extent does existing research frame burnout among </w:t>
      </w:r>
      <w:r w:rsidR="002E1720" w:rsidRPr="00D74C75">
        <w:rPr>
          <w:rFonts w:ascii="Calibri" w:hAnsi="Calibri" w:cs="Calibri"/>
          <w:sz w:val="24"/>
          <w:szCs w:val="24"/>
        </w:rPr>
        <w:t>NQTs</w:t>
      </w:r>
      <w:r w:rsidRPr="00D74C75">
        <w:rPr>
          <w:rFonts w:ascii="Calibri" w:hAnsi="Calibri" w:cs="Calibri"/>
          <w:sz w:val="24"/>
          <w:szCs w:val="24"/>
        </w:rPr>
        <w:t xml:space="preserve"> as an individual psychological phenomenon versus a structurally produced outcome?</w:t>
      </w:r>
    </w:p>
    <w:p w14:paraId="2B44BCCE" w14:textId="77777777" w:rsidR="00AB66FC" w:rsidRPr="00D74C75" w:rsidRDefault="00AB66FC" w:rsidP="00D74C75">
      <w:pPr>
        <w:pStyle w:val="ListParagraph"/>
        <w:numPr>
          <w:ilvl w:val="0"/>
          <w:numId w:val="17"/>
        </w:numPr>
        <w:spacing w:line="360" w:lineRule="auto"/>
        <w:rPr>
          <w:rFonts w:ascii="Calibri" w:hAnsi="Calibri" w:cs="Calibri"/>
          <w:sz w:val="24"/>
          <w:szCs w:val="24"/>
        </w:rPr>
      </w:pPr>
      <w:r w:rsidRPr="00D74C75">
        <w:rPr>
          <w:rFonts w:ascii="Calibri" w:hAnsi="Calibri" w:cs="Calibri"/>
          <w:sz w:val="24"/>
          <w:szCs w:val="24"/>
        </w:rPr>
        <w:t>How does the Welsh educational context, including induction frameworks and recent policy reforms, shape understandings of burnout in early-career teachers?</w:t>
      </w:r>
    </w:p>
    <w:p w14:paraId="17E109BF" w14:textId="77777777" w:rsidR="00AB66FC" w:rsidRPr="00D74C75" w:rsidRDefault="00AB66FC" w:rsidP="00D74C75">
      <w:pPr>
        <w:spacing w:line="360" w:lineRule="auto"/>
        <w:rPr>
          <w:rFonts w:ascii="Calibri" w:hAnsi="Calibri" w:cs="Calibri"/>
          <w:sz w:val="24"/>
          <w:szCs w:val="24"/>
        </w:rPr>
      </w:pPr>
      <w:r w:rsidRPr="00D74C75">
        <w:rPr>
          <w:rFonts w:ascii="Calibri" w:hAnsi="Calibri" w:cs="Calibri"/>
          <w:sz w:val="24"/>
          <w:szCs w:val="24"/>
        </w:rPr>
        <w:lastRenderedPageBreak/>
        <w:t>Together, these questions enable a structured and critical interrogation of the field, moving beyond descriptive synthesis to examine underlying assumptions, theoretical orientations, and contextual blind spots within current research.</w:t>
      </w:r>
    </w:p>
    <w:p w14:paraId="11CC3E8B" w14:textId="5F4A0126" w:rsidR="00532EBE" w:rsidRPr="00D74C75" w:rsidRDefault="007151DF" w:rsidP="00D74C75">
      <w:pPr>
        <w:pStyle w:val="Heading3"/>
        <w:spacing w:line="360" w:lineRule="auto"/>
        <w:rPr>
          <w:rFonts w:ascii="Calibri" w:hAnsi="Calibri" w:cs="Calibri"/>
          <w:sz w:val="24"/>
          <w:szCs w:val="24"/>
        </w:rPr>
      </w:pPr>
      <w:bookmarkStart w:id="17" w:name="_Toc228136322"/>
      <w:r w:rsidRPr="00D74C75">
        <w:rPr>
          <w:rFonts w:ascii="Calibri" w:hAnsi="Calibri" w:cs="Calibri"/>
          <w:sz w:val="24"/>
          <w:szCs w:val="24"/>
        </w:rPr>
        <w:t xml:space="preserve">1.4 </w:t>
      </w:r>
      <w:r w:rsidR="00532EBE" w:rsidRPr="00D74C75">
        <w:rPr>
          <w:rFonts w:ascii="Calibri" w:hAnsi="Calibri" w:cs="Calibri"/>
          <w:sz w:val="24"/>
          <w:szCs w:val="24"/>
        </w:rPr>
        <w:t>Review Approach</w:t>
      </w:r>
      <w:bookmarkEnd w:id="17"/>
    </w:p>
    <w:p w14:paraId="63880E7F" w14:textId="7081542B" w:rsidR="00532EBE" w:rsidRPr="00D74C75" w:rsidRDefault="00532EBE" w:rsidP="00D74C75">
      <w:pPr>
        <w:spacing w:line="360" w:lineRule="auto"/>
        <w:rPr>
          <w:rFonts w:ascii="Calibri" w:hAnsi="Calibri" w:cs="Calibri"/>
          <w:sz w:val="24"/>
          <w:szCs w:val="24"/>
        </w:rPr>
      </w:pPr>
      <w:r w:rsidRPr="00D74C75">
        <w:rPr>
          <w:rFonts w:ascii="Calibri" w:hAnsi="Calibri" w:cs="Calibri"/>
          <w:sz w:val="24"/>
          <w:szCs w:val="24"/>
        </w:rPr>
        <w:t xml:space="preserve">This dissertation adopts a structured literature review approach </w:t>
      </w:r>
      <w:proofErr w:type="gramStart"/>
      <w:r w:rsidRPr="00D74C75">
        <w:rPr>
          <w:rFonts w:ascii="Calibri" w:hAnsi="Calibri" w:cs="Calibri"/>
          <w:sz w:val="24"/>
          <w:szCs w:val="24"/>
        </w:rPr>
        <w:t>in order to</w:t>
      </w:r>
      <w:proofErr w:type="gramEnd"/>
      <w:r w:rsidRPr="00D74C75">
        <w:rPr>
          <w:rFonts w:ascii="Calibri" w:hAnsi="Calibri" w:cs="Calibri"/>
          <w:sz w:val="24"/>
          <w:szCs w:val="24"/>
        </w:rPr>
        <w:t xml:space="preserve"> provide a comprehensive and critically synthesised examination of existing research relating to burnout among </w:t>
      </w:r>
      <w:r w:rsidR="002E1720" w:rsidRPr="00D74C75">
        <w:rPr>
          <w:rFonts w:ascii="Calibri" w:hAnsi="Calibri" w:cs="Calibri"/>
          <w:sz w:val="24"/>
          <w:szCs w:val="24"/>
        </w:rPr>
        <w:t>NQTs</w:t>
      </w:r>
      <w:r w:rsidRPr="00D74C75">
        <w:rPr>
          <w:rFonts w:ascii="Calibri" w:hAnsi="Calibri" w:cs="Calibri"/>
          <w:sz w:val="24"/>
          <w:szCs w:val="24"/>
        </w:rPr>
        <w:t>. Relevant literature was identified through defined database searches using clearly specified keywords and inclusion criteria, thereby enhancing transparency and replicability. The review combines elements of narrative and thematic synthesis, enabling both critical evaluation of methodological trends within the field and conceptual integration of findings across individual, organisational, and systemic levels.</w:t>
      </w:r>
    </w:p>
    <w:p w14:paraId="6AAA67EF" w14:textId="625EE23F" w:rsidR="00303B8C" w:rsidRPr="008B4C7E" w:rsidRDefault="00532EBE" w:rsidP="00D74C75">
      <w:pPr>
        <w:spacing w:line="360" w:lineRule="auto"/>
        <w:rPr>
          <w:rFonts w:ascii="Calibri" w:hAnsi="Calibri" w:cs="Calibri"/>
          <w:sz w:val="24"/>
          <w:szCs w:val="24"/>
        </w:rPr>
      </w:pPr>
      <w:r w:rsidRPr="00D74C75">
        <w:rPr>
          <w:rFonts w:ascii="Calibri" w:hAnsi="Calibri" w:cs="Calibri"/>
          <w:sz w:val="24"/>
          <w:szCs w:val="24"/>
        </w:rPr>
        <w:t xml:space="preserve">This approach is particularly appropriate given the interdisciplinary nature of teacher burnout research, which spans psychology, education, organisational studies, and policy analysis. A structured review design allows for both breadth and depth: capturing empirical trends while also interrogating theoretical assumptions and contextual variations, especially within the Welsh educational landscape. By synthesising existing </w:t>
      </w:r>
      <w:proofErr w:type="gramStart"/>
      <w:r w:rsidRPr="00D74C75">
        <w:rPr>
          <w:rFonts w:ascii="Calibri" w:hAnsi="Calibri" w:cs="Calibri"/>
          <w:sz w:val="24"/>
          <w:szCs w:val="24"/>
        </w:rPr>
        <w:t>literature</w:t>
      </w:r>
      <w:proofErr w:type="gramEnd"/>
      <w:r w:rsidRPr="00D74C75">
        <w:rPr>
          <w:rFonts w:ascii="Calibri" w:hAnsi="Calibri" w:cs="Calibri"/>
          <w:sz w:val="24"/>
          <w:szCs w:val="24"/>
        </w:rPr>
        <w:t xml:space="preserve"> the review aims to move beyond descriptive reporting toward a more analytically grounded understanding of how burnout is conceptualised, measured, and explained in relation to </w:t>
      </w:r>
      <w:r w:rsidR="00783830" w:rsidRPr="00D74C75">
        <w:rPr>
          <w:rFonts w:ascii="Calibri" w:hAnsi="Calibri" w:cs="Calibri"/>
          <w:sz w:val="24"/>
          <w:szCs w:val="24"/>
        </w:rPr>
        <w:t>NQT’s</w:t>
      </w:r>
      <w:r w:rsidR="00783830">
        <w:rPr>
          <w:rFonts w:ascii="Calibri" w:hAnsi="Calibri" w:cs="Calibri"/>
          <w:sz w:val="24"/>
          <w:szCs w:val="24"/>
        </w:rPr>
        <w:t>.</w:t>
      </w:r>
    </w:p>
    <w:p w14:paraId="5FB636A8" w14:textId="77777777" w:rsidR="00A90BD9" w:rsidRPr="00E459FD" w:rsidRDefault="00A90BD9" w:rsidP="001622ED">
      <w:pPr>
        <w:pStyle w:val="Heading2"/>
        <w:rPr>
          <w:rFonts w:ascii="Calibri" w:hAnsi="Calibri" w:cs="Calibri"/>
        </w:rPr>
      </w:pPr>
      <w:bookmarkStart w:id="18" w:name="_Toc228132086"/>
      <w:bookmarkStart w:id="19" w:name="_Toc228132121"/>
      <w:bookmarkStart w:id="20" w:name="_Toc228132253"/>
      <w:bookmarkStart w:id="21" w:name="_Toc228136323"/>
      <w:r w:rsidRPr="00E459FD">
        <w:rPr>
          <w:rFonts w:ascii="Calibri" w:hAnsi="Calibri" w:cs="Calibri"/>
        </w:rPr>
        <w:t>Chapter 2: Methodology of the Literature Review</w:t>
      </w:r>
      <w:bookmarkEnd w:id="18"/>
      <w:bookmarkEnd w:id="19"/>
      <w:bookmarkEnd w:id="20"/>
      <w:bookmarkEnd w:id="21"/>
    </w:p>
    <w:p w14:paraId="2EFE3818" w14:textId="77777777" w:rsidR="00B14C9D" w:rsidRPr="00E459FD" w:rsidRDefault="00B14C9D" w:rsidP="00825E0B">
      <w:pPr>
        <w:pStyle w:val="Heading3"/>
      </w:pPr>
      <w:bookmarkStart w:id="22" w:name="_Toc228136324"/>
      <w:r w:rsidRPr="00E459FD">
        <w:t>2.1 Introduction</w:t>
      </w:r>
      <w:bookmarkEnd w:id="22"/>
    </w:p>
    <w:p w14:paraId="69BAACF5" w14:textId="4237D8B5" w:rsidR="00B14C9D" w:rsidRPr="00B14C9D" w:rsidRDefault="00B14C9D" w:rsidP="00B14C9D">
      <w:pPr>
        <w:spacing w:line="360" w:lineRule="auto"/>
        <w:rPr>
          <w:rFonts w:ascii="Calibri" w:hAnsi="Calibri" w:cs="Calibri"/>
          <w:sz w:val="24"/>
          <w:szCs w:val="24"/>
        </w:rPr>
      </w:pPr>
      <w:r w:rsidRPr="00B14C9D">
        <w:rPr>
          <w:rFonts w:ascii="Calibri" w:hAnsi="Calibri" w:cs="Calibri"/>
          <w:sz w:val="24"/>
          <w:szCs w:val="24"/>
        </w:rPr>
        <w:t>This chapter outlines the methodological approach adopted to critically examine the literature on burnout among NQTs, with particular attention to the Welsh educational context. While burnout has been extensively researched within educational psychology and teacher education, the conceptual framing, methodological design, and contextual specificity of this body of work vary considerably. As a result, a structured and critically informed review process is required to move beyond descriptive summary towards analytical synthesis.</w:t>
      </w:r>
    </w:p>
    <w:p w14:paraId="0614C758" w14:textId="170FFD0C" w:rsidR="00B14C9D" w:rsidRPr="00B14C9D" w:rsidRDefault="00B14C9D" w:rsidP="00B14C9D">
      <w:pPr>
        <w:spacing w:line="360" w:lineRule="auto"/>
        <w:rPr>
          <w:rFonts w:ascii="Calibri" w:hAnsi="Calibri" w:cs="Calibri"/>
          <w:sz w:val="24"/>
          <w:szCs w:val="24"/>
        </w:rPr>
      </w:pPr>
      <w:r w:rsidRPr="00B14C9D">
        <w:rPr>
          <w:rFonts w:ascii="Calibri" w:hAnsi="Calibri" w:cs="Calibri"/>
          <w:sz w:val="24"/>
          <w:szCs w:val="24"/>
        </w:rPr>
        <w:t xml:space="preserve">The purpose of this chapter is therefore to articulate and justify the methodological decisions underpinning the review. This includes clarification of the review type, epistemological positioning, search strategy, inclusion and exclusion criteria, processes of </w:t>
      </w:r>
      <w:r w:rsidRPr="00B14C9D">
        <w:rPr>
          <w:rFonts w:ascii="Calibri" w:hAnsi="Calibri" w:cs="Calibri"/>
          <w:sz w:val="24"/>
          <w:szCs w:val="24"/>
        </w:rPr>
        <w:lastRenderedPageBreak/>
        <w:t>study selection and quality appraisal, and the approach to thematic synthesis. By making these procedures explicit, the chapter enhances the transparency, credibility, and methodological coherence of the study, while also enabling critical engagement with the strengths and limitations of the evidence base.</w:t>
      </w:r>
    </w:p>
    <w:p w14:paraId="6630284C" w14:textId="77777777" w:rsidR="00B14C9D" w:rsidRPr="00E459FD" w:rsidRDefault="00B14C9D" w:rsidP="00825E0B">
      <w:pPr>
        <w:pStyle w:val="Heading3"/>
      </w:pPr>
      <w:bookmarkStart w:id="23" w:name="_Toc228136325"/>
      <w:r w:rsidRPr="00E459FD">
        <w:t>2.2 Review Type and Epistemological Positioning</w:t>
      </w:r>
      <w:bookmarkEnd w:id="23"/>
    </w:p>
    <w:p w14:paraId="6086E7B0" w14:textId="77777777" w:rsidR="00B14C9D" w:rsidRPr="00B14C9D" w:rsidRDefault="00B14C9D" w:rsidP="00D74C75">
      <w:pPr>
        <w:spacing w:line="360" w:lineRule="auto"/>
        <w:rPr>
          <w:rFonts w:ascii="Calibri" w:hAnsi="Calibri" w:cs="Calibri"/>
          <w:sz w:val="24"/>
          <w:szCs w:val="24"/>
        </w:rPr>
      </w:pPr>
      <w:r w:rsidRPr="00B14C9D">
        <w:rPr>
          <w:rFonts w:ascii="Calibri" w:hAnsi="Calibri" w:cs="Calibri"/>
          <w:sz w:val="24"/>
          <w:szCs w:val="24"/>
        </w:rPr>
        <w:t xml:space="preserve">This dissertation adopts a structured literature review design incorporating elements of systematic searching and thematic synthesis. While it does not constitute a fully systematic review in the meta-analytic sense, the approach draws upon key systematic principles to enhance transparency, coherence, and methodological rigour. Specifically, clearly defined search strategies, inclusion criteria, and processes of study selection were implemented </w:t>
      </w:r>
      <w:proofErr w:type="gramStart"/>
      <w:r w:rsidRPr="00B14C9D">
        <w:rPr>
          <w:rFonts w:ascii="Calibri" w:hAnsi="Calibri" w:cs="Calibri"/>
          <w:sz w:val="24"/>
          <w:szCs w:val="24"/>
        </w:rPr>
        <w:t>in order to</w:t>
      </w:r>
      <w:proofErr w:type="gramEnd"/>
      <w:r w:rsidRPr="00B14C9D">
        <w:rPr>
          <w:rFonts w:ascii="Calibri" w:hAnsi="Calibri" w:cs="Calibri"/>
          <w:sz w:val="24"/>
          <w:szCs w:val="24"/>
        </w:rPr>
        <w:t xml:space="preserve"> ensure replicability and minimise the risk of selection bias. However, the purpose of this review extends beyond the aggregation of findings; it seeks to critically interrogate how burnout among NQTs has been conceptualised, framed, and methodologically examined within existing research.</w:t>
      </w:r>
    </w:p>
    <w:p w14:paraId="32734359" w14:textId="469FEC24" w:rsidR="00B14C9D" w:rsidRPr="00B14C9D" w:rsidRDefault="00B14C9D" w:rsidP="00D74C75">
      <w:pPr>
        <w:spacing w:line="360" w:lineRule="auto"/>
        <w:rPr>
          <w:rFonts w:ascii="Calibri" w:hAnsi="Calibri" w:cs="Calibri"/>
          <w:sz w:val="24"/>
          <w:szCs w:val="24"/>
        </w:rPr>
      </w:pPr>
      <w:r w:rsidRPr="00B14C9D">
        <w:rPr>
          <w:rFonts w:ascii="Calibri" w:hAnsi="Calibri" w:cs="Calibri"/>
          <w:sz w:val="24"/>
          <w:szCs w:val="24"/>
        </w:rPr>
        <w:t xml:space="preserve">Haddaway et al (2015) note that traditional systematic reviews often prioritise quantifiable outcomes and statistical synthesis, frequently </w:t>
      </w:r>
      <w:r w:rsidR="000C0423" w:rsidRPr="00B14C9D">
        <w:rPr>
          <w:rFonts w:ascii="Calibri" w:hAnsi="Calibri" w:cs="Calibri"/>
          <w:sz w:val="24"/>
          <w:szCs w:val="24"/>
        </w:rPr>
        <w:t>favouring</w:t>
      </w:r>
      <w:r w:rsidRPr="00B14C9D">
        <w:rPr>
          <w:rFonts w:ascii="Calibri" w:hAnsi="Calibri" w:cs="Calibri"/>
          <w:sz w:val="24"/>
          <w:szCs w:val="24"/>
        </w:rPr>
        <w:t xml:space="preserve"> studies that lend themselves to meta-analysis. In contrast, the present study is concerned with examining underlying theoretical assumptions, dominant conceptual frameworks, and the ways in which burnout is constructed within the literature. This distinction is particularly important given ongoing debates surrounding whether teacher burnout is best understood as an individual psychological deficit or as a structurally produced response to systemic pressures. A thematic and interpretive approach therefore enables a more nuanced analysis of patterns across studies, including how contributing factors are categorised, measured, and explained.</w:t>
      </w:r>
    </w:p>
    <w:p w14:paraId="0AEB8334" w14:textId="2E2D877B" w:rsidR="00B14C9D" w:rsidRPr="00B14C9D" w:rsidRDefault="00B14C9D" w:rsidP="00D74C75">
      <w:pPr>
        <w:spacing w:line="360" w:lineRule="auto"/>
        <w:rPr>
          <w:rFonts w:ascii="Calibri" w:hAnsi="Calibri" w:cs="Calibri"/>
          <w:sz w:val="24"/>
          <w:szCs w:val="24"/>
        </w:rPr>
      </w:pPr>
      <w:r w:rsidRPr="00B14C9D">
        <w:rPr>
          <w:rFonts w:ascii="Calibri" w:hAnsi="Calibri" w:cs="Calibri"/>
          <w:sz w:val="24"/>
          <w:szCs w:val="24"/>
        </w:rPr>
        <w:t>Epistemologically, the review is informed by a critical-interpretivist orientation. While much burnout research is grounded in positivist traditions</w:t>
      </w:r>
      <w:r w:rsidR="005D0697">
        <w:rPr>
          <w:rFonts w:ascii="Calibri" w:hAnsi="Calibri" w:cs="Calibri"/>
          <w:sz w:val="24"/>
          <w:szCs w:val="24"/>
        </w:rPr>
        <w:t xml:space="preserve">, </w:t>
      </w:r>
      <w:r w:rsidRPr="00B14C9D">
        <w:rPr>
          <w:rFonts w:ascii="Calibri" w:hAnsi="Calibri" w:cs="Calibri"/>
          <w:sz w:val="24"/>
          <w:szCs w:val="24"/>
        </w:rPr>
        <w:t>particularly through reliance on psychometric instruments such as the Maslach Burnout Inventory</w:t>
      </w:r>
      <w:r w:rsidR="005D0697">
        <w:rPr>
          <w:rFonts w:ascii="Calibri" w:hAnsi="Calibri" w:cs="Calibri"/>
          <w:sz w:val="24"/>
          <w:szCs w:val="24"/>
        </w:rPr>
        <w:t xml:space="preserve"> (MBI) </w:t>
      </w:r>
      <w:r w:rsidRPr="00B14C9D">
        <w:rPr>
          <w:rFonts w:ascii="Calibri" w:hAnsi="Calibri" w:cs="Calibri"/>
          <w:sz w:val="24"/>
          <w:szCs w:val="24"/>
        </w:rPr>
        <w:t xml:space="preserve">this study adopts a more reflexive stance. It recognises that knowledge production within this field is shaped by theoretical commitments, policy contexts, and broader educational discourses. Consequently, findings are not treated as neutral or purely objective, </w:t>
      </w:r>
      <w:r w:rsidR="0020564A">
        <w:rPr>
          <w:rFonts w:ascii="Calibri" w:hAnsi="Calibri" w:cs="Calibri"/>
          <w:sz w:val="24"/>
          <w:szCs w:val="24"/>
        </w:rPr>
        <w:t>instead</w:t>
      </w:r>
      <w:r w:rsidRPr="00B14C9D">
        <w:rPr>
          <w:rFonts w:ascii="Calibri" w:hAnsi="Calibri" w:cs="Calibri"/>
          <w:sz w:val="24"/>
          <w:szCs w:val="24"/>
        </w:rPr>
        <w:t xml:space="preserve"> are examined in relation to the assumptions and frameworks through which they are produced.</w:t>
      </w:r>
    </w:p>
    <w:p w14:paraId="08151B84" w14:textId="3C293FB3" w:rsidR="00B14C9D" w:rsidRPr="00B14C9D" w:rsidRDefault="00B14C9D" w:rsidP="00D74C75">
      <w:pPr>
        <w:spacing w:line="360" w:lineRule="auto"/>
        <w:rPr>
          <w:rFonts w:ascii="Calibri" w:hAnsi="Calibri" w:cs="Calibri"/>
          <w:sz w:val="24"/>
          <w:szCs w:val="24"/>
        </w:rPr>
      </w:pPr>
      <w:r w:rsidRPr="00B14C9D">
        <w:rPr>
          <w:rFonts w:ascii="Calibri" w:hAnsi="Calibri" w:cs="Calibri"/>
          <w:sz w:val="24"/>
          <w:szCs w:val="24"/>
        </w:rPr>
        <w:lastRenderedPageBreak/>
        <w:t>This positioning allows the review to engage critically with dominant methodological trends, particularly the tendency to individualise burnout through standardised measurement tools. It also enables consideration of how alternative perspectives</w:t>
      </w:r>
      <w:r w:rsidR="00A158D5">
        <w:rPr>
          <w:rFonts w:ascii="Calibri" w:hAnsi="Calibri" w:cs="Calibri"/>
          <w:sz w:val="24"/>
          <w:szCs w:val="24"/>
        </w:rPr>
        <w:t xml:space="preserve">, </w:t>
      </w:r>
      <w:r w:rsidRPr="00B14C9D">
        <w:rPr>
          <w:rFonts w:ascii="Calibri" w:hAnsi="Calibri" w:cs="Calibri"/>
          <w:sz w:val="24"/>
          <w:szCs w:val="24"/>
        </w:rPr>
        <w:t>such as organisational and systemic analyses</w:t>
      </w:r>
      <w:r w:rsidR="00A158D5">
        <w:rPr>
          <w:rFonts w:ascii="Calibri" w:hAnsi="Calibri" w:cs="Calibri"/>
          <w:sz w:val="24"/>
          <w:szCs w:val="24"/>
        </w:rPr>
        <w:t xml:space="preserve">, </w:t>
      </w:r>
      <w:r w:rsidRPr="00B14C9D">
        <w:rPr>
          <w:rFonts w:ascii="Calibri" w:hAnsi="Calibri" w:cs="Calibri"/>
          <w:sz w:val="24"/>
          <w:szCs w:val="24"/>
        </w:rPr>
        <w:t>may offer more comprehensive explanations. Within the Welsh context, this is especially pertinent, as ongoing educational reforms and extended induction frameworks may influence both the lived experiences of NQTs and the research agendas that seek to understand them.</w:t>
      </w:r>
    </w:p>
    <w:p w14:paraId="58D8A4B6" w14:textId="3E84EA2B" w:rsidR="00B14C9D" w:rsidRPr="00B14C9D" w:rsidRDefault="00B14C9D" w:rsidP="00D74C75">
      <w:pPr>
        <w:spacing w:line="360" w:lineRule="auto"/>
        <w:rPr>
          <w:rFonts w:ascii="Calibri" w:hAnsi="Calibri" w:cs="Calibri"/>
          <w:sz w:val="24"/>
          <w:szCs w:val="24"/>
        </w:rPr>
      </w:pPr>
      <w:r w:rsidRPr="00B14C9D">
        <w:rPr>
          <w:rFonts w:ascii="Calibri" w:hAnsi="Calibri" w:cs="Calibri"/>
          <w:sz w:val="24"/>
          <w:szCs w:val="24"/>
        </w:rPr>
        <w:t xml:space="preserve">By combining systematic search procedures with critical thematic analysis, the review aims to balance methodological rigour with conceptual depth. This approach ensures that the synthesis moves beyond descriptive </w:t>
      </w:r>
      <w:r w:rsidR="00CA694D">
        <w:rPr>
          <w:rFonts w:ascii="Calibri" w:hAnsi="Calibri" w:cs="Calibri"/>
          <w:sz w:val="24"/>
          <w:szCs w:val="24"/>
        </w:rPr>
        <w:t xml:space="preserve">  </w:t>
      </w:r>
      <w:r w:rsidRPr="00B14C9D">
        <w:rPr>
          <w:rFonts w:ascii="Calibri" w:hAnsi="Calibri" w:cs="Calibri"/>
          <w:sz w:val="24"/>
          <w:szCs w:val="24"/>
        </w:rPr>
        <w:t>mapping towards evaluative and theoretically informed insight, aligning with the broader aims of the dissertation.</w:t>
      </w:r>
    </w:p>
    <w:p w14:paraId="0A33C711" w14:textId="77777777" w:rsidR="00B14C9D" w:rsidRPr="00E459FD" w:rsidRDefault="00B14C9D" w:rsidP="00825E0B">
      <w:pPr>
        <w:pStyle w:val="Heading3"/>
      </w:pPr>
      <w:bookmarkStart w:id="24" w:name="_Toc228136326"/>
      <w:r w:rsidRPr="00E459FD">
        <w:t>2.3 Search Strategy</w:t>
      </w:r>
      <w:bookmarkEnd w:id="24"/>
    </w:p>
    <w:p w14:paraId="7F688EB2" w14:textId="77777777" w:rsidR="00B14C9D" w:rsidRPr="00B14C9D" w:rsidRDefault="00B14C9D" w:rsidP="00B14C9D">
      <w:pPr>
        <w:spacing w:line="360" w:lineRule="auto"/>
        <w:rPr>
          <w:rFonts w:ascii="Calibri" w:hAnsi="Calibri" w:cs="Calibri"/>
          <w:sz w:val="24"/>
          <w:szCs w:val="24"/>
        </w:rPr>
      </w:pPr>
      <w:r w:rsidRPr="00B14C9D">
        <w:rPr>
          <w:rFonts w:ascii="Calibri" w:hAnsi="Calibri" w:cs="Calibri"/>
          <w:sz w:val="24"/>
          <w:szCs w:val="24"/>
        </w:rPr>
        <w:t>A structured search strategy was employed to ensure transparency, replicability, and comprehensive coverage of relevant literature. Electronic database searches were conducted using the University of Wales Library, Education Source Ultimate, and Web of Science. These databases were selected due to their extensive coverage of education, psychology, and interdisciplinary social science research, making them particularly appropriate for a topic positioned at the intersection of educational practice and psychological theory.</w:t>
      </w:r>
    </w:p>
    <w:p w14:paraId="6937335B" w14:textId="77777777" w:rsidR="00B14C9D" w:rsidRPr="00B14C9D" w:rsidRDefault="00B14C9D" w:rsidP="00B14C9D">
      <w:pPr>
        <w:spacing w:line="360" w:lineRule="auto"/>
        <w:rPr>
          <w:rFonts w:ascii="Calibri" w:hAnsi="Calibri" w:cs="Calibri"/>
          <w:sz w:val="24"/>
          <w:szCs w:val="24"/>
        </w:rPr>
      </w:pPr>
      <w:r w:rsidRPr="00B14C9D">
        <w:rPr>
          <w:rFonts w:ascii="Calibri" w:hAnsi="Calibri" w:cs="Calibri"/>
          <w:sz w:val="24"/>
          <w:szCs w:val="24"/>
        </w:rPr>
        <w:t>Search terms were developed iteratively and refined throughout the process to balance sensitivity and specificity. Boolean operators were used to combine key concepts and maximise retrieval of relevant studies while minimising irrelevant results. Core search strings included combinations of:</w:t>
      </w:r>
    </w:p>
    <w:p w14:paraId="05BA0B18" w14:textId="77777777" w:rsidR="00B14C9D" w:rsidRPr="00B14C9D" w:rsidRDefault="00B14C9D" w:rsidP="00B14C9D">
      <w:pPr>
        <w:numPr>
          <w:ilvl w:val="0"/>
          <w:numId w:val="38"/>
        </w:numPr>
        <w:spacing w:line="360" w:lineRule="auto"/>
        <w:rPr>
          <w:rFonts w:ascii="Calibri" w:hAnsi="Calibri" w:cs="Calibri"/>
          <w:sz w:val="24"/>
          <w:szCs w:val="24"/>
        </w:rPr>
      </w:pPr>
      <w:r w:rsidRPr="00B14C9D">
        <w:rPr>
          <w:rFonts w:ascii="Calibri" w:hAnsi="Calibri" w:cs="Calibri"/>
          <w:sz w:val="24"/>
          <w:szCs w:val="24"/>
        </w:rPr>
        <w:t xml:space="preserve">“burnout” OR “emotional exhaustion” </w:t>
      </w:r>
    </w:p>
    <w:p w14:paraId="4D4853D0" w14:textId="77777777" w:rsidR="00B14C9D" w:rsidRPr="00B14C9D" w:rsidRDefault="00B14C9D" w:rsidP="00B14C9D">
      <w:pPr>
        <w:numPr>
          <w:ilvl w:val="0"/>
          <w:numId w:val="38"/>
        </w:numPr>
        <w:spacing w:line="360" w:lineRule="auto"/>
        <w:rPr>
          <w:rFonts w:ascii="Calibri" w:hAnsi="Calibri" w:cs="Calibri"/>
          <w:sz w:val="24"/>
          <w:szCs w:val="24"/>
        </w:rPr>
      </w:pPr>
      <w:r w:rsidRPr="00B14C9D">
        <w:rPr>
          <w:rFonts w:ascii="Calibri" w:hAnsi="Calibri" w:cs="Calibri"/>
          <w:sz w:val="24"/>
          <w:szCs w:val="24"/>
        </w:rPr>
        <w:t>“</w:t>
      </w:r>
      <w:proofErr w:type="gramStart"/>
      <w:r w:rsidRPr="00B14C9D">
        <w:rPr>
          <w:rFonts w:ascii="Calibri" w:hAnsi="Calibri" w:cs="Calibri"/>
          <w:sz w:val="24"/>
          <w:szCs w:val="24"/>
        </w:rPr>
        <w:t>newly</w:t>
      </w:r>
      <w:proofErr w:type="gramEnd"/>
      <w:r w:rsidRPr="00B14C9D">
        <w:rPr>
          <w:rFonts w:ascii="Calibri" w:hAnsi="Calibri" w:cs="Calibri"/>
          <w:sz w:val="24"/>
          <w:szCs w:val="24"/>
        </w:rPr>
        <w:t xml:space="preserve"> qualified teacher” OR “early career teacher” OR “beginning teacher” </w:t>
      </w:r>
    </w:p>
    <w:p w14:paraId="6AC41FF6" w14:textId="77777777" w:rsidR="00B14C9D" w:rsidRPr="00B14C9D" w:rsidRDefault="00B14C9D" w:rsidP="00B14C9D">
      <w:pPr>
        <w:numPr>
          <w:ilvl w:val="0"/>
          <w:numId w:val="38"/>
        </w:numPr>
        <w:spacing w:line="360" w:lineRule="auto"/>
        <w:rPr>
          <w:rFonts w:ascii="Calibri" w:hAnsi="Calibri" w:cs="Calibri"/>
          <w:sz w:val="24"/>
          <w:szCs w:val="24"/>
        </w:rPr>
      </w:pPr>
      <w:r w:rsidRPr="00B14C9D">
        <w:rPr>
          <w:rFonts w:ascii="Calibri" w:hAnsi="Calibri" w:cs="Calibri"/>
          <w:sz w:val="24"/>
          <w:szCs w:val="24"/>
        </w:rPr>
        <w:t>“</w:t>
      </w:r>
      <w:proofErr w:type="gramStart"/>
      <w:r w:rsidRPr="00B14C9D">
        <w:rPr>
          <w:rFonts w:ascii="Calibri" w:hAnsi="Calibri" w:cs="Calibri"/>
          <w:sz w:val="24"/>
          <w:szCs w:val="24"/>
        </w:rPr>
        <w:t>teacher</w:t>
      </w:r>
      <w:proofErr w:type="gramEnd"/>
      <w:r w:rsidRPr="00B14C9D">
        <w:rPr>
          <w:rFonts w:ascii="Calibri" w:hAnsi="Calibri" w:cs="Calibri"/>
          <w:sz w:val="24"/>
          <w:szCs w:val="24"/>
        </w:rPr>
        <w:t xml:space="preserve"> stress” </w:t>
      </w:r>
    </w:p>
    <w:p w14:paraId="1D65E243" w14:textId="77777777" w:rsidR="00CA694D" w:rsidRDefault="00B14C9D" w:rsidP="00B14C9D">
      <w:pPr>
        <w:numPr>
          <w:ilvl w:val="0"/>
          <w:numId w:val="38"/>
        </w:numPr>
        <w:spacing w:line="360" w:lineRule="auto"/>
        <w:rPr>
          <w:rFonts w:ascii="Calibri" w:hAnsi="Calibri" w:cs="Calibri"/>
          <w:sz w:val="24"/>
          <w:szCs w:val="24"/>
        </w:rPr>
      </w:pPr>
      <w:r w:rsidRPr="00B14C9D">
        <w:rPr>
          <w:rFonts w:ascii="Calibri" w:hAnsi="Calibri" w:cs="Calibri"/>
          <w:sz w:val="24"/>
          <w:szCs w:val="24"/>
        </w:rPr>
        <w:t>“Wales” (to identify context-specific studies where available)</w:t>
      </w:r>
    </w:p>
    <w:p w14:paraId="010B1290" w14:textId="6FF9F1EC" w:rsidR="00B14C9D" w:rsidRPr="00B14C9D" w:rsidRDefault="00CA694D" w:rsidP="00B14C9D">
      <w:pPr>
        <w:numPr>
          <w:ilvl w:val="0"/>
          <w:numId w:val="38"/>
        </w:numPr>
        <w:spacing w:line="360" w:lineRule="auto"/>
        <w:rPr>
          <w:rFonts w:ascii="Calibri" w:hAnsi="Calibri" w:cs="Calibri"/>
          <w:sz w:val="24"/>
          <w:szCs w:val="24"/>
        </w:rPr>
      </w:pPr>
      <w:r>
        <w:rPr>
          <w:rFonts w:ascii="Calibri" w:hAnsi="Calibri" w:cs="Calibri"/>
          <w:sz w:val="24"/>
          <w:szCs w:val="24"/>
        </w:rPr>
        <w:t>“Curriculum for Wales AND burnout”</w:t>
      </w:r>
      <w:r w:rsidR="00B14C9D" w:rsidRPr="00B14C9D">
        <w:rPr>
          <w:rFonts w:ascii="Calibri" w:hAnsi="Calibri" w:cs="Calibri"/>
          <w:sz w:val="24"/>
          <w:szCs w:val="24"/>
        </w:rPr>
        <w:t xml:space="preserve"> </w:t>
      </w:r>
    </w:p>
    <w:p w14:paraId="20D3CAE6" w14:textId="0175EA04" w:rsidR="00B14C9D" w:rsidRPr="00B14C9D" w:rsidRDefault="00B14C9D" w:rsidP="00B14C9D">
      <w:pPr>
        <w:spacing w:line="360" w:lineRule="auto"/>
        <w:rPr>
          <w:rFonts w:ascii="Calibri" w:hAnsi="Calibri" w:cs="Calibri"/>
          <w:sz w:val="24"/>
          <w:szCs w:val="24"/>
        </w:rPr>
      </w:pPr>
      <w:r w:rsidRPr="00B14C9D">
        <w:rPr>
          <w:rFonts w:ascii="Calibri" w:hAnsi="Calibri" w:cs="Calibri"/>
          <w:sz w:val="24"/>
          <w:szCs w:val="24"/>
        </w:rPr>
        <w:lastRenderedPageBreak/>
        <w:t>Truncation and phrase searching were applied where appropriate</w:t>
      </w:r>
      <w:r w:rsidR="0006763B">
        <w:rPr>
          <w:rFonts w:ascii="Calibri" w:hAnsi="Calibri" w:cs="Calibri"/>
          <w:sz w:val="24"/>
          <w:szCs w:val="24"/>
        </w:rPr>
        <w:t>. F</w:t>
      </w:r>
      <w:r w:rsidRPr="00B14C9D">
        <w:rPr>
          <w:rFonts w:ascii="Calibri" w:hAnsi="Calibri" w:cs="Calibri"/>
          <w:sz w:val="24"/>
          <w:szCs w:val="24"/>
        </w:rPr>
        <w:t>or example, “teach*” to capture variations such as teacher and teaching. Searches were restricted to peer-reviewed journal articles published between 2000 and 2025. The year 2000 was selected as a lower boundary to reflect the increasing prominence of accountability frameworks, policy reform, and workload intensification within contemporary education systems, all of which are central to this study.</w:t>
      </w:r>
      <w:r w:rsidR="00CB0E5E" w:rsidRPr="00CB0E5E">
        <w:t xml:space="preserve"> </w:t>
      </w:r>
      <w:r w:rsidR="00CB0E5E" w:rsidRPr="00CB0E5E">
        <w:rPr>
          <w:rFonts w:ascii="Calibri" w:hAnsi="Calibri" w:cs="Calibri"/>
          <w:sz w:val="24"/>
          <w:szCs w:val="24"/>
        </w:rPr>
        <w:t xml:space="preserve">Earlier studies have been incorporated where appropriate </w:t>
      </w:r>
      <w:proofErr w:type="gramStart"/>
      <w:r w:rsidR="00CB0E5E" w:rsidRPr="00CB0E5E">
        <w:rPr>
          <w:rFonts w:ascii="Calibri" w:hAnsi="Calibri" w:cs="Calibri"/>
          <w:sz w:val="24"/>
          <w:szCs w:val="24"/>
        </w:rPr>
        <w:t>in order to</w:t>
      </w:r>
      <w:proofErr w:type="gramEnd"/>
      <w:r w:rsidR="00CB0E5E" w:rsidRPr="00CB0E5E">
        <w:rPr>
          <w:rFonts w:ascii="Calibri" w:hAnsi="Calibri" w:cs="Calibri"/>
          <w:sz w:val="24"/>
          <w:szCs w:val="24"/>
        </w:rPr>
        <w:t xml:space="preserve"> support and contextualise key theoretical frameworks. This allows for a more robust engagement with established scholarship, particularly in illustrating how core concepts have developed over time and how they inform the current understanding of the topic.</w:t>
      </w:r>
    </w:p>
    <w:p w14:paraId="546E6409" w14:textId="4F9F2EF7" w:rsidR="00B14C9D" w:rsidRPr="00B14C9D" w:rsidRDefault="00B14C9D" w:rsidP="00B14C9D">
      <w:pPr>
        <w:spacing w:line="360" w:lineRule="auto"/>
        <w:rPr>
          <w:rFonts w:ascii="Calibri" w:hAnsi="Calibri" w:cs="Calibri"/>
          <w:sz w:val="24"/>
          <w:szCs w:val="24"/>
        </w:rPr>
      </w:pPr>
      <w:r w:rsidRPr="00B14C9D">
        <w:rPr>
          <w:rFonts w:ascii="Calibri" w:hAnsi="Calibri" w:cs="Calibri"/>
          <w:sz w:val="24"/>
          <w:szCs w:val="24"/>
        </w:rPr>
        <w:t>Following the initial search, titles and abstracts were screened for relevance. Where studies appeared to meet the inclusion criteria, full texts were retrieved and reviewed in detail. Reference lists of key articles were also examined to identify additional relevant studies, thereby enhancing the comprehensiveness of the search process.</w:t>
      </w:r>
    </w:p>
    <w:p w14:paraId="2A008E27" w14:textId="77777777" w:rsidR="00B14C9D" w:rsidRPr="00E459FD" w:rsidRDefault="00B14C9D" w:rsidP="00825E0B">
      <w:pPr>
        <w:pStyle w:val="Heading3"/>
      </w:pPr>
      <w:bookmarkStart w:id="25" w:name="_Toc228136327"/>
      <w:r w:rsidRPr="00E459FD">
        <w:t>2.4 Inclusion and Exclusion Criteria</w:t>
      </w:r>
      <w:bookmarkEnd w:id="25"/>
    </w:p>
    <w:p w14:paraId="725A42AF" w14:textId="77777777" w:rsidR="00B14C9D" w:rsidRPr="00B14C9D" w:rsidRDefault="00B14C9D" w:rsidP="00B14C9D">
      <w:pPr>
        <w:spacing w:line="360" w:lineRule="auto"/>
        <w:rPr>
          <w:rFonts w:ascii="Calibri" w:hAnsi="Calibri" w:cs="Calibri"/>
          <w:sz w:val="24"/>
          <w:szCs w:val="24"/>
        </w:rPr>
      </w:pPr>
      <w:r w:rsidRPr="00B14C9D">
        <w:rPr>
          <w:rFonts w:ascii="Calibri" w:hAnsi="Calibri" w:cs="Calibri"/>
          <w:sz w:val="24"/>
          <w:szCs w:val="24"/>
        </w:rPr>
        <w:t>Clear inclusion and exclusion criteria were established to ensure consistency in study selection and alignment with the research aims.</w:t>
      </w:r>
    </w:p>
    <w:p w14:paraId="0BBD2F96" w14:textId="77777777" w:rsidR="00B14C9D" w:rsidRPr="00B14C9D" w:rsidRDefault="00B14C9D" w:rsidP="00B14C9D">
      <w:pPr>
        <w:spacing w:line="360" w:lineRule="auto"/>
        <w:rPr>
          <w:rFonts w:ascii="Calibri" w:hAnsi="Calibri" w:cs="Calibri"/>
          <w:b/>
          <w:bCs/>
          <w:i/>
          <w:iCs/>
          <w:sz w:val="24"/>
          <w:szCs w:val="24"/>
          <w:u w:val="single"/>
        </w:rPr>
      </w:pPr>
      <w:r w:rsidRPr="00B14C9D">
        <w:rPr>
          <w:rFonts w:ascii="Calibri" w:hAnsi="Calibri" w:cs="Calibri"/>
          <w:b/>
          <w:bCs/>
          <w:i/>
          <w:iCs/>
          <w:sz w:val="24"/>
          <w:szCs w:val="24"/>
          <w:u w:val="single"/>
        </w:rPr>
        <w:t>Inclusion Criteria</w:t>
      </w:r>
    </w:p>
    <w:p w14:paraId="73D73247" w14:textId="77777777" w:rsidR="00B14C9D" w:rsidRPr="00B14C9D" w:rsidRDefault="00B14C9D" w:rsidP="00B14C9D">
      <w:pPr>
        <w:spacing w:line="360" w:lineRule="auto"/>
        <w:rPr>
          <w:rFonts w:ascii="Calibri" w:hAnsi="Calibri" w:cs="Calibri"/>
          <w:sz w:val="24"/>
          <w:szCs w:val="24"/>
        </w:rPr>
      </w:pPr>
      <w:r w:rsidRPr="00B14C9D">
        <w:rPr>
          <w:rFonts w:ascii="Calibri" w:hAnsi="Calibri" w:cs="Calibri"/>
          <w:sz w:val="24"/>
          <w:szCs w:val="24"/>
        </w:rPr>
        <w:t>Studies were included if they:</w:t>
      </w:r>
    </w:p>
    <w:p w14:paraId="21B0D51E" w14:textId="77777777" w:rsidR="00B14C9D" w:rsidRPr="00B14C9D" w:rsidRDefault="00B14C9D" w:rsidP="00B14C9D">
      <w:pPr>
        <w:numPr>
          <w:ilvl w:val="0"/>
          <w:numId w:val="39"/>
        </w:numPr>
        <w:spacing w:line="360" w:lineRule="auto"/>
        <w:rPr>
          <w:rFonts w:ascii="Calibri" w:hAnsi="Calibri" w:cs="Calibri"/>
          <w:sz w:val="24"/>
          <w:szCs w:val="24"/>
        </w:rPr>
      </w:pPr>
      <w:r w:rsidRPr="00B14C9D">
        <w:rPr>
          <w:rFonts w:ascii="Calibri" w:hAnsi="Calibri" w:cs="Calibri"/>
          <w:sz w:val="24"/>
          <w:szCs w:val="24"/>
        </w:rPr>
        <w:t xml:space="preserve">Were published in peer-reviewed academic journals </w:t>
      </w:r>
    </w:p>
    <w:p w14:paraId="17EC952D" w14:textId="77777777" w:rsidR="00B14C9D" w:rsidRPr="00B14C9D" w:rsidRDefault="00B14C9D" w:rsidP="00B14C9D">
      <w:pPr>
        <w:numPr>
          <w:ilvl w:val="0"/>
          <w:numId w:val="39"/>
        </w:numPr>
        <w:spacing w:line="360" w:lineRule="auto"/>
        <w:rPr>
          <w:rFonts w:ascii="Calibri" w:hAnsi="Calibri" w:cs="Calibri"/>
          <w:sz w:val="24"/>
          <w:szCs w:val="24"/>
        </w:rPr>
      </w:pPr>
      <w:r w:rsidRPr="00B14C9D">
        <w:rPr>
          <w:rFonts w:ascii="Calibri" w:hAnsi="Calibri" w:cs="Calibri"/>
          <w:sz w:val="24"/>
          <w:szCs w:val="24"/>
        </w:rPr>
        <w:t xml:space="preserve">Reported empirical research (qualitative, quantitative, or </w:t>
      </w:r>
      <w:proofErr w:type="gramStart"/>
      <w:r w:rsidRPr="00B14C9D">
        <w:rPr>
          <w:rFonts w:ascii="Calibri" w:hAnsi="Calibri" w:cs="Calibri"/>
          <w:sz w:val="24"/>
          <w:szCs w:val="24"/>
        </w:rPr>
        <w:t>mixed-methods</w:t>
      </w:r>
      <w:proofErr w:type="gramEnd"/>
      <w:r w:rsidRPr="00B14C9D">
        <w:rPr>
          <w:rFonts w:ascii="Calibri" w:hAnsi="Calibri" w:cs="Calibri"/>
          <w:sz w:val="24"/>
          <w:szCs w:val="24"/>
        </w:rPr>
        <w:t xml:space="preserve">) </w:t>
      </w:r>
    </w:p>
    <w:p w14:paraId="6A239871" w14:textId="77777777" w:rsidR="00B14C9D" w:rsidRPr="00B14C9D" w:rsidRDefault="00B14C9D" w:rsidP="00B14C9D">
      <w:pPr>
        <w:numPr>
          <w:ilvl w:val="0"/>
          <w:numId w:val="39"/>
        </w:numPr>
        <w:spacing w:line="360" w:lineRule="auto"/>
        <w:rPr>
          <w:rFonts w:ascii="Calibri" w:hAnsi="Calibri" w:cs="Calibri"/>
          <w:sz w:val="24"/>
          <w:szCs w:val="24"/>
        </w:rPr>
      </w:pPr>
      <w:r w:rsidRPr="00B14C9D">
        <w:rPr>
          <w:rFonts w:ascii="Calibri" w:hAnsi="Calibri" w:cs="Calibri"/>
          <w:sz w:val="24"/>
          <w:szCs w:val="24"/>
        </w:rPr>
        <w:t xml:space="preserve">Focused on newly qualified or early-career teachers (typically within the first five years of practice) </w:t>
      </w:r>
    </w:p>
    <w:p w14:paraId="729C109F" w14:textId="77777777" w:rsidR="00B14C9D" w:rsidRPr="00B14C9D" w:rsidRDefault="00B14C9D" w:rsidP="00B14C9D">
      <w:pPr>
        <w:numPr>
          <w:ilvl w:val="0"/>
          <w:numId w:val="39"/>
        </w:numPr>
        <w:spacing w:line="360" w:lineRule="auto"/>
        <w:rPr>
          <w:rFonts w:ascii="Calibri" w:hAnsi="Calibri" w:cs="Calibri"/>
          <w:sz w:val="24"/>
          <w:szCs w:val="24"/>
        </w:rPr>
      </w:pPr>
      <w:r w:rsidRPr="00B14C9D">
        <w:rPr>
          <w:rFonts w:ascii="Calibri" w:hAnsi="Calibri" w:cs="Calibri"/>
          <w:sz w:val="24"/>
          <w:szCs w:val="24"/>
        </w:rPr>
        <w:t xml:space="preserve">Examined burnout, emotional exhaustion, or closely related constructs </w:t>
      </w:r>
    </w:p>
    <w:p w14:paraId="6836A157" w14:textId="77777777" w:rsidR="00B14C9D" w:rsidRPr="00B14C9D" w:rsidRDefault="00B14C9D" w:rsidP="00B14C9D">
      <w:pPr>
        <w:numPr>
          <w:ilvl w:val="0"/>
          <w:numId w:val="39"/>
        </w:numPr>
        <w:spacing w:line="360" w:lineRule="auto"/>
        <w:rPr>
          <w:rFonts w:ascii="Calibri" w:hAnsi="Calibri" w:cs="Calibri"/>
          <w:sz w:val="24"/>
          <w:szCs w:val="24"/>
        </w:rPr>
      </w:pPr>
      <w:r w:rsidRPr="00B14C9D">
        <w:rPr>
          <w:rFonts w:ascii="Calibri" w:hAnsi="Calibri" w:cs="Calibri"/>
          <w:sz w:val="24"/>
          <w:szCs w:val="24"/>
        </w:rPr>
        <w:t xml:space="preserve">Were published in English </w:t>
      </w:r>
    </w:p>
    <w:p w14:paraId="12D870EF" w14:textId="2D4BAFE3" w:rsidR="00B14C9D" w:rsidRPr="00B14C9D" w:rsidRDefault="00B14C9D" w:rsidP="00B14C9D">
      <w:pPr>
        <w:spacing w:line="360" w:lineRule="auto"/>
        <w:rPr>
          <w:rFonts w:ascii="Calibri" w:hAnsi="Calibri" w:cs="Calibri"/>
          <w:sz w:val="24"/>
          <w:szCs w:val="24"/>
        </w:rPr>
      </w:pPr>
      <w:r w:rsidRPr="00B14C9D">
        <w:rPr>
          <w:rFonts w:ascii="Calibri" w:hAnsi="Calibri" w:cs="Calibri"/>
          <w:sz w:val="24"/>
          <w:szCs w:val="24"/>
        </w:rPr>
        <w:t>The inclusion of teachers within their first five years reflects variability in international definitions of “newly qualified teacher,” while maintaining a clear conceptual focus on early</w:t>
      </w:r>
      <w:r w:rsidR="00CB0E5E">
        <w:rPr>
          <w:rFonts w:ascii="Calibri" w:hAnsi="Calibri" w:cs="Calibri"/>
          <w:sz w:val="24"/>
          <w:szCs w:val="24"/>
        </w:rPr>
        <w:t xml:space="preserve"> </w:t>
      </w:r>
      <w:r w:rsidRPr="00B14C9D">
        <w:rPr>
          <w:rFonts w:ascii="Calibri" w:hAnsi="Calibri" w:cs="Calibri"/>
          <w:sz w:val="24"/>
          <w:szCs w:val="24"/>
        </w:rPr>
        <w:t>career experiences.</w:t>
      </w:r>
    </w:p>
    <w:p w14:paraId="7E71EF42" w14:textId="77777777" w:rsidR="005B4400" w:rsidRDefault="005B4400" w:rsidP="00B14C9D">
      <w:pPr>
        <w:spacing w:line="360" w:lineRule="auto"/>
        <w:rPr>
          <w:rFonts w:ascii="Calibri" w:hAnsi="Calibri" w:cs="Calibri"/>
          <w:b/>
          <w:bCs/>
          <w:i/>
          <w:iCs/>
          <w:sz w:val="24"/>
          <w:szCs w:val="24"/>
          <w:u w:val="single"/>
        </w:rPr>
      </w:pPr>
    </w:p>
    <w:p w14:paraId="14712AA3" w14:textId="05BB5329" w:rsidR="00B14C9D" w:rsidRPr="00B14C9D" w:rsidRDefault="00B14C9D" w:rsidP="00B14C9D">
      <w:pPr>
        <w:spacing w:line="360" w:lineRule="auto"/>
        <w:rPr>
          <w:rFonts w:ascii="Calibri" w:hAnsi="Calibri" w:cs="Calibri"/>
          <w:b/>
          <w:bCs/>
          <w:i/>
          <w:iCs/>
          <w:sz w:val="24"/>
          <w:szCs w:val="24"/>
          <w:u w:val="single"/>
        </w:rPr>
      </w:pPr>
      <w:r w:rsidRPr="00B14C9D">
        <w:rPr>
          <w:rFonts w:ascii="Calibri" w:hAnsi="Calibri" w:cs="Calibri"/>
          <w:b/>
          <w:bCs/>
          <w:i/>
          <w:iCs/>
          <w:sz w:val="24"/>
          <w:szCs w:val="24"/>
          <w:u w:val="single"/>
        </w:rPr>
        <w:lastRenderedPageBreak/>
        <w:t>Exclusion Criteria</w:t>
      </w:r>
    </w:p>
    <w:p w14:paraId="547D7054" w14:textId="77777777" w:rsidR="00B14C9D" w:rsidRPr="00B14C9D" w:rsidRDefault="00B14C9D" w:rsidP="00B14C9D">
      <w:pPr>
        <w:spacing w:line="360" w:lineRule="auto"/>
        <w:rPr>
          <w:rFonts w:ascii="Calibri" w:hAnsi="Calibri" w:cs="Calibri"/>
          <w:sz w:val="24"/>
          <w:szCs w:val="24"/>
        </w:rPr>
      </w:pPr>
      <w:r w:rsidRPr="00B14C9D">
        <w:rPr>
          <w:rFonts w:ascii="Calibri" w:hAnsi="Calibri" w:cs="Calibri"/>
          <w:sz w:val="24"/>
          <w:szCs w:val="24"/>
        </w:rPr>
        <w:t>Studies were excluded if they:</w:t>
      </w:r>
    </w:p>
    <w:p w14:paraId="6B4B1A6F" w14:textId="72594781" w:rsidR="00B14C9D" w:rsidRPr="00B14C9D" w:rsidRDefault="00B14C9D" w:rsidP="00B14C9D">
      <w:pPr>
        <w:numPr>
          <w:ilvl w:val="0"/>
          <w:numId w:val="40"/>
        </w:numPr>
        <w:spacing w:line="360" w:lineRule="auto"/>
        <w:rPr>
          <w:rFonts w:ascii="Calibri" w:hAnsi="Calibri" w:cs="Calibri"/>
          <w:sz w:val="24"/>
          <w:szCs w:val="24"/>
        </w:rPr>
      </w:pPr>
      <w:r w:rsidRPr="00B14C9D">
        <w:rPr>
          <w:rFonts w:ascii="Calibri" w:hAnsi="Calibri" w:cs="Calibri"/>
          <w:sz w:val="24"/>
          <w:szCs w:val="24"/>
        </w:rPr>
        <w:t>Focused exclusively on experienced teachers without disaggregated analysis of early</w:t>
      </w:r>
      <w:r w:rsidR="00CB0E5E">
        <w:rPr>
          <w:rFonts w:ascii="Calibri" w:hAnsi="Calibri" w:cs="Calibri"/>
          <w:sz w:val="24"/>
          <w:szCs w:val="24"/>
        </w:rPr>
        <w:t xml:space="preserve"> </w:t>
      </w:r>
      <w:r w:rsidRPr="00B14C9D">
        <w:rPr>
          <w:rFonts w:ascii="Calibri" w:hAnsi="Calibri" w:cs="Calibri"/>
          <w:sz w:val="24"/>
          <w:szCs w:val="24"/>
        </w:rPr>
        <w:t xml:space="preserve">career staff </w:t>
      </w:r>
    </w:p>
    <w:p w14:paraId="3B41FEF3" w14:textId="77777777" w:rsidR="00B14C9D" w:rsidRPr="00B14C9D" w:rsidRDefault="00B14C9D" w:rsidP="00B14C9D">
      <w:pPr>
        <w:numPr>
          <w:ilvl w:val="0"/>
          <w:numId w:val="40"/>
        </w:numPr>
        <w:spacing w:line="360" w:lineRule="auto"/>
        <w:rPr>
          <w:rFonts w:ascii="Calibri" w:hAnsi="Calibri" w:cs="Calibri"/>
          <w:sz w:val="24"/>
          <w:szCs w:val="24"/>
        </w:rPr>
      </w:pPr>
      <w:r w:rsidRPr="00B14C9D">
        <w:rPr>
          <w:rFonts w:ascii="Calibri" w:hAnsi="Calibri" w:cs="Calibri"/>
          <w:sz w:val="24"/>
          <w:szCs w:val="24"/>
        </w:rPr>
        <w:t xml:space="preserve">Examined stress without explicit reference to burnout or related constructs </w:t>
      </w:r>
    </w:p>
    <w:p w14:paraId="6DDE7608" w14:textId="77777777" w:rsidR="00B14C9D" w:rsidRPr="00B14C9D" w:rsidRDefault="00B14C9D" w:rsidP="00B14C9D">
      <w:pPr>
        <w:numPr>
          <w:ilvl w:val="0"/>
          <w:numId w:val="40"/>
        </w:numPr>
        <w:spacing w:line="360" w:lineRule="auto"/>
        <w:rPr>
          <w:rFonts w:ascii="Calibri" w:hAnsi="Calibri" w:cs="Calibri"/>
          <w:sz w:val="24"/>
          <w:szCs w:val="24"/>
        </w:rPr>
      </w:pPr>
      <w:r w:rsidRPr="00B14C9D">
        <w:rPr>
          <w:rFonts w:ascii="Calibri" w:hAnsi="Calibri" w:cs="Calibri"/>
          <w:sz w:val="24"/>
          <w:szCs w:val="24"/>
        </w:rPr>
        <w:t xml:space="preserve">Were non-empirical (e.g., opinion pieces, editorials, commentary) </w:t>
      </w:r>
    </w:p>
    <w:p w14:paraId="0A63153C" w14:textId="77777777" w:rsidR="00B14C9D" w:rsidRPr="00B14C9D" w:rsidRDefault="00B14C9D" w:rsidP="00B14C9D">
      <w:pPr>
        <w:numPr>
          <w:ilvl w:val="0"/>
          <w:numId w:val="40"/>
        </w:numPr>
        <w:spacing w:line="360" w:lineRule="auto"/>
        <w:rPr>
          <w:rFonts w:ascii="Calibri" w:hAnsi="Calibri" w:cs="Calibri"/>
          <w:sz w:val="24"/>
          <w:szCs w:val="24"/>
        </w:rPr>
      </w:pPr>
      <w:r w:rsidRPr="00B14C9D">
        <w:rPr>
          <w:rFonts w:ascii="Calibri" w:hAnsi="Calibri" w:cs="Calibri"/>
          <w:sz w:val="24"/>
          <w:szCs w:val="24"/>
        </w:rPr>
        <w:t xml:space="preserve">Focused on professions outside education </w:t>
      </w:r>
    </w:p>
    <w:p w14:paraId="163249E2" w14:textId="77777777" w:rsidR="00B14C9D" w:rsidRPr="00B14C9D" w:rsidRDefault="00B14C9D" w:rsidP="00B14C9D">
      <w:pPr>
        <w:numPr>
          <w:ilvl w:val="0"/>
          <w:numId w:val="40"/>
        </w:numPr>
        <w:spacing w:line="360" w:lineRule="auto"/>
        <w:rPr>
          <w:rFonts w:ascii="Calibri" w:hAnsi="Calibri" w:cs="Calibri"/>
          <w:sz w:val="24"/>
          <w:szCs w:val="24"/>
        </w:rPr>
      </w:pPr>
      <w:r w:rsidRPr="00B14C9D">
        <w:rPr>
          <w:rFonts w:ascii="Calibri" w:hAnsi="Calibri" w:cs="Calibri"/>
          <w:sz w:val="24"/>
          <w:szCs w:val="24"/>
        </w:rPr>
        <w:t xml:space="preserve">Consisted of unpublished dissertations or grey literature </w:t>
      </w:r>
    </w:p>
    <w:p w14:paraId="6B808014" w14:textId="4B25FAD7" w:rsidR="00B14C9D" w:rsidRPr="00B14C9D" w:rsidRDefault="00B14C9D" w:rsidP="00B14C9D">
      <w:pPr>
        <w:spacing w:line="360" w:lineRule="auto"/>
        <w:rPr>
          <w:rFonts w:ascii="Calibri" w:hAnsi="Calibri" w:cs="Calibri"/>
          <w:sz w:val="24"/>
          <w:szCs w:val="24"/>
        </w:rPr>
      </w:pPr>
      <w:r w:rsidRPr="00B14C9D">
        <w:rPr>
          <w:rFonts w:ascii="Calibri" w:hAnsi="Calibri" w:cs="Calibri"/>
          <w:sz w:val="24"/>
          <w:szCs w:val="24"/>
        </w:rPr>
        <w:t>While grey literature may provide valuable insights</w:t>
      </w:r>
      <w:r w:rsidR="0089190D">
        <w:rPr>
          <w:rFonts w:ascii="Calibri" w:hAnsi="Calibri" w:cs="Calibri"/>
          <w:sz w:val="24"/>
          <w:szCs w:val="24"/>
        </w:rPr>
        <w:t xml:space="preserve">, </w:t>
      </w:r>
      <w:r w:rsidRPr="00B14C9D">
        <w:rPr>
          <w:rFonts w:ascii="Calibri" w:hAnsi="Calibri" w:cs="Calibri"/>
          <w:sz w:val="24"/>
          <w:szCs w:val="24"/>
        </w:rPr>
        <w:t>particularly in relation to policy and practice</w:t>
      </w:r>
      <w:r w:rsidR="0089190D">
        <w:rPr>
          <w:rFonts w:ascii="Calibri" w:hAnsi="Calibri" w:cs="Calibri"/>
          <w:sz w:val="24"/>
          <w:szCs w:val="24"/>
        </w:rPr>
        <w:t xml:space="preserve">, </w:t>
      </w:r>
      <w:r w:rsidRPr="00B14C9D">
        <w:rPr>
          <w:rFonts w:ascii="Calibri" w:hAnsi="Calibri" w:cs="Calibri"/>
          <w:sz w:val="24"/>
          <w:szCs w:val="24"/>
        </w:rPr>
        <w:t>the decision to exclude it was made to prioritise peer-reviewed research and ensure a consistent standard of methodological quality. However, this may have limited the inclusion of context-specific Welsh policy evaluations, which is acknowledged as a limitation of the study.</w:t>
      </w:r>
    </w:p>
    <w:p w14:paraId="3BBE7042" w14:textId="77777777" w:rsidR="00B14C9D" w:rsidRPr="00E459FD" w:rsidRDefault="00B14C9D" w:rsidP="00825E0B">
      <w:pPr>
        <w:pStyle w:val="Heading3"/>
      </w:pPr>
      <w:bookmarkStart w:id="26" w:name="_Toc228136328"/>
      <w:r w:rsidRPr="00E459FD">
        <w:t>2.5 Approach to Thematic Synthesis</w:t>
      </w:r>
      <w:bookmarkEnd w:id="26"/>
    </w:p>
    <w:p w14:paraId="13E56A86" w14:textId="77777777" w:rsidR="00B14C9D" w:rsidRPr="00B14C9D" w:rsidRDefault="00B14C9D" w:rsidP="00B14C9D">
      <w:pPr>
        <w:spacing w:line="360" w:lineRule="auto"/>
        <w:rPr>
          <w:rFonts w:ascii="Calibri" w:hAnsi="Calibri" w:cs="Calibri"/>
          <w:sz w:val="24"/>
          <w:szCs w:val="24"/>
        </w:rPr>
      </w:pPr>
      <w:r w:rsidRPr="00B14C9D">
        <w:rPr>
          <w:rFonts w:ascii="Calibri" w:hAnsi="Calibri" w:cs="Calibri"/>
          <w:sz w:val="24"/>
          <w:szCs w:val="24"/>
        </w:rPr>
        <w:t>Following study selection, a thematic synthesis approach was employed to identify patterns across the literature and facilitate critical analysis aligned with the research questions. All included studies were read in full, and key information was systematically extracted, including research design, sample characteristics, theoretical framework, measurement tools, and principal findings.</w:t>
      </w:r>
    </w:p>
    <w:p w14:paraId="63344249" w14:textId="77777777" w:rsidR="00B14C9D" w:rsidRPr="00B14C9D" w:rsidRDefault="00B14C9D" w:rsidP="00B14C9D">
      <w:pPr>
        <w:spacing w:line="360" w:lineRule="auto"/>
        <w:rPr>
          <w:rFonts w:ascii="Calibri" w:hAnsi="Calibri" w:cs="Calibri"/>
          <w:sz w:val="24"/>
          <w:szCs w:val="24"/>
        </w:rPr>
      </w:pPr>
      <w:r w:rsidRPr="00B14C9D">
        <w:rPr>
          <w:rFonts w:ascii="Calibri" w:hAnsi="Calibri" w:cs="Calibri"/>
          <w:sz w:val="24"/>
          <w:szCs w:val="24"/>
        </w:rPr>
        <w:t>An initial phase of open coding was undertaken, during which recurring factors associated with burnout were identified across studies. These codes were then organised into broader conceptual categories reflecting three interconnected levels:</w:t>
      </w:r>
    </w:p>
    <w:p w14:paraId="66DFDFC8" w14:textId="62DDFAAD" w:rsidR="00B14C9D" w:rsidRPr="00B14C9D" w:rsidRDefault="00B14C9D" w:rsidP="00B14C9D">
      <w:pPr>
        <w:numPr>
          <w:ilvl w:val="0"/>
          <w:numId w:val="41"/>
        </w:numPr>
        <w:spacing w:line="360" w:lineRule="auto"/>
        <w:rPr>
          <w:rFonts w:ascii="Calibri" w:hAnsi="Calibri" w:cs="Calibri"/>
          <w:sz w:val="24"/>
          <w:szCs w:val="24"/>
        </w:rPr>
      </w:pPr>
      <w:r w:rsidRPr="00B14C9D">
        <w:rPr>
          <w:rFonts w:ascii="Calibri" w:hAnsi="Calibri" w:cs="Calibri"/>
          <w:sz w:val="24"/>
          <w:szCs w:val="24"/>
        </w:rPr>
        <w:t xml:space="preserve">Individual-level factors </w:t>
      </w:r>
      <w:r w:rsidR="001A2A97">
        <w:rPr>
          <w:rFonts w:ascii="Calibri" w:hAnsi="Calibri" w:cs="Calibri"/>
          <w:sz w:val="24"/>
          <w:szCs w:val="24"/>
        </w:rPr>
        <w:t>(for example;</w:t>
      </w:r>
      <w:r w:rsidRPr="00B14C9D">
        <w:rPr>
          <w:rFonts w:ascii="Calibri" w:hAnsi="Calibri" w:cs="Calibri"/>
          <w:sz w:val="24"/>
          <w:szCs w:val="24"/>
        </w:rPr>
        <w:t xml:space="preserve"> self-efficacy, coping strategies, personality traits) </w:t>
      </w:r>
    </w:p>
    <w:p w14:paraId="3598DFC3" w14:textId="5C443A53" w:rsidR="00B14C9D" w:rsidRPr="00B14C9D" w:rsidRDefault="00B14C9D" w:rsidP="00B14C9D">
      <w:pPr>
        <w:numPr>
          <w:ilvl w:val="0"/>
          <w:numId w:val="41"/>
        </w:numPr>
        <w:spacing w:line="360" w:lineRule="auto"/>
        <w:rPr>
          <w:rFonts w:ascii="Calibri" w:hAnsi="Calibri" w:cs="Calibri"/>
          <w:sz w:val="24"/>
          <w:szCs w:val="24"/>
        </w:rPr>
      </w:pPr>
      <w:r w:rsidRPr="00B14C9D">
        <w:rPr>
          <w:rFonts w:ascii="Calibri" w:hAnsi="Calibri" w:cs="Calibri"/>
          <w:sz w:val="24"/>
          <w:szCs w:val="24"/>
        </w:rPr>
        <w:t>Organisational-level factors (</w:t>
      </w:r>
      <w:r w:rsidR="001A2A97">
        <w:rPr>
          <w:rFonts w:ascii="Calibri" w:hAnsi="Calibri" w:cs="Calibri"/>
          <w:sz w:val="24"/>
          <w:szCs w:val="24"/>
        </w:rPr>
        <w:t>for example;</w:t>
      </w:r>
      <w:r w:rsidRPr="00B14C9D">
        <w:rPr>
          <w:rFonts w:ascii="Calibri" w:hAnsi="Calibri" w:cs="Calibri"/>
          <w:sz w:val="24"/>
          <w:szCs w:val="24"/>
        </w:rPr>
        <w:t xml:space="preserve"> workload, leadership practices, mentoring, school culture) </w:t>
      </w:r>
    </w:p>
    <w:p w14:paraId="44CD0917" w14:textId="4328F50D" w:rsidR="00B14C9D" w:rsidRPr="00B14C9D" w:rsidRDefault="00B14C9D" w:rsidP="00B14C9D">
      <w:pPr>
        <w:numPr>
          <w:ilvl w:val="0"/>
          <w:numId w:val="41"/>
        </w:numPr>
        <w:spacing w:line="360" w:lineRule="auto"/>
        <w:rPr>
          <w:rFonts w:ascii="Calibri" w:hAnsi="Calibri" w:cs="Calibri"/>
          <w:sz w:val="24"/>
          <w:szCs w:val="24"/>
        </w:rPr>
      </w:pPr>
      <w:r w:rsidRPr="00B14C9D">
        <w:rPr>
          <w:rFonts w:ascii="Calibri" w:hAnsi="Calibri" w:cs="Calibri"/>
          <w:sz w:val="24"/>
          <w:szCs w:val="24"/>
        </w:rPr>
        <w:lastRenderedPageBreak/>
        <w:t>Systemic or policy-level factors (</w:t>
      </w:r>
      <w:r w:rsidR="001A2A97">
        <w:rPr>
          <w:rFonts w:ascii="Calibri" w:hAnsi="Calibri" w:cs="Calibri"/>
          <w:sz w:val="24"/>
          <w:szCs w:val="24"/>
        </w:rPr>
        <w:t>for example;</w:t>
      </w:r>
      <w:r w:rsidRPr="00B14C9D">
        <w:rPr>
          <w:rFonts w:ascii="Calibri" w:hAnsi="Calibri" w:cs="Calibri"/>
          <w:sz w:val="24"/>
          <w:szCs w:val="24"/>
        </w:rPr>
        <w:t xml:space="preserve"> accountability pressures, curriculum reform, performativity cultures) </w:t>
      </w:r>
    </w:p>
    <w:p w14:paraId="08E29B9D" w14:textId="77777777" w:rsidR="00B14C9D" w:rsidRPr="00B14C9D" w:rsidRDefault="00B14C9D" w:rsidP="00B14C9D">
      <w:pPr>
        <w:spacing w:line="360" w:lineRule="auto"/>
        <w:rPr>
          <w:rFonts w:ascii="Calibri" w:hAnsi="Calibri" w:cs="Calibri"/>
          <w:sz w:val="24"/>
          <w:szCs w:val="24"/>
        </w:rPr>
      </w:pPr>
      <w:r w:rsidRPr="00B14C9D">
        <w:rPr>
          <w:rFonts w:ascii="Calibri" w:hAnsi="Calibri" w:cs="Calibri"/>
          <w:sz w:val="24"/>
          <w:szCs w:val="24"/>
        </w:rPr>
        <w:t>This analytical framework reflects the study’s conceptualisation of burnout as a multi-layered phenomenon, shaped by interactions between personal and structural conditions.</w:t>
      </w:r>
    </w:p>
    <w:p w14:paraId="78788ADB" w14:textId="77777777" w:rsidR="00B14C9D" w:rsidRPr="00B14C9D" w:rsidRDefault="00B14C9D" w:rsidP="00B14C9D">
      <w:pPr>
        <w:spacing w:line="360" w:lineRule="auto"/>
        <w:rPr>
          <w:rFonts w:ascii="Calibri" w:hAnsi="Calibri" w:cs="Calibri"/>
          <w:sz w:val="24"/>
          <w:szCs w:val="24"/>
        </w:rPr>
      </w:pPr>
      <w:r w:rsidRPr="00B14C9D">
        <w:rPr>
          <w:rFonts w:ascii="Calibri" w:hAnsi="Calibri" w:cs="Calibri"/>
          <w:sz w:val="24"/>
          <w:szCs w:val="24"/>
        </w:rPr>
        <w:t>Importantly, themes were not treated as emerging passively from the data, but as constructed through active engagement with the literature. Attention was paid not only to what factors were identified, but also to how they were framed, interpreted, and prioritised within different studies. In particular, the synthesis examined whether burnout was conceptualised primarily as an individual psychological outcome or as a structurally mediated response to organisational and policy conditions.</w:t>
      </w:r>
    </w:p>
    <w:p w14:paraId="52AEADC3" w14:textId="66FBC627" w:rsidR="00B14C9D" w:rsidRPr="00B14C9D" w:rsidRDefault="00B14C9D" w:rsidP="00B14C9D">
      <w:pPr>
        <w:spacing w:line="360" w:lineRule="auto"/>
        <w:rPr>
          <w:rFonts w:ascii="Calibri" w:hAnsi="Calibri" w:cs="Calibri"/>
          <w:sz w:val="24"/>
          <w:szCs w:val="24"/>
        </w:rPr>
      </w:pPr>
      <w:r w:rsidRPr="00B14C9D">
        <w:rPr>
          <w:rFonts w:ascii="Calibri" w:hAnsi="Calibri" w:cs="Calibri"/>
          <w:sz w:val="24"/>
          <w:szCs w:val="24"/>
        </w:rPr>
        <w:t xml:space="preserve">Rather than </w:t>
      </w:r>
      <w:r w:rsidR="001A2A97" w:rsidRPr="00B14C9D">
        <w:rPr>
          <w:rFonts w:ascii="Calibri" w:hAnsi="Calibri" w:cs="Calibri"/>
          <w:sz w:val="24"/>
          <w:szCs w:val="24"/>
        </w:rPr>
        <w:t>combining</w:t>
      </w:r>
      <w:r w:rsidRPr="00B14C9D">
        <w:rPr>
          <w:rFonts w:ascii="Calibri" w:hAnsi="Calibri" w:cs="Calibri"/>
          <w:sz w:val="24"/>
          <w:szCs w:val="24"/>
        </w:rPr>
        <w:t xml:space="preserve"> findings quantitatively, the synthesis aimed to generate conceptual coherence across diverse methodologies. This involved identifying dominant trends, theoretical assumptions, and areas of tension within the literature. Such an approach is consistent with the study’s critical-interpretivist orientation and enables a deeper interrogation of how burnout is understood across different research traditions.</w:t>
      </w:r>
    </w:p>
    <w:p w14:paraId="124CE6D0" w14:textId="77777777" w:rsidR="00B14C9D" w:rsidRPr="00E459FD" w:rsidRDefault="00B14C9D" w:rsidP="00825E0B">
      <w:pPr>
        <w:pStyle w:val="Heading3"/>
      </w:pPr>
      <w:bookmarkStart w:id="27" w:name="_Toc228136329"/>
      <w:r w:rsidRPr="00E459FD">
        <w:t>2.6 Quality Appraisal</w:t>
      </w:r>
      <w:bookmarkEnd w:id="27"/>
    </w:p>
    <w:p w14:paraId="2B3F6C4A" w14:textId="77777777" w:rsidR="00B14C9D" w:rsidRPr="00B14C9D" w:rsidRDefault="00B14C9D" w:rsidP="00B14C9D">
      <w:pPr>
        <w:spacing w:line="360" w:lineRule="auto"/>
        <w:rPr>
          <w:rFonts w:ascii="Calibri" w:hAnsi="Calibri" w:cs="Calibri"/>
          <w:sz w:val="24"/>
          <w:szCs w:val="24"/>
        </w:rPr>
      </w:pPr>
      <w:r w:rsidRPr="00B14C9D">
        <w:rPr>
          <w:rFonts w:ascii="Calibri" w:hAnsi="Calibri" w:cs="Calibri"/>
          <w:sz w:val="24"/>
          <w:szCs w:val="24"/>
        </w:rPr>
        <w:t>To enhance the methodological rigour and credibility of the review, a process of critical quality appraisal was undertaken for all included studies. While a formal scoring framework was not applied, each study was evaluated against key indicators of research quality. These included clarity of research aims, transparency of methodological design, appropriateness of methods, sample size and representativeness, data collection procedures, analytical approaches, and the extent to which limitations were acknowledged.</w:t>
      </w:r>
    </w:p>
    <w:p w14:paraId="3B2A2B99" w14:textId="3036E658" w:rsidR="00B14C9D" w:rsidRPr="00B14C9D" w:rsidRDefault="001A2A97" w:rsidP="00B14C9D">
      <w:pPr>
        <w:spacing w:line="360" w:lineRule="auto"/>
        <w:rPr>
          <w:rFonts w:ascii="Calibri" w:hAnsi="Calibri" w:cs="Calibri"/>
          <w:sz w:val="24"/>
          <w:szCs w:val="24"/>
        </w:rPr>
      </w:pPr>
      <w:r w:rsidRPr="00B14C9D">
        <w:rPr>
          <w:rFonts w:ascii="Calibri" w:hAnsi="Calibri" w:cs="Calibri"/>
          <w:sz w:val="24"/>
          <w:szCs w:val="24"/>
        </w:rPr>
        <w:t>Attention</w:t>
      </w:r>
      <w:r w:rsidR="00B14C9D" w:rsidRPr="00B14C9D">
        <w:rPr>
          <w:rFonts w:ascii="Calibri" w:hAnsi="Calibri" w:cs="Calibri"/>
          <w:sz w:val="24"/>
          <w:szCs w:val="24"/>
        </w:rPr>
        <w:t xml:space="preserve"> was given to the prevalence of cross-sectional survey designs within burnout research. Studies relying on self-report measures were critically examined, particularly where causal claims were implied without longitudinal evidence. Similarly, the widespread use of standardised instruments such as the Maslach Burnout Inventory was considered not only in terms of reliability and validity, but also in relation to the conceptual constraints imposed by predefined burnout constructs.</w:t>
      </w:r>
    </w:p>
    <w:p w14:paraId="5BD768D1" w14:textId="77777777" w:rsidR="00B14C9D" w:rsidRPr="00B14C9D" w:rsidRDefault="00B14C9D" w:rsidP="00B14C9D">
      <w:pPr>
        <w:spacing w:line="360" w:lineRule="auto"/>
        <w:rPr>
          <w:rFonts w:ascii="Calibri" w:hAnsi="Calibri" w:cs="Calibri"/>
          <w:sz w:val="24"/>
          <w:szCs w:val="24"/>
        </w:rPr>
      </w:pPr>
      <w:r w:rsidRPr="00B14C9D">
        <w:rPr>
          <w:rFonts w:ascii="Calibri" w:hAnsi="Calibri" w:cs="Calibri"/>
          <w:sz w:val="24"/>
          <w:szCs w:val="24"/>
        </w:rPr>
        <w:lastRenderedPageBreak/>
        <w:t>Qualitative studies were appraised in relation to depth of analysis, reflexivity, contextual sensitivity, and coherence between data and interpretation. Mixed-methods studies were assessed according to the extent to which integration between qualitative and quantitative components was achieved in a meaningful and analytically coherent manner.</w:t>
      </w:r>
    </w:p>
    <w:p w14:paraId="71DD0AC4" w14:textId="4DEB315A" w:rsidR="00B14C9D" w:rsidRDefault="00B14C9D" w:rsidP="00B14C9D">
      <w:pPr>
        <w:spacing w:line="360" w:lineRule="auto"/>
        <w:rPr>
          <w:rFonts w:ascii="Calibri" w:hAnsi="Calibri" w:cs="Calibri"/>
          <w:sz w:val="24"/>
          <w:szCs w:val="24"/>
        </w:rPr>
      </w:pPr>
      <w:r w:rsidRPr="00B14C9D">
        <w:rPr>
          <w:rFonts w:ascii="Calibri" w:hAnsi="Calibri" w:cs="Calibri"/>
          <w:sz w:val="24"/>
          <w:szCs w:val="24"/>
        </w:rPr>
        <w:t xml:space="preserve">Rather than excluding studies solely </w:t>
      </w:r>
      <w:r w:rsidR="001A2A97" w:rsidRPr="00B14C9D">
        <w:rPr>
          <w:rFonts w:ascii="Calibri" w:hAnsi="Calibri" w:cs="Calibri"/>
          <w:sz w:val="24"/>
          <w:szCs w:val="24"/>
        </w:rPr>
        <w:t>based on</w:t>
      </w:r>
      <w:r w:rsidRPr="00B14C9D">
        <w:rPr>
          <w:rFonts w:ascii="Calibri" w:hAnsi="Calibri" w:cs="Calibri"/>
          <w:sz w:val="24"/>
          <w:szCs w:val="24"/>
        </w:rPr>
        <w:t xml:space="preserve"> methodological limitations, the appraisal process informed the weighting of evidence within the synthesis. This approach ensured that findings were interpreted proportionately, while also acknowledging the strengths and limitations of the evidence base. By embedding quality appraisal within the review process, the study maintains analytical rigour while recognising the methodological diversity characteristic of research in this field.</w:t>
      </w:r>
    </w:p>
    <w:p w14:paraId="625F56B4" w14:textId="2A13B2C8" w:rsidR="001A103D" w:rsidRPr="00B14C9D" w:rsidRDefault="001A103D" w:rsidP="001A103D">
      <w:pPr>
        <w:pStyle w:val="Heading2"/>
      </w:pPr>
      <w:bookmarkStart w:id="28" w:name="_Toc228136330"/>
      <w:r>
        <w:t>Chapter 3: Literature Review</w:t>
      </w:r>
      <w:bookmarkEnd w:id="28"/>
      <w:r>
        <w:t xml:space="preserve"> </w:t>
      </w:r>
    </w:p>
    <w:p w14:paraId="4EA433EB" w14:textId="48D87AE1" w:rsidR="000733E2" w:rsidRPr="00E459FD" w:rsidRDefault="000733E2" w:rsidP="001A103D">
      <w:pPr>
        <w:pStyle w:val="Heading3"/>
      </w:pPr>
      <w:bookmarkStart w:id="29" w:name="_Toc228132087"/>
      <w:bookmarkStart w:id="30" w:name="_Toc228132122"/>
      <w:bookmarkStart w:id="31" w:name="_Toc228132254"/>
      <w:bookmarkStart w:id="32" w:name="_Toc228136331"/>
      <w:r w:rsidRPr="00E459FD">
        <w:t>3.1 Introduction</w:t>
      </w:r>
      <w:bookmarkEnd w:id="32"/>
      <w:r w:rsidRPr="00E459FD">
        <w:t xml:space="preserve"> </w:t>
      </w:r>
      <w:bookmarkEnd w:id="29"/>
      <w:bookmarkEnd w:id="30"/>
      <w:bookmarkEnd w:id="31"/>
    </w:p>
    <w:p w14:paraId="0C68A04E" w14:textId="2718297A" w:rsidR="000733E2" w:rsidRPr="001A2BC0" w:rsidRDefault="000733E2" w:rsidP="000733E2">
      <w:pPr>
        <w:spacing w:line="360" w:lineRule="auto"/>
        <w:rPr>
          <w:rFonts w:ascii="Calibri" w:hAnsi="Calibri" w:cs="Calibri"/>
          <w:sz w:val="24"/>
          <w:szCs w:val="24"/>
        </w:rPr>
      </w:pPr>
      <w:r w:rsidRPr="001A2BC0">
        <w:rPr>
          <w:rFonts w:ascii="Calibri" w:hAnsi="Calibri" w:cs="Calibri"/>
          <w:sz w:val="24"/>
          <w:szCs w:val="24"/>
        </w:rPr>
        <w:t>This chapter presents a thematic analysis of the literature identified through the structured review process outlined in Chapter 2. Drawing on a thematic synthesis approach, the findings are organised across three interconnected levels that consistently emerge within the literature: individual, organisational, and systemic influences on burnout among NQTs.</w:t>
      </w:r>
    </w:p>
    <w:p w14:paraId="24DA9353" w14:textId="3F832B74" w:rsidR="000733E2" w:rsidRPr="001A2BC0" w:rsidRDefault="000733E2" w:rsidP="000733E2">
      <w:pPr>
        <w:spacing w:line="360" w:lineRule="auto"/>
        <w:rPr>
          <w:rFonts w:ascii="Calibri" w:hAnsi="Calibri" w:cs="Calibri"/>
          <w:sz w:val="24"/>
          <w:szCs w:val="24"/>
        </w:rPr>
      </w:pPr>
      <w:r w:rsidRPr="001A2BC0">
        <w:rPr>
          <w:rFonts w:ascii="Calibri" w:hAnsi="Calibri" w:cs="Calibri"/>
          <w:sz w:val="24"/>
          <w:szCs w:val="24"/>
        </w:rPr>
        <w:t xml:space="preserve">While a wide range of studies identify multiple contributors to teacher burnout, there is notable variation in how these factors are prioritised, conceptualised, and interpreted. </w:t>
      </w:r>
      <w:r w:rsidR="001A2A97" w:rsidRPr="001A2BC0">
        <w:rPr>
          <w:rFonts w:ascii="Calibri" w:hAnsi="Calibri" w:cs="Calibri"/>
          <w:sz w:val="24"/>
          <w:szCs w:val="24"/>
        </w:rPr>
        <w:t>Some</w:t>
      </w:r>
      <w:r w:rsidRPr="001A2BC0">
        <w:rPr>
          <w:rFonts w:ascii="Calibri" w:hAnsi="Calibri" w:cs="Calibri"/>
          <w:sz w:val="24"/>
          <w:szCs w:val="24"/>
        </w:rPr>
        <w:t xml:space="preserve"> strands of research foreground individual psychological characteristics</w:t>
      </w:r>
      <w:r w:rsidR="001A10CF" w:rsidRPr="001A2BC0">
        <w:rPr>
          <w:rFonts w:ascii="Calibri" w:hAnsi="Calibri" w:cs="Calibri"/>
          <w:sz w:val="24"/>
          <w:szCs w:val="24"/>
        </w:rPr>
        <w:t xml:space="preserve"> </w:t>
      </w:r>
      <w:r w:rsidRPr="001A2BC0">
        <w:rPr>
          <w:rFonts w:ascii="Calibri" w:hAnsi="Calibri" w:cs="Calibri"/>
          <w:sz w:val="24"/>
          <w:szCs w:val="24"/>
        </w:rPr>
        <w:t>such as coping strategies, resilience, and professional self-efficacy</w:t>
      </w:r>
      <w:r w:rsidR="001A10CF" w:rsidRPr="001A2BC0">
        <w:rPr>
          <w:rFonts w:ascii="Calibri" w:hAnsi="Calibri" w:cs="Calibri"/>
          <w:sz w:val="24"/>
          <w:szCs w:val="24"/>
        </w:rPr>
        <w:t>. W</w:t>
      </w:r>
      <w:r w:rsidRPr="001A2BC0">
        <w:rPr>
          <w:rFonts w:ascii="Calibri" w:hAnsi="Calibri" w:cs="Calibri"/>
          <w:sz w:val="24"/>
          <w:szCs w:val="24"/>
        </w:rPr>
        <w:t>hile others emphasise organisational conditions and broader policy environments as primary drivers of burnout. This divergence reflects a broader epistemological tension within the literature regarding the extent to which burnout should be understood as an individualised psychological outcome or as a structurally embedded occupational phenomenon</w:t>
      </w:r>
      <w:r w:rsidR="00E30CF5">
        <w:rPr>
          <w:rFonts w:ascii="Calibri" w:hAnsi="Calibri" w:cs="Calibri"/>
          <w:sz w:val="24"/>
          <w:szCs w:val="24"/>
        </w:rPr>
        <w:t xml:space="preserve"> (Bodenheimer and Shuster, 2020)</w:t>
      </w:r>
      <w:r w:rsidRPr="001A2BC0">
        <w:rPr>
          <w:rFonts w:ascii="Calibri" w:hAnsi="Calibri" w:cs="Calibri"/>
          <w:sz w:val="24"/>
          <w:szCs w:val="24"/>
        </w:rPr>
        <w:t>.</w:t>
      </w:r>
    </w:p>
    <w:p w14:paraId="70529976" w14:textId="22EACF70" w:rsidR="000733E2" w:rsidRPr="001A2BC0" w:rsidRDefault="000733E2" w:rsidP="000733E2">
      <w:pPr>
        <w:spacing w:line="360" w:lineRule="auto"/>
        <w:rPr>
          <w:rFonts w:ascii="Calibri" w:hAnsi="Calibri" w:cs="Calibri"/>
          <w:sz w:val="24"/>
          <w:szCs w:val="24"/>
        </w:rPr>
      </w:pPr>
      <w:r w:rsidRPr="001A2BC0">
        <w:rPr>
          <w:rFonts w:ascii="Calibri" w:hAnsi="Calibri" w:cs="Calibri"/>
          <w:sz w:val="24"/>
          <w:szCs w:val="24"/>
        </w:rPr>
        <w:t>This distinction is not merely theoretical but carries important implications for how burnout is addressed in practice. Individualised interpretations tend to promote interventions focused on resilience-building and coping strategies, whereas structural perspectives emphasise organisational reform and policy-level change. As such, the way burnout is conceptualised directly shapes both research priorities and practical responses within educational settings</w:t>
      </w:r>
      <w:r w:rsidR="001A10CF" w:rsidRPr="001A2BC0">
        <w:rPr>
          <w:rFonts w:ascii="Calibri" w:hAnsi="Calibri" w:cs="Calibri"/>
          <w:sz w:val="24"/>
          <w:szCs w:val="24"/>
        </w:rPr>
        <w:t xml:space="preserve"> </w:t>
      </w:r>
      <w:r w:rsidR="009C06D4">
        <w:rPr>
          <w:rFonts w:ascii="Calibri" w:hAnsi="Calibri" w:cs="Calibri"/>
          <w:sz w:val="24"/>
          <w:szCs w:val="24"/>
        </w:rPr>
        <w:t>(Maslach and Leiter</w:t>
      </w:r>
      <w:r w:rsidR="00334EE9">
        <w:rPr>
          <w:rFonts w:ascii="Calibri" w:hAnsi="Calibri" w:cs="Calibri"/>
          <w:sz w:val="24"/>
          <w:szCs w:val="24"/>
        </w:rPr>
        <w:t>, 2016)</w:t>
      </w:r>
      <w:r w:rsidRPr="001A2BC0">
        <w:rPr>
          <w:rFonts w:ascii="Calibri" w:hAnsi="Calibri" w:cs="Calibri"/>
          <w:sz w:val="24"/>
          <w:szCs w:val="24"/>
        </w:rPr>
        <w:t>.</w:t>
      </w:r>
    </w:p>
    <w:p w14:paraId="549128A2" w14:textId="3D328F45" w:rsidR="000733E2" w:rsidRPr="001A2BC0" w:rsidRDefault="000733E2" w:rsidP="000733E2">
      <w:pPr>
        <w:spacing w:line="360" w:lineRule="auto"/>
        <w:rPr>
          <w:rFonts w:ascii="Calibri" w:hAnsi="Calibri" w:cs="Calibri"/>
          <w:sz w:val="24"/>
          <w:szCs w:val="24"/>
        </w:rPr>
      </w:pPr>
      <w:r w:rsidRPr="001A2BC0">
        <w:rPr>
          <w:rFonts w:ascii="Calibri" w:hAnsi="Calibri" w:cs="Calibri"/>
          <w:sz w:val="24"/>
          <w:szCs w:val="24"/>
        </w:rPr>
        <w:lastRenderedPageBreak/>
        <w:t xml:space="preserve">By examining these themes in turn, this chapter critically analyses how burnout among NQTs is explained within existing research and considers the implications of these explanatory frameworks. </w:t>
      </w:r>
      <w:r w:rsidR="001A2A97" w:rsidRPr="001A2BC0">
        <w:rPr>
          <w:rFonts w:ascii="Calibri" w:hAnsi="Calibri" w:cs="Calibri"/>
          <w:sz w:val="24"/>
          <w:szCs w:val="24"/>
        </w:rPr>
        <w:t>Attention</w:t>
      </w:r>
      <w:r w:rsidRPr="001A2BC0">
        <w:rPr>
          <w:rFonts w:ascii="Calibri" w:hAnsi="Calibri" w:cs="Calibri"/>
          <w:sz w:val="24"/>
          <w:szCs w:val="24"/>
        </w:rPr>
        <w:t xml:space="preserve"> is given to the interplay between individual and structural influences, recognising that these factors do not operate in isolation but interact dynamically to shape teacher experiences. This approach enables a more nuanced and integrated understanding of burnout, moving beyond reductionist explanations toward a multi-layered conceptualisation.</w:t>
      </w:r>
    </w:p>
    <w:p w14:paraId="5FD0C0E4" w14:textId="77777777" w:rsidR="000733E2" w:rsidRPr="00E459FD" w:rsidRDefault="000733E2" w:rsidP="00825E0B">
      <w:pPr>
        <w:pStyle w:val="Heading3"/>
      </w:pPr>
      <w:bookmarkStart w:id="33" w:name="_Toc228136332"/>
      <w:r w:rsidRPr="00E459FD">
        <w:t>3.2 Individual-Level Factors</w:t>
      </w:r>
      <w:bookmarkEnd w:id="33"/>
    </w:p>
    <w:p w14:paraId="6684D633" w14:textId="57AF0C14" w:rsidR="000733E2" w:rsidRPr="001A2BC0" w:rsidRDefault="000733E2" w:rsidP="000733E2">
      <w:pPr>
        <w:spacing w:line="360" w:lineRule="auto"/>
        <w:rPr>
          <w:rFonts w:ascii="Calibri" w:hAnsi="Calibri" w:cs="Calibri"/>
          <w:sz w:val="24"/>
          <w:szCs w:val="24"/>
        </w:rPr>
      </w:pPr>
      <w:r w:rsidRPr="001A2BC0">
        <w:rPr>
          <w:rFonts w:ascii="Calibri" w:hAnsi="Calibri" w:cs="Calibri"/>
          <w:sz w:val="24"/>
          <w:szCs w:val="24"/>
        </w:rPr>
        <w:t>Research examining burnout among NQTs frequently foregrounds individual psychological characteristics as key explanatory factors (Tong, 2025). Within this body of literature, burnout is often conceptualised as an outcome shaped by personal coping styles, emotional resilience, professional self-efficacy, and individual stress management strategies (Li, 2023; Alessandri et al, 2018). Such perspectives are largely grounded in psychological models of occupational stress, which emphasise the interaction between individual resources and perceived workplace demands.</w:t>
      </w:r>
    </w:p>
    <w:p w14:paraId="111A4789" w14:textId="6FDFBA5B" w:rsidR="000733E2" w:rsidRPr="001A2BC0" w:rsidRDefault="000733E2" w:rsidP="000733E2">
      <w:pPr>
        <w:spacing w:line="360" w:lineRule="auto"/>
        <w:rPr>
          <w:rFonts w:ascii="Calibri" w:hAnsi="Calibri" w:cs="Calibri"/>
          <w:sz w:val="24"/>
          <w:szCs w:val="24"/>
        </w:rPr>
      </w:pPr>
      <w:r w:rsidRPr="001A2BC0">
        <w:rPr>
          <w:rFonts w:ascii="Calibri" w:hAnsi="Calibri" w:cs="Calibri"/>
          <w:sz w:val="24"/>
          <w:szCs w:val="24"/>
        </w:rPr>
        <w:t xml:space="preserve">One of the most frequently discussed individual-level predictors of burnout is teacher self-efficacy. </w:t>
      </w:r>
      <w:proofErr w:type="spellStart"/>
      <w:r w:rsidRPr="001A2BC0">
        <w:rPr>
          <w:rFonts w:ascii="Calibri" w:hAnsi="Calibri" w:cs="Calibri"/>
          <w:sz w:val="24"/>
          <w:szCs w:val="24"/>
        </w:rPr>
        <w:t>Hoogendijk</w:t>
      </w:r>
      <w:proofErr w:type="spellEnd"/>
      <w:r w:rsidRPr="001A2BC0">
        <w:rPr>
          <w:rFonts w:ascii="Calibri" w:hAnsi="Calibri" w:cs="Calibri"/>
          <w:sz w:val="24"/>
          <w:szCs w:val="24"/>
        </w:rPr>
        <w:t xml:space="preserve"> et al (2023) identify self-efficacy as central to how teachers interpret and respond to professional challenges. Early-career teachers with higher levels of perceived competence and instructional confidence are generally better equipped to manage the emotional and practical demands associated with entering the profession (Admiraal et al, 2023). In contrast, lower levels of self-efficacy have been consistently linked to increased vulnerability to emotional exhaustion, particularly when teachers encounter classroom management difficulties, workload pressures, and high professional expectations (</w:t>
      </w:r>
      <w:proofErr w:type="spellStart"/>
      <w:r w:rsidRPr="001A2BC0">
        <w:rPr>
          <w:rFonts w:ascii="Calibri" w:hAnsi="Calibri" w:cs="Calibri"/>
          <w:sz w:val="24"/>
          <w:szCs w:val="24"/>
        </w:rPr>
        <w:t>Skaalvik</w:t>
      </w:r>
      <w:proofErr w:type="spellEnd"/>
      <w:r w:rsidRPr="001A2BC0">
        <w:rPr>
          <w:rFonts w:ascii="Calibri" w:hAnsi="Calibri" w:cs="Calibri"/>
          <w:sz w:val="24"/>
          <w:szCs w:val="24"/>
        </w:rPr>
        <w:t xml:space="preserve"> and </w:t>
      </w:r>
      <w:proofErr w:type="spellStart"/>
      <w:r w:rsidRPr="001A2BC0">
        <w:rPr>
          <w:rFonts w:ascii="Calibri" w:hAnsi="Calibri" w:cs="Calibri"/>
          <w:sz w:val="24"/>
          <w:szCs w:val="24"/>
        </w:rPr>
        <w:t>Skaalvik</w:t>
      </w:r>
      <w:proofErr w:type="spellEnd"/>
      <w:r w:rsidRPr="001A2BC0">
        <w:rPr>
          <w:rFonts w:ascii="Calibri" w:hAnsi="Calibri" w:cs="Calibri"/>
          <w:sz w:val="24"/>
          <w:szCs w:val="24"/>
        </w:rPr>
        <w:t>, 2016).</w:t>
      </w:r>
    </w:p>
    <w:p w14:paraId="3837008D" w14:textId="716B17E0" w:rsidR="000733E2" w:rsidRPr="001A2BC0" w:rsidRDefault="000733E2" w:rsidP="000733E2">
      <w:pPr>
        <w:spacing w:line="360" w:lineRule="auto"/>
        <w:rPr>
          <w:rFonts w:ascii="Calibri" w:hAnsi="Calibri" w:cs="Calibri"/>
          <w:sz w:val="24"/>
          <w:szCs w:val="24"/>
        </w:rPr>
      </w:pPr>
      <w:r w:rsidRPr="001A2BC0">
        <w:rPr>
          <w:rFonts w:ascii="Calibri" w:hAnsi="Calibri" w:cs="Calibri"/>
          <w:sz w:val="24"/>
          <w:szCs w:val="24"/>
        </w:rPr>
        <w:t xml:space="preserve">Importantly, self-efficacy is not a fixed trait but develops over time through experience, feedback, and social interaction. This suggests that while self-efficacy is often categorised as an individual-level factor, it is in practice shaped by organisational and contextual conditions. For NQTs, whose professional identities are still forming, fluctuations in confidence may be particularly </w:t>
      </w:r>
      <w:r w:rsidR="00B1405A" w:rsidRPr="001A2BC0">
        <w:rPr>
          <w:rFonts w:ascii="Calibri" w:hAnsi="Calibri" w:cs="Calibri"/>
          <w:sz w:val="24"/>
          <w:szCs w:val="24"/>
        </w:rPr>
        <w:t>evident</w:t>
      </w:r>
      <w:r w:rsidRPr="001A2BC0">
        <w:rPr>
          <w:rFonts w:ascii="Calibri" w:hAnsi="Calibri" w:cs="Calibri"/>
          <w:sz w:val="24"/>
          <w:szCs w:val="24"/>
        </w:rPr>
        <w:t xml:space="preserve">, making them more sensitive to both supportive and unsupportive environments. This highlights the limitations of purely individualistic interpretations of </w:t>
      </w:r>
      <w:r w:rsidRPr="001A2BC0">
        <w:rPr>
          <w:rFonts w:ascii="Calibri" w:hAnsi="Calibri" w:cs="Calibri"/>
          <w:sz w:val="24"/>
          <w:szCs w:val="24"/>
        </w:rPr>
        <w:lastRenderedPageBreak/>
        <w:t>burnout, as it becomes difficult to disentangle personal attributes from contextual influences.</w:t>
      </w:r>
    </w:p>
    <w:p w14:paraId="311CFA63" w14:textId="22FA4FA3" w:rsidR="000733E2" w:rsidRPr="001A2BC0" w:rsidRDefault="000733E2" w:rsidP="000733E2">
      <w:pPr>
        <w:spacing w:line="360" w:lineRule="auto"/>
        <w:rPr>
          <w:rFonts w:ascii="Calibri" w:hAnsi="Calibri" w:cs="Calibri"/>
          <w:sz w:val="24"/>
          <w:szCs w:val="24"/>
        </w:rPr>
      </w:pPr>
      <w:r w:rsidRPr="001A2BC0">
        <w:rPr>
          <w:rFonts w:ascii="Calibri" w:hAnsi="Calibri" w:cs="Calibri"/>
          <w:sz w:val="24"/>
          <w:szCs w:val="24"/>
        </w:rPr>
        <w:t xml:space="preserve">Similarly, coping strategies have been identified as important moderators of burnout risk. Shin et al (2014) suggest that the ways in which teachers respond to stress can significantly influence burnout outcomes. Research indicates that adaptive coping mechanisms, such as problem-focused coping, reflective practice, and seeking collegial support, can buffer teachers against the negative effects of occupational stress (Ghasemi, 2025). </w:t>
      </w:r>
      <w:r w:rsidR="001A2A97" w:rsidRPr="001A2BC0">
        <w:rPr>
          <w:rFonts w:ascii="Calibri" w:hAnsi="Calibri" w:cs="Calibri"/>
          <w:sz w:val="24"/>
          <w:szCs w:val="24"/>
        </w:rPr>
        <w:t>On the contrary</w:t>
      </w:r>
      <w:r w:rsidRPr="001A2BC0">
        <w:rPr>
          <w:rFonts w:ascii="Calibri" w:hAnsi="Calibri" w:cs="Calibri"/>
          <w:sz w:val="24"/>
          <w:szCs w:val="24"/>
        </w:rPr>
        <w:t>, avoidant or emotion-focused coping strategies have been associated with higher levels of emotional exhaustion and depersonalisation (Wang, Lee and Hall, 2022). This distinction highlights the importance of not only the presence of stressors but also the ways in which individuals interpret and respond to them.</w:t>
      </w:r>
    </w:p>
    <w:p w14:paraId="3FBE87A6" w14:textId="77777777" w:rsidR="000733E2" w:rsidRPr="001A2BC0" w:rsidRDefault="000733E2" w:rsidP="000733E2">
      <w:pPr>
        <w:spacing w:line="360" w:lineRule="auto"/>
        <w:rPr>
          <w:rFonts w:ascii="Calibri" w:hAnsi="Calibri" w:cs="Calibri"/>
          <w:sz w:val="24"/>
          <w:szCs w:val="24"/>
        </w:rPr>
      </w:pPr>
      <w:r w:rsidRPr="001A2BC0">
        <w:rPr>
          <w:rFonts w:ascii="Calibri" w:hAnsi="Calibri" w:cs="Calibri"/>
          <w:sz w:val="24"/>
          <w:szCs w:val="24"/>
        </w:rPr>
        <w:t>However, while individual-level explanations offer valuable insight into variation in teacher experiences, they are not without significant criticism. Scholars such as Howard and Johnson (2004) argue that an overemphasis on personal resilience risks obscuring the structural conditions within which burnout occurs. By framing burnout primarily as a function of individual psychological resources, such approaches may inadvertently shift responsibility onto teachers themselves, positioning burnout as a personal deficit rather than a reflection of systemic pressures.</w:t>
      </w:r>
    </w:p>
    <w:p w14:paraId="0B66C36D" w14:textId="77777777" w:rsidR="000733E2" w:rsidRPr="001A2BC0" w:rsidRDefault="000733E2" w:rsidP="000733E2">
      <w:pPr>
        <w:spacing w:line="360" w:lineRule="auto"/>
        <w:rPr>
          <w:rFonts w:ascii="Calibri" w:hAnsi="Calibri" w:cs="Calibri"/>
          <w:sz w:val="24"/>
          <w:szCs w:val="24"/>
        </w:rPr>
      </w:pPr>
      <w:r w:rsidRPr="001A2BC0">
        <w:rPr>
          <w:rFonts w:ascii="Calibri" w:hAnsi="Calibri" w:cs="Calibri"/>
          <w:sz w:val="24"/>
          <w:szCs w:val="24"/>
        </w:rPr>
        <w:t>This critique is particularly salient in the context of NQTs, whose professional identities are still developing and who may be more likely to internalise perceived shortcomings. When burnout is interpreted through an individual lens, early-career teachers may attribute difficulties to personal inadequacy rather than recognising the influence of broader organisational or systemic factors. This has important implications, as it may discourage help-seeking behaviour and reinforce feelings of failure or self-doubt.</w:t>
      </w:r>
    </w:p>
    <w:p w14:paraId="10592471" w14:textId="03CBA1F6" w:rsidR="000733E2" w:rsidRDefault="000733E2" w:rsidP="000733E2">
      <w:pPr>
        <w:spacing w:line="360" w:lineRule="auto"/>
        <w:rPr>
          <w:rFonts w:ascii="Calibri" w:hAnsi="Calibri" w:cs="Calibri"/>
          <w:sz w:val="24"/>
          <w:szCs w:val="24"/>
        </w:rPr>
      </w:pPr>
      <w:r w:rsidRPr="001A2BC0">
        <w:rPr>
          <w:rFonts w:ascii="Calibri" w:hAnsi="Calibri" w:cs="Calibri"/>
          <w:sz w:val="24"/>
          <w:szCs w:val="24"/>
        </w:rPr>
        <w:t>Furthermore, the emphasis on individual coping aligns closely with dominant policy discourses that prioritise resilience and wellbeing interventions, often without addressing underlying structural issues. As a result, while individual-level factors are undeniably important, their prominence within the literature may reflect broader ideological tendencies to individualise responsibility for occupational stress.</w:t>
      </w:r>
    </w:p>
    <w:p w14:paraId="1AFC7666" w14:textId="647A9587" w:rsidR="00F15351" w:rsidRPr="00E459FD" w:rsidRDefault="00F15351" w:rsidP="001A103D">
      <w:pPr>
        <w:pStyle w:val="Heading3"/>
      </w:pPr>
      <w:bookmarkStart w:id="34" w:name="_Toc228136333"/>
      <w:r w:rsidRPr="00E459FD">
        <w:lastRenderedPageBreak/>
        <w:t>3.</w:t>
      </w:r>
      <w:r w:rsidR="001F5D20" w:rsidRPr="00E459FD">
        <w:t>3</w:t>
      </w:r>
      <w:r w:rsidRPr="00E459FD">
        <w:t xml:space="preserve"> Critical Evaluation of Individual-Level Perspectives</w:t>
      </w:r>
      <w:bookmarkEnd w:id="34"/>
    </w:p>
    <w:p w14:paraId="6256DA27" w14:textId="56940F1E" w:rsidR="00F15351" w:rsidRPr="00F15351" w:rsidRDefault="00F15351" w:rsidP="00F15351">
      <w:pPr>
        <w:spacing w:line="360" w:lineRule="auto"/>
        <w:rPr>
          <w:rFonts w:ascii="Calibri" w:hAnsi="Calibri" w:cs="Calibri"/>
          <w:sz w:val="24"/>
          <w:szCs w:val="24"/>
        </w:rPr>
      </w:pPr>
      <w:r w:rsidRPr="00F15351">
        <w:rPr>
          <w:rFonts w:ascii="Calibri" w:hAnsi="Calibri" w:cs="Calibri"/>
          <w:sz w:val="24"/>
          <w:szCs w:val="24"/>
        </w:rPr>
        <w:t>While individual-level explanations offer valuable insight into variations in burnout experiences, they are not without significant methodological and conceptual limitations. A substantial proportion of research in this area relies heavily on self-report measures, most notably t</w:t>
      </w:r>
      <w:r w:rsidR="00B52917">
        <w:rPr>
          <w:rFonts w:ascii="Calibri" w:hAnsi="Calibri" w:cs="Calibri"/>
          <w:sz w:val="24"/>
          <w:szCs w:val="24"/>
        </w:rPr>
        <w:t xml:space="preserve">he </w:t>
      </w:r>
      <w:r w:rsidRPr="00F15351">
        <w:rPr>
          <w:rFonts w:ascii="Calibri" w:hAnsi="Calibri" w:cs="Calibri"/>
          <w:sz w:val="24"/>
          <w:szCs w:val="24"/>
        </w:rPr>
        <w:t>MBI. Although widely validated, such instruments inherently privilege subjective perceptions of stress and exhaustion, which may be influenced by individual disposition, mood, or contextual factors at the time of reporting</w:t>
      </w:r>
      <w:r w:rsidR="00B52917">
        <w:rPr>
          <w:rFonts w:ascii="Calibri" w:hAnsi="Calibri" w:cs="Calibri"/>
          <w:sz w:val="24"/>
          <w:szCs w:val="24"/>
        </w:rPr>
        <w:t xml:space="preserve"> reports </w:t>
      </w:r>
      <w:r w:rsidR="00CE1F5E">
        <w:rPr>
          <w:rFonts w:ascii="Calibri" w:hAnsi="Calibri" w:cs="Calibri"/>
          <w:sz w:val="24"/>
          <w:szCs w:val="24"/>
        </w:rPr>
        <w:t>Dawson (2015)</w:t>
      </w:r>
      <w:r w:rsidRPr="00F15351">
        <w:rPr>
          <w:rFonts w:ascii="Calibri" w:hAnsi="Calibri" w:cs="Calibri"/>
          <w:sz w:val="24"/>
          <w:szCs w:val="24"/>
        </w:rPr>
        <w:t>. As a result, these approaches may capture the symptoms of burnout more effectively than their underlying causes.</w:t>
      </w:r>
    </w:p>
    <w:p w14:paraId="38FC05BA" w14:textId="425A63AA" w:rsidR="00F15351" w:rsidRPr="00F15351" w:rsidRDefault="00F15351" w:rsidP="00F15351">
      <w:pPr>
        <w:spacing w:line="360" w:lineRule="auto"/>
        <w:rPr>
          <w:rFonts w:ascii="Calibri" w:hAnsi="Calibri" w:cs="Calibri"/>
          <w:sz w:val="24"/>
          <w:szCs w:val="24"/>
        </w:rPr>
      </w:pPr>
      <w:r w:rsidRPr="00F15351">
        <w:rPr>
          <w:rFonts w:ascii="Calibri" w:hAnsi="Calibri" w:cs="Calibri"/>
          <w:sz w:val="24"/>
          <w:szCs w:val="24"/>
        </w:rPr>
        <w:t>Furthermore,</w:t>
      </w:r>
      <w:r w:rsidR="005C7E6B">
        <w:rPr>
          <w:rFonts w:ascii="Calibri" w:hAnsi="Calibri" w:cs="Calibri"/>
          <w:sz w:val="24"/>
          <w:szCs w:val="24"/>
        </w:rPr>
        <w:t xml:space="preserve"> </w:t>
      </w:r>
      <w:r w:rsidR="00CE1F5E">
        <w:rPr>
          <w:rFonts w:ascii="Calibri" w:hAnsi="Calibri" w:cs="Calibri"/>
          <w:sz w:val="24"/>
          <w:szCs w:val="24"/>
        </w:rPr>
        <w:t>Chang (2009)</w:t>
      </w:r>
      <w:r w:rsidR="005C7E6B">
        <w:rPr>
          <w:rFonts w:ascii="Calibri" w:hAnsi="Calibri" w:cs="Calibri"/>
          <w:sz w:val="24"/>
          <w:szCs w:val="24"/>
        </w:rPr>
        <w:t xml:space="preserve"> argues</w:t>
      </w:r>
      <w:r w:rsidRPr="00F15351">
        <w:rPr>
          <w:rFonts w:ascii="Calibri" w:hAnsi="Calibri" w:cs="Calibri"/>
          <w:sz w:val="24"/>
          <w:szCs w:val="24"/>
        </w:rPr>
        <w:t xml:space="preserve"> the dominance of psychologically oriented frameworks risks reinforcing an individualised understanding of burnout.</w:t>
      </w:r>
      <w:r w:rsidR="005C7E6B">
        <w:rPr>
          <w:rFonts w:ascii="Calibri" w:hAnsi="Calibri" w:cs="Calibri"/>
          <w:sz w:val="24"/>
          <w:szCs w:val="24"/>
        </w:rPr>
        <w:t xml:space="preserve"> </w:t>
      </w:r>
      <w:r w:rsidR="00CE1F5E">
        <w:rPr>
          <w:rFonts w:ascii="Calibri" w:hAnsi="Calibri" w:cs="Calibri"/>
          <w:sz w:val="24"/>
          <w:szCs w:val="24"/>
        </w:rPr>
        <w:t>Li (2023)</w:t>
      </w:r>
      <w:r w:rsidR="005C7E6B">
        <w:rPr>
          <w:rFonts w:ascii="Calibri" w:hAnsi="Calibri" w:cs="Calibri"/>
          <w:sz w:val="24"/>
          <w:szCs w:val="24"/>
        </w:rPr>
        <w:t xml:space="preserve"> champions this notion asserting</w:t>
      </w:r>
      <w:r w:rsidRPr="00F15351">
        <w:rPr>
          <w:rFonts w:ascii="Calibri" w:hAnsi="Calibri" w:cs="Calibri"/>
          <w:sz w:val="24"/>
          <w:szCs w:val="24"/>
        </w:rPr>
        <w:t xml:space="preserve"> </w:t>
      </w:r>
      <w:r w:rsidR="005C7E6B">
        <w:rPr>
          <w:rFonts w:ascii="Calibri" w:hAnsi="Calibri" w:cs="Calibri"/>
          <w:sz w:val="24"/>
          <w:szCs w:val="24"/>
        </w:rPr>
        <w:t>b</w:t>
      </w:r>
      <w:r w:rsidRPr="00F15351">
        <w:rPr>
          <w:rFonts w:ascii="Calibri" w:hAnsi="Calibri" w:cs="Calibri"/>
          <w:sz w:val="24"/>
          <w:szCs w:val="24"/>
        </w:rPr>
        <w:t>y focusing on constructs such as resilience, coping strategies, and self-efficacy, the literature may inadvertently position burnout as a reflection of personal inadequacy rather than a response to structural conditions. This has important implications, particularly for NQTs, who may internalise difficulties as personal failure rather than recognising the influence of external pressures</w:t>
      </w:r>
      <w:r w:rsidR="00C000F2">
        <w:rPr>
          <w:rFonts w:ascii="Calibri" w:hAnsi="Calibri" w:cs="Calibri"/>
          <w:sz w:val="24"/>
          <w:szCs w:val="24"/>
        </w:rPr>
        <w:t xml:space="preserve"> </w:t>
      </w:r>
      <w:r w:rsidR="006F6EC4">
        <w:rPr>
          <w:rFonts w:ascii="Calibri" w:hAnsi="Calibri" w:cs="Calibri"/>
          <w:sz w:val="24"/>
          <w:szCs w:val="24"/>
        </w:rPr>
        <w:t>(Quickfall, Wood and Clarke, 2022)</w:t>
      </w:r>
      <w:r w:rsidRPr="00F15351">
        <w:rPr>
          <w:rFonts w:ascii="Calibri" w:hAnsi="Calibri" w:cs="Calibri"/>
          <w:sz w:val="24"/>
          <w:szCs w:val="24"/>
        </w:rPr>
        <w:t>. In this sense, individual-level perspectives can contribute to what the</w:t>
      </w:r>
      <w:r w:rsidR="00F43823">
        <w:rPr>
          <w:rFonts w:ascii="Calibri" w:hAnsi="Calibri" w:cs="Calibri"/>
          <w:sz w:val="24"/>
          <w:szCs w:val="24"/>
        </w:rPr>
        <w:t xml:space="preserve"> responsibilities</w:t>
      </w:r>
      <w:r w:rsidRPr="00F15351">
        <w:rPr>
          <w:rFonts w:ascii="Calibri" w:hAnsi="Calibri" w:cs="Calibri"/>
          <w:sz w:val="24"/>
          <w:szCs w:val="24"/>
        </w:rPr>
        <w:t xml:space="preserve"> of teachers, where the burden of managing stress is placed primarily on the individual rather than the system in which they operate.</w:t>
      </w:r>
    </w:p>
    <w:p w14:paraId="37747834" w14:textId="358B53EF" w:rsidR="00F15351" w:rsidRPr="00F15351" w:rsidRDefault="00F15351" w:rsidP="00F15351">
      <w:pPr>
        <w:spacing w:line="360" w:lineRule="auto"/>
        <w:rPr>
          <w:rFonts w:ascii="Calibri" w:hAnsi="Calibri" w:cs="Calibri"/>
          <w:sz w:val="24"/>
          <w:szCs w:val="24"/>
        </w:rPr>
      </w:pPr>
      <w:r w:rsidRPr="00F15351">
        <w:rPr>
          <w:rFonts w:ascii="Calibri" w:hAnsi="Calibri" w:cs="Calibri"/>
          <w:sz w:val="24"/>
          <w:szCs w:val="24"/>
        </w:rPr>
        <w:t>In addition, much of the existing research adopts cross-sectional designs, limiting the ability to capture the evolving nature of burnout over time. For early-career teachers, whose professional identities and coping capacities are still developing, burnout is likely to be a dynamic process rather than a static condition</w:t>
      </w:r>
      <w:r w:rsidR="001F5D20">
        <w:rPr>
          <w:rFonts w:ascii="Calibri" w:hAnsi="Calibri" w:cs="Calibri"/>
          <w:sz w:val="24"/>
          <w:szCs w:val="24"/>
        </w:rPr>
        <w:t xml:space="preserve"> </w:t>
      </w:r>
      <w:r w:rsidR="006F6EC4">
        <w:rPr>
          <w:rFonts w:ascii="Calibri" w:hAnsi="Calibri" w:cs="Calibri"/>
          <w:sz w:val="24"/>
          <w:szCs w:val="24"/>
        </w:rPr>
        <w:t>(Hong, Day and Greene, 2018)</w:t>
      </w:r>
      <w:r w:rsidRPr="00F15351">
        <w:rPr>
          <w:rFonts w:ascii="Calibri" w:hAnsi="Calibri" w:cs="Calibri"/>
          <w:sz w:val="24"/>
          <w:szCs w:val="24"/>
        </w:rPr>
        <w:t>. The absence of longitudinal approaches therefore restricts understanding of how individual factors interact with changing organisational and systemic contexts throughout the early stages of a teaching career.</w:t>
      </w:r>
    </w:p>
    <w:p w14:paraId="49273C7B" w14:textId="7F44FEAB" w:rsidR="00F15351" w:rsidRPr="001A2BC0" w:rsidRDefault="00F15351" w:rsidP="000733E2">
      <w:pPr>
        <w:spacing w:line="360" w:lineRule="auto"/>
        <w:rPr>
          <w:rFonts w:ascii="Calibri" w:hAnsi="Calibri" w:cs="Calibri"/>
          <w:sz w:val="24"/>
          <w:szCs w:val="24"/>
        </w:rPr>
      </w:pPr>
      <w:r w:rsidRPr="00F15351">
        <w:rPr>
          <w:rFonts w:ascii="Calibri" w:hAnsi="Calibri" w:cs="Calibri"/>
          <w:sz w:val="24"/>
          <w:szCs w:val="24"/>
        </w:rPr>
        <w:t>Taken together, these limitations suggest that while individual-level perspectives are useful for understanding how burnout is experienced, they are insufficient in isolation. A more comprehensive account requires situating these experiences within the broader organisational and systemic environments that shape them.</w:t>
      </w:r>
    </w:p>
    <w:p w14:paraId="46D7C8A9" w14:textId="14E2F543" w:rsidR="000733E2" w:rsidRPr="00E459FD" w:rsidRDefault="000733E2" w:rsidP="001A103D">
      <w:pPr>
        <w:pStyle w:val="Heading3"/>
      </w:pPr>
      <w:bookmarkStart w:id="35" w:name="_Toc228136334"/>
      <w:r w:rsidRPr="00E459FD">
        <w:lastRenderedPageBreak/>
        <w:t>3.</w:t>
      </w:r>
      <w:r w:rsidR="001F5D20" w:rsidRPr="00E459FD">
        <w:t>4</w:t>
      </w:r>
      <w:r w:rsidRPr="00E459FD">
        <w:t xml:space="preserve"> Organisational-Level Factors</w:t>
      </w:r>
      <w:bookmarkEnd w:id="35"/>
    </w:p>
    <w:p w14:paraId="5F39D9C9" w14:textId="77777777" w:rsidR="000733E2" w:rsidRPr="001A2BC0" w:rsidRDefault="000733E2" w:rsidP="000733E2">
      <w:pPr>
        <w:spacing w:line="360" w:lineRule="auto"/>
        <w:rPr>
          <w:rFonts w:ascii="Calibri" w:hAnsi="Calibri" w:cs="Calibri"/>
          <w:sz w:val="24"/>
          <w:szCs w:val="24"/>
        </w:rPr>
      </w:pPr>
      <w:r w:rsidRPr="001A2BC0">
        <w:rPr>
          <w:rFonts w:ascii="Calibri" w:hAnsi="Calibri" w:cs="Calibri"/>
          <w:sz w:val="24"/>
          <w:szCs w:val="24"/>
        </w:rPr>
        <w:t>While individual characteristics are frequently emphasised, a substantial body of literature highlights the critical role of organisational conditions in shaping burnout among NQTs. The immediate working environment, including workload, leadership practices, mentoring structures, and school culture, plays a central role in determining how early-career teachers experience and manage professional demands (Zhukova, 2018; Sohail et al., 2023).</w:t>
      </w:r>
    </w:p>
    <w:p w14:paraId="4964D0A1" w14:textId="77777777" w:rsidR="000733E2" w:rsidRPr="001A2BC0" w:rsidRDefault="000733E2" w:rsidP="000733E2">
      <w:pPr>
        <w:spacing w:line="360" w:lineRule="auto"/>
        <w:rPr>
          <w:rFonts w:ascii="Calibri" w:hAnsi="Calibri" w:cs="Calibri"/>
          <w:sz w:val="24"/>
          <w:szCs w:val="24"/>
        </w:rPr>
      </w:pPr>
      <w:r w:rsidRPr="001A2BC0">
        <w:rPr>
          <w:rFonts w:ascii="Calibri" w:hAnsi="Calibri" w:cs="Calibri"/>
          <w:sz w:val="24"/>
          <w:szCs w:val="24"/>
        </w:rPr>
        <w:t>Workload remains one of the most consistently identified organisational contributors to burnout. NQTs often report experiencing high levels of administrative responsibility, lesson planning demands, and assessment requirements, in addition to the challenges associated with developing effective classroom practice (Ashby et al., 2008). The transition from teacher training to full professional responsibility frequently involves a substantial increase in workload intensity, which can be difficult to manage without adequate support. Importantly, it is not only the volume of work that contributes to burnout, but also its perceived nature. Tasks that are experienced as bureaucratic or lacking direct relevance to teaching and learning may contribute to reduced job satisfaction and increased emotional exhaustion.</w:t>
      </w:r>
    </w:p>
    <w:p w14:paraId="3BA49DCF" w14:textId="77777777" w:rsidR="000733E2" w:rsidRPr="001A2BC0" w:rsidRDefault="000733E2" w:rsidP="000733E2">
      <w:pPr>
        <w:spacing w:line="360" w:lineRule="auto"/>
        <w:rPr>
          <w:rFonts w:ascii="Calibri" w:hAnsi="Calibri" w:cs="Calibri"/>
          <w:sz w:val="24"/>
          <w:szCs w:val="24"/>
        </w:rPr>
      </w:pPr>
      <w:r w:rsidRPr="001A2BC0">
        <w:rPr>
          <w:rFonts w:ascii="Calibri" w:hAnsi="Calibri" w:cs="Calibri"/>
          <w:sz w:val="24"/>
          <w:szCs w:val="24"/>
        </w:rPr>
        <w:t>Leadership practices represent another key organisational factor. Supportive leadership characterised by clear communication, constructive feedback, and recognition of early-career challenges has been shown to mitigate the risk of burnout (Squires, 2019). In contrast, environments characterised by limited guidance, high accountability pressure, or inconsistent expectations may exacerbate stress among NQTs (Richards, Hemphill and Templin, 2018). Leadership therefore functions as a critical mediating factor, shaping how organisational demands are experienced at an individual level.</w:t>
      </w:r>
    </w:p>
    <w:p w14:paraId="3546E890" w14:textId="77777777" w:rsidR="000733E2" w:rsidRPr="001A2BC0" w:rsidRDefault="000733E2" w:rsidP="000733E2">
      <w:pPr>
        <w:spacing w:line="360" w:lineRule="auto"/>
        <w:rPr>
          <w:rFonts w:ascii="Calibri" w:hAnsi="Calibri" w:cs="Calibri"/>
          <w:sz w:val="24"/>
          <w:szCs w:val="24"/>
        </w:rPr>
      </w:pPr>
      <w:r w:rsidRPr="001A2BC0">
        <w:rPr>
          <w:rFonts w:ascii="Calibri" w:hAnsi="Calibri" w:cs="Calibri"/>
          <w:sz w:val="24"/>
          <w:szCs w:val="24"/>
        </w:rPr>
        <w:t>Mentoring and induction programmes further illustrate the importance of organisational context. Effective mentoring relationships can provide emotional reassurance, practical guidance, and opportunities for reflective dialogue, all of which support professional development and reduce feelings of isolation (Connor and Pokora, 2017). However, the literature highlights considerable variability in the quality and consistency of mentoring provision (</w:t>
      </w:r>
      <w:proofErr w:type="spellStart"/>
      <w:r w:rsidRPr="001A2BC0">
        <w:rPr>
          <w:rFonts w:ascii="Calibri" w:hAnsi="Calibri" w:cs="Calibri"/>
          <w:sz w:val="24"/>
          <w:szCs w:val="24"/>
        </w:rPr>
        <w:t>Kutsyuruba</w:t>
      </w:r>
      <w:proofErr w:type="spellEnd"/>
      <w:r w:rsidRPr="001A2BC0">
        <w:rPr>
          <w:rFonts w:ascii="Calibri" w:hAnsi="Calibri" w:cs="Calibri"/>
          <w:sz w:val="24"/>
          <w:szCs w:val="24"/>
        </w:rPr>
        <w:t xml:space="preserve">, Godden and Walker, 2020). Where mentoring is informal, </w:t>
      </w:r>
      <w:r w:rsidRPr="001A2BC0">
        <w:rPr>
          <w:rFonts w:ascii="Calibri" w:hAnsi="Calibri" w:cs="Calibri"/>
          <w:sz w:val="24"/>
          <w:szCs w:val="24"/>
        </w:rPr>
        <w:lastRenderedPageBreak/>
        <w:t>inconsistent, or overly evaluative, its potential to mitigate burnout may be significantly reduced.</w:t>
      </w:r>
    </w:p>
    <w:p w14:paraId="7C54B865" w14:textId="77777777" w:rsidR="000733E2" w:rsidRPr="001A2BC0" w:rsidRDefault="000733E2" w:rsidP="000733E2">
      <w:pPr>
        <w:spacing w:line="360" w:lineRule="auto"/>
        <w:rPr>
          <w:rFonts w:ascii="Calibri" w:hAnsi="Calibri" w:cs="Calibri"/>
          <w:sz w:val="24"/>
          <w:szCs w:val="24"/>
        </w:rPr>
      </w:pPr>
      <w:r w:rsidRPr="001A2BC0">
        <w:rPr>
          <w:rFonts w:ascii="Calibri" w:hAnsi="Calibri" w:cs="Calibri"/>
          <w:sz w:val="24"/>
          <w:szCs w:val="24"/>
        </w:rPr>
        <w:t>School culture more broadly also plays a significant role in shaping NQT experiences. Collaborative environments characterised by trust, open communication, and shared practice can foster a sense of belonging and collective efficacy (Little, 2016). In contrast, competitive or fragmented cultures may intensify feelings of vulnerability and isolation among early-career teachers (Zarabi and Amirian, 2025). These findings reinforce the argument that burnout is not simply an individual experience but is deeply embedded within organisational dynamics.</w:t>
      </w:r>
    </w:p>
    <w:p w14:paraId="152BC538" w14:textId="2CBC9844" w:rsidR="000733E2" w:rsidRDefault="000733E2" w:rsidP="000733E2">
      <w:pPr>
        <w:spacing w:line="360" w:lineRule="auto"/>
        <w:rPr>
          <w:rFonts w:ascii="Calibri" w:hAnsi="Calibri" w:cs="Calibri"/>
          <w:sz w:val="24"/>
          <w:szCs w:val="24"/>
        </w:rPr>
      </w:pPr>
      <w:r w:rsidRPr="001A2BC0">
        <w:rPr>
          <w:rFonts w:ascii="Calibri" w:hAnsi="Calibri" w:cs="Calibri"/>
          <w:sz w:val="24"/>
          <w:szCs w:val="24"/>
        </w:rPr>
        <w:t>Despite growing recognition of organisational influences, some scholars argue that research continues to prioritise individual coping strategies over institutional accountability (Dworkin, 2009). While organisational factors are frequently acknowledged, proposed interventions often focus on enhancing teacher resilience rather than addressing structural features of school environments. This imbalance highlights a persistent tension within the literature regarding where responsibility for burnout is located and how it should be addressed.</w:t>
      </w:r>
    </w:p>
    <w:p w14:paraId="36CEF203" w14:textId="6FE938F1" w:rsidR="00673ABE" w:rsidRPr="00E459FD" w:rsidRDefault="00673ABE" w:rsidP="001A103D">
      <w:pPr>
        <w:pStyle w:val="Heading3"/>
      </w:pPr>
      <w:bookmarkStart w:id="36" w:name="_Toc228136335"/>
      <w:r w:rsidRPr="00E459FD">
        <w:t>3.</w:t>
      </w:r>
      <w:r w:rsidR="00CE1F5E" w:rsidRPr="00E459FD">
        <w:t>5</w:t>
      </w:r>
      <w:r w:rsidRPr="00E459FD">
        <w:t xml:space="preserve"> Critical Evaluation of Organisational-Level Research</w:t>
      </w:r>
      <w:bookmarkEnd w:id="36"/>
    </w:p>
    <w:p w14:paraId="3C273131" w14:textId="77777777" w:rsidR="00673ABE" w:rsidRPr="00CE1F5E" w:rsidRDefault="00673ABE" w:rsidP="00673ABE">
      <w:pPr>
        <w:spacing w:line="360" w:lineRule="auto"/>
        <w:rPr>
          <w:rFonts w:ascii="Calibri" w:hAnsi="Calibri" w:cs="Calibri"/>
          <w:color w:val="000000" w:themeColor="text1"/>
          <w:sz w:val="24"/>
          <w:szCs w:val="24"/>
        </w:rPr>
      </w:pPr>
      <w:r w:rsidRPr="00CE1F5E">
        <w:rPr>
          <w:rFonts w:ascii="Calibri" w:hAnsi="Calibri" w:cs="Calibri"/>
          <w:color w:val="000000" w:themeColor="text1"/>
          <w:sz w:val="24"/>
          <w:szCs w:val="24"/>
        </w:rPr>
        <w:t>Although organisational factors are widely recognised as central to teacher burnout, the literature in this area also presents several limitations. One notable issue is the tendency to treat schools as relatively uniform environments, often overlooking the complexity and variability of organisational cultures. In practice, schools differ significantly in terms of leadership styles, resource allocation, staff relationships, and institutional priorities. As such, generalisations about “school culture” or “leadership effectiveness” may obscure important contextual differences that shape NQTs’ experiences.</w:t>
      </w:r>
    </w:p>
    <w:p w14:paraId="4697060F" w14:textId="77777777" w:rsidR="00673ABE" w:rsidRPr="00CE1F5E" w:rsidRDefault="00673ABE" w:rsidP="00673ABE">
      <w:pPr>
        <w:spacing w:line="360" w:lineRule="auto"/>
        <w:rPr>
          <w:rFonts w:ascii="Calibri" w:hAnsi="Calibri" w:cs="Calibri"/>
          <w:color w:val="000000" w:themeColor="text1"/>
          <w:sz w:val="24"/>
          <w:szCs w:val="24"/>
        </w:rPr>
      </w:pPr>
      <w:r w:rsidRPr="00CE1F5E">
        <w:rPr>
          <w:rFonts w:ascii="Calibri" w:hAnsi="Calibri" w:cs="Calibri"/>
          <w:color w:val="000000" w:themeColor="text1"/>
          <w:sz w:val="24"/>
          <w:szCs w:val="24"/>
        </w:rPr>
        <w:t>Additionally, while organisational factors such as workload and leadership are frequently identified, they are not always theorised in depth. Many studies describe these elements descriptively without fully exploring the mechanisms through which they influence burnout. For example, while high workload is consistently associated with emotional exhaustion, fewer studies critically examine how workload is constructed, distributed, or experienced within specific organisational contexts. This limits the explanatory power of the research and reinforces a somewhat surface-level understanding of organisational influence.</w:t>
      </w:r>
    </w:p>
    <w:p w14:paraId="2AD03E73" w14:textId="77777777" w:rsidR="00673ABE" w:rsidRPr="00CE1F5E" w:rsidRDefault="00673ABE" w:rsidP="00673ABE">
      <w:pPr>
        <w:spacing w:line="360" w:lineRule="auto"/>
        <w:rPr>
          <w:rFonts w:ascii="Calibri" w:hAnsi="Calibri" w:cs="Calibri"/>
          <w:color w:val="000000" w:themeColor="text1"/>
          <w:sz w:val="24"/>
          <w:szCs w:val="24"/>
        </w:rPr>
      </w:pPr>
      <w:r w:rsidRPr="00CE1F5E">
        <w:rPr>
          <w:rFonts w:ascii="Calibri" w:hAnsi="Calibri" w:cs="Calibri"/>
          <w:color w:val="000000" w:themeColor="text1"/>
          <w:sz w:val="24"/>
          <w:szCs w:val="24"/>
        </w:rPr>
        <w:lastRenderedPageBreak/>
        <w:t>Another limitation concerns the relative scarcity of longitudinal and ethnographic research within this domain. Much of the literature relies on survey-based methodologies, which may capture broad trends but offer limited insight into the day-to-day realities of school life. As a result, the lived experiences of NQTs within organisational settings may be underrepresented, particularly in relation to how support structures such as mentoring are enacted in practice.</w:t>
      </w:r>
    </w:p>
    <w:p w14:paraId="50EB73EF" w14:textId="52056C86" w:rsidR="00673ABE" w:rsidRPr="00CE1F5E" w:rsidRDefault="00673ABE" w:rsidP="000733E2">
      <w:pPr>
        <w:spacing w:line="360" w:lineRule="auto"/>
        <w:rPr>
          <w:rFonts w:ascii="Calibri" w:hAnsi="Calibri" w:cs="Calibri"/>
          <w:color w:val="000000" w:themeColor="text1"/>
          <w:sz w:val="24"/>
          <w:szCs w:val="24"/>
        </w:rPr>
      </w:pPr>
      <w:r w:rsidRPr="00CE1F5E">
        <w:rPr>
          <w:rFonts w:ascii="Calibri" w:hAnsi="Calibri" w:cs="Calibri"/>
          <w:color w:val="000000" w:themeColor="text1"/>
          <w:sz w:val="24"/>
          <w:szCs w:val="24"/>
        </w:rPr>
        <w:t>Furthermore, there remains a tendency within some strands of the literature to acknowledge organisational factors while still framing solutions in terms of individual adaptation. This reflects a broader tension between recognising structural influences and maintaining an emphasis on personal responsibility. Consequently, while organisational research represents a shift away from purely individualised explanations, it does not always fully challenge the underlying assumptions that position burnout as an issue to be managed at the individual level.</w:t>
      </w:r>
    </w:p>
    <w:p w14:paraId="4B39A872" w14:textId="19E408F3" w:rsidR="000733E2" w:rsidRPr="00E459FD" w:rsidRDefault="000733E2" w:rsidP="001A103D">
      <w:pPr>
        <w:pStyle w:val="Heading3"/>
      </w:pPr>
      <w:bookmarkStart w:id="37" w:name="_Toc228136336"/>
      <w:r w:rsidRPr="00E459FD">
        <w:t>3.</w:t>
      </w:r>
      <w:r w:rsidR="00CE1F5E" w:rsidRPr="00E459FD">
        <w:t>6</w:t>
      </w:r>
      <w:r w:rsidRPr="00E459FD">
        <w:t xml:space="preserve"> Systemic and Policy-Level Factors</w:t>
      </w:r>
      <w:bookmarkEnd w:id="37"/>
    </w:p>
    <w:p w14:paraId="7DFFF29B" w14:textId="77777777" w:rsidR="000733E2" w:rsidRPr="001A2BC0" w:rsidRDefault="000733E2" w:rsidP="000733E2">
      <w:pPr>
        <w:spacing w:line="360" w:lineRule="auto"/>
        <w:rPr>
          <w:rFonts w:ascii="Calibri" w:hAnsi="Calibri" w:cs="Calibri"/>
          <w:sz w:val="24"/>
          <w:szCs w:val="24"/>
        </w:rPr>
      </w:pPr>
      <w:r w:rsidRPr="001A2BC0">
        <w:rPr>
          <w:rFonts w:ascii="Calibri" w:hAnsi="Calibri" w:cs="Calibri"/>
          <w:sz w:val="24"/>
          <w:szCs w:val="24"/>
        </w:rPr>
        <w:t>Beyond individual and organisational influences, an increasing body of research situates teacher burnout within broader systemic and policy contexts. Educational systems operate within complex regulatory frameworks characterised by accountability mechanisms, curriculum reform, performance monitoring, and external evaluation (</w:t>
      </w:r>
      <w:proofErr w:type="spellStart"/>
      <w:r w:rsidRPr="001A2BC0">
        <w:rPr>
          <w:rFonts w:ascii="Calibri" w:hAnsi="Calibri" w:cs="Calibri"/>
          <w:sz w:val="24"/>
          <w:szCs w:val="24"/>
        </w:rPr>
        <w:t>Volkwein</w:t>
      </w:r>
      <w:proofErr w:type="spellEnd"/>
      <w:r w:rsidRPr="001A2BC0">
        <w:rPr>
          <w:rFonts w:ascii="Calibri" w:hAnsi="Calibri" w:cs="Calibri"/>
          <w:sz w:val="24"/>
          <w:szCs w:val="24"/>
        </w:rPr>
        <w:t>, 2010). These systemic pressures shape working conditions within schools and, consequently, influence the experiences of NQTs (</w:t>
      </w:r>
      <w:proofErr w:type="spellStart"/>
      <w:r w:rsidRPr="001A2BC0">
        <w:rPr>
          <w:rFonts w:ascii="Calibri" w:hAnsi="Calibri" w:cs="Calibri"/>
          <w:sz w:val="24"/>
          <w:szCs w:val="24"/>
        </w:rPr>
        <w:t>Aspfors</w:t>
      </w:r>
      <w:proofErr w:type="spellEnd"/>
      <w:r w:rsidRPr="001A2BC0">
        <w:rPr>
          <w:rFonts w:ascii="Calibri" w:hAnsi="Calibri" w:cs="Calibri"/>
          <w:sz w:val="24"/>
          <w:szCs w:val="24"/>
        </w:rPr>
        <w:t xml:space="preserve"> and </w:t>
      </w:r>
      <w:proofErr w:type="spellStart"/>
      <w:r w:rsidRPr="001A2BC0">
        <w:rPr>
          <w:rFonts w:ascii="Calibri" w:hAnsi="Calibri" w:cs="Calibri"/>
          <w:sz w:val="24"/>
          <w:szCs w:val="24"/>
        </w:rPr>
        <w:t>Bondas</w:t>
      </w:r>
      <w:proofErr w:type="spellEnd"/>
      <w:r w:rsidRPr="001A2BC0">
        <w:rPr>
          <w:rFonts w:ascii="Calibri" w:hAnsi="Calibri" w:cs="Calibri"/>
          <w:sz w:val="24"/>
          <w:szCs w:val="24"/>
        </w:rPr>
        <w:t>, 2013).</w:t>
      </w:r>
    </w:p>
    <w:p w14:paraId="5F0B124D" w14:textId="77777777" w:rsidR="000733E2" w:rsidRPr="001A2BC0" w:rsidRDefault="000733E2" w:rsidP="000733E2">
      <w:pPr>
        <w:spacing w:line="360" w:lineRule="auto"/>
        <w:rPr>
          <w:rFonts w:ascii="Calibri" w:hAnsi="Calibri" w:cs="Calibri"/>
          <w:sz w:val="24"/>
          <w:szCs w:val="24"/>
        </w:rPr>
      </w:pPr>
      <w:r w:rsidRPr="001A2BC0">
        <w:rPr>
          <w:rFonts w:ascii="Calibri" w:hAnsi="Calibri" w:cs="Calibri"/>
          <w:sz w:val="24"/>
          <w:szCs w:val="24"/>
        </w:rPr>
        <w:t>One of the most frequently cited systemic factors is the expansion of accountability regimes. High-stakes inspection frameworks, performance metrics, and data-driven evaluation practices have become increasingly prominent within contemporary education systems (Bigger, 2006). While these mechanisms are intended to improve educational standards and ensure consistency, they may also contribute to intensified professional pressure and increased administrative workload (Stacey, McGrath-Champ and Wilson, 2023). For NQTs, entering the profession within such environments may heighten perceptions of scrutiny and performance anxiety, increasing susceptibility to burnout.</w:t>
      </w:r>
    </w:p>
    <w:p w14:paraId="46CA06B0" w14:textId="77777777" w:rsidR="000733E2" w:rsidRPr="001A2BC0" w:rsidRDefault="000733E2" w:rsidP="000733E2">
      <w:pPr>
        <w:spacing w:line="360" w:lineRule="auto"/>
        <w:rPr>
          <w:rFonts w:ascii="Calibri" w:hAnsi="Calibri" w:cs="Calibri"/>
          <w:sz w:val="24"/>
          <w:szCs w:val="24"/>
        </w:rPr>
      </w:pPr>
      <w:r w:rsidRPr="001A2BC0">
        <w:rPr>
          <w:rFonts w:ascii="Calibri" w:hAnsi="Calibri" w:cs="Calibri"/>
          <w:sz w:val="24"/>
          <w:szCs w:val="24"/>
        </w:rPr>
        <w:t xml:space="preserve">Curriculum reform represents another significant systemic influence. Educational change often requires teachers to adapt rapidly to new pedagogical approaches, assessment </w:t>
      </w:r>
      <w:r w:rsidRPr="001A2BC0">
        <w:rPr>
          <w:rFonts w:ascii="Calibri" w:hAnsi="Calibri" w:cs="Calibri"/>
          <w:sz w:val="24"/>
          <w:szCs w:val="24"/>
        </w:rPr>
        <w:lastRenderedPageBreak/>
        <w:t>practices, and curricular expectations (Tarling and Ng’ambi, 2016). While experienced teachers may draw on established knowledge to navigate such changes, NQTs face the additional challenge of developing foundational teaching competence while simultaneously responding to evolving policy demands. This dual burden can significantly increase both cognitive and emotional load during the early stages of a teaching career (Zarabi and Amirian, 2025).</w:t>
      </w:r>
    </w:p>
    <w:p w14:paraId="4F6F6B4C" w14:textId="77777777" w:rsidR="000733E2" w:rsidRPr="001A2BC0" w:rsidRDefault="000733E2" w:rsidP="000733E2">
      <w:pPr>
        <w:spacing w:line="360" w:lineRule="auto"/>
        <w:rPr>
          <w:rFonts w:ascii="Calibri" w:hAnsi="Calibri" w:cs="Calibri"/>
          <w:sz w:val="24"/>
          <w:szCs w:val="24"/>
        </w:rPr>
      </w:pPr>
      <w:r w:rsidRPr="001A2BC0">
        <w:rPr>
          <w:rFonts w:ascii="Calibri" w:hAnsi="Calibri" w:cs="Calibri"/>
          <w:sz w:val="24"/>
          <w:szCs w:val="24"/>
        </w:rPr>
        <w:t>Within the Welsh context, these pressures are further intensified by ongoing educational reform. The introduction of the Curriculum for Wales has reshaped expectations around teaching and learning, emphasising flexibility, creativity, and professional autonomy. While these reforms aim to empower teachers, they also introduce a degree of uncertainty, particularly for those at the beginning of their careers. The expectation that NQTs exercise professional judgement in relatively complex and evolving contexts may contribute to feelings of insecurity and heightened responsibility (Waters, 2020).</w:t>
      </w:r>
    </w:p>
    <w:p w14:paraId="035163FC" w14:textId="6C5CDF80" w:rsidR="000733E2" w:rsidRDefault="000733E2" w:rsidP="000733E2">
      <w:pPr>
        <w:spacing w:line="360" w:lineRule="auto"/>
        <w:rPr>
          <w:rFonts w:ascii="Calibri" w:hAnsi="Calibri" w:cs="Calibri"/>
          <w:sz w:val="24"/>
          <w:szCs w:val="24"/>
        </w:rPr>
      </w:pPr>
      <w:r w:rsidRPr="001A2BC0">
        <w:rPr>
          <w:rFonts w:ascii="Calibri" w:hAnsi="Calibri" w:cs="Calibri"/>
          <w:sz w:val="24"/>
          <w:szCs w:val="24"/>
        </w:rPr>
        <w:t>Increasingly, scholars argue that systemic pressures should be considered central to explanations of teacher burnout, rather than peripheral. However, despite this recognition, many empirical studies continue to prioritise individual-level outcomes without fully engaging with the structural conditions that give rise to them. This imbalance has important implications. When burnout is framed primarily as an individual issue, responsibility for managing stress is implicitly placed on teachers themselves. In contrast, a structural perspective emphasises the need to examine policy environments, accountability systems, and institutional practices that shape working conditions across the profession.</w:t>
      </w:r>
    </w:p>
    <w:p w14:paraId="3027A8FD" w14:textId="47891472" w:rsidR="001A2A97" w:rsidRDefault="001A2A97" w:rsidP="000733E2">
      <w:pPr>
        <w:spacing w:line="360" w:lineRule="auto"/>
        <w:rPr>
          <w:rFonts w:ascii="Calibri" w:hAnsi="Calibri" w:cs="Calibri"/>
          <w:sz w:val="24"/>
          <w:szCs w:val="24"/>
        </w:rPr>
      </w:pPr>
      <w:r w:rsidRPr="001A2A97">
        <w:rPr>
          <w:rFonts w:ascii="Calibri" w:hAnsi="Calibri" w:cs="Calibri"/>
          <w:sz w:val="24"/>
          <w:szCs w:val="24"/>
        </w:rPr>
        <w:t>While the existing literature provides valuable insight into the factors contributing to burnout among early career teachers, much of this research is situated within non-Welsh contexts. As such, there remains a need to consider how these findings translate within the distinct policy and structural landscape of Wales.</w:t>
      </w:r>
    </w:p>
    <w:p w14:paraId="330577A0" w14:textId="287270FD" w:rsidR="00070E06" w:rsidRPr="00E459FD" w:rsidRDefault="00070E06" w:rsidP="001A103D">
      <w:pPr>
        <w:pStyle w:val="Heading3"/>
      </w:pPr>
      <w:bookmarkStart w:id="38" w:name="_Toc228136337"/>
      <w:r w:rsidRPr="00E459FD">
        <w:t>3.</w:t>
      </w:r>
      <w:r w:rsidR="00275C24">
        <w:t>7</w:t>
      </w:r>
      <w:r w:rsidRPr="00E459FD">
        <w:t xml:space="preserve"> </w:t>
      </w:r>
      <w:r w:rsidRPr="00E459FD">
        <w:t>The Welsh Policy Context and Implications for Early Career Teacher Burnout</w:t>
      </w:r>
      <w:bookmarkEnd w:id="38"/>
    </w:p>
    <w:p w14:paraId="259C0382" w14:textId="466BD0BA" w:rsidR="00070E06" w:rsidRPr="00070E06" w:rsidRDefault="00070E06" w:rsidP="00070E06">
      <w:pPr>
        <w:spacing w:line="360" w:lineRule="auto"/>
        <w:rPr>
          <w:rFonts w:ascii="Calibri" w:hAnsi="Calibri" w:cs="Calibri"/>
          <w:sz w:val="24"/>
          <w:szCs w:val="24"/>
        </w:rPr>
      </w:pPr>
      <w:r w:rsidRPr="00070E06">
        <w:rPr>
          <w:rFonts w:ascii="Calibri" w:hAnsi="Calibri" w:cs="Calibri"/>
          <w:sz w:val="24"/>
          <w:szCs w:val="24"/>
        </w:rPr>
        <w:t>The Welsh educational context provides a distinctive policy and structural backdrop through which the factors contributing to burnout among NQTs can be more critically understood. In Wales, recent reforms</w:t>
      </w:r>
      <w:r>
        <w:rPr>
          <w:rFonts w:ascii="Calibri" w:hAnsi="Calibri" w:cs="Calibri"/>
          <w:sz w:val="24"/>
          <w:szCs w:val="24"/>
        </w:rPr>
        <w:t xml:space="preserve"> </w:t>
      </w:r>
      <w:r w:rsidRPr="00070E06">
        <w:rPr>
          <w:rFonts w:ascii="Calibri" w:hAnsi="Calibri" w:cs="Calibri"/>
          <w:sz w:val="24"/>
          <w:szCs w:val="24"/>
        </w:rPr>
        <w:t>most notably the introduction of the Curriculum for Wales</w:t>
      </w:r>
      <w:r>
        <w:rPr>
          <w:rFonts w:ascii="Calibri" w:hAnsi="Calibri" w:cs="Calibri"/>
          <w:sz w:val="24"/>
          <w:szCs w:val="24"/>
        </w:rPr>
        <w:t xml:space="preserve"> (Welsh </w:t>
      </w:r>
      <w:r>
        <w:rPr>
          <w:rFonts w:ascii="Calibri" w:hAnsi="Calibri" w:cs="Calibri"/>
          <w:sz w:val="24"/>
          <w:szCs w:val="24"/>
        </w:rPr>
        <w:lastRenderedPageBreak/>
        <w:t xml:space="preserve">Government, 2020) </w:t>
      </w:r>
      <w:r w:rsidRPr="00070E06">
        <w:rPr>
          <w:rFonts w:ascii="Calibri" w:hAnsi="Calibri" w:cs="Calibri"/>
          <w:sz w:val="24"/>
          <w:szCs w:val="24"/>
        </w:rPr>
        <w:t>have reshaped expectations placed upon teachers, emphasising professional autonomy, curriculum co-construction, and reduced reliance on high-stakes accountability frameworks compared to England. While such reforms are often positioned as empowering, they also introduce complexity and ambiguity, particularly for NQTs who are simultaneously navigating early professional identity formation. In relation to Research Question 1, this suggests that burnout-related factors within the Welsh context may be conceptualised not only at the individual level</w:t>
      </w:r>
      <w:r w:rsidR="0057302D">
        <w:rPr>
          <w:rFonts w:ascii="Calibri" w:hAnsi="Calibri" w:cs="Calibri"/>
          <w:sz w:val="24"/>
          <w:szCs w:val="24"/>
        </w:rPr>
        <w:t>, for example</w:t>
      </w:r>
      <w:r w:rsidRPr="00070E06">
        <w:rPr>
          <w:rFonts w:ascii="Calibri" w:hAnsi="Calibri" w:cs="Calibri"/>
          <w:sz w:val="24"/>
          <w:szCs w:val="24"/>
        </w:rPr>
        <w:t xml:space="preserve"> confidence</w:t>
      </w:r>
      <w:r w:rsidR="0057302D">
        <w:rPr>
          <w:rFonts w:ascii="Calibri" w:hAnsi="Calibri" w:cs="Calibri"/>
          <w:sz w:val="24"/>
          <w:szCs w:val="24"/>
        </w:rPr>
        <w:t xml:space="preserve"> and</w:t>
      </w:r>
      <w:r w:rsidRPr="00070E06">
        <w:rPr>
          <w:rFonts w:ascii="Calibri" w:hAnsi="Calibri" w:cs="Calibri"/>
          <w:sz w:val="24"/>
          <w:szCs w:val="24"/>
        </w:rPr>
        <w:t xml:space="preserve"> resilience, but also at organisational and systemic levels</w:t>
      </w:r>
      <w:r w:rsidR="0057302D">
        <w:rPr>
          <w:rFonts w:ascii="Calibri" w:hAnsi="Calibri" w:cs="Calibri"/>
          <w:sz w:val="24"/>
          <w:szCs w:val="24"/>
        </w:rPr>
        <w:t>. These</w:t>
      </w:r>
      <w:r w:rsidRPr="00070E06">
        <w:rPr>
          <w:rFonts w:ascii="Calibri" w:hAnsi="Calibri" w:cs="Calibri"/>
          <w:sz w:val="24"/>
          <w:szCs w:val="24"/>
        </w:rPr>
        <w:t xml:space="preserve"> inclu</w:t>
      </w:r>
      <w:r w:rsidR="0057302D">
        <w:rPr>
          <w:rFonts w:ascii="Calibri" w:hAnsi="Calibri" w:cs="Calibri"/>
          <w:sz w:val="24"/>
          <w:szCs w:val="24"/>
        </w:rPr>
        <w:t>de</w:t>
      </w:r>
      <w:r w:rsidRPr="00070E06">
        <w:rPr>
          <w:rFonts w:ascii="Calibri" w:hAnsi="Calibri" w:cs="Calibri"/>
          <w:sz w:val="24"/>
          <w:szCs w:val="24"/>
        </w:rPr>
        <w:t xml:space="preserve"> policy transition, curriculum uncertainty, and shifting professional expectations</w:t>
      </w:r>
      <w:r w:rsidR="0057302D">
        <w:rPr>
          <w:rFonts w:ascii="Calibri" w:hAnsi="Calibri" w:cs="Calibri"/>
          <w:sz w:val="24"/>
          <w:szCs w:val="24"/>
        </w:rPr>
        <w:t xml:space="preserve"> according to research conducted by </w:t>
      </w:r>
      <w:r w:rsidR="00263A7B">
        <w:rPr>
          <w:rFonts w:ascii="Calibri" w:hAnsi="Calibri" w:cs="Calibri"/>
          <w:sz w:val="24"/>
          <w:szCs w:val="24"/>
        </w:rPr>
        <w:t>Scott, Limbert and Sykes (2024)</w:t>
      </w:r>
      <w:r w:rsidRPr="00070E06">
        <w:rPr>
          <w:rFonts w:ascii="Calibri" w:hAnsi="Calibri" w:cs="Calibri"/>
          <w:sz w:val="24"/>
          <w:szCs w:val="24"/>
        </w:rPr>
        <w:t>.</w:t>
      </w:r>
    </w:p>
    <w:p w14:paraId="26AAA05D" w14:textId="33A7493A" w:rsidR="00070E06" w:rsidRPr="0057302D" w:rsidRDefault="00070E06" w:rsidP="000733E2">
      <w:pPr>
        <w:spacing w:line="360" w:lineRule="auto"/>
        <w:rPr>
          <w:rFonts w:ascii="Calibri" w:hAnsi="Calibri" w:cs="Calibri"/>
          <w:sz w:val="24"/>
          <w:szCs w:val="24"/>
        </w:rPr>
      </w:pPr>
      <w:r w:rsidRPr="00070E06">
        <w:rPr>
          <w:rFonts w:ascii="Calibri" w:hAnsi="Calibri" w:cs="Calibri"/>
          <w:sz w:val="24"/>
          <w:szCs w:val="24"/>
        </w:rPr>
        <w:t>Furthermore, the Welsh induction framework, overseen by the Education Workforce Council, is intended to mitigate early career pressures through structured mentoring and reduced timetables</w:t>
      </w:r>
      <w:r w:rsidR="0057302D">
        <w:rPr>
          <w:rFonts w:ascii="Calibri" w:hAnsi="Calibri" w:cs="Calibri"/>
          <w:sz w:val="24"/>
          <w:szCs w:val="24"/>
        </w:rPr>
        <w:t xml:space="preserve"> </w:t>
      </w:r>
      <w:r w:rsidR="00263A7B">
        <w:rPr>
          <w:rFonts w:ascii="Calibri" w:hAnsi="Calibri" w:cs="Calibri"/>
          <w:sz w:val="24"/>
          <w:szCs w:val="24"/>
        </w:rPr>
        <w:t>(Welsh Government, 2022)</w:t>
      </w:r>
      <w:r w:rsidRPr="00070E06">
        <w:rPr>
          <w:rFonts w:ascii="Calibri" w:hAnsi="Calibri" w:cs="Calibri"/>
          <w:sz w:val="24"/>
          <w:szCs w:val="24"/>
        </w:rPr>
        <w:t>. However, in alignment with Research Question 2, existing literature indicates that such support mechanisms do not fully offset the broader systemic and organisational conditions that contribute to burnout</w:t>
      </w:r>
      <w:r w:rsidR="0057302D">
        <w:rPr>
          <w:rFonts w:ascii="Calibri" w:hAnsi="Calibri" w:cs="Calibri"/>
          <w:sz w:val="24"/>
          <w:szCs w:val="24"/>
        </w:rPr>
        <w:t xml:space="preserve"> </w:t>
      </w:r>
      <w:r w:rsidR="00263A7B">
        <w:rPr>
          <w:rFonts w:ascii="Calibri" w:hAnsi="Calibri" w:cs="Calibri"/>
          <w:sz w:val="24"/>
          <w:szCs w:val="24"/>
        </w:rPr>
        <w:t>(Bodenheimer and Shuster, 2020)</w:t>
      </w:r>
      <w:r w:rsidRPr="00070E06">
        <w:rPr>
          <w:rFonts w:ascii="Calibri" w:hAnsi="Calibri" w:cs="Calibri"/>
          <w:sz w:val="24"/>
          <w:szCs w:val="24"/>
        </w:rPr>
        <w:t>. Workload intensification, emotional demands, and variability in school-level support continue to shape NQT experiences, raising questions about the extent to which burnout is framed as an individual versus systemic issue. Embedding this study within the Welsh context therefore enables a more nuanced and critical analysis of how burnout is constructed across different levels, while also addressing a relative gap in the literature, which has historically been dominated by research conducted in non-Welsh or more accountability-driven educational systems.</w:t>
      </w:r>
    </w:p>
    <w:p w14:paraId="51A45625" w14:textId="510E4157" w:rsidR="00C54988" w:rsidRPr="00E459FD" w:rsidRDefault="00070E06" w:rsidP="001A103D">
      <w:pPr>
        <w:pStyle w:val="Heading3"/>
      </w:pPr>
      <w:bookmarkStart w:id="39" w:name="_Toc228136338"/>
      <w:r w:rsidRPr="00E459FD">
        <w:t>3.</w:t>
      </w:r>
      <w:r w:rsidR="00275C24">
        <w:t>8</w:t>
      </w:r>
      <w:r w:rsidRPr="00E459FD">
        <w:t xml:space="preserve"> </w:t>
      </w:r>
      <w:r w:rsidR="00C54988" w:rsidRPr="00E459FD">
        <w:t>Critical Evaluation of Systemic and Policy-Level Research</w:t>
      </w:r>
      <w:bookmarkEnd w:id="39"/>
    </w:p>
    <w:p w14:paraId="511A015D" w14:textId="262A9A91" w:rsidR="00070E06" w:rsidRPr="00070E06" w:rsidRDefault="00070E06" w:rsidP="00070E06">
      <w:pPr>
        <w:spacing w:line="360" w:lineRule="auto"/>
        <w:rPr>
          <w:rFonts w:ascii="Calibri" w:hAnsi="Calibri" w:cs="Calibri"/>
          <w:color w:val="000000" w:themeColor="text1"/>
          <w:sz w:val="24"/>
          <w:szCs w:val="24"/>
        </w:rPr>
      </w:pPr>
      <w:r w:rsidRPr="00070E06">
        <w:rPr>
          <w:rFonts w:ascii="Calibri" w:hAnsi="Calibri" w:cs="Calibri"/>
          <w:color w:val="000000" w:themeColor="text1"/>
          <w:sz w:val="24"/>
          <w:szCs w:val="24"/>
        </w:rPr>
        <w:t xml:space="preserve">Despite increasing recognition of systemic influences on teacher burnout, research at the policy level remains comparatively underdeveloped. A key limitation lies in the tendency for policy to be discussed in abstract or generalised terms, with insufficient attention to how it is interpreted, enacted, and experienced within specific educational contexts. Consequently, policy is often conceptualised as a </w:t>
      </w:r>
      <w:r w:rsidRPr="00070E06">
        <w:rPr>
          <w:rFonts w:ascii="Calibri" w:hAnsi="Calibri" w:cs="Calibri"/>
          <w:color w:val="000000" w:themeColor="text1"/>
          <w:sz w:val="24"/>
          <w:szCs w:val="24"/>
        </w:rPr>
        <w:t>fixed</w:t>
      </w:r>
      <w:r w:rsidRPr="00070E06">
        <w:rPr>
          <w:rFonts w:ascii="Calibri" w:hAnsi="Calibri" w:cs="Calibri"/>
          <w:color w:val="000000" w:themeColor="text1"/>
          <w:sz w:val="24"/>
          <w:szCs w:val="24"/>
        </w:rPr>
        <w:t xml:space="preserve"> set of directives, rather than as a dynamic and socially mediated process shaped by local implementation, institutional practices, and professional interpretation. This limits the extent to which existing research fully captures </w:t>
      </w:r>
      <w:r w:rsidRPr="00070E06">
        <w:rPr>
          <w:rFonts w:ascii="Calibri" w:hAnsi="Calibri" w:cs="Calibri"/>
          <w:color w:val="000000" w:themeColor="text1"/>
          <w:sz w:val="24"/>
          <w:szCs w:val="24"/>
        </w:rPr>
        <w:lastRenderedPageBreak/>
        <w:t>the complexity of systemic influences on early career teachers’ experiences</w:t>
      </w:r>
      <w:r>
        <w:rPr>
          <w:rFonts w:ascii="Calibri" w:hAnsi="Calibri" w:cs="Calibri"/>
          <w:color w:val="000000" w:themeColor="text1"/>
          <w:sz w:val="24"/>
          <w:szCs w:val="24"/>
        </w:rPr>
        <w:t xml:space="preserve"> </w:t>
      </w:r>
      <w:r w:rsidR="00263A7B">
        <w:rPr>
          <w:rFonts w:ascii="Calibri" w:hAnsi="Calibri" w:cs="Calibri"/>
          <w:color w:val="000000" w:themeColor="text1"/>
          <w:sz w:val="24"/>
          <w:szCs w:val="24"/>
        </w:rPr>
        <w:t>(Watts and Robertson, 2011)</w:t>
      </w:r>
      <w:r w:rsidRPr="00070E06">
        <w:rPr>
          <w:rFonts w:ascii="Calibri" w:hAnsi="Calibri" w:cs="Calibri"/>
          <w:color w:val="000000" w:themeColor="text1"/>
          <w:sz w:val="24"/>
          <w:szCs w:val="24"/>
        </w:rPr>
        <w:t>.</w:t>
      </w:r>
    </w:p>
    <w:p w14:paraId="0CBB1B5A" w14:textId="216E8CD1" w:rsidR="00070E06" w:rsidRPr="00070E06" w:rsidRDefault="00070E06" w:rsidP="00070E06">
      <w:pPr>
        <w:spacing w:line="360" w:lineRule="auto"/>
        <w:rPr>
          <w:rFonts w:ascii="Calibri" w:hAnsi="Calibri" w:cs="Calibri"/>
          <w:color w:val="000000" w:themeColor="text1"/>
          <w:sz w:val="24"/>
          <w:szCs w:val="24"/>
        </w:rPr>
      </w:pPr>
      <w:r w:rsidRPr="00070E06">
        <w:rPr>
          <w:rFonts w:ascii="Calibri" w:hAnsi="Calibri" w:cs="Calibri"/>
          <w:color w:val="000000" w:themeColor="text1"/>
          <w:sz w:val="24"/>
          <w:szCs w:val="24"/>
        </w:rPr>
        <w:t>This limitation is further compounded by the relative lack of empirical research situated within devolved contexts such as Wales. While broader UK and international studies offer valuable insights, their frequent grounding in high-accountability systems</w:t>
      </w:r>
      <w:r>
        <w:rPr>
          <w:rFonts w:ascii="Calibri" w:hAnsi="Calibri" w:cs="Calibri"/>
          <w:color w:val="000000" w:themeColor="text1"/>
          <w:sz w:val="24"/>
          <w:szCs w:val="24"/>
        </w:rPr>
        <w:t xml:space="preserve">, </w:t>
      </w:r>
      <w:r w:rsidRPr="00070E06">
        <w:rPr>
          <w:rFonts w:ascii="Calibri" w:hAnsi="Calibri" w:cs="Calibri"/>
          <w:color w:val="000000" w:themeColor="text1"/>
          <w:sz w:val="24"/>
          <w:szCs w:val="24"/>
        </w:rPr>
        <w:t>particularly in England</w:t>
      </w:r>
      <w:r>
        <w:rPr>
          <w:rFonts w:ascii="Calibri" w:hAnsi="Calibri" w:cs="Calibri"/>
          <w:color w:val="000000" w:themeColor="text1"/>
          <w:sz w:val="24"/>
          <w:szCs w:val="24"/>
        </w:rPr>
        <w:t xml:space="preserve">, </w:t>
      </w:r>
      <w:r w:rsidRPr="00070E06">
        <w:rPr>
          <w:rFonts w:ascii="Calibri" w:hAnsi="Calibri" w:cs="Calibri"/>
          <w:color w:val="000000" w:themeColor="text1"/>
          <w:sz w:val="24"/>
          <w:szCs w:val="24"/>
        </w:rPr>
        <w:t>raises questions about the transferability of findings. Differences in policy frameworks, accountability mechanisms, and induction structures suggest that the nature and intensity of systemic pressures may vary significantly across contexts. In Wales, for example, recent reforms such as the Curriculum for Wales (Welsh Government, 2020) introduce new expectations around professional autonomy and curriculum design, which may reshape how burnout is experienced by NQTs. However, these context-specific dynamics remain underexplored within the literature, highlighting a notable gap in current understanding.</w:t>
      </w:r>
    </w:p>
    <w:p w14:paraId="1F2BFA09" w14:textId="59675D90" w:rsidR="00070E06" w:rsidRPr="00070E06" w:rsidRDefault="00070E06" w:rsidP="00070E06">
      <w:pPr>
        <w:spacing w:line="360" w:lineRule="auto"/>
        <w:rPr>
          <w:rFonts w:ascii="Calibri" w:hAnsi="Calibri" w:cs="Calibri"/>
          <w:color w:val="000000" w:themeColor="text1"/>
          <w:sz w:val="24"/>
          <w:szCs w:val="24"/>
        </w:rPr>
      </w:pPr>
      <w:r w:rsidRPr="00070E06">
        <w:rPr>
          <w:rFonts w:ascii="Calibri" w:hAnsi="Calibri" w:cs="Calibri"/>
          <w:color w:val="000000" w:themeColor="text1"/>
          <w:sz w:val="24"/>
          <w:szCs w:val="24"/>
        </w:rPr>
        <w:t>Another challenge within policy-level research concerns the difficulty of capturing the indirect and often diffuse nature of systemic pressures. Unlike individual or organisational factors, which are more readily operationalised and measured, policy influences are typically mediated through multiple layers of interpretation and practice. This makes it difficult to establish clear causal relationships between policy initiatives and teacher burnout, resulting in systemic factors being acknowledged but not fully integrated into empirical analyses</w:t>
      </w:r>
      <w:r>
        <w:rPr>
          <w:rFonts w:ascii="Calibri" w:hAnsi="Calibri" w:cs="Calibri"/>
          <w:color w:val="000000" w:themeColor="text1"/>
          <w:sz w:val="24"/>
          <w:szCs w:val="24"/>
        </w:rPr>
        <w:t xml:space="preserve"> </w:t>
      </w:r>
      <w:r w:rsidR="009951BD">
        <w:rPr>
          <w:rFonts w:ascii="Calibri" w:hAnsi="Calibri" w:cs="Calibri"/>
          <w:color w:val="000000" w:themeColor="text1"/>
          <w:sz w:val="24"/>
          <w:szCs w:val="24"/>
        </w:rPr>
        <w:t>(</w:t>
      </w:r>
      <w:proofErr w:type="spellStart"/>
      <w:r w:rsidR="009951BD">
        <w:rPr>
          <w:rFonts w:ascii="Calibri" w:hAnsi="Calibri" w:cs="Calibri"/>
          <w:color w:val="000000" w:themeColor="text1"/>
          <w:sz w:val="24"/>
          <w:szCs w:val="24"/>
        </w:rPr>
        <w:t>Mijakoski</w:t>
      </w:r>
      <w:proofErr w:type="spellEnd"/>
      <w:r w:rsidR="009951BD">
        <w:rPr>
          <w:rFonts w:ascii="Calibri" w:hAnsi="Calibri" w:cs="Calibri"/>
          <w:color w:val="000000" w:themeColor="text1"/>
          <w:sz w:val="24"/>
          <w:szCs w:val="24"/>
        </w:rPr>
        <w:t xml:space="preserve"> et al, 2022)</w:t>
      </w:r>
      <w:r w:rsidRPr="00070E06">
        <w:rPr>
          <w:rFonts w:ascii="Calibri" w:hAnsi="Calibri" w:cs="Calibri"/>
          <w:color w:val="000000" w:themeColor="text1"/>
          <w:sz w:val="24"/>
          <w:szCs w:val="24"/>
        </w:rPr>
        <w:t>.</w:t>
      </w:r>
    </w:p>
    <w:p w14:paraId="1970C861" w14:textId="4F324B04" w:rsidR="00070E06" w:rsidRPr="00070E06" w:rsidRDefault="00070E06" w:rsidP="00070E06">
      <w:pPr>
        <w:spacing w:line="360" w:lineRule="auto"/>
        <w:rPr>
          <w:rFonts w:ascii="Calibri" w:hAnsi="Calibri" w:cs="Calibri"/>
          <w:color w:val="000000" w:themeColor="text1"/>
          <w:sz w:val="24"/>
          <w:szCs w:val="24"/>
        </w:rPr>
      </w:pPr>
      <w:r w:rsidRPr="00070E06">
        <w:rPr>
          <w:rFonts w:ascii="Calibri" w:hAnsi="Calibri" w:cs="Calibri"/>
          <w:color w:val="000000" w:themeColor="text1"/>
          <w:sz w:val="24"/>
          <w:szCs w:val="24"/>
        </w:rPr>
        <w:t xml:space="preserve">Furthermore, although policy discourse frequently emphasises teacher wellbeing and professional autonomy, there is consistent evidence of a disconnect between these intentions and </w:t>
      </w:r>
      <w:proofErr w:type="gramStart"/>
      <w:r w:rsidRPr="00070E06">
        <w:rPr>
          <w:rFonts w:ascii="Calibri" w:hAnsi="Calibri" w:cs="Calibri"/>
          <w:color w:val="000000" w:themeColor="text1"/>
          <w:sz w:val="24"/>
          <w:szCs w:val="24"/>
        </w:rPr>
        <w:t>teachers’</w:t>
      </w:r>
      <w:proofErr w:type="gramEnd"/>
      <w:r w:rsidRPr="00070E06">
        <w:rPr>
          <w:rFonts w:ascii="Calibri" w:hAnsi="Calibri" w:cs="Calibri"/>
          <w:color w:val="000000" w:themeColor="text1"/>
          <w:sz w:val="24"/>
          <w:szCs w:val="24"/>
        </w:rPr>
        <w:t xml:space="preserve"> lived experiences. This policy–practice gap remains insufficiently examined, particularly in relation to how competing priorities</w:t>
      </w:r>
      <w:r>
        <w:rPr>
          <w:rFonts w:ascii="Calibri" w:hAnsi="Calibri" w:cs="Calibri"/>
          <w:color w:val="000000" w:themeColor="text1"/>
          <w:sz w:val="24"/>
          <w:szCs w:val="24"/>
        </w:rPr>
        <w:t xml:space="preserve"> </w:t>
      </w:r>
      <w:r w:rsidRPr="00070E06">
        <w:rPr>
          <w:rFonts w:ascii="Calibri" w:hAnsi="Calibri" w:cs="Calibri"/>
          <w:color w:val="000000" w:themeColor="text1"/>
          <w:sz w:val="24"/>
          <w:szCs w:val="24"/>
        </w:rPr>
        <w:t>such as accountability, workload, and wellbeing</w:t>
      </w:r>
      <w:r>
        <w:rPr>
          <w:rFonts w:ascii="Calibri" w:hAnsi="Calibri" w:cs="Calibri"/>
          <w:color w:val="000000" w:themeColor="text1"/>
          <w:sz w:val="24"/>
          <w:szCs w:val="24"/>
        </w:rPr>
        <w:t xml:space="preserve"> </w:t>
      </w:r>
      <w:r w:rsidRPr="00070E06">
        <w:rPr>
          <w:rFonts w:ascii="Calibri" w:hAnsi="Calibri" w:cs="Calibri"/>
          <w:color w:val="000000" w:themeColor="text1"/>
          <w:sz w:val="24"/>
          <w:szCs w:val="24"/>
        </w:rPr>
        <w:t>are negotiated within school settings. In the context of ongoing reform in Wales, this tension may be especially pronounced, as teachers navigate the demands of policy change alongside the realities of classroom practice. Addressing these limitations requires more contextually grounded and practice-oriented research that moves beyond policy rhetoric to examine how systemic conditions are experienced, interpreted, and negotiated by early career teachers.</w:t>
      </w:r>
    </w:p>
    <w:p w14:paraId="02D57299" w14:textId="7459E79A" w:rsidR="00B475D3" w:rsidRPr="00E459FD" w:rsidRDefault="00B475D3" w:rsidP="001A103D">
      <w:pPr>
        <w:pStyle w:val="Heading3"/>
      </w:pPr>
      <w:bookmarkStart w:id="40" w:name="_Toc228136339"/>
      <w:r w:rsidRPr="00E459FD">
        <w:lastRenderedPageBreak/>
        <w:t>3.</w:t>
      </w:r>
      <w:r w:rsidR="00275C24">
        <w:t>9</w:t>
      </w:r>
      <w:r w:rsidRPr="00E459FD">
        <w:t xml:space="preserve"> Theoretical Frameworks in Burnout Research</w:t>
      </w:r>
      <w:bookmarkEnd w:id="40"/>
    </w:p>
    <w:p w14:paraId="07FB650C" w14:textId="7B7C4D9D" w:rsidR="006F6EC4" w:rsidRPr="006F6EC4" w:rsidRDefault="006F6EC4" w:rsidP="006F6EC4">
      <w:pPr>
        <w:spacing w:line="360" w:lineRule="auto"/>
        <w:rPr>
          <w:rFonts w:ascii="Calibri" w:hAnsi="Calibri" w:cs="Calibri"/>
          <w:color w:val="000000" w:themeColor="text1"/>
          <w:sz w:val="24"/>
          <w:szCs w:val="24"/>
        </w:rPr>
      </w:pPr>
      <w:r w:rsidRPr="006F6EC4">
        <w:rPr>
          <w:rFonts w:ascii="Calibri" w:hAnsi="Calibri" w:cs="Calibri"/>
          <w:color w:val="000000" w:themeColor="text1"/>
          <w:sz w:val="24"/>
          <w:szCs w:val="24"/>
        </w:rPr>
        <w:t>A comprehensive understanding of teacher burnout requires engagement with the theoretical frameworks that underpin its conceptualisation and measurement. Two of the most influential models within the literature are the Maslach Burnout Inventory (MBI)</w:t>
      </w:r>
      <w:r>
        <w:rPr>
          <w:rFonts w:ascii="Calibri" w:hAnsi="Calibri" w:cs="Calibri"/>
          <w:color w:val="000000" w:themeColor="text1"/>
          <w:sz w:val="24"/>
          <w:szCs w:val="24"/>
        </w:rPr>
        <w:t xml:space="preserve"> (Maslach and Jackson, 1981)</w:t>
      </w:r>
      <w:r w:rsidRPr="006F6EC4">
        <w:rPr>
          <w:rFonts w:ascii="Calibri" w:hAnsi="Calibri" w:cs="Calibri"/>
          <w:color w:val="000000" w:themeColor="text1"/>
          <w:sz w:val="24"/>
          <w:szCs w:val="24"/>
        </w:rPr>
        <w:t xml:space="preserve"> and the Job Demands–Resources Model (JD-R) model</w:t>
      </w:r>
      <w:r>
        <w:rPr>
          <w:rFonts w:ascii="Calibri" w:hAnsi="Calibri" w:cs="Calibri"/>
          <w:color w:val="000000" w:themeColor="text1"/>
          <w:sz w:val="24"/>
          <w:szCs w:val="24"/>
        </w:rPr>
        <w:t xml:space="preserve"> (</w:t>
      </w:r>
      <w:r w:rsidRPr="006F6EC4">
        <w:rPr>
          <w:rFonts w:ascii="Calibri" w:hAnsi="Calibri" w:cs="Calibri"/>
          <w:color w:val="000000" w:themeColor="text1"/>
          <w:sz w:val="24"/>
          <w:szCs w:val="24"/>
        </w:rPr>
        <w:t>Demerouti et al</w:t>
      </w:r>
      <w:r>
        <w:rPr>
          <w:rFonts w:ascii="Calibri" w:hAnsi="Calibri" w:cs="Calibri"/>
          <w:color w:val="000000" w:themeColor="text1"/>
          <w:sz w:val="24"/>
          <w:szCs w:val="24"/>
        </w:rPr>
        <w:t xml:space="preserve">, </w:t>
      </w:r>
      <w:r w:rsidRPr="006F6EC4">
        <w:rPr>
          <w:rFonts w:ascii="Calibri" w:hAnsi="Calibri" w:cs="Calibri"/>
          <w:color w:val="000000" w:themeColor="text1"/>
          <w:sz w:val="24"/>
          <w:szCs w:val="24"/>
        </w:rPr>
        <w:t>2001). While both frameworks have significantly shaped burnout research, they reflect differing assumptions regarding the nature, origins, and locus of burnout. Importantly, when considered in relation to one another, they also reveal both conceptual complementarities and limitations, particularly in accounting for the experiences of NQTs.</w:t>
      </w:r>
    </w:p>
    <w:p w14:paraId="52604417" w14:textId="2C5A1351" w:rsidR="006F6EC4" w:rsidRPr="006F6EC4" w:rsidRDefault="0057302D" w:rsidP="006F6EC4">
      <w:pPr>
        <w:spacing w:line="360" w:lineRule="auto"/>
        <w:rPr>
          <w:rFonts w:ascii="Calibri" w:hAnsi="Calibri" w:cs="Calibri"/>
          <w:color w:val="000000" w:themeColor="text1"/>
          <w:sz w:val="24"/>
          <w:szCs w:val="24"/>
        </w:rPr>
      </w:pPr>
      <w:r>
        <w:rPr>
          <w:rFonts w:ascii="Calibri" w:hAnsi="Calibri" w:cs="Calibri"/>
          <w:color w:val="000000" w:themeColor="text1"/>
          <w:sz w:val="24"/>
          <w:szCs w:val="24"/>
        </w:rPr>
        <w:t>As previously noted, t</w:t>
      </w:r>
      <w:r w:rsidR="006F6EC4" w:rsidRPr="006F6EC4">
        <w:rPr>
          <w:rFonts w:ascii="Calibri" w:hAnsi="Calibri" w:cs="Calibri"/>
          <w:color w:val="000000" w:themeColor="text1"/>
          <w:sz w:val="24"/>
          <w:szCs w:val="24"/>
        </w:rPr>
        <w:t>he Maslach Burnout Inventory, developed by Maslach and Jackson (1981), remains the most widely used instrument for measuring burnout across occupational contexts. Grounded in a psychological perspective, the MBI conceptualises burnout as a multidimensional syndrome comprising emotional exhaustion, depersonalisation, and reduced personal accomplishment. Its widespread adoption has contributed to the standardisation of burnout measurement, enabling comparative analysis across studies and professional groups.</w:t>
      </w:r>
    </w:p>
    <w:p w14:paraId="5221122D" w14:textId="1ABCF2C8" w:rsidR="006F6EC4" w:rsidRPr="006F6EC4" w:rsidRDefault="006F6EC4" w:rsidP="006F6EC4">
      <w:pPr>
        <w:spacing w:line="360" w:lineRule="auto"/>
        <w:rPr>
          <w:rFonts w:ascii="Calibri" w:hAnsi="Calibri" w:cs="Calibri"/>
          <w:color w:val="000000" w:themeColor="text1"/>
          <w:sz w:val="24"/>
          <w:szCs w:val="24"/>
        </w:rPr>
      </w:pPr>
      <w:r w:rsidRPr="006F6EC4">
        <w:rPr>
          <w:rFonts w:ascii="Calibri" w:hAnsi="Calibri" w:cs="Calibri"/>
          <w:color w:val="000000" w:themeColor="text1"/>
          <w:sz w:val="24"/>
          <w:szCs w:val="24"/>
        </w:rPr>
        <w:t>However, despite its prominence, the MBI has been subject to increasing critique. Bianchi, Swingler and Schonfield (2024) suggest one key limitation is its tendency to frame burnout primarily as an individual psychological condition, measured through self-report. This has led some scholars, such as Pickard (2021), to argue that the instrument implicitly reinforces an individualised understanding of burnout, potentially obscuring the organisational and systemic conditions that give rise to it. More recent critiques further question whether the MBI adequately captures the complexity of burnout as experienced in contemporary professional contexts, particularly in professions such as teaching where structural pressures are pronounced. As a result, while the MBI remains a valuable diagnostic tool, its conceptual boundaries may limit its capacity to fully account for the broader determinants of burnout.</w:t>
      </w:r>
      <w:r w:rsidR="00BA022F">
        <w:rPr>
          <w:rFonts w:ascii="Calibri" w:hAnsi="Calibri" w:cs="Calibri"/>
          <w:color w:val="000000" w:themeColor="text1"/>
          <w:sz w:val="24"/>
          <w:szCs w:val="24"/>
        </w:rPr>
        <w:t xml:space="preserve"> A diagram on the MBI can be found in Appendi</w:t>
      </w:r>
      <w:r w:rsidR="005A0AF7">
        <w:rPr>
          <w:rFonts w:ascii="Calibri" w:hAnsi="Calibri" w:cs="Calibri"/>
          <w:color w:val="000000" w:themeColor="text1"/>
          <w:sz w:val="24"/>
          <w:szCs w:val="24"/>
        </w:rPr>
        <w:t>ces</w:t>
      </w:r>
      <w:r w:rsidR="00BA022F">
        <w:rPr>
          <w:rFonts w:ascii="Calibri" w:hAnsi="Calibri" w:cs="Calibri"/>
          <w:color w:val="000000" w:themeColor="text1"/>
          <w:sz w:val="24"/>
          <w:szCs w:val="24"/>
        </w:rPr>
        <w:t xml:space="preserve"> </w:t>
      </w:r>
      <w:r w:rsidR="00261304">
        <w:rPr>
          <w:rFonts w:ascii="Calibri" w:hAnsi="Calibri" w:cs="Calibri"/>
          <w:color w:val="000000" w:themeColor="text1"/>
          <w:sz w:val="24"/>
          <w:szCs w:val="24"/>
        </w:rPr>
        <w:t>2</w:t>
      </w:r>
      <w:r w:rsidR="00BA022F">
        <w:rPr>
          <w:rFonts w:ascii="Calibri" w:hAnsi="Calibri" w:cs="Calibri"/>
          <w:color w:val="000000" w:themeColor="text1"/>
          <w:sz w:val="24"/>
          <w:szCs w:val="24"/>
        </w:rPr>
        <w:t xml:space="preserve"> for reader clarity.  </w:t>
      </w:r>
    </w:p>
    <w:p w14:paraId="59C330CC" w14:textId="5D4063F1" w:rsidR="006F6EC4" w:rsidRPr="006F6EC4" w:rsidRDefault="006F6EC4" w:rsidP="006F6EC4">
      <w:pPr>
        <w:spacing w:line="360" w:lineRule="auto"/>
        <w:rPr>
          <w:rFonts w:ascii="Calibri" w:hAnsi="Calibri" w:cs="Calibri"/>
          <w:color w:val="000000" w:themeColor="text1"/>
          <w:sz w:val="24"/>
          <w:szCs w:val="24"/>
        </w:rPr>
      </w:pPr>
      <w:r w:rsidRPr="006F6EC4">
        <w:rPr>
          <w:rFonts w:ascii="Calibri" w:hAnsi="Calibri" w:cs="Calibri"/>
          <w:color w:val="000000" w:themeColor="text1"/>
          <w:sz w:val="24"/>
          <w:szCs w:val="24"/>
        </w:rPr>
        <w:t xml:space="preserve">In contrast, the Job Demands–Resources (JD-R) model offers a more integrative and context-sensitive framework for understanding burnout. Originally developed by Demerouti et al. (2001), the JD-R model conceptualises burnout as the outcome of an imbalance between job </w:t>
      </w:r>
      <w:r w:rsidRPr="006F6EC4">
        <w:rPr>
          <w:rFonts w:ascii="Calibri" w:hAnsi="Calibri" w:cs="Calibri"/>
          <w:color w:val="000000" w:themeColor="text1"/>
          <w:sz w:val="24"/>
          <w:szCs w:val="24"/>
        </w:rPr>
        <w:lastRenderedPageBreak/>
        <w:t>demands and job resources. Job demands refer to the physical, psychological, and organisational aspects of work that require sustained effort, such as workload, emotional labour, and time pressure, while job resources include factors such as social support, autonomy, feedback, and opportunities for professional development, which serve to buffer the impact of demands and support motivation.</w:t>
      </w:r>
      <w:r>
        <w:rPr>
          <w:rFonts w:ascii="Calibri" w:hAnsi="Calibri" w:cs="Calibri"/>
          <w:color w:val="000000" w:themeColor="text1"/>
          <w:sz w:val="24"/>
          <w:szCs w:val="24"/>
        </w:rPr>
        <w:t xml:space="preserve"> An image depicting the JD-R model can be found in Appendices </w:t>
      </w:r>
      <w:r w:rsidR="00261304">
        <w:rPr>
          <w:rFonts w:ascii="Calibri" w:hAnsi="Calibri" w:cs="Calibri"/>
          <w:color w:val="000000" w:themeColor="text1"/>
          <w:sz w:val="24"/>
          <w:szCs w:val="24"/>
        </w:rPr>
        <w:t>3</w:t>
      </w:r>
      <w:r>
        <w:rPr>
          <w:rFonts w:ascii="Calibri" w:hAnsi="Calibri" w:cs="Calibri"/>
          <w:color w:val="000000" w:themeColor="text1"/>
          <w:sz w:val="24"/>
          <w:szCs w:val="24"/>
        </w:rPr>
        <w:t xml:space="preserve"> for reader clarity. </w:t>
      </w:r>
    </w:p>
    <w:p w14:paraId="3033E3E4" w14:textId="77777777" w:rsidR="006F6EC4" w:rsidRPr="006F6EC4" w:rsidRDefault="006F6EC4" w:rsidP="006F6EC4">
      <w:pPr>
        <w:spacing w:line="360" w:lineRule="auto"/>
        <w:rPr>
          <w:rFonts w:ascii="Calibri" w:hAnsi="Calibri" w:cs="Calibri"/>
          <w:color w:val="000000" w:themeColor="text1"/>
          <w:sz w:val="24"/>
          <w:szCs w:val="24"/>
        </w:rPr>
      </w:pPr>
      <w:r w:rsidRPr="006F6EC4">
        <w:rPr>
          <w:rFonts w:ascii="Calibri" w:hAnsi="Calibri" w:cs="Calibri"/>
          <w:color w:val="000000" w:themeColor="text1"/>
          <w:sz w:val="24"/>
          <w:szCs w:val="24"/>
        </w:rPr>
        <w:t>Schaufeli (2017) argues that a key strength of the JD-R model lies in its flexibility and applicability across different occupational contexts. Unlike the MBI, which focuses primarily on individual symptoms, the JD-R model explicitly incorporates organisational and systemic factors, making it particularly relevant for examining burnout among teachers. Within the context of NQTs, job demands may include high workload, classroom management challenges, and accountability pressures, while resources may encompass mentoring support, collaborative school cultures, and effective leadership.</w:t>
      </w:r>
    </w:p>
    <w:p w14:paraId="51BA7D3D" w14:textId="77777777" w:rsidR="006F6EC4" w:rsidRPr="006F6EC4" w:rsidRDefault="006F6EC4" w:rsidP="006F6EC4">
      <w:pPr>
        <w:spacing w:line="360" w:lineRule="auto"/>
        <w:rPr>
          <w:rFonts w:ascii="Calibri" w:hAnsi="Calibri" w:cs="Calibri"/>
          <w:color w:val="000000" w:themeColor="text1"/>
          <w:sz w:val="24"/>
          <w:szCs w:val="24"/>
        </w:rPr>
      </w:pPr>
      <w:r w:rsidRPr="006F6EC4">
        <w:rPr>
          <w:rFonts w:ascii="Calibri" w:hAnsi="Calibri" w:cs="Calibri"/>
          <w:color w:val="000000" w:themeColor="text1"/>
          <w:sz w:val="24"/>
          <w:szCs w:val="24"/>
        </w:rPr>
        <w:t>Importantly, the JD-R model also highlights the dynamic interaction between demands and resources. Burnout is not viewed as the inevitable consequence of high demands alone, but rather as the result of insufficient resources to cope with those demands. This aligns closely with the findings presented in this chapter, which demonstrate that similar demands may be experienced differently depending on the level of organisational support available. However, while the JD-R model offers a more explanatory and contextually sensitive account than the MBI, it still does not fully capture the internal, identity-based dimensions of early career teaching.</w:t>
      </w:r>
    </w:p>
    <w:p w14:paraId="7A637E13" w14:textId="77777777" w:rsidR="006F6EC4" w:rsidRPr="006F6EC4" w:rsidRDefault="006F6EC4" w:rsidP="006F6EC4">
      <w:pPr>
        <w:spacing w:line="360" w:lineRule="auto"/>
        <w:rPr>
          <w:rFonts w:ascii="Calibri" w:hAnsi="Calibri" w:cs="Calibri"/>
          <w:color w:val="000000" w:themeColor="text1"/>
          <w:sz w:val="24"/>
          <w:szCs w:val="24"/>
        </w:rPr>
      </w:pPr>
      <w:r w:rsidRPr="006F6EC4">
        <w:rPr>
          <w:rFonts w:ascii="Calibri" w:hAnsi="Calibri" w:cs="Calibri"/>
          <w:color w:val="000000" w:themeColor="text1"/>
          <w:sz w:val="24"/>
          <w:szCs w:val="24"/>
        </w:rPr>
        <w:t xml:space="preserve">When considered together, the MBI and JD-R model illustrate a broader shift within burnout research from individualised to more contextually embedded understandings. The MBI provides a robust framework for identifying and categorising the symptoms of burnout, while the JD-R model offers a more comprehensive explanation of how organisational and structural conditions contribute to its development. Nevertheless, the findings of this study suggest that neither framework, in isolation </w:t>
      </w:r>
      <w:proofErr w:type="gramStart"/>
      <w:r w:rsidRPr="006F6EC4">
        <w:rPr>
          <w:rFonts w:ascii="Calibri" w:hAnsi="Calibri" w:cs="Calibri"/>
          <w:color w:val="000000" w:themeColor="text1"/>
          <w:sz w:val="24"/>
          <w:szCs w:val="24"/>
        </w:rPr>
        <w:t>or</w:t>
      </w:r>
      <w:proofErr w:type="gramEnd"/>
      <w:r w:rsidRPr="006F6EC4">
        <w:rPr>
          <w:rFonts w:ascii="Calibri" w:hAnsi="Calibri" w:cs="Calibri"/>
          <w:color w:val="000000" w:themeColor="text1"/>
          <w:sz w:val="24"/>
          <w:szCs w:val="24"/>
        </w:rPr>
        <w:t xml:space="preserve"> combination, fully accounts for the significance of professional identity formation in shaping NQTs’ experiences.</w:t>
      </w:r>
    </w:p>
    <w:p w14:paraId="55E894D7" w14:textId="77777777" w:rsidR="006F6EC4" w:rsidRPr="006F6EC4" w:rsidRDefault="006F6EC4" w:rsidP="006F6EC4">
      <w:pPr>
        <w:spacing w:line="360" w:lineRule="auto"/>
        <w:rPr>
          <w:rFonts w:ascii="Calibri" w:hAnsi="Calibri" w:cs="Calibri"/>
          <w:color w:val="000000" w:themeColor="text1"/>
          <w:sz w:val="24"/>
          <w:szCs w:val="24"/>
        </w:rPr>
      </w:pPr>
      <w:r w:rsidRPr="006F6EC4">
        <w:rPr>
          <w:rFonts w:ascii="Calibri" w:hAnsi="Calibri" w:cs="Calibri"/>
          <w:color w:val="000000" w:themeColor="text1"/>
          <w:sz w:val="24"/>
          <w:szCs w:val="24"/>
        </w:rPr>
        <w:t xml:space="preserve">Participants’ accounts frequently revealed tensions between their expectations of teaching and the realities of the role, indicating that burnout may emerge not only from high </w:t>
      </w:r>
      <w:r w:rsidRPr="006F6EC4">
        <w:rPr>
          <w:rFonts w:ascii="Calibri" w:hAnsi="Calibri" w:cs="Calibri"/>
          <w:color w:val="000000" w:themeColor="text1"/>
          <w:sz w:val="24"/>
          <w:szCs w:val="24"/>
        </w:rPr>
        <w:lastRenderedPageBreak/>
        <w:t>demands or insufficient resources, but from a misalignment between idealised and enacted teacher identities. In this sense, identity functions as a mediating factor between external pressures and internal experience, shaping how demands are perceived, negotiated, and emotionally processed. This extends existing theoretical models by highlighting a dimension that is not explicitly accounted for within either framework.</w:t>
      </w:r>
    </w:p>
    <w:p w14:paraId="56A2D259" w14:textId="2681CD02" w:rsidR="006F6EC4" w:rsidRPr="006F6EC4" w:rsidRDefault="006F6EC4" w:rsidP="006F6EC4">
      <w:pPr>
        <w:spacing w:line="360" w:lineRule="auto"/>
        <w:rPr>
          <w:rFonts w:ascii="Calibri" w:hAnsi="Calibri" w:cs="Calibri"/>
          <w:color w:val="000000" w:themeColor="text1"/>
          <w:sz w:val="24"/>
          <w:szCs w:val="24"/>
        </w:rPr>
      </w:pPr>
      <w:r w:rsidRPr="006F6EC4">
        <w:rPr>
          <w:rFonts w:ascii="Calibri" w:hAnsi="Calibri" w:cs="Calibri"/>
          <w:color w:val="000000" w:themeColor="text1"/>
          <w:sz w:val="24"/>
          <w:szCs w:val="24"/>
        </w:rPr>
        <w:t xml:space="preserve">This theoretical synthesis reinforces the argument advanced throughout this chapter: that burnout among NQTs cannot be adequately understood through a single </w:t>
      </w:r>
      <w:r w:rsidR="0057302D" w:rsidRPr="006F6EC4">
        <w:rPr>
          <w:rFonts w:ascii="Calibri" w:hAnsi="Calibri" w:cs="Calibri"/>
          <w:color w:val="000000" w:themeColor="text1"/>
          <w:sz w:val="24"/>
          <w:szCs w:val="24"/>
        </w:rPr>
        <w:t>lens but</w:t>
      </w:r>
      <w:r w:rsidRPr="006F6EC4">
        <w:rPr>
          <w:rFonts w:ascii="Calibri" w:hAnsi="Calibri" w:cs="Calibri"/>
          <w:color w:val="000000" w:themeColor="text1"/>
          <w:sz w:val="24"/>
          <w:szCs w:val="24"/>
        </w:rPr>
        <w:t xml:space="preserve"> must instead be conceptualised as a multi-layered phenomenon shaped by the interaction of individual, organisational, and systemic factors, as well as the evolving professional identities of early career teachers.</w:t>
      </w:r>
    </w:p>
    <w:p w14:paraId="2301074A" w14:textId="17A78C2A" w:rsidR="00717C01" w:rsidRPr="00E459FD" w:rsidRDefault="00717C01" w:rsidP="001A103D">
      <w:pPr>
        <w:pStyle w:val="Heading3"/>
      </w:pPr>
      <w:bookmarkStart w:id="41" w:name="_Toc228136340"/>
      <w:r w:rsidRPr="00E459FD">
        <w:t>3.</w:t>
      </w:r>
      <w:r w:rsidR="00275C24">
        <w:t>10</w:t>
      </w:r>
      <w:r w:rsidR="00CE1F5E" w:rsidRPr="00E459FD">
        <w:t xml:space="preserve"> </w:t>
      </w:r>
      <w:r w:rsidRPr="00E459FD">
        <w:t>Interconnection of Burnout Factors</w:t>
      </w:r>
      <w:bookmarkEnd w:id="41"/>
    </w:p>
    <w:p w14:paraId="79815ECC" w14:textId="77777777" w:rsidR="00717C01" w:rsidRPr="00CE1F5E" w:rsidRDefault="00717C01" w:rsidP="00717C01">
      <w:pPr>
        <w:spacing w:line="360" w:lineRule="auto"/>
        <w:rPr>
          <w:rFonts w:ascii="Calibri" w:hAnsi="Calibri" w:cs="Calibri"/>
          <w:color w:val="000000" w:themeColor="text1"/>
          <w:sz w:val="24"/>
          <w:szCs w:val="24"/>
        </w:rPr>
      </w:pPr>
      <w:r w:rsidRPr="00CE1F5E">
        <w:rPr>
          <w:rFonts w:ascii="Calibri" w:hAnsi="Calibri" w:cs="Calibri"/>
          <w:color w:val="000000" w:themeColor="text1"/>
          <w:sz w:val="24"/>
          <w:szCs w:val="24"/>
        </w:rPr>
        <w:t>While this chapter has examined individual, organisational, and systemic factors separately for analytical clarity, the literature strongly suggests that these levels are deeply interconnected and cannot be fully understood in isolation. Burnout among NQTs emerges not from discrete influences, but from the dynamic interaction between personal experiences and structural conditions.</w:t>
      </w:r>
    </w:p>
    <w:p w14:paraId="731EABCC" w14:textId="192B793A" w:rsidR="00717C01" w:rsidRPr="00CE1F5E" w:rsidRDefault="00717C01" w:rsidP="00717C01">
      <w:pPr>
        <w:spacing w:line="360" w:lineRule="auto"/>
        <w:rPr>
          <w:rFonts w:ascii="Calibri" w:hAnsi="Calibri" w:cs="Calibri"/>
          <w:color w:val="000000" w:themeColor="text1"/>
          <w:sz w:val="24"/>
          <w:szCs w:val="24"/>
        </w:rPr>
      </w:pPr>
      <w:r w:rsidRPr="00CE1F5E">
        <w:rPr>
          <w:rFonts w:ascii="Calibri" w:hAnsi="Calibri" w:cs="Calibri"/>
          <w:color w:val="000000" w:themeColor="text1"/>
          <w:sz w:val="24"/>
          <w:szCs w:val="24"/>
        </w:rPr>
        <w:t>At the individual level, factors such as self-efficacy and coping strategies are shaped by organisational environments. For example, supportive leadership and effective mentoring can enhance professional confidence, whereas high-pressure or unsupportive contexts may undermine it. In turn, these organisational conditions are influenced by broader systemic forces, including policy expectations, accountability frameworks, and resource allocation. This illustrates a cascading relationship in which systemic pressures shape organisational practices, which subsequently influence individual experiences</w:t>
      </w:r>
      <w:r w:rsidR="0057302D">
        <w:rPr>
          <w:rFonts w:ascii="Calibri" w:hAnsi="Calibri" w:cs="Calibri"/>
          <w:color w:val="000000" w:themeColor="text1"/>
          <w:sz w:val="24"/>
          <w:szCs w:val="24"/>
        </w:rPr>
        <w:t xml:space="preserve"> </w:t>
      </w:r>
      <w:r w:rsidR="009951BD">
        <w:rPr>
          <w:rFonts w:ascii="Calibri" w:hAnsi="Calibri" w:cs="Calibri"/>
          <w:color w:val="000000" w:themeColor="text1"/>
          <w:sz w:val="24"/>
          <w:szCs w:val="24"/>
        </w:rPr>
        <w:t>(Hudson, 2012)</w:t>
      </w:r>
      <w:r w:rsidRPr="00CE1F5E">
        <w:rPr>
          <w:rFonts w:ascii="Calibri" w:hAnsi="Calibri" w:cs="Calibri"/>
          <w:color w:val="000000" w:themeColor="text1"/>
          <w:sz w:val="24"/>
          <w:szCs w:val="24"/>
        </w:rPr>
        <w:t>.</w:t>
      </w:r>
    </w:p>
    <w:p w14:paraId="7AB19C54" w14:textId="5880550D" w:rsidR="00717C01" w:rsidRPr="00CE1F5E" w:rsidRDefault="00717C01" w:rsidP="00717C01">
      <w:pPr>
        <w:spacing w:line="360" w:lineRule="auto"/>
        <w:rPr>
          <w:rFonts w:ascii="Calibri" w:hAnsi="Calibri" w:cs="Calibri"/>
          <w:color w:val="000000" w:themeColor="text1"/>
          <w:sz w:val="24"/>
          <w:szCs w:val="24"/>
        </w:rPr>
      </w:pPr>
      <w:r w:rsidRPr="00CE1F5E">
        <w:rPr>
          <w:rFonts w:ascii="Calibri" w:hAnsi="Calibri" w:cs="Calibri"/>
          <w:color w:val="000000" w:themeColor="text1"/>
          <w:sz w:val="24"/>
          <w:szCs w:val="24"/>
        </w:rPr>
        <w:t>The JD-R model provides a useful framework for conceptualising these interactions. From this perspective, systemic and organisational factors contribute to the balance between job demands and resources, which in turn shapes individual wellbeing outcomes. For instance, policy-driven increases in workload may elevate job demands, while variations in school-level support determine the availability of resources to manage those demands. Burnout therefore arises not solely from the presence of stressors, but from the imbalance between demands and the capacity to respond to them.</w:t>
      </w:r>
    </w:p>
    <w:p w14:paraId="0AC74006" w14:textId="60A6461D" w:rsidR="00717C01" w:rsidRPr="00CE1F5E" w:rsidRDefault="00717C01" w:rsidP="00717C01">
      <w:pPr>
        <w:spacing w:line="360" w:lineRule="auto"/>
        <w:rPr>
          <w:rFonts w:ascii="Calibri" w:hAnsi="Calibri" w:cs="Calibri"/>
          <w:color w:val="000000" w:themeColor="text1"/>
          <w:sz w:val="24"/>
          <w:szCs w:val="24"/>
        </w:rPr>
      </w:pPr>
      <w:r w:rsidRPr="00CE1F5E">
        <w:rPr>
          <w:rFonts w:ascii="Calibri" w:hAnsi="Calibri" w:cs="Calibri"/>
          <w:color w:val="000000" w:themeColor="text1"/>
          <w:sz w:val="24"/>
          <w:szCs w:val="24"/>
        </w:rPr>
        <w:lastRenderedPageBreak/>
        <w:t>Importantly, this interconnection challenges linear or reductionist explanations of burnout. It suggests that interventions targeting a single level</w:t>
      </w:r>
      <w:r w:rsidR="0057302D">
        <w:rPr>
          <w:rFonts w:ascii="Calibri" w:hAnsi="Calibri" w:cs="Calibri"/>
          <w:color w:val="000000" w:themeColor="text1"/>
          <w:sz w:val="24"/>
          <w:szCs w:val="24"/>
        </w:rPr>
        <w:t xml:space="preserve">, </w:t>
      </w:r>
      <w:r w:rsidRPr="00CE1F5E">
        <w:rPr>
          <w:rFonts w:ascii="Calibri" w:hAnsi="Calibri" w:cs="Calibri"/>
          <w:color w:val="000000" w:themeColor="text1"/>
          <w:sz w:val="24"/>
          <w:szCs w:val="24"/>
        </w:rPr>
        <w:t>such as individual coping strategies</w:t>
      </w:r>
      <w:r w:rsidR="0057302D">
        <w:rPr>
          <w:rFonts w:ascii="Calibri" w:hAnsi="Calibri" w:cs="Calibri"/>
          <w:color w:val="000000" w:themeColor="text1"/>
          <w:sz w:val="24"/>
          <w:szCs w:val="24"/>
        </w:rPr>
        <w:t>, a</w:t>
      </w:r>
      <w:r w:rsidRPr="00CE1F5E">
        <w:rPr>
          <w:rFonts w:ascii="Calibri" w:hAnsi="Calibri" w:cs="Calibri"/>
          <w:color w:val="000000" w:themeColor="text1"/>
          <w:sz w:val="24"/>
          <w:szCs w:val="24"/>
        </w:rPr>
        <w:t xml:space="preserve">re unlikely to be sufficient in isolation. </w:t>
      </w:r>
      <w:proofErr w:type="gramStart"/>
      <w:r w:rsidRPr="00CE1F5E">
        <w:rPr>
          <w:rFonts w:ascii="Calibri" w:hAnsi="Calibri" w:cs="Calibri"/>
          <w:color w:val="000000" w:themeColor="text1"/>
          <w:sz w:val="24"/>
          <w:szCs w:val="24"/>
        </w:rPr>
        <w:t>Instead</w:t>
      </w:r>
      <w:proofErr w:type="gramEnd"/>
      <w:r w:rsidR="0057302D">
        <w:rPr>
          <w:rFonts w:ascii="Calibri" w:hAnsi="Calibri" w:cs="Calibri"/>
          <w:color w:val="000000" w:themeColor="text1"/>
          <w:sz w:val="24"/>
          <w:szCs w:val="24"/>
        </w:rPr>
        <w:t xml:space="preserve"> </w:t>
      </w:r>
      <w:r w:rsidR="009951BD">
        <w:rPr>
          <w:rFonts w:ascii="Calibri" w:hAnsi="Calibri" w:cs="Calibri"/>
          <w:color w:val="000000" w:themeColor="text1"/>
          <w:sz w:val="24"/>
          <w:szCs w:val="24"/>
        </w:rPr>
        <w:t>Korthagen (2004)</w:t>
      </w:r>
      <w:r w:rsidR="0057302D">
        <w:rPr>
          <w:rFonts w:ascii="Calibri" w:hAnsi="Calibri" w:cs="Calibri"/>
          <w:color w:val="000000" w:themeColor="text1"/>
          <w:sz w:val="24"/>
          <w:szCs w:val="24"/>
        </w:rPr>
        <w:t xml:space="preserve"> suggests </w:t>
      </w:r>
      <w:r w:rsidRPr="00CE1F5E">
        <w:rPr>
          <w:rFonts w:ascii="Calibri" w:hAnsi="Calibri" w:cs="Calibri"/>
          <w:color w:val="000000" w:themeColor="text1"/>
          <w:sz w:val="24"/>
          <w:szCs w:val="24"/>
        </w:rPr>
        <w:t>a more holistic approach is required, one that recognises how individual, organisational, and systemic factors interact to shape teacher experiences.</w:t>
      </w:r>
    </w:p>
    <w:p w14:paraId="4F955C0D" w14:textId="00B708B3" w:rsidR="00717C01" w:rsidRPr="00CE1F5E" w:rsidRDefault="00717C01" w:rsidP="000733E2">
      <w:pPr>
        <w:spacing w:line="360" w:lineRule="auto"/>
        <w:rPr>
          <w:rFonts w:ascii="Calibri" w:hAnsi="Calibri" w:cs="Calibri"/>
          <w:color w:val="000000" w:themeColor="text1"/>
          <w:sz w:val="24"/>
          <w:szCs w:val="24"/>
        </w:rPr>
      </w:pPr>
      <w:r w:rsidRPr="00CE1F5E">
        <w:rPr>
          <w:rFonts w:ascii="Calibri" w:hAnsi="Calibri" w:cs="Calibri"/>
          <w:color w:val="000000" w:themeColor="text1"/>
          <w:sz w:val="24"/>
          <w:szCs w:val="24"/>
        </w:rPr>
        <w:t>This integrated perspective also has implications for how responsibility for burnout is conceptualised. Rather than locating responsibility solely within the individual or the organisation, it highlights the need to consider the broader structures that shape working conditions within education. By foregrounding these interdependencies, the analysis moves towards a more comprehensive and contextually grounded understanding of burnout among NQTs.</w:t>
      </w:r>
    </w:p>
    <w:p w14:paraId="64757404" w14:textId="66D65BA3" w:rsidR="000733E2" w:rsidRPr="00E459FD" w:rsidRDefault="000733E2" w:rsidP="001A103D">
      <w:pPr>
        <w:pStyle w:val="Heading3"/>
      </w:pPr>
      <w:bookmarkStart w:id="42" w:name="_Toc228136341"/>
      <w:r w:rsidRPr="00E459FD">
        <w:t>3.</w:t>
      </w:r>
      <w:r w:rsidR="00CE1F5E" w:rsidRPr="00E459FD">
        <w:t>1</w:t>
      </w:r>
      <w:r w:rsidR="00275C24">
        <w:t>1</w:t>
      </w:r>
      <w:r w:rsidR="00CE1F5E" w:rsidRPr="00E459FD">
        <w:t xml:space="preserve"> C</w:t>
      </w:r>
      <w:r w:rsidRPr="00E459FD">
        <w:t>onclusion</w:t>
      </w:r>
      <w:bookmarkEnd w:id="42"/>
    </w:p>
    <w:p w14:paraId="08F0AF02" w14:textId="77777777" w:rsidR="000733E2" w:rsidRPr="001A2BC0" w:rsidRDefault="000733E2" w:rsidP="000733E2">
      <w:pPr>
        <w:spacing w:line="360" w:lineRule="auto"/>
        <w:rPr>
          <w:rFonts w:ascii="Calibri" w:hAnsi="Calibri" w:cs="Calibri"/>
          <w:sz w:val="24"/>
          <w:szCs w:val="24"/>
        </w:rPr>
      </w:pPr>
      <w:r w:rsidRPr="001A2BC0">
        <w:rPr>
          <w:rFonts w:ascii="Calibri" w:hAnsi="Calibri" w:cs="Calibri"/>
          <w:sz w:val="24"/>
          <w:szCs w:val="24"/>
        </w:rPr>
        <w:t>In conclusion, this chapter has critically examined the key factors identified within the literature as contributing to burnout among newly qualified teachers. The analysis demonstrates that burnout is a complex and multi-dimensional phenomenon, shaped by the dynamic interaction of individual, organisational, and systemic influences.</w:t>
      </w:r>
    </w:p>
    <w:p w14:paraId="14769A06" w14:textId="77777777" w:rsidR="000733E2" w:rsidRPr="001A2BC0" w:rsidRDefault="000733E2" w:rsidP="000733E2">
      <w:pPr>
        <w:spacing w:line="360" w:lineRule="auto"/>
        <w:rPr>
          <w:rFonts w:ascii="Calibri" w:hAnsi="Calibri" w:cs="Calibri"/>
          <w:sz w:val="24"/>
          <w:szCs w:val="24"/>
        </w:rPr>
      </w:pPr>
      <w:r w:rsidRPr="001A2BC0">
        <w:rPr>
          <w:rFonts w:ascii="Calibri" w:hAnsi="Calibri" w:cs="Calibri"/>
          <w:sz w:val="24"/>
          <w:szCs w:val="24"/>
        </w:rPr>
        <w:t>At the individual level, factors such as self-efficacy, coping strategies, and emotional resilience influence how teachers interpret and respond to professional demands. However, these factors are not independent; they are shaped by the organisational and systemic contexts within which teachers operate. Organisational conditions, including workload, leadership practices, mentoring provision, and school culture, play a central role in either mitigating or exacerbating burnout. Beyond this, systemic and policy-level pressures, such as accountability frameworks and curriculum reform, further shape the conditions under which burnout develops.</w:t>
      </w:r>
    </w:p>
    <w:p w14:paraId="24FF97CC" w14:textId="77777777" w:rsidR="000733E2" w:rsidRPr="001A2BC0" w:rsidRDefault="000733E2" w:rsidP="000733E2">
      <w:pPr>
        <w:spacing w:line="360" w:lineRule="auto"/>
        <w:rPr>
          <w:rFonts w:ascii="Calibri" w:hAnsi="Calibri" w:cs="Calibri"/>
          <w:sz w:val="24"/>
          <w:szCs w:val="24"/>
        </w:rPr>
      </w:pPr>
      <w:r w:rsidRPr="001A2BC0">
        <w:rPr>
          <w:rFonts w:ascii="Calibri" w:hAnsi="Calibri" w:cs="Calibri"/>
          <w:sz w:val="24"/>
          <w:szCs w:val="24"/>
        </w:rPr>
        <w:t>A key insight emerging from this analysis is the persistent tension within the literature regarding the location of responsibility for burnout. While individual-level explanations remain prominent, there is increasing recognition of the need to situate burnout within broader structural conditions. This shift has important implications for both research and practice, as it challenges deficit-oriented narratives and highlights the need for more comprehensive and context-sensitive approaches to supporting teacher wellbeing.</w:t>
      </w:r>
    </w:p>
    <w:p w14:paraId="7C6F28C0" w14:textId="77777777" w:rsidR="000733E2" w:rsidRDefault="000733E2" w:rsidP="000733E2">
      <w:pPr>
        <w:spacing w:line="360" w:lineRule="auto"/>
        <w:rPr>
          <w:rFonts w:ascii="Calibri" w:hAnsi="Calibri" w:cs="Calibri"/>
          <w:sz w:val="24"/>
          <w:szCs w:val="24"/>
        </w:rPr>
      </w:pPr>
      <w:r w:rsidRPr="001A2BC0">
        <w:rPr>
          <w:rFonts w:ascii="Calibri" w:hAnsi="Calibri" w:cs="Calibri"/>
          <w:sz w:val="24"/>
          <w:szCs w:val="24"/>
        </w:rPr>
        <w:lastRenderedPageBreak/>
        <w:t>By adopting a multi-layered analytical framework, this chapter contributes to a more integrated understanding of burnout, emphasising the interconnectedness of personal and structural factors. The following chapter builds upon these insights by examining how these themes are reflected within the findings and exploring their implications for policy and practice.</w:t>
      </w:r>
    </w:p>
    <w:p w14:paraId="5BD7FFA5" w14:textId="78A5CE90" w:rsidR="00E459FD" w:rsidRPr="00E459FD" w:rsidRDefault="00E459FD" w:rsidP="00E459FD">
      <w:pPr>
        <w:pStyle w:val="Heading2"/>
        <w:rPr>
          <w:rFonts w:ascii="Calibri" w:hAnsi="Calibri" w:cs="Calibri"/>
        </w:rPr>
      </w:pPr>
      <w:bookmarkStart w:id="43" w:name="_Toc228132088"/>
      <w:bookmarkStart w:id="44" w:name="_Toc228132123"/>
      <w:bookmarkStart w:id="45" w:name="_Toc228132255"/>
      <w:bookmarkStart w:id="46" w:name="_Toc228136342"/>
      <w:r w:rsidRPr="00E459FD">
        <w:rPr>
          <w:rFonts w:ascii="Calibri" w:hAnsi="Calibri" w:cs="Calibri"/>
        </w:rPr>
        <w:t xml:space="preserve">Chapter 4: </w:t>
      </w:r>
      <w:r w:rsidRPr="00E459FD">
        <w:rPr>
          <w:rFonts w:ascii="Calibri" w:hAnsi="Calibri" w:cs="Calibri"/>
        </w:rPr>
        <w:t>Thematic Analysis of Burnout Among Newly Qualified Teachers</w:t>
      </w:r>
      <w:bookmarkEnd w:id="43"/>
      <w:bookmarkEnd w:id="44"/>
      <w:bookmarkEnd w:id="45"/>
      <w:bookmarkEnd w:id="46"/>
    </w:p>
    <w:p w14:paraId="25BBFA58" w14:textId="77777777" w:rsidR="003810C9" w:rsidRPr="00E459FD" w:rsidRDefault="003810C9" w:rsidP="001A103D">
      <w:pPr>
        <w:pStyle w:val="Heading3"/>
      </w:pPr>
      <w:bookmarkStart w:id="47" w:name="_Toc228136343"/>
      <w:r w:rsidRPr="00E459FD">
        <w:t>4.1 Introduction</w:t>
      </w:r>
      <w:bookmarkEnd w:id="47"/>
    </w:p>
    <w:p w14:paraId="377FCF38" w14:textId="30D0694B" w:rsidR="003810C9" w:rsidRPr="003810C9" w:rsidRDefault="003810C9" w:rsidP="003810C9">
      <w:pPr>
        <w:spacing w:line="360" w:lineRule="auto"/>
        <w:rPr>
          <w:rFonts w:ascii="Calibri" w:hAnsi="Calibri" w:cs="Calibri"/>
          <w:sz w:val="24"/>
          <w:szCs w:val="24"/>
        </w:rPr>
      </w:pPr>
      <w:r w:rsidRPr="003810C9">
        <w:rPr>
          <w:rFonts w:ascii="Calibri" w:hAnsi="Calibri" w:cs="Calibri"/>
          <w:sz w:val="24"/>
          <w:szCs w:val="24"/>
        </w:rPr>
        <w:t xml:space="preserve">This chapter presents a critical thematic analysis of the literature exploring burnout among NQTs, with </w:t>
      </w:r>
      <w:r w:rsidR="0057302D" w:rsidRPr="003810C9">
        <w:rPr>
          <w:rFonts w:ascii="Calibri" w:hAnsi="Calibri" w:cs="Calibri"/>
          <w:sz w:val="24"/>
          <w:szCs w:val="24"/>
        </w:rPr>
        <w:t>reference</w:t>
      </w:r>
      <w:r w:rsidRPr="003810C9">
        <w:rPr>
          <w:rFonts w:ascii="Calibri" w:hAnsi="Calibri" w:cs="Calibri"/>
          <w:sz w:val="24"/>
          <w:szCs w:val="24"/>
        </w:rPr>
        <w:t xml:space="preserve"> to the Welsh educational context. Building on the systematic review outlined in Chapter 3, this chapter moves beyond description to synthesise and interpret key patterns across the literature. The aim is to identify and critically examine the underlying factors contributing to burnout, whilst considering how these factors interact across different levels of influence.</w:t>
      </w:r>
    </w:p>
    <w:p w14:paraId="3D3D7B99" w14:textId="77777777" w:rsidR="003810C9" w:rsidRDefault="003810C9" w:rsidP="003810C9">
      <w:pPr>
        <w:spacing w:line="360" w:lineRule="auto"/>
        <w:rPr>
          <w:rFonts w:ascii="Calibri" w:hAnsi="Calibri" w:cs="Calibri"/>
          <w:sz w:val="24"/>
          <w:szCs w:val="24"/>
        </w:rPr>
      </w:pPr>
      <w:r w:rsidRPr="003810C9">
        <w:rPr>
          <w:rFonts w:ascii="Calibri" w:hAnsi="Calibri" w:cs="Calibri"/>
          <w:sz w:val="24"/>
          <w:szCs w:val="24"/>
        </w:rPr>
        <w:t>Through a process of thematic synthesis, three overarching themes were identified: individual-level factors, organisational influences, and systemic or policy-related pressures. While these themes are presented as distinct categories for clarity, the literature consistently demonstrates that burnout is not caused by a single factor but instead emerges from the dynamic interaction between these levels. For NQTs, this interaction is particularly significant, as they navigate the transition from initial teacher education into full professional responsibility within often demanding and complex school environments.</w:t>
      </w:r>
    </w:p>
    <w:p w14:paraId="060674BF" w14:textId="273FA061" w:rsidR="0057302D" w:rsidRDefault="0057302D" w:rsidP="003810C9">
      <w:pPr>
        <w:spacing w:line="360" w:lineRule="auto"/>
        <w:rPr>
          <w:rFonts w:ascii="Calibri" w:hAnsi="Calibri" w:cs="Calibri"/>
          <w:sz w:val="24"/>
          <w:szCs w:val="24"/>
        </w:rPr>
      </w:pPr>
      <w:r w:rsidRPr="0057302D">
        <w:rPr>
          <w:rFonts w:ascii="Calibri" w:hAnsi="Calibri" w:cs="Calibri"/>
          <w:sz w:val="24"/>
          <w:szCs w:val="24"/>
        </w:rPr>
        <w:t xml:space="preserve">This chapter therefore undertakes a critical examination of each identified theme in turn, interrogating how they are conceptualised within the literature and the extent to which they are supported by empirical evidence. In doing so, it moves beyond descriptive accounts to consider the underlying assumptions, tensions, and limitations that shape current understandings of teacher burnout. </w:t>
      </w:r>
      <w:r w:rsidRPr="0057302D">
        <w:rPr>
          <w:rFonts w:ascii="Calibri" w:hAnsi="Calibri" w:cs="Calibri"/>
          <w:sz w:val="24"/>
          <w:szCs w:val="24"/>
        </w:rPr>
        <w:t>Attention</w:t>
      </w:r>
      <w:r w:rsidRPr="0057302D">
        <w:rPr>
          <w:rFonts w:ascii="Calibri" w:hAnsi="Calibri" w:cs="Calibri"/>
          <w:sz w:val="24"/>
          <w:szCs w:val="24"/>
        </w:rPr>
        <w:t xml:space="preserve"> is given to how these themes operate across individual, organisational, and systemic levels, and to the ways in which they intersect within the context of early career teaching. The chapter then draws these strands together in a broader synthesis, highlighting how burnout is not only produced but also experienced and, in some cases, sustained over time. This integrative approach enables a more nuanced </w:t>
      </w:r>
      <w:r w:rsidRPr="0057302D">
        <w:rPr>
          <w:rFonts w:ascii="Calibri" w:hAnsi="Calibri" w:cs="Calibri"/>
          <w:sz w:val="24"/>
          <w:szCs w:val="24"/>
        </w:rPr>
        <w:lastRenderedPageBreak/>
        <w:t>understanding of burnout as a multifaceted and contextually situated phenomenon, thereby providing a coherent foundation for the subsequent analysis.</w:t>
      </w:r>
    </w:p>
    <w:p w14:paraId="50F9B5B4" w14:textId="4AB111D8" w:rsidR="003810C9" w:rsidRPr="00E459FD" w:rsidRDefault="003810C9" w:rsidP="001A103D">
      <w:pPr>
        <w:pStyle w:val="Heading3"/>
      </w:pPr>
      <w:bookmarkStart w:id="48" w:name="_Toc228136344"/>
      <w:r w:rsidRPr="00E459FD">
        <w:t>4.2 Individual-Level Factors: Emotional and Psychological Demands</w:t>
      </w:r>
      <w:bookmarkEnd w:id="48"/>
    </w:p>
    <w:p w14:paraId="16BC8F5D" w14:textId="180E437C" w:rsidR="003810C9" w:rsidRPr="003810C9" w:rsidRDefault="003810C9" w:rsidP="003810C9">
      <w:pPr>
        <w:spacing w:line="360" w:lineRule="auto"/>
        <w:rPr>
          <w:rFonts w:ascii="Calibri" w:hAnsi="Calibri" w:cs="Calibri"/>
          <w:sz w:val="24"/>
          <w:szCs w:val="24"/>
        </w:rPr>
      </w:pPr>
      <w:r w:rsidRPr="003810C9">
        <w:rPr>
          <w:rFonts w:ascii="Calibri" w:hAnsi="Calibri" w:cs="Calibri"/>
          <w:sz w:val="24"/>
          <w:szCs w:val="24"/>
        </w:rPr>
        <w:t xml:space="preserve">The literature consistently identifies individual-level factors as central to understanding teacher burnout, particularly in relation to emotional and psychological demands </w:t>
      </w:r>
      <w:r w:rsidR="009D1844">
        <w:rPr>
          <w:rFonts w:ascii="Calibri" w:hAnsi="Calibri" w:cs="Calibri"/>
          <w:sz w:val="24"/>
          <w:szCs w:val="24"/>
        </w:rPr>
        <w:t>(Klusmann</w:t>
      </w:r>
      <w:r w:rsidR="00032044">
        <w:rPr>
          <w:rFonts w:ascii="Calibri" w:hAnsi="Calibri" w:cs="Calibri"/>
          <w:sz w:val="24"/>
          <w:szCs w:val="24"/>
        </w:rPr>
        <w:t xml:space="preserve"> et al, 2008)</w:t>
      </w:r>
      <w:r w:rsidRPr="003810C9">
        <w:rPr>
          <w:rFonts w:ascii="Calibri" w:hAnsi="Calibri" w:cs="Calibri"/>
          <w:sz w:val="24"/>
          <w:szCs w:val="24"/>
        </w:rPr>
        <w:t xml:space="preserve">. However, rather than positioning burnout </w:t>
      </w:r>
      <w:proofErr w:type="gramStart"/>
      <w:r w:rsidRPr="003810C9">
        <w:rPr>
          <w:rFonts w:ascii="Calibri" w:hAnsi="Calibri" w:cs="Calibri"/>
          <w:sz w:val="24"/>
          <w:szCs w:val="24"/>
        </w:rPr>
        <w:t>as a consequence of</w:t>
      </w:r>
      <w:proofErr w:type="gramEnd"/>
      <w:r w:rsidRPr="003810C9">
        <w:rPr>
          <w:rFonts w:ascii="Calibri" w:hAnsi="Calibri" w:cs="Calibri"/>
          <w:sz w:val="24"/>
          <w:szCs w:val="24"/>
        </w:rPr>
        <w:t xml:space="preserve"> individual weakness or lack of resilience, more recent research reframes these experiences within the context of early professional identity formation. For NQTs, the transition into teaching represents not only a shift in responsibility but also a period of intense personal and professional adjustment, during which vulnerability to burnout is heightened </w:t>
      </w:r>
      <w:r w:rsidR="00E16396">
        <w:rPr>
          <w:rFonts w:ascii="Calibri" w:hAnsi="Calibri" w:cs="Calibri"/>
          <w:sz w:val="24"/>
          <w:szCs w:val="24"/>
        </w:rPr>
        <w:t>(Quickfall, Wood and Clarke, 2022)</w:t>
      </w:r>
      <w:r w:rsidRPr="003810C9">
        <w:rPr>
          <w:rFonts w:ascii="Calibri" w:hAnsi="Calibri" w:cs="Calibri"/>
          <w:sz w:val="24"/>
          <w:szCs w:val="24"/>
        </w:rPr>
        <w:t>.</w:t>
      </w:r>
    </w:p>
    <w:p w14:paraId="5AD49583" w14:textId="5577E337" w:rsidR="003810C9" w:rsidRPr="003810C9" w:rsidRDefault="003810C9" w:rsidP="003810C9">
      <w:pPr>
        <w:spacing w:line="360" w:lineRule="auto"/>
        <w:rPr>
          <w:rFonts w:ascii="Calibri" w:hAnsi="Calibri" w:cs="Calibri"/>
          <w:sz w:val="24"/>
          <w:szCs w:val="24"/>
        </w:rPr>
      </w:pPr>
      <w:r w:rsidRPr="003810C9">
        <w:rPr>
          <w:rFonts w:ascii="Calibri" w:hAnsi="Calibri" w:cs="Calibri"/>
          <w:sz w:val="24"/>
          <w:szCs w:val="24"/>
        </w:rPr>
        <w:t xml:space="preserve">A key theme emerging across the literature is emotional exhaustion, often described as the core component of burnout. NQTs frequently report feeling overwhelmed by the emotional labour required in teaching, including managing student behaviour, responding to diverse learning needs, and maintaining professional composure in challenging situations. This is compounded by the pressure to meet perceived expectations of what a ‘good teacher’ should be, which can create internalised stress and self-doubt. In this sense, burnout is not simply a response to workload, but also to the emotional demands of sustained interpersonal engagement </w:t>
      </w:r>
      <w:r w:rsidR="00AB4CB6">
        <w:rPr>
          <w:rFonts w:ascii="Calibri" w:hAnsi="Calibri" w:cs="Calibri"/>
          <w:sz w:val="24"/>
          <w:szCs w:val="24"/>
        </w:rPr>
        <w:t>(Wang, 2024)</w:t>
      </w:r>
      <w:r w:rsidRPr="003810C9">
        <w:rPr>
          <w:rFonts w:ascii="Calibri" w:hAnsi="Calibri" w:cs="Calibri"/>
          <w:sz w:val="24"/>
          <w:szCs w:val="24"/>
        </w:rPr>
        <w:t>.</w:t>
      </w:r>
    </w:p>
    <w:p w14:paraId="28789B4F" w14:textId="763CEC2F" w:rsidR="003810C9" w:rsidRPr="003810C9" w:rsidRDefault="003810C9" w:rsidP="003810C9">
      <w:pPr>
        <w:spacing w:line="360" w:lineRule="auto"/>
        <w:rPr>
          <w:rFonts w:ascii="Calibri" w:hAnsi="Calibri" w:cs="Calibri"/>
          <w:sz w:val="24"/>
          <w:szCs w:val="24"/>
        </w:rPr>
      </w:pPr>
      <w:r w:rsidRPr="003810C9">
        <w:rPr>
          <w:rFonts w:ascii="Calibri" w:hAnsi="Calibri" w:cs="Calibri"/>
          <w:sz w:val="24"/>
          <w:szCs w:val="24"/>
        </w:rPr>
        <w:t xml:space="preserve">Closely linked to this is the concept of self-efficacy. Research suggests that NQTs often enter the profession with high levels of motivation but comparatively fragile confidence in their abilities. When confronted with the realities of classroom practice, particularly behaviour management and workload intensity, this confidence can be quickly undermined. Low self-efficacy has been shown to correlate strongly with increased stress and reduced job satisfaction, indicating that psychological factors play a significant role in shaping burnout trajectories </w:t>
      </w:r>
      <w:r w:rsidR="00ED6F54">
        <w:rPr>
          <w:rFonts w:ascii="Calibri" w:hAnsi="Calibri" w:cs="Calibri"/>
          <w:sz w:val="24"/>
          <w:szCs w:val="24"/>
        </w:rPr>
        <w:t>(Alessand</w:t>
      </w:r>
      <w:r w:rsidR="00237395">
        <w:rPr>
          <w:rFonts w:ascii="Calibri" w:hAnsi="Calibri" w:cs="Calibri"/>
          <w:sz w:val="24"/>
          <w:szCs w:val="24"/>
        </w:rPr>
        <w:t>ri et al, 2018)</w:t>
      </w:r>
      <w:r w:rsidRPr="003810C9">
        <w:rPr>
          <w:rFonts w:ascii="Calibri" w:hAnsi="Calibri" w:cs="Calibri"/>
          <w:sz w:val="24"/>
          <w:szCs w:val="24"/>
        </w:rPr>
        <w:t>.</w:t>
      </w:r>
    </w:p>
    <w:p w14:paraId="35EADB93" w14:textId="49C1D7F6" w:rsidR="003810C9" w:rsidRPr="003810C9" w:rsidRDefault="003810C9" w:rsidP="003810C9">
      <w:pPr>
        <w:spacing w:line="360" w:lineRule="auto"/>
        <w:rPr>
          <w:rFonts w:ascii="Calibri" w:hAnsi="Calibri" w:cs="Calibri"/>
          <w:sz w:val="24"/>
          <w:szCs w:val="24"/>
        </w:rPr>
      </w:pPr>
      <w:r w:rsidRPr="003810C9">
        <w:rPr>
          <w:rFonts w:ascii="Calibri" w:hAnsi="Calibri" w:cs="Calibri"/>
          <w:sz w:val="24"/>
          <w:szCs w:val="24"/>
        </w:rPr>
        <w:t xml:space="preserve">Importantly, coping strategies also emerge as a differentiating factor within the literature. While some NQTs develop adaptive coping mechanisms, such as seeking peer support or engaging in reflective practice, others may rely on less effective strategies, including avoidance or emotional withdrawal. However, it is critical to recognise that the capacity to </w:t>
      </w:r>
      <w:r w:rsidRPr="003810C9">
        <w:rPr>
          <w:rFonts w:ascii="Calibri" w:hAnsi="Calibri" w:cs="Calibri"/>
          <w:sz w:val="24"/>
          <w:szCs w:val="24"/>
        </w:rPr>
        <w:lastRenderedPageBreak/>
        <w:t xml:space="preserve">cope is not solely an individual responsibility; rather, it is shaped by the level of support and resources available within the school environment. This reinforces the argument that individual-level experiences of burnout cannot be fully understood in isolation from wider organisational and systemic influences </w:t>
      </w:r>
      <w:r w:rsidR="00E66710">
        <w:rPr>
          <w:rFonts w:ascii="Calibri" w:hAnsi="Calibri" w:cs="Calibri"/>
          <w:sz w:val="24"/>
          <w:szCs w:val="24"/>
        </w:rPr>
        <w:t>(Bakker et al, 2007)</w:t>
      </w:r>
      <w:r w:rsidRPr="003810C9">
        <w:rPr>
          <w:rFonts w:ascii="Calibri" w:hAnsi="Calibri" w:cs="Calibri"/>
          <w:sz w:val="24"/>
          <w:szCs w:val="24"/>
        </w:rPr>
        <w:t>.</w:t>
      </w:r>
    </w:p>
    <w:p w14:paraId="0DF660E2" w14:textId="62303A97" w:rsidR="003810C9" w:rsidRPr="003810C9" w:rsidRDefault="003810C9" w:rsidP="003810C9">
      <w:pPr>
        <w:spacing w:line="360" w:lineRule="auto"/>
        <w:rPr>
          <w:rFonts w:ascii="Calibri" w:hAnsi="Calibri" w:cs="Calibri"/>
          <w:sz w:val="24"/>
          <w:szCs w:val="24"/>
        </w:rPr>
      </w:pPr>
      <w:r w:rsidRPr="003810C9">
        <w:rPr>
          <w:rFonts w:ascii="Calibri" w:hAnsi="Calibri" w:cs="Calibri"/>
          <w:sz w:val="24"/>
          <w:szCs w:val="24"/>
        </w:rPr>
        <w:t>A further limitation of individual-level approaches lies in their tendency to overlook the temporal nature of burnout. Burnout is often presented as an outcome or end-state, rather than a process that develops over time through repeated exposure to stressors. For NQTs, this is particularly significant, as the early stages of a teaching career are characterised by rapid change, uncertainty, and ongoing professional learning. As such, emotional exhaustion may not emerge immediately but can accumulate progressively as initial enthusiasm is challenged by the realities of practice</w:t>
      </w:r>
      <w:r w:rsidR="000C206D">
        <w:rPr>
          <w:rFonts w:ascii="Calibri" w:hAnsi="Calibri" w:cs="Calibri"/>
          <w:sz w:val="24"/>
          <w:szCs w:val="24"/>
        </w:rPr>
        <w:t xml:space="preserve"> according to </w:t>
      </w:r>
      <w:r w:rsidR="003211FB">
        <w:rPr>
          <w:rFonts w:ascii="Calibri" w:hAnsi="Calibri" w:cs="Calibri"/>
          <w:sz w:val="24"/>
          <w:szCs w:val="24"/>
        </w:rPr>
        <w:t>Hogan and White (2021)</w:t>
      </w:r>
      <w:r w:rsidRPr="003810C9">
        <w:rPr>
          <w:rFonts w:ascii="Calibri" w:hAnsi="Calibri" w:cs="Calibri"/>
          <w:sz w:val="24"/>
          <w:szCs w:val="24"/>
        </w:rPr>
        <w:t>.</w:t>
      </w:r>
    </w:p>
    <w:p w14:paraId="3FEF86B5" w14:textId="77777777" w:rsidR="003810C9" w:rsidRPr="003810C9" w:rsidRDefault="003810C9" w:rsidP="003810C9">
      <w:pPr>
        <w:spacing w:line="360" w:lineRule="auto"/>
        <w:rPr>
          <w:rFonts w:ascii="Calibri" w:hAnsi="Calibri" w:cs="Calibri"/>
          <w:sz w:val="24"/>
          <w:szCs w:val="24"/>
        </w:rPr>
      </w:pPr>
      <w:r w:rsidRPr="003810C9">
        <w:rPr>
          <w:rFonts w:ascii="Calibri" w:hAnsi="Calibri" w:cs="Calibri"/>
          <w:sz w:val="24"/>
          <w:szCs w:val="24"/>
        </w:rPr>
        <w:t>Additionally, there is a risk that the emphasis on constructs such as resilience and coping reinforces a deficit-oriented narrative, in which teachers are expected to adapt to challenging conditions rather than question them. This aligns with broader critiques within the literature, which suggest that the concept of resilience has, at times, been co-opted within policy discourse as a means of shifting responsibility away from institutions and onto individuals. In this sense, promoting resilience without addressing underlying structural conditions may inadvertently normalise the very pressures that contribute to burnout.</w:t>
      </w:r>
    </w:p>
    <w:p w14:paraId="6AABA33E" w14:textId="7F56BB12" w:rsidR="003810C9" w:rsidRPr="003810C9" w:rsidRDefault="003810C9" w:rsidP="003810C9">
      <w:pPr>
        <w:spacing w:line="360" w:lineRule="auto"/>
        <w:rPr>
          <w:rFonts w:ascii="Calibri" w:hAnsi="Calibri" w:cs="Calibri"/>
          <w:sz w:val="24"/>
          <w:szCs w:val="24"/>
        </w:rPr>
      </w:pPr>
      <w:r w:rsidRPr="003810C9">
        <w:rPr>
          <w:rFonts w:ascii="Calibri" w:hAnsi="Calibri" w:cs="Calibri"/>
          <w:sz w:val="24"/>
          <w:szCs w:val="24"/>
        </w:rPr>
        <w:t xml:space="preserve">Overall, the literature suggests that NQTs experience burnout not simply due to personal limitations, but </w:t>
      </w:r>
      <w:proofErr w:type="gramStart"/>
      <w:r w:rsidRPr="003810C9">
        <w:rPr>
          <w:rFonts w:ascii="Calibri" w:hAnsi="Calibri" w:cs="Calibri"/>
          <w:sz w:val="24"/>
          <w:szCs w:val="24"/>
        </w:rPr>
        <w:t>as a result of</w:t>
      </w:r>
      <w:proofErr w:type="gramEnd"/>
      <w:r w:rsidRPr="003810C9">
        <w:rPr>
          <w:rFonts w:ascii="Calibri" w:hAnsi="Calibri" w:cs="Calibri"/>
          <w:sz w:val="24"/>
          <w:szCs w:val="24"/>
        </w:rPr>
        <w:t xml:space="preserve"> navigating a complex emotional landscape during a formative stage of their professional development. This highlights the need to move beyond individualistic interpretations of burnout and consider how psychological demands are intensified or alleviated by external factors</w:t>
      </w:r>
      <w:r w:rsidR="0062263A">
        <w:rPr>
          <w:rFonts w:ascii="Calibri" w:hAnsi="Calibri" w:cs="Calibri"/>
          <w:sz w:val="24"/>
          <w:szCs w:val="24"/>
        </w:rPr>
        <w:t xml:space="preserve"> </w:t>
      </w:r>
      <w:r w:rsidR="00DB2026">
        <w:rPr>
          <w:rFonts w:ascii="Calibri" w:hAnsi="Calibri" w:cs="Calibri"/>
          <w:sz w:val="24"/>
          <w:szCs w:val="24"/>
        </w:rPr>
        <w:t>(Chang, 2009)</w:t>
      </w:r>
      <w:r w:rsidRPr="003810C9">
        <w:rPr>
          <w:rFonts w:ascii="Calibri" w:hAnsi="Calibri" w:cs="Calibri"/>
          <w:sz w:val="24"/>
          <w:szCs w:val="24"/>
        </w:rPr>
        <w:t>.</w:t>
      </w:r>
    </w:p>
    <w:p w14:paraId="55A26CAB" w14:textId="77777777" w:rsidR="003810C9" w:rsidRPr="00E459FD" w:rsidRDefault="003810C9" w:rsidP="001A103D">
      <w:pPr>
        <w:pStyle w:val="Heading3"/>
      </w:pPr>
      <w:bookmarkStart w:id="49" w:name="_Toc228136345"/>
      <w:r w:rsidRPr="00E459FD">
        <w:t>4.3 Organisational Factors: School Environment and Workload</w:t>
      </w:r>
      <w:bookmarkEnd w:id="49"/>
    </w:p>
    <w:p w14:paraId="532FD295" w14:textId="6043BA7F" w:rsidR="003810C9" w:rsidRPr="003810C9" w:rsidRDefault="003810C9" w:rsidP="003810C9">
      <w:pPr>
        <w:spacing w:line="360" w:lineRule="auto"/>
        <w:rPr>
          <w:rFonts w:ascii="Calibri" w:hAnsi="Calibri" w:cs="Calibri"/>
          <w:sz w:val="24"/>
          <w:szCs w:val="24"/>
        </w:rPr>
      </w:pPr>
      <w:r w:rsidRPr="003810C9">
        <w:rPr>
          <w:rFonts w:ascii="Calibri" w:hAnsi="Calibri" w:cs="Calibri"/>
          <w:sz w:val="24"/>
          <w:szCs w:val="24"/>
        </w:rPr>
        <w:t xml:space="preserve">While individual-level experiences provide important insight into the emotional dimensions of burnout, the literature strongly suggests that organisational factors play an integral role in shaping how burnout develops and is sustained among NQTs. Workload intensity, school culture, leadership practices, and the quality of professional support emerge as key influences that can either mitigate or exacerbate early-career stress </w:t>
      </w:r>
      <w:r w:rsidR="00DC1923">
        <w:rPr>
          <w:rFonts w:ascii="Calibri" w:hAnsi="Calibri" w:cs="Calibri"/>
          <w:sz w:val="24"/>
          <w:szCs w:val="24"/>
        </w:rPr>
        <w:t>(Hollywood et al, 2020)</w:t>
      </w:r>
      <w:r w:rsidRPr="003810C9">
        <w:rPr>
          <w:rFonts w:ascii="Calibri" w:hAnsi="Calibri" w:cs="Calibri"/>
          <w:sz w:val="24"/>
          <w:szCs w:val="24"/>
        </w:rPr>
        <w:t>.</w:t>
      </w:r>
    </w:p>
    <w:p w14:paraId="6CAE7EA2" w14:textId="216FA351" w:rsidR="003810C9" w:rsidRPr="003810C9" w:rsidRDefault="00A1299F" w:rsidP="003810C9">
      <w:pPr>
        <w:spacing w:line="360" w:lineRule="auto"/>
        <w:rPr>
          <w:rFonts w:ascii="Calibri" w:hAnsi="Calibri" w:cs="Calibri"/>
          <w:sz w:val="24"/>
          <w:szCs w:val="24"/>
        </w:rPr>
      </w:pPr>
      <w:proofErr w:type="spellStart"/>
      <w:r>
        <w:rPr>
          <w:rFonts w:ascii="Calibri" w:hAnsi="Calibri" w:cs="Calibri"/>
          <w:sz w:val="24"/>
          <w:szCs w:val="24"/>
        </w:rPr>
        <w:lastRenderedPageBreak/>
        <w:t>Joumad</w:t>
      </w:r>
      <w:proofErr w:type="spellEnd"/>
      <w:r>
        <w:rPr>
          <w:rFonts w:ascii="Calibri" w:hAnsi="Calibri" w:cs="Calibri"/>
          <w:sz w:val="24"/>
          <w:szCs w:val="24"/>
        </w:rPr>
        <w:t xml:space="preserve"> et al (</w:t>
      </w:r>
      <w:r w:rsidR="00B03328">
        <w:rPr>
          <w:rFonts w:ascii="Calibri" w:hAnsi="Calibri" w:cs="Calibri"/>
          <w:sz w:val="24"/>
          <w:szCs w:val="24"/>
        </w:rPr>
        <w:t>2021)</w:t>
      </w:r>
      <w:r w:rsidR="0062263A">
        <w:rPr>
          <w:rFonts w:ascii="Calibri" w:hAnsi="Calibri" w:cs="Calibri"/>
          <w:sz w:val="24"/>
          <w:szCs w:val="24"/>
        </w:rPr>
        <w:t xml:space="preserve"> emphasise w</w:t>
      </w:r>
      <w:r w:rsidR="003810C9" w:rsidRPr="003810C9">
        <w:rPr>
          <w:rFonts w:ascii="Calibri" w:hAnsi="Calibri" w:cs="Calibri"/>
          <w:sz w:val="24"/>
          <w:szCs w:val="24"/>
        </w:rPr>
        <w:t xml:space="preserve">orkload is consistently identified as one of the most significant contributors to burnout. For NQTs, this extends beyond teaching hours to include lesson planning, marking, administrative responsibilities, and extracurricular commitments. The cumulative effect of these demands often results in prolonged working hours, with limited opportunity for recovery. Importantly, the literature highlights that it is not simply the volume of work that contributes to burnout, but the nature of the workload, particularly tasks perceived as bureaucratic or lacking educational value. This distinction is critical, as it suggests that burnout is intensified when teachers feel their time is diverted away from meaningful teaching and learning activities </w:t>
      </w:r>
      <w:r w:rsidR="00556E23">
        <w:rPr>
          <w:rFonts w:ascii="Calibri" w:hAnsi="Calibri" w:cs="Calibri"/>
          <w:sz w:val="24"/>
          <w:szCs w:val="24"/>
        </w:rPr>
        <w:t>(Chang, 2009)</w:t>
      </w:r>
      <w:r w:rsidR="003810C9" w:rsidRPr="003810C9">
        <w:rPr>
          <w:rFonts w:ascii="Calibri" w:hAnsi="Calibri" w:cs="Calibri"/>
          <w:sz w:val="24"/>
          <w:szCs w:val="24"/>
        </w:rPr>
        <w:t>.</w:t>
      </w:r>
    </w:p>
    <w:p w14:paraId="7D3D0B41" w14:textId="77777777" w:rsidR="003810C9" w:rsidRPr="003810C9" w:rsidRDefault="003810C9" w:rsidP="003810C9">
      <w:pPr>
        <w:spacing w:line="360" w:lineRule="auto"/>
        <w:rPr>
          <w:rFonts w:ascii="Calibri" w:hAnsi="Calibri" w:cs="Calibri"/>
          <w:sz w:val="24"/>
          <w:szCs w:val="24"/>
        </w:rPr>
      </w:pPr>
      <w:r w:rsidRPr="003810C9">
        <w:rPr>
          <w:rFonts w:ascii="Calibri" w:hAnsi="Calibri" w:cs="Calibri"/>
          <w:sz w:val="24"/>
          <w:szCs w:val="24"/>
        </w:rPr>
        <w:t>Furthermore, the nature of workload experienced by NQTs can be understood as qualitatively distinct from that of more experienced teachers. While experienced practitioners may have developed strategies to manage planning and assessment efficiently, NQTs are simultaneously learning these processes for the first time. This results in a form of “intensified workload,” where tasks require both completion and skill acquisition. This dual demand increases cognitive load and reduces opportunities for recovery, thereby heightening the risk of burnout.</w:t>
      </w:r>
    </w:p>
    <w:p w14:paraId="29E5A6F0" w14:textId="538E060A" w:rsidR="003810C9" w:rsidRPr="003810C9" w:rsidRDefault="003810C9" w:rsidP="003810C9">
      <w:pPr>
        <w:spacing w:line="360" w:lineRule="auto"/>
        <w:rPr>
          <w:rFonts w:ascii="Calibri" w:hAnsi="Calibri" w:cs="Calibri"/>
          <w:sz w:val="24"/>
          <w:szCs w:val="24"/>
        </w:rPr>
      </w:pPr>
      <w:r w:rsidRPr="003810C9">
        <w:rPr>
          <w:rFonts w:ascii="Calibri" w:hAnsi="Calibri" w:cs="Calibri"/>
          <w:sz w:val="24"/>
          <w:szCs w:val="24"/>
        </w:rPr>
        <w:t>There is also an important distinction between visible and invisible workload. While tasks such as marking and lesson planning are formally recognised, less visible forms of labour</w:t>
      </w:r>
      <w:r w:rsidR="0062263A">
        <w:rPr>
          <w:rFonts w:ascii="Calibri" w:hAnsi="Calibri" w:cs="Calibri"/>
          <w:sz w:val="24"/>
          <w:szCs w:val="24"/>
        </w:rPr>
        <w:t xml:space="preserve"> </w:t>
      </w:r>
      <w:r w:rsidRPr="003810C9">
        <w:rPr>
          <w:rFonts w:ascii="Calibri" w:hAnsi="Calibri" w:cs="Calibri"/>
          <w:sz w:val="24"/>
          <w:szCs w:val="24"/>
        </w:rPr>
        <w:t>such as emotional support for pupils, informal collaboration, and ongoing self-reflection</w:t>
      </w:r>
      <w:r w:rsidR="00CE2BA7">
        <w:rPr>
          <w:rFonts w:ascii="Calibri" w:hAnsi="Calibri" w:cs="Calibri"/>
          <w:sz w:val="24"/>
          <w:szCs w:val="24"/>
        </w:rPr>
        <w:t xml:space="preserve"> </w:t>
      </w:r>
      <w:r w:rsidRPr="003810C9">
        <w:rPr>
          <w:rFonts w:ascii="Calibri" w:hAnsi="Calibri" w:cs="Calibri"/>
          <w:sz w:val="24"/>
          <w:szCs w:val="24"/>
        </w:rPr>
        <w:t>are often unacknowledged, despite contributing significantly to overall workload. This hidden dimension of teaching further complicates efforts to reduce workload, as policy interventions may fail to address the full scope of teachers’ responsibilities</w:t>
      </w:r>
      <w:r w:rsidR="00CE2BA7">
        <w:rPr>
          <w:rFonts w:ascii="Calibri" w:hAnsi="Calibri" w:cs="Calibri"/>
          <w:sz w:val="24"/>
          <w:szCs w:val="24"/>
        </w:rPr>
        <w:t xml:space="preserve"> argues </w:t>
      </w:r>
      <w:r w:rsidR="00666311">
        <w:rPr>
          <w:rFonts w:ascii="Calibri" w:hAnsi="Calibri" w:cs="Calibri"/>
          <w:sz w:val="24"/>
          <w:szCs w:val="24"/>
        </w:rPr>
        <w:t>Easthope and Easthope (2000)</w:t>
      </w:r>
      <w:r w:rsidRPr="003810C9">
        <w:rPr>
          <w:rFonts w:ascii="Calibri" w:hAnsi="Calibri" w:cs="Calibri"/>
          <w:sz w:val="24"/>
          <w:szCs w:val="24"/>
        </w:rPr>
        <w:t>.</w:t>
      </w:r>
    </w:p>
    <w:p w14:paraId="6A42156F" w14:textId="77777777" w:rsidR="003810C9" w:rsidRPr="003810C9" w:rsidRDefault="003810C9" w:rsidP="003810C9">
      <w:pPr>
        <w:spacing w:line="360" w:lineRule="auto"/>
        <w:rPr>
          <w:rFonts w:ascii="Calibri" w:hAnsi="Calibri" w:cs="Calibri"/>
          <w:sz w:val="24"/>
          <w:szCs w:val="24"/>
        </w:rPr>
      </w:pPr>
      <w:r w:rsidRPr="003810C9">
        <w:rPr>
          <w:rFonts w:ascii="Calibri" w:hAnsi="Calibri" w:cs="Calibri"/>
          <w:sz w:val="24"/>
          <w:szCs w:val="24"/>
        </w:rPr>
        <w:t>From a critical perspective, this raises questions about how workload is conceptualised and measured within both research and policy. If workload is narrowly defined in terms of quantifiable tasks, there is a risk that significant aspects of teachers’ labour remain unaddressed, thereby limiting the effectiveness of interventions aimed at reducing burnout.</w:t>
      </w:r>
    </w:p>
    <w:p w14:paraId="043D31C6" w14:textId="2A32CF57" w:rsidR="003810C9" w:rsidRPr="003810C9" w:rsidRDefault="003810C9" w:rsidP="003810C9">
      <w:pPr>
        <w:spacing w:line="360" w:lineRule="auto"/>
        <w:rPr>
          <w:rFonts w:ascii="Calibri" w:hAnsi="Calibri" w:cs="Calibri"/>
          <w:sz w:val="24"/>
          <w:szCs w:val="24"/>
        </w:rPr>
      </w:pPr>
      <w:r w:rsidRPr="003810C9">
        <w:rPr>
          <w:rFonts w:ascii="Calibri" w:hAnsi="Calibri" w:cs="Calibri"/>
          <w:sz w:val="24"/>
          <w:szCs w:val="24"/>
        </w:rPr>
        <w:t xml:space="preserve">Alongside workload, school culture plays a pivotal role in shaping teacher wellbeing </w:t>
      </w:r>
      <w:r w:rsidR="00530BC4">
        <w:rPr>
          <w:rFonts w:ascii="Calibri" w:hAnsi="Calibri" w:cs="Calibri"/>
          <w:sz w:val="24"/>
          <w:szCs w:val="24"/>
        </w:rPr>
        <w:t>(N</w:t>
      </w:r>
      <w:r w:rsidR="00636130">
        <w:rPr>
          <w:rFonts w:ascii="Calibri" w:hAnsi="Calibri" w:cs="Calibri"/>
          <w:sz w:val="24"/>
          <w:szCs w:val="24"/>
        </w:rPr>
        <w:t>woko et al, 2024)</w:t>
      </w:r>
      <w:r w:rsidRPr="003810C9">
        <w:rPr>
          <w:rFonts w:ascii="Calibri" w:hAnsi="Calibri" w:cs="Calibri"/>
          <w:sz w:val="24"/>
          <w:szCs w:val="24"/>
        </w:rPr>
        <w:t>. Supportive, collaborative environments</w:t>
      </w:r>
      <w:r w:rsidR="00CE2BA7">
        <w:rPr>
          <w:rFonts w:ascii="Calibri" w:hAnsi="Calibri" w:cs="Calibri"/>
          <w:sz w:val="24"/>
          <w:szCs w:val="24"/>
        </w:rPr>
        <w:t xml:space="preserve"> </w:t>
      </w:r>
      <w:r w:rsidRPr="003810C9">
        <w:rPr>
          <w:rFonts w:ascii="Calibri" w:hAnsi="Calibri" w:cs="Calibri"/>
          <w:sz w:val="24"/>
          <w:szCs w:val="24"/>
        </w:rPr>
        <w:t>characterised by open communication, shared practices, and accessible leadership</w:t>
      </w:r>
      <w:r w:rsidR="00CE2BA7">
        <w:rPr>
          <w:rFonts w:ascii="Calibri" w:hAnsi="Calibri" w:cs="Calibri"/>
          <w:sz w:val="24"/>
          <w:szCs w:val="24"/>
        </w:rPr>
        <w:t xml:space="preserve"> </w:t>
      </w:r>
      <w:r w:rsidRPr="003810C9">
        <w:rPr>
          <w:rFonts w:ascii="Calibri" w:hAnsi="Calibri" w:cs="Calibri"/>
          <w:sz w:val="24"/>
          <w:szCs w:val="24"/>
        </w:rPr>
        <w:t xml:space="preserve">are associated with lower levels of burnout. In </w:t>
      </w:r>
      <w:r w:rsidRPr="003810C9">
        <w:rPr>
          <w:rFonts w:ascii="Calibri" w:hAnsi="Calibri" w:cs="Calibri"/>
          <w:sz w:val="24"/>
          <w:szCs w:val="24"/>
        </w:rPr>
        <w:lastRenderedPageBreak/>
        <w:t>contrast, schools that emphasise performance outcomes, accountability measures, and high-stakes evaluation can create climates of pressure and surveillance</w:t>
      </w:r>
      <w:r w:rsidR="00CE2BA7">
        <w:rPr>
          <w:rFonts w:ascii="Calibri" w:hAnsi="Calibri" w:cs="Calibri"/>
          <w:sz w:val="24"/>
          <w:szCs w:val="24"/>
        </w:rPr>
        <w:t xml:space="preserve"> </w:t>
      </w:r>
      <w:r w:rsidR="00C87C20">
        <w:rPr>
          <w:rFonts w:ascii="Calibri" w:hAnsi="Calibri" w:cs="Calibri"/>
          <w:sz w:val="24"/>
          <w:szCs w:val="24"/>
        </w:rPr>
        <w:t xml:space="preserve">(Croft, </w:t>
      </w:r>
      <w:r w:rsidR="00737B8B">
        <w:rPr>
          <w:rFonts w:ascii="Calibri" w:hAnsi="Calibri" w:cs="Calibri"/>
          <w:sz w:val="24"/>
          <w:szCs w:val="24"/>
        </w:rPr>
        <w:t>Rob</w:t>
      </w:r>
      <w:r w:rsidR="0013752A">
        <w:rPr>
          <w:rFonts w:ascii="Calibri" w:hAnsi="Calibri" w:cs="Calibri"/>
          <w:sz w:val="24"/>
          <w:szCs w:val="24"/>
        </w:rPr>
        <w:t>erts and Stenhouse, 2015)</w:t>
      </w:r>
      <w:r w:rsidRPr="003810C9">
        <w:rPr>
          <w:rFonts w:ascii="Calibri" w:hAnsi="Calibri" w:cs="Calibri"/>
          <w:sz w:val="24"/>
          <w:szCs w:val="24"/>
        </w:rPr>
        <w:t xml:space="preserve">. For NQTs, who are still developing confidence and professional identity, such environments may amplify feelings of inadequacy and stress. This aligns with broader findings that organisational climates which prioritise performance over wellbeing can contribute to emotional exhaustion and reduced job satisfaction </w:t>
      </w:r>
      <w:r w:rsidR="008B2C36">
        <w:rPr>
          <w:rFonts w:ascii="Calibri" w:hAnsi="Calibri" w:cs="Calibri"/>
          <w:sz w:val="24"/>
          <w:szCs w:val="24"/>
        </w:rPr>
        <w:t xml:space="preserve">(Nagar, </w:t>
      </w:r>
      <w:r w:rsidR="00A9788E">
        <w:rPr>
          <w:rFonts w:ascii="Calibri" w:hAnsi="Calibri" w:cs="Calibri"/>
          <w:sz w:val="24"/>
          <w:szCs w:val="24"/>
        </w:rPr>
        <w:t>2012)</w:t>
      </w:r>
      <w:r w:rsidRPr="003810C9">
        <w:rPr>
          <w:rFonts w:ascii="Calibri" w:hAnsi="Calibri" w:cs="Calibri"/>
          <w:sz w:val="24"/>
          <w:szCs w:val="24"/>
        </w:rPr>
        <w:t>.</w:t>
      </w:r>
    </w:p>
    <w:p w14:paraId="3AAB225E" w14:textId="7DDDA5CF" w:rsidR="003810C9" w:rsidRPr="003810C9" w:rsidRDefault="000D2073" w:rsidP="003810C9">
      <w:pPr>
        <w:spacing w:line="360" w:lineRule="auto"/>
        <w:rPr>
          <w:rFonts w:ascii="Calibri" w:hAnsi="Calibri" w:cs="Calibri"/>
          <w:sz w:val="24"/>
          <w:szCs w:val="24"/>
        </w:rPr>
      </w:pPr>
      <w:r>
        <w:rPr>
          <w:rFonts w:ascii="Calibri" w:hAnsi="Calibri" w:cs="Calibri"/>
          <w:sz w:val="24"/>
          <w:szCs w:val="24"/>
        </w:rPr>
        <w:t>Collie, Shapka and Perry (2012)</w:t>
      </w:r>
      <w:r w:rsidR="00CE2BA7">
        <w:rPr>
          <w:rFonts w:ascii="Calibri" w:hAnsi="Calibri" w:cs="Calibri"/>
          <w:sz w:val="24"/>
          <w:szCs w:val="24"/>
        </w:rPr>
        <w:t xml:space="preserve"> </w:t>
      </w:r>
      <w:r>
        <w:rPr>
          <w:rFonts w:ascii="Calibri" w:hAnsi="Calibri" w:cs="Calibri"/>
          <w:sz w:val="24"/>
          <w:szCs w:val="24"/>
        </w:rPr>
        <w:t>are</w:t>
      </w:r>
      <w:r w:rsidR="00CE2BA7">
        <w:rPr>
          <w:rFonts w:ascii="Calibri" w:hAnsi="Calibri" w:cs="Calibri"/>
          <w:sz w:val="24"/>
          <w:szCs w:val="24"/>
        </w:rPr>
        <w:t xml:space="preserve"> of the belief l</w:t>
      </w:r>
      <w:r w:rsidR="003810C9" w:rsidRPr="003810C9">
        <w:rPr>
          <w:rFonts w:ascii="Calibri" w:hAnsi="Calibri" w:cs="Calibri"/>
          <w:sz w:val="24"/>
          <w:szCs w:val="24"/>
        </w:rPr>
        <w:t xml:space="preserve">eadership practices are particularly influential within this context. Effective leadership is frequently associated with the provision of clear guidance, constructive feedback, and emotional support. Conversely, inconsistent or unsupportive leadership can leave NQTs feeling isolated and undervalued </w:t>
      </w:r>
      <w:r w:rsidR="00CD1E7D">
        <w:rPr>
          <w:rFonts w:ascii="Calibri" w:hAnsi="Calibri" w:cs="Calibri"/>
          <w:sz w:val="24"/>
          <w:szCs w:val="24"/>
        </w:rPr>
        <w:t xml:space="preserve">(Engvik and </w:t>
      </w:r>
      <w:proofErr w:type="spellStart"/>
      <w:r w:rsidR="00CD1E7D">
        <w:rPr>
          <w:rFonts w:ascii="Calibri" w:hAnsi="Calibri" w:cs="Calibri"/>
          <w:sz w:val="24"/>
          <w:szCs w:val="24"/>
        </w:rPr>
        <w:t>Emstad</w:t>
      </w:r>
      <w:proofErr w:type="spellEnd"/>
      <w:r w:rsidR="00CD1E7D">
        <w:rPr>
          <w:rFonts w:ascii="Calibri" w:hAnsi="Calibri" w:cs="Calibri"/>
          <w:sz w:val="24"/>
          <w:szCs w:val="24"/>
        </w:rPr>
        <w:t>, 2017)</w:t>
      </w:r>
      <w:r w:rsidR="003810C9" w:rsidRPr="003810C9">
        <w:rPr>
          <w:rFonts w:ascii="Calibri" w:hAnsi="Calibri" w:cs="Calibri"/>
          <w:sz w:val="24"/>
          <w:szCs w:val="24"/>
        </w:rPr>
        <w:t>. The literature suggests that leaders play a key role in mediating policy demands and shaping how they are experienced at the school level. As such, leadership can act as either a protective or risk factor in relation to burnout, depending on how expectations are communicated and managed.</w:t>
      </w:r>
    </w:p>
    <w:p w14:paraId="525234C8" w14:textId="4E050D4F" w:rsidR="003810C9" w:rsidRPr="003810C9" w:rsidRDefault="003810C9" w:rsidP="003810C9">
      <w:pPr>
        <w:spacing w:line="360" w:lineRule="auto"/>
        <w:rPr>
          <w:rFonts w:ascii="Calibri" w:hAnsi="Calibri" w:cs="Calibri"/>
          <w:sz w:val="24"/>
          <w:szCs w:val="24"/>
        </w:rPr>
      </w:pPr>
      <w:r w:rsidRPr="003810C9">
        <w:rPr>
          <w:rFonts w:ascii="Calibri" w:hAnsi="Calibri" w:cs="Calibri"/>
          <w:sz w:val="24"/>
          <w:szCs w:val="24"/>
        </w:rPr>
        <w:t>The role of mentoring and induction support is also widely discussed. While formal induction programmes are designed to support NQTs during their transition into the profession, their effectiveness varies significantly in practice. High-quality mentoring</w:t>
      </w:r>
      <w:r w:rsidR="00A54132">
        <w:rPr>
          <w:rFonts w:ascii="Calibri" w:hAnsi="Calibri" w:cs="Calibri"/>
          <w:sz w:val="24"/>
          <w:szCs w:val="24"/>
        </w:rPr>
        <w:t xml:space="preserve"> </w:t>
      </w:r>
      <w:r w:rsidRPr="003810C9">
        <w:rPr>
          <w:rFonts w:ascii="Calibri" w:hAnsi="Calibri" w:cs="Calibri"/>
          <w:sz w:val="24"/>
          <w:szCs w:val="24"/>
        </w:rPr>
        <w:t>characterised by regular contact, personalised guidance, and a focus on professional development</w:t>
      </w:r>
      <w:r w:rsidR="00A54132">
        <w:rPr>
          <w:rFonts w:ascii="Calibri" w:hAnsi="Calibri" w:cs="Calibri"/>
          <w:sz w:val="24"/>
          <w:szCs w:val="24"/>
        </w:rPr>
        <w:t xml:space="preserve"> </w:t>
      </w:r>
      <w:r w:rsidRPr="003810C9">
        <w:rPr>
          <w:rFonts w:ascii="Calibri" w:hAnsi="Calibri" w:cs="Calibri"/>
          <w:sz w:val="24"/>
          <w:szCs w:val="24"/>
        </w:rPr>
        <w:t xml:space="preserve">has been shown to reduce stress and improve retention. However, where mentoring is inconsistent, overly evaluative, or limited in scope, it may fail to provide meaningful support. This inconsistency highlights a broader issue within the literature: the gap between the intended purpose of support structures and their actual implementation in schools </w:t>
      </w:r>
      <w:r w:rsidR="009048D6">
        <w:rPr>
          <w:rFonts w:ascii="Calibri" w:hAnsi="Calibri" w:cs="Calibri"/>
          <w:sz w:val="24"/>
          <w:szCs w:val="24"/>
        </w:rPr>
        <w:t>(</w:t>
      </w:r>
      <w:proofErr w:type="spellStart"/>
      <w:r w:rsidR="009048D6">
        <w:rPr>
          <w:rFonts w:ascii="Calibri" w:hAnsi="Calibri" w:cs="Calibri"/>
          <w:sz w:val="24"/>
          <w:szCs w:val="24"/>
        </w:rPr>
        <w:t>Gorard</w:t>
      </w:r>
      <w:proofErr w:type="spellEnd"/>
      <w:r w:rsidR="009048D6">
        <w:rPr>
          <w:rFonts w:ascii="Calibri" w:hAnsi="Calibri" w:cs="Calibri"/>
          <w:sz w:val="24"/>
          <w:szCs w:val="24"/>
        </w:rPr>
        <w:t>, 2017</w:t>
      </w:r>
      <w:r w:rsidRPr="003810C9">
        <w:rPr>
          <w:rFonts w:ascii="Calibri" w:hAnsi="Calibri" w:cs="Calibri"/>
          <w:sz w:val="24"/>
          <w:szCs w:val="24"/>
        </w:rPr>
        <w:t>).</w:t>
      </w:r>
    </w:p>
    <w:p w14:paraId="36BFC52F" w14:textId="31224E74" w:rsidR="003810C9" w:rsidRPr="003810C9" w:rsidRDefault="003810C9" w:rsidP="003810C9">
      <w:pPr>
        <w:spacing w:line="360" w:lineRule="auto"/>
        <w:rPr>
          <w:rFonts w:ascii="Calibri" w:hAnsi="Calibri" w:cs="Calibri"/>
          <w:sz w:val="24"/>
          <w:szCs w:val="24"/>
        </w:rPr>
      </w:pPr>
      <w:r w:rsidRPr="003810C9">
        <w:rPr>
          <w:rFonts w:ascii="Calibri" w:hAnsi="Calibri" w:cs="Calibri"/>
          <w:sz w:val="24"/>
          <w:szCs w:val="24"/>
        </w:rPr>
        <w:t xml:space="preserve">Crucially, organisational factors do not operate independently of individual experiences. Instead, they shape how NQTs interpret and respond to the challenges they face. For example, a demanding workload may be perceived as manageable within a supportive environment, but overwhelming in a context where support is lacking. This reinforces the argument that burnout is not simply an individual response to stress, but a socially and organisationally constructed experience </w:t>
      </w:r>
      <w:r w:rsidR="008A2833">
        <w:rPr>
          <w:rFonts w:ascii="Calibri" w:hAnsi="Calibri" w:cs="Calibri"/>
          <w:sz w:val="24"/>
          <w:szCs w:val="24"/>
        </w:rPr>
        <w:t>(Richards et al, 2018)</w:t>
      </w:r>
      <w:r w:rsidRPr="003810C9">
        <w:rPr>
          <w:rFonts w:ascii="Calibri" w:hAnsi="Calibri" w:cs="Calibri"/>
          <w:sz w:val="24"/>
          <w:szCs w:val="24"/>
        </w:rPr>
        <w:t>.</w:t>
      </w:r>
    </w:p>
    <w:p w14:paraId="39FE17C2" w14:textId="083BB91B" w:rsidR="003810C9" w:rsidRPr="0001747D" w:rsidRDefault="003810C9" w:rsidP="0001747D">
      <w:pPr>
        <w:spacing w:line="360" w:lineRule="auto"/>
        <w:rPr>
          <w:rFonts w:ascii="Calibri" w:hAnsi="Calibri" w:cs="Calibri"/>
          <w:sz w:val="24"/>
          <w:szCs w:val="24"/>
        </w:rPr>
      </w:pPr>
      <w:r w:rsidRPr="003810C9">
        <w:rPr>
          <w:rFonts w:ascii="Calibri" w:hAnsi="Calibri" w:cs="Calibri"/>
          <w:sz w:val="24"/>
          <w:szCs w:val="24"/>
        </w:rPr>
        <w:t xml:space="preserve">Overall, the literature positions schools as critical sites in either mitigating or reinforcing burnout among NQTs. While individual resilience and coping strategies are important, they </w:t>
      </w:r>
      <w:r w:rsidRPr="003810C9">
        <w:rPr>
          <w:rFonts w:ascii="Calibri" w:hAnsi="Calibri" w:cs="Calibri"/>
          <w:sz w:val="24"/>
          <w:szCs w:val="24"/>
        </w:rPr>
        <w:lastRenderedPageBreak/>
        <w:t>are often insufficient in the absence of supportive organisational conditions. This underscores the need to consider how school-level practices and cultures can be restructured to better support early-career teachers.</w:t>
      </w:r>
    </w:p>
    <w:p w14:paraId="3F91E258" w14:textId="77777777" w:rsidR="00FB3DCE" w:rsidRPr="00750F24" w:rsidRDefault="00FB3DCE" w:rsidP="00750F24">
      <w:pPr>
        <w:pStyle w:val="Heading2"/>
        <w:rPr>
          <w:rFonts w:ascii="Calibri" w:hAnsi="Calibri" w:cs="Calibri"/>
        </w:rPr>
      </w:pPr>
      <w:bookmarkStart w:id="50" w:name="_Toc228132089"/>
      <w:bookmarkStart w:id="51" w:name="_Toc228132124"/>
      <w:bookmarkStart w:id="52" w:name="_Toc228132256"/>
      <w:bookmarkStart w:id="53" w:name="_Toc228136346"/>
      <w:r w:rsidRPr="00750F24">
        <w:rPr>
          <w:rFonts w:ascii="Calibri" w:hAnsi="Calibri" w:cs="Calibri"/>
        </w:rPr>
        <w:t>Chapter 5: Discussion</w:t>
      </w:r>
      <w:bookmarkEnd w:id="50"/>
      <w:bookmarkEnd w:id="51"/>
      <w:bookmarkEnd w:id="52"/>
      <w:bookmarkEnd w:id="53"/>
    </w:p>
    <w:p w14:paraId="5AA5151F" w14:textId="77777777" w:rsidR="00FB3DCE" w:rsidRPr="00750F24" w:rsidRDefault="00FB3DCE" w:rsidP="001A103D">
      <w:pPr>
        <w:pStyle w:val="Heading3"/>
      </w:pPr>
      <w:bookmarkStart w:id="54" w:name="_Toc228136347"/>
      <w:r w:rsidRPr="00750F24">
        <w:t>5.1 Introduction</w:t>
      </w:r>
      <w:bookmarkEnd w:id="54"/>
    </w:p>
    <w:p w14:paraId="0A282739" w14:textId="3D308D03" w:rsidR="00FB3DCE" w:rsidRPr="00FB3DCE" w:rsidRDefault="00FB3DCE" w:rsidP="00FB3DCE">
      <w:pPr>
        <w:spacing w:line="360" w:lineRule="auto"/>
        <w:rPr>
          <w:rFonts w:ascii="Calibri" w:hAnsi="Calibri" w:cs="Calibri"/>
          <w:sz w:val="24"/>
          <w:szCs w:val="24"/>
        </w:rPr>
      </w:pPr>
      <w:r w:rsidRPr="00FB3DCE">
        <w:rPr>
          <w:rFonts w:ascii="Calibri" w:hAnsi="Calibri" w:cs="Calibri"/>
          <w:sz w:val="24"/>
          <w:szCs w:val="24"/>
        </w:rPr>
        <w:t>This chapter critically examines the findings presented in Chapter 4 in relation to the wider body of literature on teacher burnout, with a particular focus on NQTs in Wales. The purpose of this discussion is to interpret and analyse the key themes identified in the findings, exploring the extent to which they align with, extend, or challenge existing research. In doing so, the chapter moves beyond descriptive analysis to provide a more nuanced and theoretically informed understanding of the factors contributing to burnout and their implications for policy and practice.</w:t>
      </w:r>
    </w:p>
    <w:p w14:paraId="41756AD5" w14:textId="77777777" w:rsidR="00FB3DCE" w:rsidRDefault="00FB3DCE" w:rsidP="00FB3DCE">
      <w:pPr>
        <w:spacing w:line="360" w:lineRule="auto"/>
        <w:rPr>
          <w:rFonts w:ascii="Calibri" w:hAnsi="Calibri" w:cs="Calibri"/>
          <w:sz w:val="24"/>
          <w:szCs w:val="24"/>
        </w:rPr>
      </w:pPr>
      <w:r w:rsidRPr="00FB3DCE">
        <w:rPr>
          <w:rFonts w:ascii="Calibri" w:hAnsi="Calibri" w:cs="Calibri"/>
          <w:sz w:val="24"/>
          <w:szCs w:val="24"/>
        </w:rPr>
        <w:t>The discussion is structured around three overarching themes: individual-level factors, organisational influences, and systemic or policy-related pressures. Each theme is examined in relation to the existing literature, with particular attention given to areas of convergence and divergence. The chapter also revisits the policy–practice gap identified in Chapter 4, considering its implications for the enactment and effectiveness of current educational policies and support mechanisms.</w:t>
      </w:r>
    </w:p>
    <w:p w14:paraId="386424DF" w14:textId="1D8DE7E3" w:rsidR="00235F0A" w:rsidRPr="00FB3DCE" w:rsidRDefault="00235F0A" w:rsidP="00FB3DCE">
      <w:pPr>
        <w:spacing w:line="360" w:lineRule="auto"/>
        <w:rPr>
          <w:rFonts w:ascii="Calibri" w:hAnsi="Calibri" w:cs="Calibri"/>
          <w:sz w:val="24"/>
          <w:szCs w:val="24"/>
        </w:rPr>
      </w:pPr>
      <w:r w:rsidRPr="00235F0A">
        <w:rPr>
          <w:rFonts w:ascii="Calibri" w:hAnsi="Calibri" w:cs="Calibri"/>
          <w:sz w:val="24"/>
          <w:szCs w:val="24"/>
        </w:rPr>
        <w:t>The findings presented in Chapter 4 highlight the significant role of emotional and psychological demands in shaping burnout among NQTs. These findings strongly align with existing literature, which consistently identifies emotional exhaustion as a central component of burnout, as conceptualised within the Maslach Burnout Inventory (MBI). However, the analysis also extends this understanding by emphasising the importance of professional identity formation during the early stages of a teaching career, suggesting that burnout is not solely an individual psychological state but one shaped through interaction with contextual factors.</w:t>
      </w:r>
    </w:p>
    <w:p w14:paraId="48C9EF5F" w14:textId="375051D7" w:rsidR="00FB3DCE" w:rsidRPr="00FB3DCE" w:rsidRDefault="00FB3DCE" w:rsidP="00FB3DCE">
      <w:pPr>
        <w:spacing w:line="360" w:lineRule="auto"/>
        <w:rPr>
          <w:rFonts w:ascii="Calibri" w:hAnsi="Calibri" w:cs="Calibri"/>
          <w:sz w:val="24"/>
          <w:szCs w:val="24"/>
        </w:rPr>
      </w:pPr>
      <w:r w:rsidRPr="00FB3DCE">
        <w:rPr>
          <w:rFonts w:ascii="Calibri" w:hAnsi="Calibri" w:cs="Calibri"/>
          <w:sz w:val="24"/>
          <w:szCs w:val="24"/>
        </w:rPr>
        <w:t xml:space="preserve">By situating the findings within the broader research landscape, this chapter conceptualises burnout as a complex and multi-dimensional phenomenon shaped by the interaction of individual, organisational, and systemic influences. In doing so, it provides a comprehensive </w:t>
      </w:r>
      <w:r w:rsidRPr="00FB3DCE">
        <w:rPr>
          <w:rFonts w:ascii="Calibri" w:hAnsi="Calibri" w:cs="Calibri"/>
          <w:sz w:val="24"/>
          <w:szCs w:val="24"/>
        </w:rPr>
        <w:lastRenderedPageBreak/>
        <w:t>framework for understanding the experiences of NQTs and highlights key considerations for supporting early-career teachers within the Welsh education system.</w:t>
      </w:r>
    </w:p>
    <w:p w14:paraId="05F0E5FC" w14:textId="77777777" w:rsidR="00FB3DCE" w:rsidRPr="00750F24" w:rsidRDefault="00FB3DCE" w:rsidP="001A103D">
      <w:pPr>
        <w:pStyle w:val="Heading3"/>
      </w:pPr>
      <w:bookmarkStart w:id="55" w:name="_Toc228136348"/>
      <w:r w:rsidRPr="00750F24">
        <w:t>5.2 Individual-Level Factors in Relation to Existing Literature</w:t>
      </w:r>
      <w:bookmarkEnd w:id="55"/>
    </w:p>
    <w:p w14:paraId="05B39931" w14:textId="77777777" w:rsidR="00FB3DCE" w:rsidRPr="00FB3DCE" w:rsidRDefault="00FB3DCE" w:rsidP="00FB3DCE">
      <w:pPr>
        <w:spacing w:line="360" w:lineRule="auto"/>
        <w:rPr>
          <w:rFonts w:ascii="Calibri" w:hAnsi="Calibri" w:cs="Calibri"/>
          <w:sz w:val="24"/>
          <w:szCs w:val="24"/>
        </w:rPr>
      </w:pPr>
      <w:r w:rsidRPr="00FB3DCE">
        <w:rPr>
          <w:rFonts w:ascii="Calibri" w:hAnsi="Calibri" w:cs="Calibri"/>
          <w:sz w:val="24"/>
          <w:szCs w:val="24"/>
        </w:rPr>
        <w:t>The findings presented in Chapter 4 underscore the significant role of emotional and psychological demands in shaping burnout among NQTs. These findings are consistent with a substantial body of literature that identifies emotional exhaustion as a central dimension of burnout. However, the present study extends this understanding by emphasising the importance of professional identity formation during the early stages of a teaching career.</w:t>
      </w:r>
    </w:p>
    <w:p w14:paraId="56089975" w14:textId="77777777" w:rsidR="00FB3DCE" w:rsidRPr="00FB3DCE" w:rsidRDefault="00FB3DCE" w:rsidP="00FB3DCE">
      <w:pPr>
        <w:spacing w:line="360" w:lineRule="auto"/>
        <w:rPr>
          <w:rFonts w:ascii="Calibri" w:hAnsi="Calibri" w:cs="Calibri"/>
          <w:sz w:val="24"/>
          <w:szCs w:val="24"/>
        </w:rPr>
      </w:pPr>
      <w:r w:rsidRPr="00FB3DCE">
        <w:rPr>
          <w:rFonts w:ascii="Calibri" w:hAnsi="Calibri" w:cs="Calibri"/>
          <w:sz w:val="24"/>
          <w:szCs w:val="24"/>
        </w:rPr>
        <w:t>In line with existing research, NQTs were found to experience considerable emotional strain associated with classroom management, workload, and the relational demands of teaching. This supports the widely recognised characterisation of teaching as an emotionally intensive profession requiring sustained interpersonal engagement. However, the findings suggest that these demands are intensified for NQTs due to their transitional professional status. Unlike more experienced teachers, NQTs are required to navigate the expectations of the role while simultaneously developing pedagogical competence and professional confidence, thereby increasing their vulnerability to burnout (Admiraal et al., 2023).</w:t>
      </w:r>
    </w:p>
    <w:p w14:paraId="22F4013C" w14:textId="20D1AA93" w:rsidR="00FB3DCE" w:rsidRDefault="00FB3DCE" w:rsidP="00FB3DCE">
      <w:pPr>
        <w:spacing w:line="360" w:lineRule="auto"/>
        <w:rPr>
          <w:rFonts w:ascii="Calibri" w:hAnsi="Calibri" w:cs="Calibri"/>
          <w:sz w:val="24"/>
          <w:szCs w:val="24"/>
        </w:rPr>
      </w:pPr>
      <w:r w:rsidRPr="00FB3DCE">
        <w:rPr>
          <w:rFonts w:ascii="Calibri" w:hAnsi="Calibri" w:cs="Calibri"/>
          <w:sz w:val="24"/>
          <w:szCs w:val="24"/>
        </w:rPr>
        <w:t>Self-efficacy emerged as a key factor influencing experiences of burnout, reinforcing literature that links lower perceived competence with increased stress and reduced wellbeing. Importantly, the findings suggest that self-efficacy should not be understood as a static individual trait, but rather as a dynamic construct shaped by contextual and experiential factors</w:t>
      </w:r>
      <w:r w:rsidR="00FA3F87">
        <w:rPr>
          <w:rFonts w:ascii="Calibri" w:hAnsi="Calibri" w:cs="Calibri"/>
          <w:sz w:val="24"/>
          <w:szCs w:val="24"/>
        </w:rPr>
        <w:t xml:space="preserve"> </w:t>
      </w:r>
      <w:r w:rsidR="009E1448">
        <w:rPr>
          <w:rFonts w:ascii="Calibri" w:hAnsi="Calibri" w:cs="Calibri"/>
          <w:sz w:val="24"/>
          <w:szCs w:val="24"/>
        </w:rPr>
        <w:t>(Bandura, 2012)</w:t>
      </w:r>
      <w:r w:rsidRPr="00FB3DCE">
        <w:rPr>
          <w:rFonts w:ascii="Calibri" w:hAnsi="Calibri" w:cs="Calibri"/>
          <w:sz w:val="24"/>
          <w:szCs w:val="24"/>
        </w:rPr>
        <w:t xml:space="preserve">. </w:t>
      </w:r>
      <w:r w:rsidR="00805103" w:rsidRPr="00805103">
        <w:rPr>
          <w:rFonts w:ascii="Calibri" w:hAnsi="Calibri" w:cs="Calibri"/>
          <w:sz w:val="24"/>
          <w:szCs w:val="24"/>
        </w:rPr>
        <w:t>From a Job Demands–Resources (JD-R) perspective, self-efficacy can be understood not simply as an individual trait, but as a resource that is developed or constrained through organisational conditions, reinforcing the dynamic relationship between personal capacity and environmental context.</w:t>
      </w:r>
    </w:p>
    <w:p w14:paraId="5922A8FC" w14:textId="77777777" w:rsidR="00390481" w:rsidRPr="00390481" w:rsidRDefault="00390481" w:rsidP="00390481">
      <w:pPr>
        <w:spacing w:line="360" w:lineRule="auto"/>
        <w:rPr>
          <w:rFonts w:ascii="Calibri" w:hAnsi="Calibri" w:cs="Calibri"/>
          <w:sz w:val="24"/>
          <w:szCs w:val="24"/>
        </w:rPr>
      </w:pPr>
      <w:r w:rsidRPr="00390481">
        <w:rPr>
          <w:rFonts w:ascii="Calibri" w:hAnsi="Calibri" w:cs="Calibri"/>
          <w:sz w:val="24"/>
          <w:szCs w:val="24"/>
        </w:rPr>
        <w:t xml:space="preserve">Supportive organisational environments appear to foster the development of professional confidence, whereas high-pressure or unsupportive contexts may undermine it. This interpretation reflects a broader shift within the literature away from individualistic conceptualisations of burnout, which traditionally locate responsibility within the personal characteristics or resilience of the teacher. Instead, more recent research positions burnout </w:t>
      </w:r>
      <w:r w:rsidRPr="00390481">
        <w:rPr>
          <w:rFonts w:ascii="Calibri" w:hAnsi="Calibri" w:cs="Calibri"/>
          <w:sz w:val="24"/>
          <w:szCs w:val="24"/>
        </w:rPr>
        <w:lastRenderedPageBreak/>
        <w:t>as a contextually mediated and socially situated phenomenon, shaped by the interaction between individuals and their working environments.</w:t>
      </w:r>
    </w:p>
    <w:p w14:paraId="21B9B86B" w14:textId="2CB5C3F9" w:rsidR="00390481" w:rsidRPr="00390481" w:rsidRDefault="00390481" w:rsidP="00390481">
      <w:pPr>
        <w:spacing w:line="360" w:lineRule="auto"/>
        <w:rPr>
          <w:rFonts w:ascii="Calibri" w:hAnsi="Calibri" w:cs="Calibri"/>
          <w:sz w:val="24"/>
          <w:szCs w:val="24"/>
        </w:rPr>
      </w:pPr>
      <w:r w:rsidRPr="00390481">
        <w:rPr>
          <w:rFonts w:ascii="Calibri" w:hAnsi="Calibri" w:cs="Calibri"/>
          <w:sz w:val="24"/>
          <w:szCs w:val="24"/>
        </w:rPr>
        <w:t>In this sense, professional confidence</w:t>
      </w:r>
      <w:r w:rsidR="007F3E39">
        <w:rPr>
          <w:rFonts w:ascii="Calibri" w:hAnsi="Calibri" w:cs="Calibri"/>
          <w:sz w:val="24"/>
          <w:szCs w:val="24"/>
        </w:rPr>
        <w:t xml:space="preserve">, </w:t>
      </w:r>
      <w:r w:rsidRPr="00390481">
        <w:rPr>
          <w:rFonts w:ascii="Calibri" w:hAnsi="Calibri" w:cs="Calibri"/>
          <w:sz w:val="24"/>
          <w:szCs w:val="24"/>
        </w:rPr>
        <w:t>or self-efficacy</w:t>
      </w:r>
      <w:r w:rsidR="007F3E39">
        <w:rPr>
          <w:rFonts w:ascii="Calibri" w:hAnsi="Calibri" w:cs="Calibri"/>
          <w:sz w:val="24"/>
          <w:szCs w:val="24"/>
        </w:rPr>
        <w:t xml:space="preserve">, </w:t>
      </w:r>
      <w:r w:rsidRPr="00390481">
        <w:rPr>
          <w:rFonts w:ascii="Calibri" w:hAnsi="Calibri" w:cs="Calibri"/>
          <w:sz w:val="24"/>
          <w:szCs w:val="24"/>
        </w:rPr>
        <w:t>is not viewed as an inherent or fixed attribute, but as something that is constructed and reinforced through social processes, including feedback, collegial relationships, leadership practices, and organisational culture</w:t>
      </w:r>
      <w:r w:rsidR="007F3E39">
        <w:rPr>
          <w:rFonts w:ascii="Calibri" w:hAnsi="Calibri" w:cs="Calibri"/>
          <w:sz w:val="24"/>
          <w:szCs w:val="24"/>
        </w:rPr>
        <w:t xml:space="preserve"> </w:t>
      </w:r>
      <w:r w:rsidR="00306689">
        <w:rPr>
          <w:rFonts w:ascii="Calibri" w:hAnsi="Calibri" w:cs="Calibri"/>
          <w:sz w:val="24"/>
          <w:szCs w:val="24"/>
        </w:rPr>
        <w:t>(Bandura, 2023)</w:t>
      </w:r>
      <w:r w:rsidRPr="00390481">
        <w:rPr>
          <w:rFonts w:ascii="Calibri" w:hAnsi="Calibri" w:cs="Calibri"/>
          <w:sz w:val="24"/>
          <w:szCs w:val="24"/>
        </w:rPr>
        <w:t>. Supportive environments provide opportunities for validation, guidance, and collaborative learning, all of which contribute to the development of a secure professional identity. Conversely, high-pressure contexts characterised by performative demands, limited support, and evaluative scrutiny may disrupt this process, leading to self-doubt, heightened stress, and increased vulnerability to burnout</w:t>
      </w:r>
      <w:r w:rsidR="000A0CC9">
        <w:rPr>
          <w:rFonts w:ascii="Calibri" w:hAnsi="Calibri" w:cs="Calibri"/>
          <w:sz w:val="24"/>
          <w:szCs w:val="24"/>
        </w:rPr>
        <w:t xml:space="preserve"> according to </w:t>
      </w:r>
      <w:r w:rsidR="003D27B8">
        <w:rPr>
          <w:rFonts w:ascii="Calibri" w:hAnsi="Calibri" w:cs="Calibri"/>
          <w:sz w:val="24"/>
          <w:szCs w:val="24"/>
        </w:rPr>
        <w:t>Naveed (2025)</w:t>
      </w:r>
      <w:r w:rsidRPr="00390481">
        <w:rPr>
          <w:rFonts w:ascii="Calibri" w:hAnsi="Calibri" w:cs="Calibri"/>
          <w:sz w:val="24"/>
          <w:szCs w:val="24"/>
        </w:rPr>
        <w:t>.</w:t>
      </w:r>
    </w:p>
    <w:p w14:paraId="39CD0809" w14:textId="281BE2E0" w:rsidR="00390481" w:rsidRPr="00FB3DCE" w:rsidRDefault="00390481" w:rsidP="00FB3DCE">
      <w:pPr>
        <w:spacing w:line="360" w:lineRule="auto"/>
        <w:rPr>
          <w:rFonts w:ascii="Calibri" w:hAnsi="Calibri" w:cs="Calibri"/>
          <w:sz w:val="24"/>
          <w:szCs w:val="24"/>
        </w:rPr>
      </w:pPr>
      <w:r w:rsidRPr="00390481">
        <w:rPr>
          <w:rFonts w:ascii="Calibri" w:hAnsi="Calibri" w:cs="Calibri"/>
          <w:sz w:val="24"/>
          <w:szCs w:val="24"/>
        </w:rPr>
        <w:t>This perspective challenges deficit-oriented narratives that frame burnout as a failure of individual coping or resilience. Instead, it emphasises that individual experiences of stress and wellbeing are deeply embedded within broader organisational and systemic conditions. As such, responsibility for addressing burnout shifts from the individual to the wider educational context, highlighting the importance of supportive structures, relational dynamics, and institutional practices in shaping teacher wellbeing.</w:t>
      </w:r>
    </w:p>
    <w:p w14:paraId="05E02B93" w14:textId="77777777" w:rsidR="00FB3DCE" w:rsidRPr="00FB3DCE" w:rsidRDefault="00FB3DCE" w:rsidP="00FB3DCE">
      <w:pPr>
        <w:spacing w:line="360" w:lineRule="auto"/>
        <w:rPr>
          <w:rFonts w:ascii="Calibri" w:hAnsi="Calibri" w:cs="Calibri"/>
          <w:sz w:val="24"/>
          <w:szCs w:val="24"/>
        </w:rPr>
      </w:pPr>
      <w:r w:rsidRPr="00FB3DCE">
        <w:rPr>
          <w:rFonts w:ascii="Calibri" w:hAnsi="Calibri" w:cs="Calibri"/>
          <w:sz w:val="24"/>
          <w:szCs w:val="24"/>
        </w:rPr>
        <w:t>The findings also highlight variability in the coping strategies employed by NQTs, reflecting patterns identified in the literature. While some individuals adopt proactive strategies, such as seeking support or engaging in reflective practice, others report difficulty managing the cumulative demands of the role. Crucially, this reinforces the argument that coping should not be conceptualised solely as an individual responsibility. Rather, the capacity to cope is closely linked to the availability and quality of organisational support, suggesting that individual experiences of burnout are inherently shaped by external conditions (Ashby et al., 2008).</w:t>
      </w:r>
    </w:p>
    <w:p w14:paraId="4F0F2B15" w14:textId="465B7630" w:rsidR="00FB3DCE" w:rsidRPr="00FB3DCE" w:rsidRDefault="00FB3DCE" w:rsidP="00FB3DCE">
      <w:pPr>
        <w:spacing w:line="360" w:lineRule="auto"/>
        <w:rPr>
          <w:rFonts w:ascii="Calibri" w:hAnsi="Calibri" w:cs="Calibri"/>
          <w:sz w:val="24"/>
          <w:szCs w:val="24"/>
        </w:rPr>
      </w:pPr>
      <w:r w:rsidRPr="00FB3DCE">
        <w:rPr>
          <w:rFonts w:ascii="Calibri" w:hAnsi="Calibri" w:cs="Calibri"/>
          <w:sz w:val="24"/>
          <w:szCs w:val="24"/>
        </w:rPr>
        <w:t>Overall, the findings both support and extend existing literature by emphasising the complex and dynamic nature of individual-level factors. While emotional exhaustion and self-efficacy remain central constructs, their impact is mediated by the broader contexts in which NQTs operate, reinforcing the need for a more holistic understanding of burnout.</w:t>
      </w:r>
    </w:p>
    <w:p w14:paraId="13F4B241" w14:textId="77777777" w:rsidR="00FB3DCE" w:rsidRPr="00750F24" w:rsidRDefault="00FB3DCE" w:rsidP="00543D7C">
      <w:pPr>
        <w:pStyle w:val="Heading3"/>
      </w:pPr>
      <w:r w:rsidRPr="00750F24">
        <w:lastRenderedPageBreak/>
        <w:t>5.3 Organisational Factors in Relation to Existing Literature</w:t>
      </w:r>
    </w:p>
    <w:p w14:paraId="2D671120" w14:textId="77777777" w:rsidR="00FB3DCE" w:rsidRPr="00FB3DCE" w:rsidRDefault="00FB3DCE" w:rsidP="00FB3DCE">
      <w:pPr>
        <w:spacing w:line="360" w:lineRule="auto"/>
        <w:rPr>
          <w:rFonts w:ascii="Calibri" w:hAnsi="Calibri" w:cs="Calibri"/>
          <w:sz w:val="24"/>
          <w:szCs w:val="24"/>
        </w:rPr>
      </w:pPr>
      <w:r w:rsidRPr="00FB3DCE">
        <w:rPr>
          <w:rFonts w:ascii="Calibri" w:hAnsi="Calibri" w:cs="Calibri"/>
          <w:sz w:val="24"/>
          <w:szCs w:val="24"/>
        </w:rPr>
        <w:t>The findings presented in Chapter 4 highlight the significant influence of organisational factors on the development of burnout among NQTs. Consistent with existing literature, workload, school culture, leadership practices, and the quality of professional support emerged as key determinants of teacher wellbeing. However, the findings also provide a more nuanced understanding of how these factors are experienced by early-career teachers.</w:t>
      </w:r>
    </w:p>
    <w:p w14:paraId="6C9205D6" w14:textId="3D6B3099" w:rsidR="00791AEF" w:rsidRPr="00FB3DCE" w:rsidRDefault="00FB3DCE" w:rsidP="00FB3DCE">
      <w:pPr>
        <w:spacing w:line="360" w:lineRule="auto"/>
        <w:rPr>
          <w:rFonts w:ascii="Calibri" w:hAnsi="Calibri" w:cs="Calibri"/>
          <w:sz w:val="24"/>
          <w:szCs w:val="24"/>
        </w:rPr>
      </w:pPr>
      <w:r w:rsidRPr="00FB3DCE">
        <w:rPr>
          <w:rFonts w:ascii="Calibri" w:hAnsi="Calibri" w:cs="Calibri"/>
          <w:sz w:val="24"/>
          <w:szCs w:val="24"/>
        </w:rPr>
        <w:t xml:space="preserve">Workload was identified as a primary contributor to burnout, supporting longstanding research that emphasises the impact of excessive marking, planning, and administrative responsibilities. However, the findings extend this perspective by highlighting the qualitative dimensions of workload. It is not solely the volume of tasks that contributes to burnout, but also the perception that certain tasks lack meaningful relevance to teaching and learning. This aligns with more recent critiques suggesting that bureaucratic demands can undermine professional autonomy and contribute to diminished job satisfaction </w:t>
      </w:r>
      <w:r w:rsidR="00E834A6">
        <w:rPr>
          <w:rFonts w:ascii="Calibri" w:hAnsi="Calibri" w:cs="Calibri"/>
          <w:sz w:val="24"/>
          <w:szCs w:val="24"/>
        </w:rPr>
        <w:t>(Worth and Van den Brande, 2020)</w:t>
      </w:r>
      <w:r w:rsidRPr="00FB3DCE">
        <w:rPr>
          <w:rFonts w:ascii="Calibri" w:hAnsi="Calibri" w:cs="Calibri"/>
          <w:sz w:val="24"/>
          <w:szCs w:val="24"/>
        </w:rPr>
        <w:t>.</w:t>
      </w:r>
      <w:r w:rsidR="00E44019">
        <w:rPr>
          <w:rFonts w:ascii="Calibri" w:hAnsi="Calibri" w:cs="Calibri"/>
          <w:sz w:val="24"/>
          <w:szCs w:val="24"/>
        </w:rPr>
        <w:t xml:space="preserve"> </w:t>
      </w:r>
      <w:r w:rsidR="00791AEF" w:rsidRPr="00791AEF">
        <w:rPr>
          <w:rFonts w:ascii="Calibri" w:hAnsi="Calibri" w:cs="Calibri"/>
          <w:sz w:val="24"/>
          <w:szCs w:val="24"/>
        </w:rPr>
        <w:t>Within the JD-R framework, workload can be conceptualised as a primary job demand, the impact of which is contingent upon the availability of organisational resources such as leadership support, mentoring, and collaborative practice.</w:t>
      </w:r>
    </w:p>
    <w:p w14:paraId="795CC979" w14:textId="69708B23" w:rsidR="00FB3DCE" w:rsidRPr="00FB3DCE" w:rsidRDefault="00FB3DCE" w:rsidP="00FB3DCE">
      <w:pPr>
        <w:spacing w:line="360" w:lineRule="auto"/>
        <w:rPr>
          <w:rFonts w:ascii="Calibri" w:hAnsi="Calibri" w:cs="Calibri"/>
          <w:sz w:val="24"/>
          <w:szCs w:val="24"/>
        </w:rPr>
      </w:pPr>
      <w:r w:rsidRPr="00FB3DCE">
        <w:rPr>
          <w:rFonts w:ascii="Calibri" w:hAnsi="Calibri" w:cs="Calibri"/>
          <w:sz w:val="24"/>
          <w:szCs w:val="24"/>
        </w:rPr>
        <w:t>School culture emerged as a critical factor in shaping NQT experiences. The findings indicate that collaborative, supportive, and communicative environments enable early-career teachers to manage professional demands more effectively.</w:t>
      </w:r>
      <w:r w:rsidR="00277DAE">
        <w:rPr>
          <w:rFonts w:ascii="Calibri" w:hAnsi="Calibri" w:cs="Calibri"/>
          <w:sz w:val="24"/>
          <w:szCs w:val="24"/>
        </w:rPr>
        <w:t xml:space="preserve"> As previously discussed,</w:t>
      </w:r>
      <w:r w:rsidRPr="00FB3DCE">
        <w:rPr>
          <w:rFonts w:ascii="Calibri" w:hAnsi="Calibri" w:cs="Calibri"/>
          <w:sz w:val="24"/>
          <w:szCs w:val="24"/>
        </w:rPr>
        <w:t xml:space="preserve"> </w:t>
      </w:r>
      <w:r w:rsidR="00277DAE">
        <w:rPr>
          <w:rFonts w:ascii="Calibri" w:hAnsi="Calibri" w:cs="Calibri"/>
          <w:sz w:val="24"/>
          <w:szCs w:val="24"/>
        </w:rPr>
        <w:t>t</w:t>
      </w:r>
      <w:r w:rsidRPr="00FB3DCE">
        <w:rPr>
          <w:rFonts w:ascii="Calibri" w:hAnsi="Calibri" w:cs="Calibri"/>
          <w:sz w:val="24"/>
          <w:szCs w:val="24"/>
        </w:rPr>
        <w:t>his</w:t>
      </w:r>
      <w:r w:rsidR="00277DAE">
        <w:rPr>
          <w:rFonts w:ascii="Calibri" w:hAnsi="Calibri" w:cs="Calibri"/>
          <w:sz w:val="24"/>
          <w:szCs w:val="24"/>
        </w:rPr>
        <w:t xml:space="preserve"> notion</w:t>
      </w:r>
      <w:r w:rsidRPr="00FB3DCE">
        <w:rPr>
          <w:rFonts w:ascii="Calibri" w:hAnsi="Calibri" w:cs="Calibri"/>
          <w:sz w:val="24"/>
          <w:szCs w:val="24"/>
        </w:rPr>
        <w:t xml:space="preserve"> supports existing research that identifies positive organisational climates as protective factors against burnout. In contrast, performative cultures characterised by accountability pressures and outcome-driven priorities appear to exacerbate stress, particularly for those still developing professional confidence.</w:t>
      </w:r>
    </w:p>
    <w:p w14:paraId="77AA1014" w14:textId="65B5F741" w:rsidR="00FB3DCE" w:rsidRPr="00FB3DCE" w:rsidRDefault="00FB3DCE" w:rsidP="00FB3DCE">
      <w:pPr>
        <w:spacing w:line="360" w:lineRule="auto"/>
        <w:rPr>
          <w:rFonts w:ascii="Calibri" w:hAnsi="Calibri" w:cs="Calibri"/>
          <w:sz w:val="24"/>
          <w:szCs w:val="24"/>
        </w:rPr>
      </w:pPr>
      <w:r w:rsidRPr="00FB3DCE">
        <w:rPr>
          <w:rFonts w:ascii="Calibri" w:hAnsi="Calibri" w:cs="Calibri"/>
          <w:sz w:val="24"/>
          <w:szCs w:val="24"/>
        </w:rPr>
        <w:t>Leadership plays a central role within this context. The findings reinforce literature suggesting that effective leadership can mitigate burnout by providing clear expectations, emotional support, and professional guidance. Conversely, where leadership is perceived as inconsistent or narrowly focused on performance outcomes, NQTs may experience increased pressure and reduced access to meaningful support. This highlights leadership as both a mediator of systemic demands and a key determinant of organisational culture</w:t>
      </w:r>
      <w:r w:rsidR="00BD53BC">
        <w:rPr>
          <w:rFonts w:ascii="Calibri" w:hAnsi="Calibri" w:cs="Calibri"/>
          <w:sz w:val="24"/>
          <w:szCs w:val="24"/>
        </w:rPr>
        <w:t xml:space="preserve"> argues </w:t>
      </w:r>
      <w:proofErr w:type="spellStart"/>
      <w:r w:rsidR="00FD6710">
        <w:rPr>
          <w:rFonts w:ascii="Calibri" w:hAnsi="Calibri" w:cs="Calibri"/>
          <w:sz w:val="24"/>
          <w:szCs w:val="24"/>
        </w:rPr>
        <w:t>Leithwood</w:t>
      </w:r>
      <w:proofErr w:type="spellEnd"/>
      <w:r w:rsidR="00FD6710">
        <w:rPr>
          <w:rFonts w:ascii="Calibri" w:hAnsi="Calibri" w:cs="Calibri"/>
          <w:sz w:val="24"/>
          <w:szCs w:val="24"/>
        </w:rPr>
        <w:t xml:space="preserve"> and Sun (2018)</w:t>
      </w:r>
      <w:r w:rsidRPr="00FB3DCE">
        <w:rPr>
          <w:rFonts w:ascii="Calibri" w:hAnsi="Calibri" w:cs="Calibri"/>
          <w:sz w:val="24"/>
          <w:szCs w:val="24"/>
        </w:rPr>
        <w:t>.</w:t>
      </w:r>
      <w:r w:rsidR="00E44019">
        <w:rPr>
          <w:rFonts w:ascii="Calibri" w:hAnsi="Calibri" w:cs="Calibri"/>
          <w:sz w:val="24"/>
          <w:szCs w:val="24"/>
        </w:rPr>
        <w:t xml:space="preserve"> </w:t>
      </w:r>
      <w:r w:rsidR="00E44019" w:rsidRPr="00E44019">
        <w:rPr>
          <w:rFonts w:ascii="Calibri" w:hAnsi="Calibri" w:cs="Calibri"/>
          <w:sz w:val="24"/>
          <w:szCs w:val="24"/>
        </w:rPr>
        <w:t xml:space="preserve">This further supports the JD-R proposition that organisational </w:t>
      </w:r>
      <w:r w:rsidR="00E44019" w:rsidRPr="00E44019">
        <w:rPr>
          <w:rFonts w:ascii="Calibri" w:hAnsi="Calibri" w:cs="Calibri"/>
          <w:sz w:val="24"/>
          <w:szCs w:val="24"/>
        </w:rPr>
        <w:lastRenderedPageBreak/>
        <w:t>resources play a critical buffering role, shaping how demands are experienced and whether they translate into burnout.</w:t>
      </w:r>
    </w:p>
    <w:p w14:paraId="36D11971" w14:textId="4D775277" w:rsidR="000022DA" w:rsidRPr="000022DA" w:rsidRDefault="000022DA" w:rsidP="000022DA">
      <w:pPr>
        <w:spacing w:line="360" w:lineRule="auto"/>
        <w:rPr>
          <w:rFonts w:ascii="Calibri" w:hAnsi="Calibri" w:cs="Calibri"/>
          <w:sz w:val="24"/>
          <w:szCs w:val="24"/>
        </w:rPr>
      </w:pPr>
      <w:r w:rsidRPr="000022DA">
        <w:rPr>
          <w:rFonts w:ascii="Calibri" w:hAnsi="Calibri" w:cs="Calibri"/>
          <w:sz w:val="24"/>
          <w:szCs w:val="24"/>
        </w:rPr>
        <w:t>The role of mentoring and induction support further illustrates the importance of organisational context. While the literature consistently identifies mentoring as a critical support mechanism for NQTs, the findings suggest that its effectiveness varies considerably in practice. High-quality mentoring can enhance professional development and reduce feelings of isolation, whereas inconsistent or overly evaluative approaches may fail to meet the developmental needs of early-career teachers</w:t>
      </w:r>
      <w:r w:rsidR="007C01FC">
        <w:rPr>
          <w:rFonts w:ascii="Calibri" w:hAnsi="Calibri" w:cs="Calibri"/>
          <w:sz w:val="24"/>
          <w:szCs w:val="24"/>
        </w:rPr>
        <w:t xml:space="preserve"> according to research conducted by Stevenson et al (2023)</w:t>
      </w:r>
      <w:r w:rsidR="00A73200">
        <w:rPr>
          <w:rFonts w:ascii="Calibri" w:hAnsi="Calibri" w:cs="Calibri"/>
          <w:sz w:val="24"/>
          <w:szCs w:val="24"/>
        </w:rPr>
        <w:t>.</w:t>
      </w:r>
      <w:r w:rsidRPr="000022DA">
        <w:rPr>
          <w:rFonts w:ascii="Calibri" w:hAnsi="Calibri" w:cs="Calibri"/>
          <w:sz w:val="24"/>
          <w:szCs w:val="24"/>
        </w:rPr>
        <w:t xml:space="preserve"> This reflects broader concerns regarding the gap between policy intentions and their implementation within schools.</w:t>
      </w:r>
    </w:p>
    <w:p w14:paraId="5237C979" w14:textId="470BA7D2" w:rsidR="00FB3DCE" w:rsidRPr="00FB3DCE" w:rsidRDefault="000022DA" w:rsidP="00FB3DCE">
      <w:pPr>
        <w:spacing w:line="360" w:lineRule="auto"/>
        <w:rPr>
          <w:rFonts w:ascii="Calibri" w:hAnsi="Calibri" w:cs="Calibri"/>
          <w:sz w:val="24"/>
          <w:szCs w:val="24"/>
        </w:rPr>
      </w:pPr>
      <w:r w:rsidRPr="000022DA">
        <w:rPr>
          <w:rFonts w:ascii="Calibri" w:hAnsi="Calibri" w:cs="Calibri"/>
          <w:sz w:val="24"/>
          <w:szCs w:val="24"/>
        </w:rPr>
        <w:t>This variability suggests that the effectiveness of mentoring is contingent not simply on its presence, but on how it is structured, enacted, and experienced in practice. Emerging research indicates that mentoring is most impactful when it is underpinned by relational trust, developmental focus, and protected time for meaningful engagement, rather than being positioned primarily as a mechanism of accountability or performance evaluation</w:t>
      </w:r>
      <w:r w:rsidR="008F68B9">
        <w:rPr>
          <w:rFonts w:ascii="Calibri" w:hAnsi="Calibri" w:cs="Calibri"/>
          <w:sz w:val="24"/>
          <w:szCs w:val="24"/>
        </w:rPr>
        <w:t xml:space="preserve"> </w:t>
      </w:r>
      <w:r w:rsidR="006C5530">
        <w:rPr>
          <w:rFonts w:ascii="Calibri" w:hAnsi="Calibri" w:cs="Calibri"/>
          <w:sz w:val="24"/>
          <w:szCs w:val="24"/>
        </w:rPr>
        <w:t xml:space="preserve">(Rock and </w:t>
      </w:r>
      <w:proofErr w:type="spellStart"/>
      <w:r w:rsidR="006C5530">
        <w:rPr>
          <w:rFonts w:ascii="Calibri" w:hAnsi="Calibri" w:cs="Calibri"/>
          <w:sz w:val="24"/>
          <w:szCs w:val="24"/>
        </w:rPr>
        <w:t>Gara</w:t>
      </w:r>
      <w:r w:rsidR="00674501">
        <w:rPr>
          <w:rFonts w:ascii="Calibri" w:hAnsi="Calibri" w:cs="Calibri"/>
          <w:sz w:val="24"/>
          <w:szCs w:val="24"/>
        </w:rPr>
        <w:t>van</w:t>
      </w:r>
      <w:proofErr w:type="spellEnd"/>
      <w:r w:rsidR="00674501">
        <w:rPr>
          <w:rFonts w:ascii="Calibri" w:hAnsi="Calibri" w:cs="Calibri"/>
          <w:sz w:val="24"/>
          <w:szCs w:val="24"/>
        </w:rPr>
        <w:t>, 2010)</w:t>
      </w:r>
      <w:r w:rsidRPr="000022DA">
        <w:rPr>
          <w:rFonts w:ascii="Calibri" w:hAnsi="Calibri" w:cs="Calibri"/>
          <w:sz w:val="24"/>
          <w:szCs w:val="24"/>
        </w:rPr>
        <w:t>. In this sense, the findings implicitly point towards the importance of coherence between policy design and organisational enactment, where mentoring is consistently framed and supported as a formative, rather than evaluative, process.</w:t>
      </w:r>
      <w:r w:rsidR="00A66C69">
        <w:rPr>
          <w:rFonts w:ascii="Calibri" w:hAnsi="Calibri" w:cs="Calibri"/>
          <w:sz w:val="24"/>
          <w:szCs w:val="24"/>
        </w:rPr>
        <w:t xml:space="preserve"> </w:t>
      </w:r>
      <w:r w:rsidR="00A66C69" w:rsidRPr="00A66C69">
        <w:rPr>
          <w:rFonts w:ascii="Calibri" w:hAnsi="Calibri" w:cs="Calibri"/>
          <w:sz w:val="24"/>
          <w:szCs w:val="24"/>
        </w:rPr>
        <w:t>This variability also highlights a limitation of more individualised models of burnout, such as the MBI, as it demonstrates that similar psychological outcomes may arise from markedly different organisational conditions.</w:t>
      </w:r>
    </w:p>
    <w:p w14:paraId="445BD2B6" w14:textId="79D37379" w:rsidR="00FB3DCE" w:rsidRPr="00FB3DCE" w:rsidRDefault="00FB3DCE" w:rsidP="00FB3DCE">
      <w:pPr>
        <w:spacing w:line="360" w:lineRule="auto"/>
        <w:rPr>
          <w:rFonts w:ascii="Calibri" w:hAnsi="Calibri" w:cs="Calibri"/>
          <w:sz w:val="24"/>
          <w:szCs w:val="24"/>
        </w:rPr>
      </w:pPr>
      <w:r w:rsidRPr="00FB3DCE">
        <w:rPr>
          <w:rFonts w:ascii="Calibri" w:hAnsi="Calibri" w:cs="Calibri"/>
          <w:sz w:val="24"/>
          <w:szCs w:val="24"/>
        </w:rPr>
        <w:t>Importantly, the findings demonstrate that organisational factors do not operate in isolation but interact closely with individual experiences. For instance, high workload demands may be perceived as manageable within supportive environments but overwhelming in contexts where support is limited. This reinforces the conceptualisation of burnout as an outcome of interacting individual and organisational dynamics.</w:t>
      </w:r>
    </w:p>
    <w:p w14:paraId="11AF629E" w14:textId="77777777" w:rsidR="00FB3DCE" w:rsidRPr="00750F24" w:rsidRDefault="00FB3DCE" w:rsidP="001A103D">
      <w:pPr>
        <w:pStyle w:val="Heading3"/>
      </w:pPr>
      <w:bookmarkStart w:id="56" w:name="_Toc228136349"/>
      <w:r w:rsidRPr="00750F24">
        <w:t>5.4 Systemic and Policy-Level Factors in Relation to Literature</w:t>
      </w:r>
      <w:bookmarkEnd w:id="56"/>
    </w:p>
    <w:p w14:paraId="1066FA5A" w14:textId="384E137D" w:rsidR="00FB3DCE" w:rsidRPr="00FB3DCE" w:rsidRDefault="00FB3DCE" w:rsidP="00FB3DCE">
      <w:pPr>
        <w:spacing w:line="360" w:lineRule="auto"/>
        <w:rPr>
          <w:rFonts w:ascii="Calibri" w:hAnsi="Calibri" w:cs="Calibri"/>
          <w:sz w:val="24"/>
          <w:szCs w:val="24"/>
        </w:rPr>
      </w:pPr>
      <w:r w:rsidRPr="00FB3DCE">
        <w:rPr>
          <w:rFonts w:ascii="Calibri" w:hAnsi="Calibri" w:cs="Calibri"/>
          <w:sz w:val="24"/>
          <w:szCs w:val="24"/>
        </w:rPr>
        <w:t>The findings presented in Chapter 4 highlight the significant role of systemic and policy-level factors in shaping NQTs’ experiences and their susceptibility to burnout. These findings align with literature that conceptualises educational policy as both enabling and constraining.</w:t>
      </w:r>
      <w:r w:rsidR="00B806D6">
        <w:rPr>
          <w:rFonts w:ascii="Calibri" w:hAnsi="Calibri" w:cs="Calibri"/>
          <w:sz w:val="24"/>
          <w:szCs w:val="24"/>
        </w:rPr>
        <w:t xml:space="preserve"> </w:t>
      </w:r>
      <w:r w:rsidR="00B806D6" w:rsidRPr="00B806D6">
        <w:rPr>
          <w:rFonts w:ascii="Calibri" w:hAnsi="Calibri" w:cs="Calibri"/>
          <w:sz w:val="24"/>
          <w:szCs w:val="24"/>
        </w:rPr>
        <w:lastRenderedPageBreak/>
        <w:t>While traditional models such as the MBI capture the psychological manifestations of burnout, they offer limited insight into how these broader systemic pressures contribute to its development</w:t>
      </w:r>
      <w:r w:rsidR="001F2E84">
        <w:rPr>
          <w:rFonts w:ascii="Calibri" w:hAnsi="Calibri" w:cs="Calibri"/>
          <w:sz w:val="24"/>
          <w:szCs w:val="24"/>
        </w:rPr>
        <w:t>. In addition,</w:t>
      </w:r>
      <w:r w:rsidRPr="00FB3DCE">
        <w:rPr>
          <w:rFonts w:ascii="Calibri" w:hAnsi="Calibri" w:cs="Calibri"/>
          <w:sz w:val="24"/>
          <w:szCs w:val="24"/>
        </w:rPr>
        <w:t xml:space="preserve"> </w:t>
      </w:r>
      <w:r w:rsidR="001F2E84">
        <w:rPr>
          <w:rFonts w:ascii="Calibri" w:hAnsi="Calibri" w:cs="Calibri"/>
          <w:sz w:val="24"/>
          <w:szCs w:val="24"/>
        </w:rPr>
        <w:t>w</w:t>
      </w:r>
      <w:r w:rsidRPr="00FB3DCE">
        <w:rPr>
          <w:rFonts w:ascii="Calibri" w:hAnsi="Calibri" w:cs="Calibri"/>
          <w:sz w:val="24"/>
          <w:szCs w:val="24"/>
        </w:rPr>
        <w:t>hile policies aim to promote professional autonomy, development, and wellbeing, they may also introduce pressures that disproportionately affect early-career teachers.</w:t>
      </w:r>
    </w:p>
    <w:p w14:paraId="599F15F3" w14:textId="5CC0DE36" w:rsidR="00FB3DCE" w:rsidRPr="00FB3DCE" w:rsidRDefault="00FB3DCE" w:rsidP="00FB3DCE">
      <w:pPr>
        <w:spacing w:line="360" w:lineRule="auto"/>
        <w:rPr>
          <w:rFonts w:ascii="Calibri" w:hAnsi="Calibri" w:cs="Calibri"/>
          <w:sz w:val="24"/>
          <w:szCs w:val="24"/>
        </w:rPr>
      </w:pPr>
      <w:r w:rsidRPr="00FB3DCE">
        <w:rPr>
          <w:rFonts w:ascii="Calibri" w:hAnsi="Calibri" w:cs="Calibri"/>
          <w:sz w:val="24"/>
          <w:szCs w:val="24"/>
        </w:rPr>
        <w:t xml:space="preserve">The introduction of the Curriculum for Wales (Welsh Government, 2020) </w:t>
      </w:r>
      <w:r w:rsidR="008228A9" w:rsidRPr="00FB3DCE">
        <w:rPr>
          <w:rFonts w:ascii="Calibri" w:hAnsi="Calibri" w:cs="Calibri"/>
          <w:sz w:val="24"/>
          <w:szCs w:val="24"/>
        </w:rPr>
        <w:t>demonstrates</w:t>
      </w:r>
      <w:r w:rsidRPr="00FB3DCE">
        <w:rPr>
          <w:rFonts w:ascii="Calibri" w:hAnsi="Calibri" w:cs="Calibri"/>
          <w:sz w:val="24"/>
          <w:szCs w:val="24"/>
        </w:rPr>
        <w:t xml:space="preserve"> this duality. While increased autonomy enables teachers to design more responsive and learner-centred approaches, the findings suggest that this flexibility may also generate uncertainty for NQTs who are still developing professional competence. In this sense, autonomy without sufficient structure or support may become a source of stress, reinforcing the need for a balance between professional freedom and guided development </w:t>
      </w:r>
      <w:r w:rsidR="00E31EEC">
        <w:rPr>
          <w:rFonts w:ascii="Calibri" w:hAnsi="Calibri" w:cs="Calibri"/>
          <w:sz w:val="24"/>
          <w:szCs w:val="24"/>
        </w:rPr>
        <w:t xml:space="preserve">(Milton et al, </w:t>
      </w:r>
      <w:r w:rsidR="004E2CF9">
        <w:rPr>
          <w:rFonts w:ascii="Calibri" w:hAnsi="Calibri" w:cs="Calibri"/>
          <w:sz w:val="24"/>
          <w:szCs w:val="24"/>
        </w:rPr>
        <w:t>2022)</w:t>
      </w:r>
      <w:r w:rsidRPr="00FB3DCE">
        <w:rPr>
          <w:rFonts w:ascii="Calibri" w:hAnsi="Calibri" w:cs="Calibri"/>
          <w:sz w:val="24"/>
          <w:szCs w:val="24"/>
        </w:rPr>
        <w:t>.</w:t>
      </w:r>
    </w:p>
    <w:p w14:paraId="471A0184" w14:textId="422BD81D" w:rsidR="00FB3DCE" w:rsidRPr="00FB3DCE" w:rsidRDefault="00FB3DCE" w:rsidP="00FB3DCE">
      <w:pPr>
        <w:spacing w:line="360" w:lineRule="auto"/>
        <w:rPr>
          <w:rFonts w:ascii="Calibri" w:hAnsi="Calibri" w:cs="Calibri"/>
          <w:sz w:val="24"/>
          <w:szCs w:val="24"/>
        </w:rPr>
      </w:pPr>
      <w:r w:rsidRPr="00FB3DCE">
        <w:rPr>
          <w:rFonts w:ascii="Calibri" w:hAnsi="Calibri" w:cs="Calibri"/>
          <w:sz w:val="24"/>
          <w:szCs w:val="24"/>
        </w:rPr>
        <w:t xml:space="preserve">Accountability measures further illustrate the complexity of systemic influences. Although policy frameworks emphasise support and wellbeing, the findings suggest that implicit cultures of performance monitoring may take precedence in practice. This tension between policy rhetoric and enactment contributes to increased stress among NQTs, particularly those still developing confidence in their teaching practice </w:t>
      </w:r>
      <w:r w:rsidR="008B7C04">
        <w:rPr>
          <w:rFonts w:ascii="Calibri" w:hAnsi="Calibri" w:cs="Calibri"/>
          <w:sz w:val="24"/>
          <w:szCs w:val="24"/>
        </w:rPr>
        <w:t>(Waters, 2020)</w:t>
      </w:r>
      <w:r w:rsidRPr="00FB3DCE">
        <w:rPr>
          <w:rFonts w:ascii="Calibri" w:hAnsi="Calibri" w:cs="Calibri"/>
          <w:sz w:val="24"/>
          <w:szCs w:val="24"/>
        </w:rPr>
        <w:t>.</w:t>
      </w:r>
    </w:p>
    <w:p w14:paraId="4BB8F08E" w14:textId="77777777" w:rsidR="00FB3DCE" w:rsidRPr="00FB3DCE" w:rsidRDefault="00FB3DCE" w:rsidP="00FB3DCE">
      <w:pPr>
        <w:spacing w:line="360" w:lineRule="auto"/>
        <w:rPr>
          <w:rFonts w:ascii="Calibri" w:hAnsi="Calibri" w:cs="Calibri"/>
          <w:sz w:val="24"/>
          <w:szCs w:val="24"/>
        </w:rPr>
      </w:pPr>
      <w:r w:rsidRPr="00FB3DCE">
        <w:rPr>
          <w:rFonts w:ascii="Calibri" w:hAnsi="Calibri" w:cs="Calibri"/>
          <w:sz w:val="24"/>
          <w:szCs w:val="24"/>
        </w:rPr>
        <w:t>The persistence of the policy–practice gap is a key finding within this context. While policies establish frameworks intended to support teachers, their effectiveness is contingent on how they are enacted within schools. This suggests that policy success cannot be evaluated solely in terms of design but must also consider implementation processes and contextual variability.</w:t>
      </w:r>
    </w:p>
    <w:p w14:paraId="10F15BFE" w14:textId="72E8F206" w:rsidR="00FB3DCE" w:rsidRPr="00FB3DCE" w:rsidRDefault="00FB3DCE" w:rsidP="00FB3DCE">
      <w:pPr>
        <w:spacing w:line="360" w:lineRule="auto"/>
        <w:rPr>
          <w:rFonts w:ascii="Calibri" w:hAnsi="Calibri" w:cs="Calibri"/>
          <w:sz w:val="24"/>
          <w:szCs w:val="24"/>
        </w:rPr>
      </w:pPr>
      <w:r w:rsidRPr="00FB3DCE">
        <w:rPr>
          <w:rFonts w:ascii="Calibri" w:hAnsi="Calibri" w:cs="Calibri"/>
          <w:sz w:val="24"/>
          <w:szCs w:val="24"/>
        </w:rPr>
        <w:t xml:space="preserve">Furthermore, systemic expectations relating to workload, professional standards, and accountability interact with organisational conditions to shape NQTs’ experiences. These pressures are particularly salient for early-career teachers, who must simultaneously adapt to professional expectations and navigate unfamiliar organisational contexts </w:t>
      </w:r>
      <w:r w:rsidR="00577803">
        <w:rPr>
          <w:rFonts w:ascii="Calibri" w:hAnsi="Calibri" w:cs="Calibri"/>
          <w:sz w:val="24"/>
          <w:szCs w:val="24"/>
        </w:rPr>
        <w:t>(Johnson et al</w:t>
      </w:r>
      <w:r w:rsidR="00341F0D">
        <w:rPr>
          <w:rFonts w:ascii="Calibri" w:hAnsi="Calibri" w:cs="Calibri"/>
          <w:sz w:val="24"/>
          <w:szCs w:val="24"/>
        </w:rPr>
        <w:t>, 2015)</w:t>
      </w:r>
      <w:r w:rsidRPr="00FB3DCE">
        <w:rPr>
          <w:rFonts w:ascii="Calibri" w:hAnsi="Calibri" w:cs="Calibri"/>
          <w:sz w:val="24"/>
          <w:szCs w:val="24"/>
        </w:rPr>
        <w:t>.</w:t>
      </w:r>
      <w:r w:rsidR="00150DE8">
        <w:rPr>
          <w:rFonts w:ascii="Calibri" w:hAnsi="Calibri" w:cs="Calibri"/>
          <w:sz w:val="24"/>
          <w:szCs w:val="24"/>
        </w:rPr>
        <w:t xml:space="preserve"> </w:t>
      </w:r>
      <w:r w:rsidR="00150DE8" w:rsidRPr="00150DE8">
        <w:rPr>
          <w:rFonts w:ascii="Calibri" w:hAnsi="Calibri" w:cs="Calibri"/>
          <w:sz w:val="24"/>
          <w:szCs w:val="24"/>
        </w:rPr>
        <w:t>From a JD-R perspective, these policy-driven expectations can be understood as intensifying job demands, often without a corresponding increase in resources, thereby exacerbating the imbalance that underpins burnout.</w:t>
      </w:r>
    </w:p>
    <w:p w14:paraId="53A2C0EF" w14:textId="6890B333" w:rsidR="00F56CD5" w:rsidRPr="00F56CD5" w:rsidRDefault="00F56CD5" w:rsidP="00F56CD5">
      <w:pPr>
        <w:spacing w:line="360" w:lineRule="auto"/>
        <w:rPr>
          <w:rFonts w:ascii="Calibri" w:hAnsi="Calibri" w:cs="Calibri"/>
          <w:sz w:val="24"/>
          <w:szCs w:val="24"/>
        </w:rPr>
      </w:pPr>
      <w:r w:rsidRPr="00F56CD5">
        <w:rPr>
          <w:rFonts w:ascii="Calibri" w:hAnsi="Calibri" w:cs="Calibri"/>
          <w:sz w:val="24"/>
          <w:szCs w:val="24"/>
        </w:rPr>
        <w:t xml:space="preserve">Overall, the findings reinforce the view that policy operates as a complex and multi-layered influence on teacher wellbeing, rather than as a singular or uniformly experienced driver of </w:t>
      </w:r>
      <w:r w:rsidRPr="00F56CD5">
        <w:rPr>
          <w:rFonts w:ascii="Calibri" w:hAnsi="Calibri" w:cs="Calibri"/>
          <w:sz w:val="24"/>
          <w:szCs w:val="24"/>
        </w:rPr>
        <w:lastRenderedPageBreak/>
        <w:t>change. While systemic reforms have the potential to support NQTs</w:t>
      </w:r>
      <w:r w:rsidR="00E53C4C">
        <w:rPr>
          <w:rFonts w:ascii="Calibri" w:hAnsi="Calibri" w:cs="Calibri"/>
          <w:sz w:val="24"/>
          <w:szCs w:val="24"/>
        </w:rPr>
        <w:t xml:space="preserve">, </w:t>
      </w:r>
      <w:r w:rsidRPr="00F56CD5">
        <w:rPr>
          <w:rFonts w:ascii="Calibri" w:hAnsi="Calibri" w:cs="Calibri"/>
          <w:sz w:val="24"/>
          <w:szCs w:val="24"/>
        </w:rPr>
        <w:t>particularly through the promotion of professional autonomy, structured development pathways, and wellbeing-oriented initiatives</w:t>
      </w:r>
      <w:r w:rsidR="00E53C4C">
        <w:rPr>
          <w:rFonts w:ascii="Calibri" w:hAnsi="Calibri" w:cs="Calibri"/>
          <w:sz w:val="24"/>
          <w:szCs w:val="24"/>
        </w:rPr>
        <w:t xml:space="preserve">, </w:t>
      </w:r>
      <w:r w:rsidRPr="00F56CD5">
        <w:rPr>
          <w:rFonts w:ascii="Calibri" w:hAnsi="Calibri" w:cs="Calibri"/>
          <w:sz w:val="24"/>
          <w:szCs w:val="24"/>
        </w:rPr>
        <w:t>their impact is neither linear nor guaranteed. Instead, policy effects are mediated through organisational contexts, leadership practices, and the day-to-day realities of school environments.</w:t>
      </w:r>
    </w:p>
    <w:p w14:paraId="6A864709" w14:textId="6AD24D9D" w:rsidR="00FB3DCE" w:rsidRDefault="00F56CD5" w:rsidP="00FB3DCE">
      <w:pPr>
        <w:spacing w:line="360" w:lineRule="auto"/>
        <w:rPr>
          <w:rFonts w:ascii="Calibri" w:hAnsi="Calibri" w:cs="Calibri"/>
          <w:sz w:val="24"/>
          <w:szCs w:val="24"/>
        </w:rPr>
      </w:pPr>
      <w:r w:rsidRPr="00F56CD5">
        <w:rPr>
          <w:rFonts w:ascii="Calibri" w:hAnsi="Calibri" w:cs="Calibri"/>
          <w:sz w:val="24"/>
          <w:szCs w:val="24"/>
        </w:rPr>
        <w:t>In this sense, the effectiveness of policy is contingent upon its alignment with organisational practices and the extent to which it is translated into meaningful, context-sensitive support mechanisms. Where coherence exists between policy intentions and school-level enactment, reforms may contribute positively to professional confidence and wellbeing. However, where such alignment is absent, policies may be experienced as additional sources of pressure, ambiguity, or workload. This highlights the importance of understanding policy not simply as a set of directives, but as a process of interpretation and enactment, shaped by the capacities, cultures, and priorities of individual schools.</w:t>
      </w:r>
    </w:p>
    <w:p w14:paraId="312C47E5" w14:textId="7270AACC" w:rsidR="00142BEF" w:rsidRDefault="00142BEF" w:rsidP="00FB3DCE">
      <w:pPr>
        <w:spacing w:line="360" w:lineRule="auto"/>
        <w:rPr>
          <w:rFonts w:ascii="Calibri" w:hAnsi="Calibri" w:cs="Calibri"/>
          <w:sz w:val="24"/>
          <w:szCs w:val="24"/>
        </w:rPr>
      </w:pPr>
      <w:r w:rsidRPr="00142BEF">
        <w:rPr>
          <w:rFonts w:ascii="Calibri" w:hAnsi="Calibri" w:cs="Calibri"/>
          <w:sz w:val="24"/>
          <w:szCs w:val="24"/>
        </w:rPr>
        <w:t>Taken together, these findings highlight the limitations of viewing burnout solely through either an individual or structural lens. To further interpret these interactions, it is useful to consider established theoretical frameworks that integrate both psychological and contextual dimensions of burnout.</w:t>
      </w:r>
    </w:p>
    <w:p w14:paraId="7FC0ACC2" w14:textId="6F3CB18E" w:rsidR="00442C71" w:rsidRPr="00750F24" w:rsidRDefault="00442C71" w:rsidP="001A103D">
      <w:pPr>
        <w:pStyle w:val="Heading3"/>
      </w:pPr>
      <w:bookmarkStart w:id="57" w:name="_Toc228136350"/>
      <w:r w:rsidRPr="00750F24">
        <w:t>5.</w:t>
      </w:r>
      <w:r w:rsidRPr="00750F24">
        <w:t>5</w:t>
      </w:r>
      <w:r w:rsidRPr="00750F24">
        <w:t xml:space="preserve"> Theoretical Interpretation of Findings</w:t>
      </w:r>
      <w:bookmarkEnd w:id="57"/>
    </w:p>
    <w:p w14:paraId="1DB0864A" w14:textId="77777777" w:rsidR="00442C71" w:rsidRPr="00442C71" w:rsidRDefault="00442C71" w:rsidP="00442C71">
      <w:pPr>
        <w:spacing w:line="360" w:lineRule="auto"/>
        <w:rPr>
          <w:rFonts w:ascii="Calibri" w:hAnsi="Calibri" w:cs="Calibri"/>
          <w:sz w:val="24"/>
          <w:szCs w:val="24"/>
        </w:rPr>
      </w:pPr>
      <w:r w:rsidRPr="00442C71">
        <w:rPr>
          <w:rFonts w:ascii="Calibri" w:hAnsi="Calibri" w:cs="Calibri"/>
          <w:sz w:val="24"/>
          <w:szCs w:val="24"/>
        </w:rPr>
        <w:t>The findings of this study can be further understood through engagement with established theoretical frameworks of burnout, particularly the Maslach Burnout Inventory (MBI) and the Job Demands–Resources (JD-R) model. These frameworks provide a useful lens through which to interpret the multi-layered nature of burnout identified across individual, organisational, and systemic levels.</w:t>
      </w:r>
    </w:p>
    <w:p w14:paraId="181C8972" w14:textId="77777777" w:rsidR="00442C71" w:rsidRPr="00442C71" w:rsidRDefault="00442C71" w:rsidP="00442C71">
      <w:pPr>
        <w:spacing w:line="360" w:lineRule="auto"/>
        <w:rPr>
          <w:rFonts w:ascii="Calibri" w:hAnsi="Calibri" w:cs="Calibri"/>
          <w:sz w:val="24"/>
          <w:szCs w:val="24"/>
        </w:rPr>
      </w:pPr>
      <w:r w:rsidRPr="00442C71">
        <w:rPr>
          <w:rFonts w:ascii="Calibri" w:hAnsi="Calibri" w:cs="Calibri"/>
          <w:sz w:val="24"/>
          <w:szCs w:val="24"/>
        </w:rPr>
        <w:t>The prominence of emotional exhaustion within the findings aligns closely with the MBI conceptualisation of burnout as a multidimensional construct comprising emotional exhaustion, depersonalisation, and reduced personal accomplishment. Participants’ experiences of sustained emotional strain, diminished confidence, and challenges in maintaining professional efficacy reflect these core dimensions. In this sense, the MBI remains a valuable framework for identifying and categorising the psychological manifestations of burnout among NQTs.</w:t>
      </w:r>
    </w:p>
    <w:p w14:paraId="19D1959C" w14:textId="77777777" w:rsidR="00442C71" w:rsidRPr="00442C71" w:rsidRDefault="00442C71" w:rsidP="00442C71">
      <w:pPr>
        <w:spacing w:line="360" w:lineRule="auto"/>
        <w:rPr>
          <w:rFonts w:ascii="Calibri" w:hAnsi="Calibri" w:cs="Calibri"/>
          <w:sz w:val="24"/>
          <w:szCs w:val="24"/>
        </w:rPr>
      </w:pPr>
      <w:r w:rsidRPr="00442C71">
        <w:rPr>
          <w:rFonts w:ascii="Calibri" w:hAnsi="Calibri" w:cs="Calibri"/>
          <w:sz w:val="24"/>
          <w:szCs w:val="24"/>
        </w:rPr>
        <w:lastRenderedPageBreak/>
        <w:t>However, the findings also highlight some of the limitations associated with an exclusively MBI-informed perspective. While the framework effectively captures the symptoms of burnout, it offers limited explanatory insight into the underlying causes of these experiences. The data presented in this study suggest that emotional exhaustion and reduced self-efficacy are not solely individual psychological states, but are shaped by organisational conditions such as workload, leadership practices, and mentoring quality, as well as broader systemic pressures linked to policy reform and accountability structures. This reinforces critiques within the literature that the MBI, when used in isolation, may contribute to an individualised framing of burnout that underplays contextual influences.</w:t>
      </w:r>
    </w:p>
    <w:p w14:paraId="1865482F" w14:textId="77777777" w:rsidR="00442C71" w:rsidRPr="00442C71" w:rsidRDefault="00442C71" w:rsidP="00442C71">
      <w:pPr>
        <w:spacing w:line="360" w:lineRule="auto"/>
        <w:rPr>
          <w:rFonts w:ascii="Calibri" w:hAnsi="Calibri" w:cs="Calibri"/>
          <w:sz w:val="24"/>
          <w:szCs w:val="24"/>
        </w:rPr>
      </w:pPr>
      <w:r w:rsidRPr="00442C71">
        <w:rPr>
          <w:rFonts w:ascii="Calibri" w:hAnsi="Calibri" w:cs="Calibri"/>
          <w:sz w:val="24"/>
          <w:szCs w:val="24"/>
        </w:rPr>
        <w:t>In contrast, the JD-R model provides a more comprehensive framework for interpreting the findings. The interaction between job demands and job resources is clearly reflected across the data. High workload, emotional labour, and performance expectations function as significant demands placed upon NQTs, while factors such as mentoring support, collaborative school cultures, and effective leadership act as critical resources. Importantly, the findings demonstrate that it is not the presence of demands alone that leads to burnout, but the imbalance between demands and available resources.</w:t>
      </w:r>
    </w:p>
    <w:p w14:paraId="008EE3A2" w14:textId="77777777" w:rsidR="00442C71" w:rsidRPr="00442C71" w:rsidRDefault="00442C71" w:rsidP="00442C71">
      <w:pPr>
        <w:spacing w:line="360" w:lineRule="auto"/>
        <w:rPr>
          <w:rFonts w:ascii="Calibri" w:hAnsi="Calibri" w:cs="Calibri"/>
          <w:sz w:val="24"/>
          <w:szCs w:val="24"/>
        </w:rPr>
      </w:pPr>
      <w:r w:rsidRPr="00442C71">
        <w:rPr>
          <w:rFonts w:ascii="Calibri" w:hAnsi="Calibri" w:cs="Calibri"/>
          <w:sz w:val="24"/>
          <w:szCs w:val="24"/>
        </w:rPr>
        <w:t>This is particularly evident in the variation of experiences across different organisational contexts. NQTs operating within supportive environments appear better able to manage high demands, suggesting that adequate resources can buffer against the development of burnout. Conversely, where resources are limited or inconsistently applied, similar demands may become overwhelming, leading to heightened emotional exhaustion and reduced professional confidence. This dynamic interaction closely reflects the central propositions of the JD-R model and supports its applicability within the context of early-career teaching.</w:t>
      </w:r>
    </w:p>
    <w:p w14:paraId="04BF65F1" w14:textId="79090016" w:rsidR="00442C71" w:rsidRPr="00442C71" w:rsidRDefault="00442C71" w:rsidP="00442C71">
      <w:pPr>
        <w:spacing w:line="360" w:lineRule="auto"/>
        <w:rPr>
          <w:rFonts w:ascii="Calibri" w:hAnsi="Calibri" w:cs="Calibri"/>
          <w:sz w:val="24"/>
          <w:szCs w:val="24"/>
        </w:rPr>
      </w:pPr>
      <w:r w:rsidRPr="00442C71">
        <w:rPr>
          <w:rFonts w:ascii="Calibri" w:hAnsi="Calibri" w:cs="Calibri"/>
          <w:sz w:val="24"/>
          <w:szCs w:val="24"/>
        </w:rPr>
        <w:t>Furthermore, the findings extend the JD-R framework by illustrating how systemic and policy-level pressures indirectly shape the balance between demands and resources. For example, curriculum reform and accountability measures may increase workload expectations</w:t>
      </w:r>
      <w:r w:rsidR="005D5207">
        <w:rPr>
          <w:rFonts w:ascii="Calibri" w:hAnsi="Calibri" w:cs="Calibri"/>
          <w:sz w:val="24"/>
          <w:szCs w:val="24"/>
        </w:rPr>
        <w:t xml:space="preserve">, </w:t>
      </w:r>
      <w:r w:rsidR="00CD50DE">
        <w:rPr>
          <w:rFonts w:ascii="Calibri" w:hAnsi="Calibri" w:cs="Calibri"/>
          <w:sz w:val="24"/>
          <w:szCs w:val="24"/>
        </w:rPr>
        <w:t xml:space="preserve">or </w:t>
      </w:r>
      <w:r w:rsidRPr="00442C71">
        <w:rPr>
          <w:rFonts w:ascii="Calibri" w:hAnsi="Calibri" w:cs="Calibri"/>
          <w:sz w:val="24"/>
          <w:szCs w:val="24"/>
        </w:rPr>
        <w:t>demands</w:t>
      </w:r>
      <w:r w:rsidR="00CD50DE">
        <w:rPr>
          <w:rFonts w:ascii="Calibri" w:hAnsi="Calibri" w:cs="Calibri"/>
          <w:sz w:val="24"/>
          <w:szCs w:val="24"/>
        </w:rPr>
        <w:t>,</w:t>
      </w:r>
      <w:r w:rsidRPr="00442C71">
        <w:rPr>
          <w:rFonts w:ascii="Calibri" w:hAnsi="Calibri" w:cs="Calibri"/>
          <w:sz w:val="24"/>
          <w:szCs w:val="24"/>
        </w:rPr>
        <w:t xml:space="preserve"> while simultaneously influencing the capacity of schools to provide adequate </w:t>
      </w:r>
      <w:r w:rsidR="00CD50DE">
        <w:rPr>
          <w:rFonts w:ascii="Calibri" w:hAnsi="Calibri" w:cs="Calibri"/>
          <w:sz w:val="24"/>
          <w:szCs w:val="24"/>
        </w:rPr>
        <w:t xml:space="preserve">support, </w:t>
      </w:r>
      <w:r w:rsidRPr="00442C71">
        <w:rPr>
          <w:rFonts w:ascii="Calibri" w:hAnsi="Calibri" w:cs="Calibri"/>
          <w:sz w:val="24"/>
          <w:szCs w:val="24"/>
        </w:rPr>
        <w:t>resources. This highlights the importance of considering not only immediate organisational factors but also the broader policy environment in which they are situated.</w:t>
      </w:r>
    </w:p>
    <w:p w14:paraId="6705FD9B" w14:textId="1B9FB087" w:rsidR="00442C71" w:rsidRPr="00FB3DCE" w:rsidRDefault="00442C71" w:rsidP="00FB3DCE">
      <w:pPr>
        <w:spacing w:line="360" w:lineRule="auto"/>
        <w:rPr>
          <w:rFonts w:ascii="Calibri" w:hAnsi="Calibri" w:cs="Calibri"/>
          <w:sz w:val="24"/>
          <w:szCs w:val="24"/>
        </w:rPr>
      </w:pPr>
      <w:r w:rsidRPr="00442C71">
        <w:rPr>
          <w:rFonts w:ascii="Calibri" w:hAnsi="Calibri" w:cs="Calibri"/>
          <w:sz w:val="24"/>
          <w:szCs w:val="24"/>
        </w:rPr>
        <w:lastRenderedPageBreak/>
        <w:t>Taken together, the application of these theoretical frameworks reinforces the argument that burnout among NQTs is best understood as a multi-dimensional and contextually mediated phenomenon. While the MBI provides a useful foundation for identifying the psychological dimensions of burnout, the JD-R model offers a more robust explanatory framework for understanding how these experiences emerge through the interaction of individual, organisational, and systemic factors. Integrating these perspectives enables a more holistic interpretation of the findings and strengthens the conceptual coherence of the study.</w:t>
      </w:r>
    </w:p>
    <w:p w14:paraId="3C602752" w14:textId="41B90396" w:rsidR="00FB3DCE" w:rsidRPr="00750F24" w:rsidRDefault="00FB3DCE" w:rsidP="001A103D">
      <w:pPr>
        <w:pStyle w:val="Heading3"/>
      </w:pPr>
      <w:bookmarkStart w:id="58" w:name="_Toc228136351"/>
      <w:r w:rsidRPr="00750F24">
        <w:t>5.</w:t>
      </w:r>
      <w:r w:rsidR="00442C71" w:rsidRPr="00750F24">
        <w:t>6</w:t>
      </w:r>
      <w:r w:rsidRPr="00750F24">
        <w:t xml:space="preserve"> Implications</w:t>
      </w:r>
      <w:bookmarkEnd w:id="58"/>
    </w:p>
    <w:p w14:paraId="4FD142B7" w14:textId="77777777" w:rsidR="00FB3DCE" w:rsidRPr="00FB3DCE" w:rsidRDefault="00FB3DCE" w:rsidP="00FB3DCE">
      <w:pPr>
        <w:spacing w:line="360" w:lineRule="auto"/>
        <w:rPr>
          <w:rFonts w:ascii="Calibri" w:hAnsi="Calibri" w:cs="Calibri"/>
          <w:sz w:val="24"/>
          <w:szCs w:val="24"/>
        </w:rPr>
      </w:pPr>
      <w:r w:rsidRPr="00FB3DCE">
        <w:rPr>
          <w:rFonts w:ascii="Calibri" w:hAnsi="Calibri" w:cs="Calibri"/>
          <w:sz w:val="24"/>
          <w:szCs w:val="24"/>
        </w:rPr>
        <w:t>The findings of this study have important implications for policy, practice, and future research. Collectively, they highlight the need for a multi-level approach to addressing burnout, in which individual, organisational, and systemic factors are considered in an integrated manner.</w:t>
      </w:r>
    </w:p>
    <w:p w14:paraId="29F93CB9" w14:textId="77777777" w:rsidR="00FB3DCE" w:rsidRPr="00FB3DCE" w:rsidRDefault="00FB3DCE" w:rsidP="00FB3DCE">
      <w:pPr>
        <w:spacing w:line="360" w:lineRule="auto"/>
        <w:rPr>
          <w:rFonts w:ascii="Calibri" w:hAnsi="Calibri" w:cs="Calibri"/>
          <w:sz w:val="24"/>
          <w:szCs w:val="24"/>
        </w:rPr>
      </w:pPr>
      <w:r w:rsidRPr="00FB3DCE">
        <w:rPr>
          <w:rFonts w:ascii="Calibri" w:hAnsi="Calibri" w:cs="Calibri"/>
          <w:sz w:val="24"/>
          <w:szCs w:val="24"/>
        </w:rPr>
        <w:t xml:space="preserve">At the policy level, the findings suggest that greater attention should be given to the implementation of reforms, rather than solely their design. Policymakers should consider how expectations relating to autonomy, workload, and professional standards are experienced in practice, particularly by early-career teachers. </w:t>
      </w:r>
      <w:proofErr w:type="gramStart"/>
      <w:r w:rsidRPr="00FB3DCE">
        <w:rPr>
          <w:rFonts w:ascii="Calibri" w:hAnsi="Calibri" w:cs="Calibri"/>
          <w:sz w:val="24"/>
          <w:szCs w:val="24"/>
        </w:rPr>
        <w:t>Structured guidance,</w:t>
      </w:r>
      <w:proofErr w:type="gramEnd"/>
      <w:r w:rsidRPr="00FB3DCE">
        <w:rPr>
          <w:rFonts w:ascii="Calibri" w:hAnsi="Calibri" w:cs="Calibri"/>
          <w:sz w:val="24"/>
          <w:szCs w:val="24"/>
        </w:rPr>
        <w:t xml:space="preserve"> protected mentoring time, and clearer expectations may support more consistent enactment of policy.</w:t>
      </w:r>
    </w:p>
    <w:p w14:paraId="599B61AB" w14:textId="77777777" w:rsidR="00FB3DCE" w:rsidRPr="00FB3DCE" w:rsidRDefault="00FB3DCE" w:rsidP="00FB3DCE">
      <w:pPr>
        <w:spacing w:line="360" w:lineRule="auto"/>
        <w:rPr>
          <w:rFonts w:ascii="Calibri" w:hAnsi="Calibri" w:cs="Calibri"/>
          <w:sz w:val="24"/>
          <w:szCs w:val="24"/>
        </w:rPr>
      </w:pPr>
      <w:r w:rsidRPr="00FB3DCE">
        <w:rPr>
          <w:rFonts w:ascii="Calibri" w:hAnsi="Calibri" w:cs="Calibri"/>
          <w:sz w:val="24"/>
          <w:szCs w:val="24"/>
        </w:rPr>
        <w:t>At the organisational level, the findings emphasise the importance of supportive school cultures, effective leadership, and high-quality mentoring. Schools play a critical role in mediating systemic pressures and shaping the day-to-day experiences of NQTs. As such, organisational strategies that prioritise collaboration, wellbeing, and professional development are essential in mitigating burnout.</w:t>
      </w:r>
    </w:p>
    <w:p w14:paraId="1F928379" w14:textId="48E61042" w:rsidR="00FB3DCE" w:rsidRPr="00FB3DCE" w:rsidRDefault="00FB3DCE" w:rsidP="00FB3DCE">
      <w:pPr>
        <w:spacing w:line="360" w:lineRule="auto"/>
        <w:rPr>
          <w:rFonts w:ascii="Calibri" w:hAnsi="Calibri" w:cs="Calibri"/>
          <w:sz w:val="24"/>
          <w:szCs w:val="24"/>
        </w:rPr>
      </w:pPr>
      <w:r w:rsidRPr="00FB3DCE">
        <w:rPr>
          <w:rFonts w:ascii="Calibri" w:hAnsi="Calibri" w:cs="Calibri"/>
          <w:sz w:val="24"/>
          <w:szCs w:val="24"/>
        </w:rPr>
        <w:t>In terms of research, the study highlights the need for further investigation into the interaction between individual, organisational, and systemic factors within the Welsh context. Longitudinal research would be particularly valuable in examining how early-career experiences influence long-term professional trajectories and retention.</w:t>
      </w:r>
    </w:p>
    <w:p w14:paraId="52CA6DEE" w14:textId="2642D223" w:rsidR="00FB3DCE" w:rsidRPr="00750F24" w:rsidRDefault="00FB3DCE" w:rsidP="001A103D">
      <w:pPr>
        <w:pStyle w:val="Heading3"/>
      </w:pPr>
      <w:bookmarkStart w:id="59" w:name="_Toc228136352"/>
      <w:r w:rsidRPr="00750F24">
        <w:lastRenderedPageBreak/>
        <w:t>5.</w:t>
      </w:r>
      <w:r w:rsidR="00442C71" w:rsidRPr="00750F24">
        <w:t>7</w:t>
      </w:r>
      <w:r w:rsidRPr="00750F24">
        <w:t xml:space="preserve"> Limitations</w:t>
      </w:r>
      <w:bookmarkEnd w:id="59"/>
    </w:p>
    <w:p w14:paraId="3AE82D69" w14:textId="77777777" w:rsidR="00FB3DCE" w:rsidRPr="00FB3DCE" w:rsidRDefault="00FB3DCE" w:rsidP="00FB3DCE">
      <w:pPr>
        <w:spacing w:line="360" w:lineRule="auto"/>
        <w:rPr>
          <w:rFonts w:ascii="Calibri" w:hAnsi="Calibri" w:cs="Calibri"/>
          <w:sz w:val="24"/>
          <w:szCs w:val="24"/>
        </w:rPr>
      </w:pPr>
      <w:r w:rsidRPr="00FB3DCE">
        <w:rPr>
          <w:rFonts w:ascii="Calibri" w:hAnsi="Calibri" w:cs="Calibri"/>
          <w:sz w:val="24"/>
          <w:szCs w:val="24"/>
        </w:rPr>
        <w:t>Several limitations should be acknowledged. As a study based on secondary research, the findings are constrained by the scope and quality of the existing literature. The limited availability of research specifically focused on NQTs in Wales necessitated the inclusion of studies from other contexts, which may reduce the direct applicability of findings.</w:t>
      </w:r>
    </w:p>
    <w:p w14:paraId="7822E8D6" w14:textId="77777777" w:rsidR="00FB3DCE" w:rsidRPr="00FB3DCE" w:rsidRDefault="00FB3DCE" w:rsidP="00FB3DCE">
      <w:pPr>
        <w:spacing w:line="360" w:lineRule="auto"/>
        <w:rPr>
          <w:rFonts w:ascii="Calibri" w:hAnsi="Calibri" w:cs="Calibri"/>
          <w:sz w:val="24"/>
          <w:szCs w:val="24"/>
        </w:rPr>
      </w:pPr>
      <w:r w:rsidRPr="00FB3DCE">
        <w:rPr>
          <w:rFonts w:ascii="Calibri" w:hAnsi="Calibri" w:cs="Calibri"/>
          <w:sz w:val="24"/>
          <w:szCs w:val="24"/>
        </w:rPr>
        <w:t>Additionally, the variability in methodological approaches across the literature may affect the reliability and generalisability of the findings. The interpretive nature of the analysis also introduces an inherent degree of subjectivity, as conclusions are shaped by both the synthesis process and the framing of the original studies.</w:t>
      </w:r>
    </w:p>
    <w:p w14:paraId="5B2851B3" w14:textId="152BE3E7" w:rsidR="00FB3DCE" w:rsidRPr="00FB3DCE" w:rsidRDefault="00FB3DCE" w:rsidP="00FB3DCE">
      <w:pPr>
        <w:spacing w:line="360" w:lineRule="auto"/>
        <w:rPr>
          <w:rFonts w:ascii="Calibri" w:hAnsi="Calibri" w:cs="Calibri"/>
          <w:sz w:val="24"/>
          <w:szCs w:val="24"/>
        </w:rPr>
      </w:pPr>
      <w:r w:rsidRPr="00FB3DCE">
        <w:rPr>
          <w:rFonts w:ascii="Calibri" w:hAnsi="Calibri" w:cs="Calibri"/>
          <w:sz w:val="24"/>
          <w:szCs w:val="24"/>
        </w:rPr>
        <w:t>Finally, some of the literature predates recent policy developments, such as the Curriculum for Wales, limiting the extent to which findings reflect the current educational landscape. As the curriculum is still in the early stages of implementation, its long-term impact on teacher wellbeing remains uncertain.</w:t>
      </w:r>
    </w:p>
    <w:p w14:paraId="34D315F9" w14:textId="77777777" w:rsidR="00FB3DCE" w:rsidRPr="00750F24" w:rsidRDefault="00FB3DCE" w:rsidP="001A103D">
      <w:pPr>
        <w:pStyle w:val="Heading3"/>
      </w:pPr>
      <w:bookmarkStart w:id="60" w:name="_Toc228136353"/>
      <w:r w:rsidRPr="00750F24">
        <w:t>5.7 Conclusion</w:t>
      </w:r>
      <w:bookmarkEnd w:id="60"/>
    </w:p>
    <w:p w14:paraId="20FEB20C" w14:textId="77777777" w:rsidR="00FB3DCE" w:rsidRPr="00FB3DCE" w:rsidRDefault="00FB3DCE" w:rsidP="00FB3DCE">
      <w:pPr>
        <w:spacing w:line="360" w:lineRule="auto"/>
        <w:rPr>
          <w:rFonts w:ascii="Calibri" w:hAnsi="Calibri" w:cs="Calibri"/>
          <w:sz w:val="24"/>
          <w:szCs w:val="24"/>
        </w:rPr>
      </w:pPr>
      <w:r w:rsidRPr="00FB3DCE">
        <w:rPr>
          <w:rFonts w:ascii="Calibri" w:hAnsi="Calibri" w:cs="Calibri"/>
          <w:sz w:val="24"/>
          <w:szCs w:val="24"/>
        </w:rPr>
        <w:t>This chapter has critically examined the findings of the study in relation to existing literature, highlighting the complex and interconnected factors contributing to burnout among NQTs in Wales. The discussion demonstrates that burnout emerges from the interaction of individual, organisational, and systemic influences, rather than from any single factor in isolation.</w:t>
      </w:r>
    </w:p>
    <w:p w14:paraId="66013FDD" w14:textId="77777777" w:rsidR="00FB3DCE" w:rsidRPr="00FB3DCE" w:rsidRDefault="00FB3DCE" w:rsidP="00FB3DCE">
      <w:pPr>
        <w:spacing w:line="360" w:lineRule="auto"/>
        <w:rPr>
          <w:rFonts w:ascii="Calibri" w:hAnsi="Calibri" w:cs="Calibri"/>
          <w:sz w:val="24"/>
          <w:szCs w:val="24"/>
        </w:rPr>
      </w:pPr>
      <w:r w:rsidRPr="00FB3DCE">
        <w:rPr>
          <w:rFonts w:ascii="Calibri" w:hAnsi="Calibri" w:cs="Calibri"/>
          <w:sz w:val="24"/>
          <w:szCs w:val="24"/>
        </w:rPr>
        <w:t>Key themes include the central role of emotional demands, the importance of self-efficacy, the impact of workload and school culture, and the influence of policy expectations. The findings also emphasise the significance of the policy–practice gap, illustrating the challenges associated with translating policy intentions into meaningful support at the school level.</w:t>
      </w:r>
    </w:p>
    <w:p w14:paraId="58FBE264" w14:textId="77777777" w:rsidR="00FB3DCE" w:rsidRDefault="00FB3DCE" w:rsidP="00FB3DCE">
      <w:pPr>
        <w:spacing w:line="360" w:lineRule="auto"/>
        <w:rPr>
          <w:rFonts w:ascii="Calibri" w:hAnsi="Calibri" w:cs="Calibri"/>
          <w:sz w:val="24"/>
          <w:szCs w:val="24"/>
        </w:rPr>
      </w:pPr>
      <w:r w:rsidRPr="00FB3DCE">
        <w:rPr>
          <w:rFonts w:ascii="Calibri" w:hAnsi="Calibri" w:cs="Calibri"/>
          <w:sz w:val="24"/>
          <w:szCs w:val="24"/>
        </w:rPr>
        <w:t>Overall, the chapter underscores the need for a holistic and integrated approach to addressing burnout, in which policy, organisational practice, and individual support mechanisms are aligned. In doing so, it provides a critical foundation for the recommendations that follow and contributes to a deeper understanding of early-career teacher experiences within the Welsh education system.</w:t>
      </w:r>
    </w:p>
    <w:p w14:paraId="3A840326" w14:textId="77777777" w:rsidR="002922FD" w:rsidRPr="00750F24" w:rsidRDefault="002922FD" w:rsidP="00750F24">
      <w:pPr>
        <w:pStyle w:val="Heading2"/>
        <w:rPr>
          <w:rFonts w:ascii="Calibri" w:hAnsi="Calibri" w:cs="Calibri"/>
        </w:rPr>
      </w:pPr>
      <w:bookmarkStart w:id="61" w:name="_Toc228132090"/>
      <w:bookmarkStart w:id="62" w:name="_Toc228132125"/>
      <w:bookmarkStart w:id="63" w:name="_Toc228132257"/>
      <w:bookmarkStart w:id="64" w:name="_Toc228136354"/>
      <w:r w:rsidRPr="00750F24">
        <w:rPr>
          <w:rFonts w:ascii="Calibri" w:hAnsi="Calibri" w:cs="Calibri"/>
        </w:rPr>
        <w:lastRenderedPageBreak/>
        <w:t>Chapter 6: Recommendations</w:t>
      </w:r>
      <w:bookmarkEnd w:id="61"/>
      <w:bookmarkEnd w:id="62"/>
      <w:bookmarkEnd w:id="63"/>
      <w:bookmarkEnd w:id="64"/>
    </w:p>
    <w:p w14:paraId="44467685" w14:textId="51929E80" w:rsidR="002922FD" w:rsidRPr="00FB3DCE" w:rsidRDefault="002922FD" w:rsidP="00FB3DCE">
      <w:pPr>
        <w:spacing w:line="360" w:lineRule="auto"/>
        <w:rPr>
          <w:rFonts w:ascii="Calibri" w:hAnsi="Calibri" w:cs="Calibri"/>
          <w:sz w:val="24"/>
          <w:szCs w:val="24"/>
        </w:rPr>
      </w:pPr>
      <w:r w:rsidRPr="002922FD">
        <w:rPr>
          <w:rFonts w:ascii="Calibri" w:hAnsi="Calibri" w:cs="Calibri"/>
          <w:sz w:val="24"/>
          <w:szCs w:val="24"/>
        </w:rPr>
        <w:t>This chapter presents a set of recommendations derived from the findings and discussion of this study. These recommendations are intended to support newly qualified teachers (NQTs) in Wales, enhance teacher wellbeing, and contribute to the long-term sustainability and retention of the teaching workforce. In recognition of the multi-layered nature of burnout identified throughout the dissertation, the recommendations are structured across three interconnected levels: policy, organisational practice, and individual practice.</w:t>
      </w:r>
    </w:p>
    <w:p w14:paraId="58F4184A" w14:textId="77777777" w:rsidR="0057361E" w:rsidRPr="00750F24" w:rsidRDefault="0057361E" w:rsidP="001A103D">
      <w:pPr>
        <w:pStyle w:val="Heading3"/>
      </w:pPr>
      <w:bookmarkStart w:id="65" w:name="_Toc228136355"/>
      <w:r w:rsidRPr="00750F24">
        <w:t>6.1 Policy Recommendations</w:t>
      </w:r>
      <w:bookmarkEnd w:id="65"/>
    </w:p>
    <w:p w14:paraId="2754A5BA" w14:textId="5458989D" w:rsidR="0057361E" w:rsidRPr="002922FD" w:rsidRDefault="0057361E" w:rsidP="002922FD">
      <w:pPr>
        <w:pStyle w:val="ListParagraph"/>
        <w:numPr>
          <w:ilvl w:val="0"/>
          <w:numId w:val="29"/>
        </w:numPr>
        <w:spacing w:line="360" w:lineRule="auto"/>
        <w:rPr>
          <w:rFonts w:ascii="Calibri" w:hAnsi="Calibri" w:cs="Calibri"/>
          <w:sz w:val="24"/>
          <w:szCs w:val="24"/>
        </w:rPr>
      </w:pPr>
      <w:r w:rsidRPr="002922FD">
        <w:rPr>
          <w:rFonts w:ascii="Calibri" w:hAnsi="Calibri" w:cs="Calibri"/>
          <w:b/>
          <w:bCs/>
          <w:i/>
          <w:iCs/>
          <w:sz w:val="24"/>
          <w:szCs w:val="24"/>
        </w:rPr>
        <w:t>Enhanced Implementation Guidance for the Curriculum for Wales</w:t>
      </w:r>
      <w:r w:rsidRPr="002922FD">
        <w:rPr>
          <w:rFonts w:ascii="Calibri" w:hAnsi="Calibri" w:cs="Calibri"/>
          <w:sz w:val="24"/>
          <w:szCs w:val="24"/>
        </w:rPr>
        <w:br/>
        <w:t>While the Curriculum for Wales promotes increased autonomy and flexibility, the findings of this study suggest that early-career teachers may experience uncertainty in relation to its practical enactment. This ambiguity has the potential to contribute to increased workload and reduced professional confidence. It is therefore recommended that policymakers provide clearer, practice-oriented guidance to support implementation at the school level. This may include the development of structured yet flexible frameworks for planning and assessment, alongside exemplification materials and pedagogical guidance specifically tailored to the needs of NQTs. Such support may enable a more balanced approach between professional autonomy and manageable expectations.</w:t>
      </w:r>
    </w:p>
    <w:p w14:paraId="7566980D" w14:textId="27170FFD" w:rsidR="0057361E" w:rsidRPr="002922FD" w:rsidRDefault="0057361E" w:rsidP="002922FD">
      <w:pPr>
        <w:pStyle w:val="ListParagraph"/>
        <w:numPr>
          <w:ilvl w:val="0"/>
          <w:numId w:val="29"/>
        </w:numPr>
        <w:spacing w:line="360" w:lineRule="auto"/>
        <w:rPr>
          <w:rFonts w:ascii="Calibri" w:hAnsi="Calibri" w:cs="Calibri"/>
          <w:sz w:val="24"/>
          <w:szCs w:val="24"/>
        </w:rPr>
      </w:pPr>
      <w:r w:rsidRPr="002922FD">
        <w:rPr>
          <w:rFonts w:ascii="Calibri" w:hAnsi="Calibri" w:cs="Calibri"/>
          <w:b/>
          <w:bCs/>
          <w:i/>
          <w:iCs/>
          <w:sz w:val="24"/>
          <w:szCs w:val="24"/>
        </w:rPr>
        <w:t>Strengthening Induction and Mentoring Policies</w:t>
      </w:r>
      <w:r w:rsidRPr="002922FD">
        <w:rPr>
          <w:rFonts w:ascii="Calibri" w:hAnsi="Calibri" w:cs="Calibri"/>
          <w:sz w:val="24"/>
          <w:szCs w:val="24"/>
        </w:rPr>
        <w:br/>
        <w:t>The findings highlight the central role of induction and mentoring in shaping NQT experiences; however, variability in provision remains a significant concern. It is recommended that national policy frameworks place greater emphasis on the consistency and quality of mentoring provision. This could involve mandating protected time for mentoring activities, structured opportunities for reflection, and clearly defined expectations regarding mentor roles. Additionally, the development of cross-school or regional peer mentoring networks may further support knowledge exchange, reduce professional isolation, and promote collaborative learning among early-career teachers.</w:t>
      </w:r>
    </w:p>
    <w:p w14:paraId="7733872D" w14:textId="12D490ED" w:rsidR="0057361E" w:rsidRPr="002A5558" w:rsidRDefault="0057361E" w:rsidP="0057361E">
      <w:pPr>
        <w:pStyle w:val="ListParagraph"/>
        <w:numPr>
          <w:ilvl w:val="0"/>
          <w:numId w:val="29"/>
        </w:numPr>
        <w:spacing w:line="360" w:lineRule="auto"/>
        <w:rPr>
          <w:rFonts w:ascii="Calibri" w:hAnsi="Calibri" w:cs="Calibri"/>
          <w:sz w:val="24"/>
          <w:szCs w:val="24"/>
        </w:rPr>
      </w:pPr>
      <w:r w:rsidRPr="002922FD">
        <w:rPr>
          <w:rFonts w:ascii="Calibri" w:hAnsi="Calibri" w:cs="Calibri"/>
          <w:b/>
          <w:bCs/>
          <w:i/>
          <w:iCs/>
          <w:sz w:val="24"/>
          <w:szCs w:val="24"/>
        </w:rPr>
        <w:t>Monitoring Workload and Wellbeing Metrics</w:t>
      </w:r>
      <w:r w:rsidRPr="002922FD">
        <w:rPr>
          <w:rFonts w:ascii="Calibri" w:hAnsi="Calibri" w:cs="Calibri"/>
          <w:sz w:val="24"/>
          <w:szCs w:val="24"/>
        </w:rPr>
        <w:br/>
        <w:t xml:space="preserve">Given the prominence of workload and wellbeing within the findings, a more </w:t>
      </w:r>
      <w:r w:rsidRPr="002922FD">
        <w:rPr>
          <w:rFonts w:ascii="Calibri" w:hAnsi="Calibri" w:cs="Calibri"/>
          <w:sz w:val="24"/>
          <w:szCs w:val="24"/>
        </w:rPr>
        <w:lastRenderedPageBreak/>
        <w:t>systematic approach to monitoring these factors is warranted. Policymakers may consider implementing regular data collection mechanisms, such as wellbeing surveys, workload audits, and structured feedback processes, to capture the lived experiences of NQTs. Such data could inform more responsive and targeted policy interventions, ensuring that reforms are evaluated not only in terms of intended outcomes but also in relation to their practical impact on teacher wellbeing.</w:t>
      </w:r>
    </w:p>
    <w:p w14:paraId="0ED5B5EC" w14:textId="77777777" w:rsidR="0057361E" w:rsidRPr="00750F24" w:rsidRDefault="0057361E" w:rsidP="001A103D">
      <w:pPr>
        <w:pStyle w:val="Heading3"/>
      </w:pPr>
      <w:bookmarkStart w:id="66" w:name="_Toc228136356"/>
      <w:r w:rsidRPr="00750F24">
        <w:t>6.2 Organisational Recommendations</w:t>
      </w:r>
      <w:bookmarkEnd w:id="66"/>
    </w:p>
    <w:p w14:paraId="37B0D9DB" w14:textId="0C059E02" w:rsidR="0057361E" w:rsidRPr="002A5558" w:rsidRDefault="0057361E" w:rsidP="002A5558">
      <w:pPr>
        <w:pStyle w:val="ListParagraph"/>
        <w:numPr>
          <w:ilvl w:val="0"/>
          <w:numId w:val="31"/>
        </w:numPr>
        <w:spacing w:line="360" w:lineRule="auto"/>
        <w:rPr>
          <w:rFonts w:ascii="Calibri" w:hAnsi="Calibri" w:cs="Calibri"/>
          <w:sz w:val="24"/>
          <w:szCs w:val="24"/>
        </w:rPr>
      </w:pPr>
      <w:r w:rsidRPr="002A5558">
        <w:rPr>
          <w:rFonts w:ascii="Calibri" w:hAnsi="Calibri" w:cs="Calibri"/>
          <w:b/>
          <w:bCs/>
          <w:i/>
          <w:iCs/>
          <w:sz w:val="24"/>
          <w:szCs w:val="24"/>
        </w:rPr>
        <w:t>Cultivating Supportive School Cultures</w:t>
      </w:r>
      <w:r w:rsidRPr="002A5558">
        <w:rPr>
          <w:rFonts w:ascii="Calibri" w:hAnsi="Calibri" w:cs="Calibri"/>
          <w:i/>
          <w:iCs/>
          <w:sz w:val="24"/>
          <w:szCs w:val="24"/>
        </w:rPr>
        <w:br/>
      </w:r>
      <w:r w:rsidRPr="002A5558">
        <w:rPr>
          <w:rFonts w:ascii="Calibri" w:hAnsi="Calibri" w:cs="Calibri"/>
          <w:sz w:val="24"/>
          <w:szCs w:val="24"/>
        </w:rPr>
        <w:t>The findings emphasise the importance of supportive and collaborative school environments in mitigating burnout. Schools should therefore prioritise the development of cultures characterised by open communication, shared practice, and professional trust. This may involve structured opportunities for collaboration, such as joint planning sessions, peer observations, and regular team meetings. Recognition of professional contributions and the creation of psychologically safe spaces for discussion may further support NQTs in developing confidence and resilience.</w:t>
      </w:r>
    </w:p>
    <w:p w14:paraId="16A2661A" w14:textId="5E862BF1" w:rsidR="0057361E" w:rsidRPr="002A5558" w:rsidRDefault="0057361E" w:rsidP="002A5558">
      <w:pPr>
        <w:pStyle w:val="ListParagraph"/>
        <w:numPr>
          <w:ilvl w:val="0"/>
          <w:numId w:val="31"/>
        </w:numPr>
        <w:spacing w:line="360" w:lineRule="auto"/>
        <w:rPr>
          <w:rFonts w:ascii="Calibri" w:hAnsi="Calibri" w:cs="Calibri"/>
          <w:sz w:val="24"/>
          <w:szCs w:val="24"/>
        </w:rPr>
      </w:pPr>
      <w:r w:rsidRPr="002A5558">
        <w:rPr>
          <w:rFonts w:ascii="Calibri" w:hAnsi="Calibri" w:cs="Calibri"/>
          <w:b/>
          <w:bCs/>
          <w:i/>
          <w:iCs/>
          <w:sz w:val="24"/>
          <w:szCs w:val="24"/>
        </w:rPr>
        <w:t>Effective Leadership Practices</w:t>
      </w:r>
      <w:r w:rsidRPr="002A5558">
        <w:rPr>
          <w:rFonts w:ascii="Calibri" w:hAnsi="Calibri" w:cs="Calibri"/>
          <w:sz w:val="24"/>
          <w:szCs w:val="24"/>
        </w:rPr>
        <w:br/>
        <w:t>Leadership emerged as a critical factor in shaping NQT experiences. School leaders play a key role in mediating both organisational and systemic pressures, and as such, their practices have significant implications for teacher wellbeing. Effective leadership may involve providing clear and consistent expectations while maintaining a degree of professional autonomy, offering visible and accessible support, and proactively monitoring workload distribution. Importantly, leadership approaches that prioritise relational trust and professional development, rather than solely performance outcomes, may contribute to more sustainable working environments for early-career teachers.</w:t>
      </w:r>
    </w:p>
    <w:p w14:paraId="2BC57B57" w14:textId="5BFA1A99" w:rsidR="0057361E" w:rsidRPr="00B50965" w:rsidRDefault="0057361E" w:rsidP="0057361E">
      <w:pPr>
        <w:pStyle w:val="ListParagraph"/>
        <w:numPr>
          <w:ilvl w:val="0"/>
          <w:numId w:val="31"/>
        </w:numPr>
        <w:spacing w:line="360" w:lineRule="auto"/>
        <w:rPr>
          <w:rFonts w:ascii="Calibri" w:hAnsi="Calibri" w:cs="Calibri"/>
          <w:sz w:val="24"/>
          <w:szCs w:val="24"/>
        </w:rPr>
      </w:pPr>
      <w:r w:rsidRPr="00B50965">
        <w:rPr>
          <w:rFonts w:ascii="Calibri" w:hAnsi="Calibri" w:cs="Calibri"/>
          <w:b/>
          <w:bCs/>
          <w:i/>
          <w:iCs/>
          <w:sz w:val="24"/>
          <w:szCs w:val="24"/>
        </w:rPr>
        <w:t>Tailored Mentoring and Professional Development</w:t>
      </w:r>
      <w:r w:rsidRPr="00B50965">
        <w:rPr>
          <w:rFonts w:ascii="Calibri" w:hAnsi="Calibri" w:cs="Calibri"/>
          <w:sz w:val="24"/>
          <w:szCs w:val="24"/>
        </w:rPr>
        <w:br/>
        <w:t xml:space="preserve">In line with the findings, mentoring provision should be responsive to the individual needs of NQTs rather than uniformly applied. Mentors should be supported through appropriate training to provide both pedagogical guidance and emotional support. Furthermore, professional development opportunities should be carefully structured </w:t>
      </w:r>
      <w:r w:rsidRPr="00B50965">
        <w:rPr>
          <w:rFonts w:ascii="Calibri" w:hAnsi="Calibri" w:cs="Calibri"/>
          <w:sz w:val="24"/>
          <w:szCs w:val="24"/>
        </w:rPr>
        <w:lastRenderedPageBreak/>
        <w:t>to ensure relevance, accessibility, and appropriate pacing, thereby avoiding overload while supporting the development of self-efficacy and professional competence.</w:t>
      </w:r>
    </w:p>
    <w:p w14:paraId="52197692" w14:textId="77777777" w:rsidR="0057361E" w:rsidRPr="00750F24" w:rsidRDefault="0057361E" w:rsidP="001A103D">
      <w:pPr>
        <w:pStyle w:val="Heading3"/>
      </w:pPr>
      <w:bookmarkStart w:id="67" w:name="_Toc228136357"/>
      <w:r w:rsidRPr="00750F24">
        <w:t>6.3 Individual-Level Recommendations</w:t>
      </w:r>
      <w:bookmarkEnd w:id="67"/>
    </w:p>
    <w:p w14:paraId="35E6A132" w14:textId="63EF0E34" w:rsidR="0057361E" w:rsidRPr="00B561F2" w:rsidRDefault="0057361E" w:rsidP="00B561F2">
      <w:pPr>
        <w:pStyle w:val="ListParagraph"/>
        <w:numPr>
          <w:ilvl w:val="0"/>
          <w:numId w:val="33"/>
        </w:numPr>
        <w:spacing w:line="360" w:lineRule="auto"/>
        <w:rPr>
          <w:rFonts w:ascii="Calibri" w:hAnsi="Calibri" w:cs="Calibri"/>
          <w:sz w:val="24"/>
          <w:szCs w:val="24"/>
        </w:rPr>
      </w:pPr>
      <w:r w:rsidRPr="00B561F2">
        <w:rPr>
          <w:rFonts w:ascii="Calibri" w:hAnsi="Calibri" w:cs="Calibri"/>
          <w:b/>
          <w:bCs/>
          <w:i/>
          <w:iCs/>
          <w:sz w:val="24"/>
          <w:szCs w:val="24"/>
        </w:rPr>
        <w:t>Developing Personal Coping Strategies</w:t>
      </w:r>
      <w:r w:rsidRPr="00B561F2">
        <w:rPr>
          <w:rFonts w:ascii="Calibri" w:hAnsi="Calibri" w:cs="Calibri"/>
          <w:sz w:val="24"/>
          <w:szCs w:val="24"/>
        </w:rPr>
        <w:br/>
        <w:t>While this study highlights the significant influence of organisational and systemic factors, individual-level strategies may still play a supportive role in managing professional demands. NQTs may benefit from developing reflective practices, effective time management strategies, and realistic professional expectations. However, it is important that such approaches are positioned as complementary to, rather than substitutes for, organisational support. Schools and training providers may therefore consider offering structured opportunities to develop these skills within a supportive context.</w:t>
      </w:r>
    </w:p>
    <w:p w14:paraId="2C279C66" w14:textId="026D3CCA" w:rsidR="0057361E" w:rsidRPr="00B561F2" w:rsidRDefault="0057361E" w:rsidP="0057361E">
      <w:pPr>
        <w:pStyle w:val="ListParagraph"/>
        <w:numPr>
          <w:ilvl w:val="0"/>
          <w:numId w:val="33"/>
        </w:numPr>
        <w:spacing w:line="360" w:lineRule="auto"/>
        <w:rPr>
          <w:rFonts w:ascii="Calibri" w:hAnsi="Calibri" w:cs="Calibri"/>
          <w:sz w:val="24"/>
          <w:szCs w:val="24"/>
        </w:rPr>
      </w:pPr>
      <w:r w:rsidRPr="00B561F2">
        <w:rPr>
          <w:rFonts w:ascii="Calibri" w:hAnsi="Calibri" w:cs="Calibri"/>
          <w:b/>
          <w:bCs/>
          <w:i/>
          <w:iCs/>
          <w:sz w:val="24"/>
          <w:szCs w:val="24"/>
        </w:rPr>
        <w:t>Engaging in Professional Networks</w:t>
      </w:r>
      <w:r w:rsidRPr="00B561F2">
        <w:rPr>
          <w:rFonts w:ascii="Calibri" w:hAnsi="Calibri" w:cs="Calibri"/>
          <w:sz w:val="24"/>
          <w:szCs w:val="24"/>
        </w:rPr>
        <w:br/>
        <w:t>Engagement in professional networks, both within and beyond the school environment, may provide valuable sources of social and professional support. Opportunities to share experiences, discuss challenges, and exchange strategies with peers may help to reduce feelings of isolation and enhance professional confidence. Such networks may also contribute to the development of collective efficacy, supporting more collaborative approaches to problem-solving and professional learning.</w:t>
      </w:r>
    </w:p>
    <w:p w14:paraId="06A7C681" w14:textId="77777777" w:rsidR="0057361E" w:rsidRPr="00750F24" w:rsidRDefault="0057361E" w:rsidP="001A103D">
      <w:pPr>
        <w:pStyle w:val="Heading3"/>
      </w:pPr>
      <w:bookmarkStart w:id="68" w:name="_Toc228136358"/>
      <w:r w:rsidRPr="00750F24">
        <w:t>6.4 Recommendations for Future Research</w:t>
      </w:r>
      <w:bookmarkEnd w:id="68"/>
    </w:p>
    <w:p w14:paraId="6D770758" w14:textId="153F383A" w:rsidR="0057361E" w:rsidRPr="00B561F2" w:rsidRDefault="0057361E" w:rsidP="00B561F2">
      <w:pPr>
        <w:pStyle w:val="ListParagraph"/>
        <w:numPr>
          <w:ilvl w:val="0"/>
          <w:numId w:val="35"/>
        </w:numPr>
        <w:spacing w:line="360" w:lineRule="auto"/>
        <w:rPr>
          <w:rFonts w:ascii="Calibri" w:hAnsi="Calibri" w:cs="Calibri"/>
          <w:sz w:val="24"/>
          <w:szCs w:val="24"/>
        </w:rPr>
      </w:pPr>
      <w:r w:rsidRPr="00B561F2">
        <w:rPr>
          <w:rFonts w:ascii="Calibri" w:hAnsi="Calibri" w:cs="Calibri"/>
          <w:b/>
          <w:bCs/>
          <w:i/>
          <w:iCs/>
          <w:sz w:val="24"/>
          <w:szCs w:val="24"/>
        </w:rPr>
        <w:t>Longitudinal Studies</w:t>
      </w:r>
      <w:r w:rsidRPr="00B561F2">
        <w:rPr>
          <w:rFonts w:ascii="Calibri" w:hAnsi="Calibri" w:cs="Calibri"/>
          <w:sz w:val="24"/>
          <w:szCs w:val="24"/>
        </w:rPr>
        <w:br/>
        <w:t>Future research would benefit from longitudinal approaches that track NQTs over time, enabling a deeper understanding of how burnout develops and evolves across the early stages of a teaching career. Such research could provide valuable insight into the long-term impact of policy reforms, including the Curriculum for Wales, on teacher wellbeing and retention.</w:t>
      </w:r>
    </w:p>
    <w:p w14:paraId="0A61BBED" w14:textId="477847B2" w:rsidR="0057361E" w:rsidRPr="00B561F2" w:rsidRDefault="0057361E" w:rsidP="00B561F2">
      <w:pPr>
        <w:pStyle w:val="ListParagraph"/>
        <w:numPr>
          <w:ilvl w:val="0"/>
          <w:numId w:val="35"/>
        </w:numPr>
        <w:spacing w:line="360" w:lineRule="auto"/>
        <w:rPr>
          <w:rFonts w:ascii="Calibri" w:hAnsi="Calibri" w:cs="Calibri"/>
          <w:sz w:val="24"/>
          <w:szCs w:val="24"/>
        </w:rPr>
      </w:pPr>
      <w:r w:rsidRPr="00B561F2">
        <w:rPr>
          <w:rFonts w:ascii="Calibri" w:hAnsi="Calibri" w:cs="Calibri"/>
          <w:b/>
          <w:bCs/>
          <w:i/>
          <w:iCs/>
          <w:sz w:val="24"/>
          <w:szCs w:val="24"/>
        </w:rPr>
        <w:t>Context-Specific Studies in Wales</w:t>
      </w:r>
      <w:r w:rsidRPr="00B561F2">
        <w:rPr>
          <w:rFonts w:ascii="Calibri" w:hAnsi="Calibri" w:cs="Calibri"/>
          <w:sz w:val="24"/>
          <w:szCs w:val="24"/>
        </w:rPr>
        <w:br/>
        <w:t>Given the relative scarcity of research focused specifically on the Welsh context, further studies are needed to explore how localised factors</w:t>
      </w:r>
      <w:r w:rsidR="00B561F2">
        <w:rPr>
          <w:rFonts w:ascii="Calibri" w:hAnsi="Calibri" w:cs="Calibri"/>
          <w:sz w:val="24"/>
          <w:szCs w:val="24"/>
        </w:rPr>
        <w:t xml:space="preserve">, </w:t>
      </w:r>
      <w:r w:rsidRPr="00B561F2">
        <w:rPr>
          <w:rFonts w:ascii="Calibri" w:hAnsi="Calibri" w:cs="Calibri"/>
          <w:sz w:val="24"/>
          <w:szCs w:val="24"/>
        </w:rPr>
        <w:t>such as regional variation in school culture, leadership practices, and policy implementation</w:t>
      </w:r>
      <w:r w:rsidR="00B561F2">
        <w:rPr>
          <w:rFonts w:ascii="Calibri" w:hAnsi="Calibri" w:cs="Calibri"/>
          <w:sz w:val="24"/>
          <w:szCs w:val="24"/>
        </w:rPr>
        <w:t xml:space="preserve">, </w:t>
      </w:r>
      <w:r w:rsidRPr="00B561F2">
        <w:rPr>
          <w:rFonts w:ascii="Calibri" w:hAnsi="Calibri" w:cs="Calibri"/>
          <w:sz w:val="24"/>
          <w:szCs w:val="24"/>
        </w:rPr>
        <w:t xml:space="preserve">shape </w:t>
      </w:r>
      <w:r w:rsidRPr="00B561F2">
        <w:rPr>
          <w:rFonts w:ascii="Calibri" w:hAnsi="Calibri" w:cs="Calibri"/>
          <w:sz w:val="24"/>
          <w:szCs w:val="24"/>
        </w:rPr>
        <w:lastRenderedPageBreak/>
        <w:t>NQT experiences. This would support the development of more contextually relevant and targeted interventions.</w:t>
      </w:r>
    </w:p>
    <w:p w14:paraId="74570132" w14:textId="0B23806D" w:rsidR="0057361E" w:rsidRPr="00B561F2" w:rsidRDefault="0057361E" w:rsidP="0057361E">
      <w:pPr>
        <w:pStyle w:val="ListParagraph"/>
        <w:numPr>
          <w:ilvl w:val="0"/>
          <w:numId w:val="35"/>
        </w:numPr>
        <w:spacing w:line="360" w:lineRule="auto"/>
        <w:rPr>
          <w:rFonts w:ascii="Calibri" w:hAnsi="Calibri" w:cs="Calibri"/>
          <w:sz w:val="24"/>
          <w:szCs w:val="24"/>
        </w:rPr>
      </w:pPr>
      <w:r w:rsidRPr="00B561F2">
        <w:rPr>
          <w:rFonts w:ascii="Calibri" w:hAnsi="Calibri" w:cs="Calibri"/>
          <w:b/>
          <w:bCs/>
          <w:i/>
          <w:iCs/>
          <w:sz w:val="24"/>
          <w:szCs w:val="24"/>
        </w:rPr>
        <w:t>Evaluation of Interventions</w:t>
      </w:r>
      <w:r w:rsidRPr="00B561F2">
        <w:rPr>
          <w:rFonts w:ascii="Calibri" w:hAnsi="Calibri" w:cs="Calibri"/>
          <w:sz w:val="24"/>
          <w:szCs w:val="24"/>
        </w:rPr>
        <w:br/>
        <w:t>There is a clear need for research that evaluates the effectiveness of specific interventions aimed at reducing burnout. Studies examining mentoring programmes, workload management strategies, and wellbeing initiatives would provide an evidence base to inform both policy and practice, supporting more effective and sustainable approaches to teacher support.</w:t>
      </w:r>
    </w:p>
    <w:p w14:paraId="313F795C" w14:textId="203F681E" w:rsidR="00CA5709" w:rsidRPr="00750F24" w:rsidRDefault="00CA5709" w:rsidP="001A103D">
      <w:pPr>
        <w:pStyle w:val="Heading3"/>
      </w:pPr>
      <w:bookmarkStart w:id="69" w:name="_Toc228136359"/>
      <w:r w:rsidRPr="00750F24">
        <w:t>6.5 Summary</w:t>
      </w:r>
      <w:bookmarkEnd w:id="69"/>
      <w:r w:rsidRPr="00750F24">
        <w:t xml:space="preserve"> </w:t>
      </w:r>
    </w:p>
    <w:p w14:paraId="31FF439B" w14:textId="2CB8D77E" w:rsidR="00CA5709" w:rsidRPr="00CA5709" w:rsidRDefault="00CA5709" w:rsidP="00CA5709">
      <w:pPr>
        <w:spacing w:line="360" w:lineRule="auto"/>
        <w:rPr>
          <w:rFonts w:ascii="Calibri" w:hAnsi="Calibri" w:cs="Calibri"/>
          <w:sz w:val="24"/>
          <w:szCs w:val="24"/>
        </w:rPr>
      </w:pPr>
      <w:r w:rsidRPr="00CA5709">
        <w:rPr>
          <w:rFonts w:ascii="Calibri" w:hAnsi="Calibri" w:cs="Calibri"/>
          <w:sz w:val="24"/>
          <w:szCs w:val="24"/>
        </w:rPr>
        <w:t>This chapter has synthesised the key findings of the study and situated them within the broader body of literature explored throughout this dissertation. The analysis demonstrates that burnout among newly qualified teachers cannot be attributed to a single causal factor; rather, it emerges from the complex and dynamic interaction between individual, organisational, and systemic influences. In doing so, the chapter reinforces a shift within the literature away from reductionist, individualised explanations towards more integrated and contextually grounded understandings of burnout.</w:t>
      </w:r>
    </w:p>
    <w:p w14:paraId="44ACDBE2" w14:textId="0DBABAE1" w:rsidR="00A149B8" w:rsidRPr="00CA5709" w:rsidRDefault="00CA5709" w:rsidP="00CA5709">
      <w:pPr>
        <w:spacing w:line="360" w:lineRule="auto"/>
        <w:rPr>
          <w:rFonts w:ascii="Calibri" w:hAnsi="Calibri" w:cs="Calibri"/>
          <w:sz w:val="24"/>
          <w:szCs w:val="24"/>
        </w:rPr>
      </w:pPr>
      <w:r w:rsidRPr="00CA5709">
        <w:rPr>
          <w:rFonts w:ascii="Calibri" w:hAnsi="Calibri" w:cs="Calibri"/>
          <w:sz w:val="24"/>
          <w:szCs w:val="24"/>
        </w:rPr>
        <w:t>At the individual level, the findings highlight the significance of emotional labour, self-efficacy, and professional identity formation during the early stages of a teaching career. NQTs frequently navigate tensions between personal expectations and the realities of professional practice, often internalising perceived shortcomings. While this aligns with existing literature identifying early-career teachers as particularly vulnerable to emotional exhaustion, as reflected within the dimensions of MBI, the study extends this understanding by illustrating how such experiences are shaped and intensified by external conditions. This challenges interpretations of burnout as solely an individual psychological deficit, instead positioning it as a contextually mediated experience.</w:t>
      </w:r>
    </w:p>
    <w:p w14:paraId="318F91DF" w14:textId="3764A858" w:rsidR="00CA5709" w:rsidRPr="00CA5709" w:rsidRDefault="00CA5709" w:rsidP="00CA5709">
      <w:pPr>
        <w:spacing w:line="360" w:lineRule="auto"/>
        <w:rPr>
          <w:rFonts w:ascii="Calibri" w:hAnsi="Calibri" w:cs="Calibri"/>
          <w:sz w:val="24"/>
          <w:szCs w:val="24"/>
        </w:rPr>
      </w:pPr>
      <w:r w:rsidRPr="00CA5709">
        <w:rPr>
          <w:rFonts w:ascii="Calibri" w:hAnsi="Calibri" w:cs="Calibri"/>
          <w:sz w:val="24"/>
          <w:szCs w:val="24"/>
        </w:rPr>
        <w:t xml:space="preserve">Organisational factors were found to play a particularly influential role in either mitigating or exacerbating burnout. The quality of mentoring, leadership practices, and school culture emerged as key determinants of teacher wellbeing. Supportive environments appeared to buffer against stress and facilitate professional development, whereas high workload demands, limited support, and unclear expectations contributed to feelings of overwhelm </w:t>
      </w:r>
      <w:r w:rsidRPr="00CA5709">
        <w:rPr>
          <w:rFonts w:ascii="Calibri" w:hAnsi="Calibri" w:cs="Calibri"/>
          <w:sz w:val="24"/>
          <w:szCs w:val="24"/>
        </w:rPr>
        <w:lastRenderedPageBreak/>
        <w:t>and disillusionment. From a Job Demands–Resources (JD-R) perspective, these findings highlight the importance of organisational resources in moderating the impact of job demands, reinforcing the view that burnout is not simply a function of workload intensity, but of the balance between demands and available support.</w:t>
      </w:r>
    </w:p>
    <w:p w14:paraId="6DBAC24F" w14:textId="7360B636" w:rsidR="00CA5709" w:rsidRPr="00CA5709" w:rsidRDefault="00CA5709" w:rsidP="00CA5709">
      <w:pPr>
        <w:spacing w:line="360" w:lineRule="auto"/>
        <w:rPr>
          <w:rFonts w:ascii="Calibri" w:hAnsi="Calibri" w:cs="Calibri"/>
          <w:sz w:val="24"/>
          <w:szCs w:val="24"/>
        </w:rPr>
      </w:pPr>
      <w:r w:rsidRPr="00CA5709">
        <w:rPr>
          <w:rFonts w:ascii="Calibri" w:hAnsi="Calibri" w:cs="Calibri"/>
          <w:sz w:val="24"/>
          <w:szCs w:val="24"/>
        </w:rPr>
        <w:t>At the systemic level, the study highlights the broader pressures associated with educational policy, accountability measures, and workload intensification. The findings suggest that external expectations, including performance metrics and administrative demands, create conditions that may increase the likelihood of burnout. These pressures can be understood within the JD-R framework as structural demands that extend beyond the immediate school context, often shaping the availability and effectiveness of organisational resources. This reflects wider concerns regarding the sustainability of the teaching profession, particularly in relation to the retention of early-career teachers.</w:t>
      </w:r>
    </w:p>
    <w:p w14:paraId="65C4EE7B" w14:textId="1B362BEB" w:rsidR="00CA5709" w:rsidRPr="00CA5709" w:rsidRDefault="00CA5709" w:rsidP="00CA5709">
      <w:pPr>
        <w:spacing w:line="360" w:lineRule="auto"/>
        <w:rPr>
          <w:rFonts w:ascii="Calibri" w:hAnsi="Calibri" w:cs="Calibri"/>
          <w:sz w:val="24"/>
          <w:szCs w:val="24"/>
        </w:rPr>
      </w:pPr>
      <w:r w:rsidRPr="00CA5709">
        <w:rPr>
          <w:rFonts w:ascii="Calibri" w:hAnsi="Calibri" w:cs="Calibri"/>
          <w:sz w:val="24"/>
          <w:szCs w:val="24"/>
        </w:rPr>
        <w:t xml:space="preserve">Taken together, the findings contribute to a more holistic and integrated understanding of burnout, emphasising the interconnectedness of individual, organisational, and systemic factors. By adopting this multi-layered </w:t>
      </w:r>
      <w:proofErr w:type="gramStart"/>
      <w:r w:rsidRPr="00CA5709">
        <w:rPr>
          <w:rFonts w:ascii="Calibri" w:hAnsi="Calibri" w:cs="Calibri"/>
          <w:sz w:val="24"/>
          <w:szCs w:val="24"/>
        </w:rPr>
        <w:t>perspective, and</w:t>
      </w:r>
      <w:proofErr w:type="gramEnd"/>
      <w:r w:rsidRPr="00CA5709">
        <w:rPr>
          <w:rFonts w:ascii="Calibri" w:hAnsi="Calibri" w:cs="Calibri"/>
          <w:sz w:val="24"/>
          <w:szCs w:val="24"/>
        </w:rPr>
        <w:t xml:space="preserve"> drawing on both the MBI and JD-R frameworks, the study provides a more nuanced explanation of the challenges faced by NQTs, highlighting how psychological experiences of burnout are embedded within broader structural conditions.</w:t>
      </w:r>
    </w:p>
    <w:p w14:paraId="49668EB1" w14:textId="75B19821" w:rsidR="004F717B" w:rsidRPr="006C3D0B" w:rsidRDefault="00CA5709" w:rsidP="00CA5709">
      <w:pPr>
        <w:spacing w:line="360" w:lineRule="auto"/>
        <w:rPr>
          <w:rFonts w:ascii="Calibri" w:hAnsi="Calibri" w:cs="Calibri"/>
          <w:sz w:val="24"/>
          <w:szCs w:val="24"/>
        </w:rPr>
      </w:pPr>
      <w:r w:rsidRPr="00CA5709">
        <w:rPr>
          <w:rFonts w:ascii="Calibri" w:hAnsi="Calibri" w:cs="Calibri"/>
          <w:sz w:val="24"/>
          <w:szCs w:val="24"/>
        </w:rPr>
        <w:t xml:space="preserve">This </w:t>
      </w:r>
      <w:r w:rsidR="00C37459">
        <w:rPr>
          <w:rFonts w:ascii="Calibri" w:hAnsi="Calibri" w:cs="Calibri"/>
          <w:sz w:val="24"/>
          <w:szCs w:val="24"/>
        </w:rPr>
        <w:t>paper</w:t>
      </w:r>
      <w:r w:rsidRPr="00CA5709">
        <w:rPr>
          <w:rFonts w:ascii="Calibri" w:hAnsi="Calibri" w:cs="Calibri"/>
          <w:sz w:val="24"/>
          <w:szCs w:val="24"/>
        </w:rPr>
        <w:t xml:space="preserve"> establishes a foundation for the recommendations presented above by clearly identifying the key drivers of burnout. In doing so, it enables the development of targeted, evidence-informed strategies that address not only individual coping mechanisms, but also organisational practices and policy-level considerations. Ultimately, the findings underscore the importance of alignment across these levels in promoting sustainable teacher wellbeing and improving retention within the Welsh education system.</w:t>
      </w:r>
    </w:p>
    <w:p w14:paraId="5FA030E6" w14:textId="77777777" w:rsidR="006C3D0B" w:rsidRPr="006C3D0B" w:rsidRDefault="006C3D0B" w:rsidP="006C3D0B">
      <w:pPr>
        <w:spacing w:line="360" w:lineRule="auto"/>
        <w:rPr>
          <w:rFonts w:ascii="Calibri" w:hAnsi="Calibri" w:cs="Calibri"/>
          <w:sz w:val="24"/>
          <w:szCs w:val="24"/>
        </w:rPr>
      </w:pPr>
    </w:p>
    <w:p w14:paraId="516090D1" w14:textId="77777777" w:rsidR="00167856" w:rsidRPr="002256C9" w:rsidRDefault="00167856" w:rsidP="002256C9">
      <w:pPr>
        <w:spacing w:line="360" w:lineRule="auto"/>
        <w:rPr>
          <w:rFonts w:ascii="Calibri" w:hAnsi="Calibri" w:cs="Calibri"/>
          <w:sz w:val="24"/>
          <w:szCs w:val="24"/>
        </w:rPr>
      </w:pPr>
    </w:p>
    <w:p w14:paraId="23F3FC3E" w14:textId="77777777" w:rsidR="008B4C7E" w:rsidRDefault="008B4C7E" w:rsidP="00C96CE8">
      <w:pPr>
        <w:spacing w:line="360" w:lineRule="auto"/>
        <w:rPr>
          <w:rFonts w:ascii="Calibri" w:hAnsi="Calibri" w:cs="Calibri"/>
          <w:sz w:val="24"/>
          <w:szCs w:val="24"/>
        </w:rPr>
      </w:pPr>
    </w:p>
    <w:p w14:paraId="4A0DA25C" w14:textId="77777777" w:rsidR="00BA022F" w:rsidRDefault="00BA022F" w:rsidP="00ED3341">
      <w:pPr>
        <w:rPr>
          <w:rFonts w:ascii="Calibri" w:hAnsi="Calibri" w:cs="Calibri"/>
          <w:sz w:val="24"/>
          <w:szCs w:val="24"/>
        </w:rPr>
      </w:pPr>
    </w:p>
    <w:p w14:paraId="264C12C0" w14:textId="77777777" w:rsidR="00750F24" w:rsidRDefault="00750F24" w:rsidP="00ED3341">
      <w:pPr>
        <w:rPr>
          <w:rFonts w:ascii="Calibri" w:hAnsi="Calibri" w:cs="Calibri"/>
          <w:sz w:val="24"/>
          <w:szCs w:val="24"/>
        </w:rPr>
      </w:pPr>
    </w:p>
    <w:p w14:paraId="4B70EA9C" w14:textId="77777777" w:rsidR="00750F24" w:rsidRDefault="00750F24" w:rsidP="00ED3341">
      <w:pPr>
        <w:rPr>
          <w:rFonts w:ascii="Calibri" w:hAnsi="Calibri" w:cs="Calibri"/>
          <w:sz w:val="24"/>
          <w:szCs w:val="24"/>
        </w:rPr>
      </w:pPr>
    </w:p>
    <w:p w14:paraId="1CF15F2B" w14:textId="77777777" w:rsidR="00750F24" w:rsidRDefault="00750F24" w:rsidP="00ED3341">
      <w:pPr>
        <w:rPr>
          <w:rFonts w:ascii="Calibri" w:hAnsi="Calibri" w:cs="Calibri"/>
          <w:sz w:val="24"/>
          <w:szCs w:val="24"/>
        </w:rPr>
      </w:pPr>
    </w:p>
    <w:p w14:paraId="5FE4C78D" w14:textId="43A91EC1" w:rsidR="00ED3341" w:rsidRDefault="00ED3341" w:rsidP="001A103D">
      <w:pPr>
        <w:pStyle w:val="Heading2"/>
      </w:pPr>
      <w:bookmarkStart w:id="70" w:name="_Toc228136360"/>
      <w:r>
        <w:t>Reference list</w:t>
      </w:r>
      <w:bookmarkEnd w:id="70"/>
      <w:r>
        <w:t xml:space="preserve"> </w:t>
      </w:r>
    </w:p>
    <w:p w14:paraId="426FD9B4" w14:textId="77777777" w:rsidR="00EC098B" w:rsidRPr="00EC098B" w:rsidRDefault="00EC098B" w:rsidP="00EC098B"/>
    <w:p w14:paraId="77B8E0B8" w14:textId="77777777" w:rsidR="00EC098B" w:rsidRPr="00EC098B" w:rsidRDefault="00EC098B" w:rsidP="00EC098B">
      <w:pPr>
        <w:rPr>
          <w:rFonts w:ascii="Calibri" w:hAnsi="Calibri" w:cs="Calibri"/>
        </w:rPr>
      </w:pPr>
      <w:r w:rsidRPr="00EC098B">
        <w:rPr>
          <w:rFonts w:ascii="Calibri" w:hAnsi="Calibri" w:cs="Calibri"/>
        </w:rPr>
        <w:t xml:space="preserve">Alarcon, G., </w:t>
      </w:r>
      <w:proofErr w:type="spellStart"/>
      <w:r w:rsidRPr="00EC098B">
        <w:rPr>
          <w:rFonts w:ascii="Calibri" w:hAnsi="Calibri" w:cs="Calibri"/>
        </w:rPr>
        <w:t>Eschleman</w:t>
      </w:r>
      <w:proofErr w:type="spellEnd"/>
      <w:r w:rsidRPr="00EC098B">
        <w:rPr>
          <w:rFonts w:ascii="Calibri" w:hAnsi="Calibri" w:cs="Calibri"/>
        </w:rPr>
        <w:t xml:space="preserve">, K.J. and Bowling, N.A. (2009) ‘Relationships between personality variables and burnout: A meta-analysis’, </w:t>
      </w:r>
      <w:r w:rsidRPr="00EC098B">
        <w:rPr>
          <w:rFonts w:ascii="Calibri" w:hAnsi="Calibri" w:cs="Calibri"/>
          <w:i/>
          <w:iCs/>
        </w:rPr>
        <w:t>Work &amp; Stress</w:t>
      </w:r>
      <w:r w:rsidRPr="00EC098B">
        <w:rPr>
          <w:rFonts w:ascii="Calibri" w:hAnsi="Calibri" w:cs="Calibri"/>
        </w:rPr>
        <w:t>, 23(3), pp. 244–263.</w:t>
      </w:r>
    </w:p>
    <w:p w14:paraId="0A91F9CB" w14:textId="77777777" w:rsidR="00EC098B" w:rsidRPr="00EC098B" w:rsidRDefault="00EC098B" w:rsidP="00EC098B">
      <w:pPr>
        <w:rPr>
          <w:rFonts w:ascii="Calibri" w:hAnsi="Calibri" w:cs="Calibri"/>
        </w:rPr>
      </w:pPr>
      <w:r w:rsidRPr="00EC098B">
        <w:rPr>
          <w:rFonts w:ascii="Calibri" w:hAnsi="Calibri" w:cs="Calibri"/>
        </w:rPr>
        <w:t xml:space="preserve">Alessandri, G., Perinelli, E., De Longis, E., Schaufeli, W.B., Theodorou, A., Borgogni, L., Caprara, G.V. and Cinque, L. (2018) ‘Job burnout: The contribution of emotional stability and emotional self-efficacy beliefs’, </w:t>
      </w:r>
      <w:r w:rsidRPr="00EC098B">
        <w:rPr>
          <w:rFonts w:ascii="Calibri" w:hAnsi="Calibri" w:cs="Calibri"/>
          <w:i/>
          <w:iCs/>
        </w:rPr>
        <w:t>Journal of Occupational and Organizational Psychology</w:t>
      </w:r>
      <w:r w:rsidRPr="00EC098B">
        <w:rPr>
          <w:rFonts w:ascii="Calibri" w:hAnsi="Calibri" w:cs="Calibri"/>
        </w:rPr>
        <w:t>, 91(4), pp. 823–851.</w:t>
      </w:r>
    </w:p>
    <w:p w14:paraId="1D289978" w14:textId="77777777" w:rsidR="00EC098B" w:rsidRPr="00EC098B" w:rsidRDefault="00EC098B" w:rsidP="00EC098B">
      <w:pPr>
        <w:rPr>
          <w:rFonts w:ascii="Calibri" w:hAnsi="Calibri" w:cs="Calibri"/>
        </w:rPr>
      </w:pPr>
      <w:r w:rsidRPr="00EC098B">
        <w:rPr>
          <w:rFonts w:ascii="Calibri" w:hAnsi="Calibri" w:cs="Calibri"/>
        </w:rPr>
        <w:t xml:space="preserve">Antonsen, Y., </w:t>
      </w:r>
      <w:proofErr w:type="spellStart"/>
      <w:r w:rsidRPr="00EC098B">
        <w:rPr>
          <w:rFonts w:ascii="Calibri" w:hAnsi="Calibri" w:cs="Calibri"/>
        </w:rPr>
        <w:t>Aspfors</w:t>
      </w:r>
      <w:proofErr w:type="spellEnd"/>
      <w:r w:rsidRPr="00EC098B">
        <w:rPr>
          <w:rFonts w:ascii="Calibri" w:hAnsi="Calibri" w:cs="Calibri"/>
        </w:rPr>
        <w:t xml:space="preserve">, J. and Maxwell, G. (2024) ‘Early career teachers’ role in school development and professional learning’, </w:t>
      </w:r>
      <w:r w:rsidRPr="00EC098B">
        <w:rPr>
          <w:rFonts w:ascii="Calibri" w:hAnsi="Calibri" w:cs="Calibri"/>
          <w:i/>
          <w:iCs/>
        </w:rPr>
        <w:t>Professional Development in Education</w:t>
      </w:r>
      <w:r w:rsidRPr="00EC098B">
        <w:rPr>
          <w:rFonts w:ascii="Calibri" w:hAnsi="Calibri" w:cs="Calibri"/>
        </w:rPr>
        <w:t>, 50(3), pp. 460–473.</w:t>
      </w:r>
    </w:p>
    <w:p w14:paraId="39945754" w14:textId="77777777" w:rsidR="00EC098B" w:rsidRPr="00EC098B" w:rsidRDefault="00EC098B" w:rsidP="00EC098B">
      <w:pPr>
        <w:rPr>
          <w:rFonts w:ascii="Calibri" w:hAnsi="Calibri" w:cs="Calibri"/>
        </w:rPr>
      </w:pPr>
      <w:r w:rsidRPr="00EC098B">
        <w:rPr>
          <w:rFonts w:ascii="Calibri" w:hAnsi="Calibri" w:cs="Calibri"/>
        </w:rPr>
        <w:t xml:space="preserve">Ashby, P., Hobson, A.J., Tracey, L., </w:t>
      </w:r>
      <w:proofErr w:type="spellStart"/>
      <w:r w:rsidRPr="00EC098B">
        <w:rPr>
          <w:rFonts w:ascii="Calibri" w:hAnsi="Calibri" w:cs="Calibri"/>
        </w:rPr>
        <w:t>Malderez</w:t>
      </w:r>
      <w:proofErr w:type="spellEnd"/>
      <w:r w:rsidRPr="00EC098B">
        <w:rPr>
          <w:rFonts w:ascii="Calibri" w:hAnsi="Calibri" w:cs="Calibri"/>
        </w:rPr>
        <w:t xml:space="preserve">, A., Tomlinson, P.D., Roper, T., Chambers, G.N. and Healy, J. (2008) </w:t>
      </w:r>
      <w:r w:rsidRPr="00EC098B">
        <w:rPr>
          <w:rFonts w:ascii="Calibri" w:hAnsi="Calibri" w:cs="Calibri"/>
          <w:i/>
          <w:iCs/>
        </w:rPr>
        <w:t>Beginner teachers’ experiences of initial teacher preparation, induction and early professional development: A review of literature</w:t>
      </w:r>
      <w:r w:rsidRPr="00EC098B">
        <w:rPr>
          <w:rFonts w:ascii="Calibri" w:hAnsi="Calibri" w:cs="Calibri"/>
        </w:rPr>
        <w:t>. London: DCSF.</w:t>
      </w:r>
    </w:p>
    <w:p w14:paraId="0AE6F6FA" w14:textId="77777777" w:rsidR="00EC098B" w:rsidRPr="00EC098B" w:rsidRDefault="00EC098B" w:rsidP="00EC098B">
      <w:pPr>
        <w:rPr>
          <w:rFonts w:ascii="Calibri" w:hAnsi="Calibri" w:cs="Calibri"/>
        </w:rPr>
      </w:pPr>
      <w:proofErr w:type="spellStart"/>
      <w:r w:rsidRPr="00EC098B">
        <w:rPr>
          <w:rFonts w:ascii="Calibri" w:hAnsi="Calibri" w:cs="Calibri"/>
        </w:rPr>
        <w:t>Aspfors</w:t>
      </w:r>
      <w:proofErr w:type="spellEnd"/>
      <w:r w:rsidRPr="00EC098B">
        <w:rPr>
          <w:rFonts w:ascii="Calibri" w:hAnsi="Calibri" w:cs="Calibri"/>
        </w:rPr>
        <w:t xml:space="preserve">, J. and </w:t>
      </w:r>
      <w:proofErr w:type="spellStart"/>
      <w:r w:rsidRPr="00EC098B">
        <w:rPr>
          <w:rFonts w:ascii="Calibri" w:hAnsi="Calibri" w:cs="Calibri"/>
        </w:rPr>
        <w:t>Bondas</w:t>
      </w:r>
      <w:proofErr w:type="spellEnd"/>
      <w:r w:rsidRPr="00EC098B">
        <w:rPr>
          <w:rFonts w:ascii="Calibri" w:hAnsi="Calibri" w:cs="Calibri"/>
        </w:rPr>
        <w:t xml:space="preserve">, T. (2013) ‘Caring about caring: Newly qualified teachers’ experiences of their relationships within the school community’, </w:t>
      </w:r>
      <w:r w:rsidRPr="00EC098B">
        <w:rPr>
          <w:rFonts w:ascii="Calibri" w:hAnsi="Calibri" w:cs="Calibri"/>
          <w:i/>
          <w:iCs/>
        </w:rPr>
        <w:t>Teachers and Teaching</w:t>
      </w:r>
      <w:r w:rsidRPr="00EC098B">
        <w:rPr>
          <w:rFonts w:ascii="Calibri" w:hAnsi="Calibri" w:cs="Calibri"/>
        </w:rPr>
        <w:t>, 19(3), pp. 243–259.</w:t>
      </w:r>
    </w:p>
    <w:p w14:paraId="599D96E8" w14:textId="77777777" w:rsidR="00EC098B" w:rsidRPr="00EC098B" w:rsidRDefault="00EC098B" w:rsidP="00EC098B">
      <w:pPr>
        <w:rPr>
          <w:rFonts w:ascii="Calibri" w:hAnsi="Calibri" w:cs="Calibri"/>
        </w:rPr>
      </w:pPr>
      <w:r w:rsidRPr="00EC098B">
        <w:rPr>
          <w:rFonts w:ascii="Calibri" w:hAnsi="Calibri" w:cs="Calibri"/>
        </w:rPr>
        <w:t xml:space="preserve">Bakker, A.B., Schaufeli, W.B., Demerouti, E. and </w:t>
      </w:r>
      <w:proofErr w:type="spellStart"/>
      <w:r w:rsidRPr="00EC098B">
        <w:rPr>
          <w:rFonts w:ascii="Calibri" w:hAnsi="Calibri" w:cs="Calibri"/>
        </w:rPr>
        <w:t>Euwema</w:t>
      </w:r>
      <w:proofErr w:type="spellEnd"/>
      <w:r w:rsidRPr="00EC098B">
        <w:rPr>
          <w:rFonts w:ascii="Calibri" w:hAnsi="Calibri" w:cs="Calibri"/>
        </w:rPr>
        <w:t xml:space="preserve">, M.C. (2007) ‘An organisational and social psychological perspective on burnout and work engagement’, in </w:t>
      </w:r>
      <w:r w:rsidRPr="00EC098B">
        <w:rPr>
          <w:rFonts w:ascii="Calibri" w:hAnsi="Calibri" w:cs="Calibri"/>
          <w:i/>
          <w:iCs/>
        </w:rPr>
        <w:t>The Scope of Social Psychology</w:t>
      </w:r>
      <w:r w:rsidRPr="00EC098B">
        <w:rPr>
          <w:rFonts w:ascii="Calibri" w:hAnsi="Calibri" w:cs="Calibri"/>
        </w:rPr>
        <w:t>. Hove: Psychology Press, pp. 239–262.</w:t>
      </w:r>
    </w:p>
    <w:p w14:paraId="0DB32411" w14:textId="77777777" w:rsidR="00EC098B" w:rsidRPr="00EC098B" w:rsidRDefault="00EC098B" w:rsidP="00EC098B">
      <w:pPr>
        <w:rPr>
          <w:rFonts w:ascii="Calibri" w:hAnsi="Calibri" w:cs="Calibri"/>
        </w:rPr>
      </w:pPr>
      <w:r w:rsidRPr="00EC098B">
        <w:rPr>
          <w:rFonts w:ascii="Calibri" w:hAnsi="Calibri" w:cs="Calibri"/>
        </w:rPr>
        <w:t xml:space="preserve">Bandura, A. (2012) ‘On the functional properties of perceived self-efficacy revisited’, </w:t>
      </w:r>
      <w:r w:rsidRPr="00EC098B">
        <w:rPr>
          <w:rFonts w:ascii="Calibri" w:hAnsi="Calibri" w:cs="Calibri"/>
          <w:i/>
          <w:iCs/>
        </w:rPr>
        <w:t>Journal of Management</w:t>
      </w:r>
      <w:r w:rsidRPr="00EC098B">
        <w:rPr>
          <w:rFonts w:ascii="Calibri" w:hAnsi="Calibri" w:cs="Calibri"/>
        </w:rPr>
        <w:t>, 38(1), pp. 9–44.</w:t>
      </w:r>
    </w:p>
    <w:p w14:paraId="2C7B553A" w14:textId="77777777" w:rsidR="00EC098B" w:rsidRPr="00EC098B" w:rsidRDefault="00EC098B" w:rsidP="00EC098B">
      <w:pPr>
        <w:rPr>
          <w:rFonts w:ascii="Calibri" w:hAnsi="Calibri" w:cs="Calibri"/>
        </w:rPr>
      </w:pPr>
      <w:r w:rsidRPr="00EC098B">
        <w:rPr>
          <w:rFonts w:ascii="Calibri" w:hAnsi="Calibri" w:cs="Calibri"/>
        </w:rPr>
        <w:t xml:space="preserve">Bandura, A. (2023) ‘Cultivate self-efficacy for personal and organizational effectiveness’, in </w:t>
      </w:r>
      <w:r w:rsidRPr="00EC098B">
        <w:rPr>
          <w:rFonts w:ascii="Calibri" w:hAnsi="Calibri" w:cs="Calibri"/>
          <w:i/>
          <w:iCs/>
        </w:rPr>
        <w:t xml:space="preserve">Principles of Organizational </w:t>
      </w:r>
      <w:proofErr w:type="spellStart"/>
      <w:r w:rsidRPr="00EC098B">
        <w:rPr>
          <w:rFonts w:ascii="Calibri" w:hAnsi="Calibri" w:cs="Calibri"/>
          <w:i/>
          <w:iCs/>
        </w:rPr>
        <w:t>Behavior</w:t>
      </w:r>
      <w:proofErr w:type="spellEnd"/>
      <w:r w:rsidRPr="00EC098B">
        <w:rPr>
          <w:rFonts w:ascii="Calibri" w:hAnsi="Calibri" w:cs="Calibri"/>
          <w:i/>
          <w:iCs/>
        </w:rPr>
        <w:t>: The Handbook of Evidence-Based Management</w:t>
      </w:r>
      <w:r w:rsidRPr="00EC098B">
        <w:rPr>
          <w:rFonts w:ascii="Calibri" w:hAnsi="Calibri" w:cs="Calibri"/>
        </w:rPr>
        <w:t xml:space="preserve">. 3rd </w:t>
      </w:r>
      <w:proofErr w:type="spellStart"/>
      <w:r w:rsidRPr="00EC098B">
        <w:rPr>
          <w:rFonts w:ascii="Calibri" w:hAnsi="Calibri" w:cs="Calibri"/>
        </w:rPr>
        <w:t>edn</w:t>
      </w:r>
      <w:proofErr w:type="spellEnd"/>
      <w:r w:rsidRPr="00EC098B">
        <w:rPr>
          <w:rFonts w:ascii="Calibri" w:hAnsi="Calibri" w:cs="Calibri"/>
        </w:rPr>
        <w:t>.</w:t>
      </w:r>
    </w:p>
    <w:p w14:paraId="12815CA1" w14:textId="77777777" w:rsidR="00EC098B" w:rsidRPr="00EC098B" w:rsidRDefault="00EC098B" w:rsidP="00EC098B">
      <w:pPr>
        <w:rPr>
          <w:rFonts w:ascii="Calibri" w:hAnsi="Calibri" w:cs="Calibri"/>
        </w:rPr>
      </w:pPr>
      <w:r w:rsidRPr="00EC098B">
        <w:rPr>
          <w:rFonts w:ascii="Calibri" w:hAnsi="Calibri" w:cs="Calibri"/>
        </w:rPr>
        <w:t xml:space="preserve">Bianchi, R., Swingler, G. and Schonfeld, I.S. (2024) ‘The Maslach Burnout Inventory is not a measure of burnout’, </w:t>
      </w:r>
      <w:r w:rsidRPr="00EC098B">
        <w:rPr>
          <w:rFonts w:ascii="Calibri" w:hAnsi="Calibri" w:cs="Calibri"/>
          <w:i/>
          <w:iCs/>
        </w:rPr>
        <w:t>Work</w:t>
      </w:r>
      <w:r w:rsidRPr="00EC098B">
        <w:rPr>
          <w:rFonts w:ascii="Calibri" w:hAnsi="Calibri" w:cs="Calibri"/>
        </w:rPr>
        <w:t>, 79(3), pp. 1525–1527.</w:t>
      </w:r>
    </w:p>
    <w:p w14:paraId="07CB35B4" w14:textId="77777777" w:rsidR="00EC098B" w:rsidRPr="00EC098B" w:rsidRDefault="00EC098B" w:rsidP="00EC098B">
      <w:pPr>
        <w:rPr>
          <w:rFonts w:ascii="Calibri" w:hAnsi="Calibri" w:cs="Calibri"/>
        </w:rPr>
      </w:pPr>
      <w:r w:rsidRPr="00EC098B">
        <w:rPr>
          <w:rFonts w:ascii="Calibri" w:hAnsi="Calibri" w:cs="Calibri"/>
        </w:rPr>
        <w:t xml:space="preserve">Bigger, S.L. (2006) </w:t>
      </w:r>
      <w:r w:rsidRPr="00EC098B">
        <w:rPr>
          <w:rFonts w:ascii="Calibri" w:hAnsi="Calibri" w:cs="Calibri"/>
          <w:i/>
          <w:iCs/>
        </w:rPr>
        <w:t>Data-driven decision-making within a professional learning community</w:t>
      </w:r>
      <w:r w:rsidRPr="00EC098B">
        <w:rPr>
          <w:rFonts w:ascii="Calibri" w:hAnsi="Calibri" w:cs="Calibri"/>
        </w:rPr>
        <w:t>. University of Pennsylvania.</w:t>
      </w:r>
    </w:p>
    <w:p w14:paraId="19D7EA1F" w14:textId="77777777" w:rsidR="00EC098B" w:rsidRPr="00EC098B" w:rsidRDefault="00EC098B" w:rsidP="00EC098B">
      <w:pPr>
        <w:rPr>
          <w:rFonts w:ascii="Calibri" w:hAnsi="Calibri" w:cs="Calibri"/>
        </w:rPr>
      </w:pPr>
      <w:r w:rsidRPr="00EC098B">
        <w:rPr>
          <w:rFonts w:ascii="Calibri" w:hAnsi="Calibri" w:cs="Calibri"/>
        </w:rPr>
        <w:t xml:space="preserve">Bodenheimer, G. and Shuster, S.M. (2020) ‘Emotional labour, teaching and burnout: Investigating complex relationships’, </w:t>
      </w:r>
      <w:r w:rsidRPr="00EC098B">
        <w:rPr>
          <w:rFonts w:ascii="Calibri" w:hAnsi="Calibri" w:cs="Calibri"/>
          <w:i/>
          <w:iCs/>
        </w:rPr>
        <w:t>Educational Research</w:t>
      </w:r>
      <w:r w:rsidRPr="00EC098B">
        <w:rPr>
          <w:rFonts w:ascii="Calibri" w:hAnsi="Calibri" w:cs="Calibri"/>
        </w:rPr>
        <w:t>, 62(1), pp. 63–76.</w:t>
      </w:r>
    </w:p>
    <w:p w14:paraId="0B3D75CA" w14:textId="77777777" w:rsidR="00EC098B" w:rsidRPr="00EC098B" w:rsidRDefault="00EC098B" w:rsidP="00EC098B">
      <w:pPr>
        <w:rPr>
          <w:rFonts w:ascii="Calibri" w:hAnsi="Calibri" w:cs="Calibri"/>
        </w:rPr>
      </w:pPr>
      <w:r w:rsidRPr="00EC098B">
        <w:rPr>
          <w:rFonts w:ascii="Calibri" w:hAnsi="Calibri" w:cs="Calibri"/>
        </w:rPr>
        <w:t xml:space="preserve">Chang, M.L. (2009) ‘An appraisal perspective of teacher burnout: Examining the emotional work of teachers’, </w:t>
      </w:r>
      <w:r w:rsidRPr="00EC098B">
        <w:rPr>
          <w:rFonts w:ascii="Calibri" w:hAnsi="Calibri" w:cs="Calibri"/>
          <w:i/>
          <w:iCs/>
        </w:rPr>
        <w:t>Educational Psychology Review</w:t>
      </w:r>
      <w:r w:rsidRPr="00EC098B">
        <w:rPr>
          <w:rFonts w:ascii="Calibri" w:hAnsi="Calibri" w:cs="Calibri"/>
        </w:rPr>
        <w:t>, 21(3), pp. 193–218.</w:t>
      </w:r>
    </w:p>
    <w:p w14:paraId="4FDC87A5" w14:textId="77777777" w:rsidR="00EC098B" w:rsidRPr="00EC098B" w:rsidRDefault="00EC098B" w:rsidP="00EC098B">
      <w:pPr>
        <w:rPr>
          <w:rFonts w:ascii="Calibri" w:hAnsi="Calibri" w:cs="Calibri"/>
        </w:rPr>
      </w:pPr>
      <w:r w:rsidRPr="00EC098B">
        <w:rPr>
          <w:rFonts w:ascii="Calibri" w:hAnsi="Calibri" w:cs="Calibri"/>
        </w:rPr>
        <w:t xml:space="preserve">Collie, R.J., Shapka, J.D. and Perry, N.E. (2012) ‘School climate and social–emotional learning’, </w:t>
      </w:r>
      <w:r w:rsidRPr="00EC098B">
        <w:rPr>
          <w:rFonts w:ascii="Calibri" w:hAnsi="Calibri" w:cs="Calibri"/>
          <w:i/>
          <w:iCs/>
        </w:rPr>
        <w:t>Journal of Educational Psychology</w:t>
      </w:r>
      <w:r w:rsidRPr="00EC098B">
        <w:rPr>
          <w:rFonts w:ascii="Calibri" w:hAnsi="Calibri" w:cs="Calibri"/>
        </w:rPr>
        <w:t>, 104(4), p. 1189.</w:t>
      </w:r>
    </w:p>
    <w:p w14:paraId="5A4CA6CC" w14:textId="77777777" w:rsidR="00EC098B" w:rsidRPr="00EC098B" w:rsidRDefault="00EC098B" w:rsidP="00EC098B">
      <w:pPr>
        <w:rPr>
          <w:rFonts w:ascii="Calibri" w:hAnsi="Calibri" w:cs="Calibri"/>
        </w:rPr>
      </w:pPr>
      <w:r w:rsidRPr="00EC098B">
        <w:rPr>
          <w:rFonts w:ascii="Calibri" w:hAnsi="Calibri" w:cs="Calibri"/>
        </w:rPr>
        <w:t xml:space="preserve">Connor, M. and Pokora, J. (2017) </w:t>
      </w:r>
      <w:r w:rsidRPr="00EC098B">
        <w:rPr>
          <w:rFonts w:ascii="Calibri" w:hAnsi="Calibri" w:cs="Calibri"/>
          <w:i/>
          <w:iCs/>
        </w:rPr>
        <w:t>Coaching and mentoring at work: Developing effective practice</w:t>
      </w:r>
      <w:r w:rsidRPr="00EC098B">
        <w:rPr>
          <w:rFonts w:ascii="Calibri" w:hAnsi="Calibri" w:cs="Calibri"/>
        </w:rPr>
        <w:t>. Maidenhead: McGraw-Hill Education.</w:t>
      </w:r>
    </w:p>
    <w:p w14:paraId="49A7C27D" w14:textId="77777777" w:rsidR="00EC098B" w:rsidRPr="00EC098B" w:rsidRDefault="00EC098B" w:rsidP="00EC098B">
      <w:pPr>
        <w:rPr>
          <w:rFonts w:ascii="Calibri" w:hAnsi="Calibri" w:cs="Calibri"/>
        </w:rPr>
      </w:pPr>
      <w:r w:rsidRPr="00EC098B">
        <w:rPr>
          <w:rFonts w:ascii="Calibri" w:hAnsi="Calibri" w:cs="Calibri"/>
        </w:rPr>
        <w:t xml:space="preserve">Croft, S.J., Roberts, M.A. and Stenhouse, V.L. (2015) ‘The perfect storm of education reform’, </w:t>
      </w:r>
      <w:r w:rsidRPr="00EC098B">
        <w:rPr>
          <w:rFonts w:ascii="Calibri" w:hAnsi="Calibri" w:cs="Calibri"/>
          <w:i/>
          <w:iCs/>
        </w:rPr>
        <w:t>Social Justice</w:t>
      </w:r>
      <w:r w:rsidRPr="00EC098B">
        <w:rPr>
          <w:rFonts w:ascii="Calibri" w:hAnsi="Calibri" w:cs="Calibri"/>
        </w:rPr>
        <w:t>, pp. 70–92.</w:t>
      </w:r>
    </w:p>
    <w:p w14:paraId="43DD2235" w14:textId="77777777" w:rsidR="00EC098B" w:rsidRPr="00EC098B" w:rsidRDefault="00EC098B" w:rsidP="00EC098B">
      <w:pPr>
        <w:rPr>
          <w:rFonts w:ascii="Calibri" w:hAnsi="Calibri" w:cs="Calibri"/>
        </w:rPr>
      </w:pPr>
      <w:r w:rsidRPr="00EC098B">
        <w:rPr>
          <w:rFonts w:ascii="Calibri" w:hAnsi="Calibri" w:cs="Calibri"/>
        </w:rPr>
        <w:lastRenderedPageBreak/>
        <w:t xml:space="preserve">Dawson, N. (2015) </w:t>
      </w:r>
      <w:r w:rsidRPr="00EC098B">
        <w:rPr>
          <w:rFonts w:ascii="Calibri" w:hAnsi="Calibri" w:cs="Calibri"/>
          <w:i/>
          <w:iCs/>
        </w:rPr>
        <w:t>Towards a dynamic understanding of burnout</w:t>
      </w:r>
      <w:r w:rsidRPr="00EC098B">
        <w:rPr>
          <w:rFonts w:ascii="Calibri" w:hAnsi="Calibri" w:cs="Calibri"/>
        </w:rPr>
        <w:t>. Doctoral dissertation, City University London.</w:t>
      </w:r>
    </w:p>
    <w:p w14:paraId="15761B35" w14:textId="77777777" w:rsidR="00EC098B" w:rsidRPr="00EC098B" w:rsidRDefault="00EC098B" w:rsidP="00EC098B">
      <w:pPr>
        <w:rPr>
          <w:rFonts w:ascii="Calibri" w:hAnsi="Calibri" w:cs="Calibri"/>
        </w:rPr>
      </w:pPr>
      <w:r w:rsidRPr="00EC098B">
        <w:rPr>
          <w:rFonts w:ascii="Calibri" w:hAnsi="Calibri" w:cs="Calibri"/>
        </w:rPr>
        <w:t xml:space="preserve">Demerouti, E., Bakker, A.B., Nachreiner, F. and Schaufeli, W.B. (2001) ‘The job demands-resources model of burnout’, </w:t>
      </w:r>
      <w:r w:rsidRPr="00EC098B">
        <w:rPr>
          <w:rFonts w:ascii="Calibri" w:hAnsi="Calibri" w:cs="Calibri"/>
          <w:i/>
          <w:iCs/>
        </w:rPr>
        <w:t>Journal of Applied Psychology</w:t>
      </w:r>
      <w:r w:rsidRPr="00EC098B">
        <w:rPr>
          <w:rFonts w:ascii="Calibri" w:hAnsi="Calibri" w:cs="Calibri"/>
        </w:rPr>
        <w:t>, 86(3), p. 499.</w:t>
      </w:r>
    </w:p>
    <w:p w14:paraId="6EFE6C76" w14:textId="77777777" w:rsidR="00EC098B" w:rsidRPr="00EC098B" w:rsidRDefault="00EC098B" w:rsidP="00EC098B">
      <w:pPr>
        <w:rPr>
          <w:rFonts w:ascii="Calibri" w:hAnsi="Calibri" w:cs="Calibri"/>
        </w:rPr>
      </w:pPr>
      <w:r w:rsidRPr="00EC098B">
        <w:rPr>
          <w:rFonts w:ascii="Calibri" w:hAnsi="Calibri" w:cs="Calibri"/>
        </w:rPr>
        <w:t xml:space="preserve">Dworkin, A.G. (2009) ‘Teacher burnout and teacher resilience’, in </w:t>
      </w:r>
      <w:r w:rsidRPr="00EC098B">
        <w:rPr>
          <w:rFonts w:ascii="Calibri" w:hAnsi="Calibri" w:cs="Calibri"/>
          <w:i/>
          <w:iCs/>
        </w:rPr>
        <w:t>International Handbook of Research on Teachers and Teaching</w:t>
      </w:r>
      <w:r w:rsidRPr="00EC098B">
        <w:rPr>
          <w:rFonts w:ascii="Calibri" w:hAnsi="Calibri" w:cs="Calibri"/>
        </w:rPr>
        <w:t>. Springer, pp. 491–502.</w:t>
      </w:r>
    </w:p>
    <w:p w14:paraId="3193CB27" w14:textId="77777777" w:rsidR="00EC098B" w:rsidRPr="00EC098B" w:rsidRDefault="00EC098B" w:rsidP="00EC098B">
      <w:pPr>
        <w:rPr>
          <w:rFonts w:ascii="Calibri" w:hAnsi="Calibri" w:cs="Calibri"/>
        </w:rPr>
      </w:pPr>
      <w:r w:rsidRPr="00EC098B">
        <w:rPr>
          <w:rFonts w:ascii="Calibri" w:hAnsi="Calibri" w:cs="Calibri"/>
        </w:rPr>
        <w:t xml:space="preserve">Easthope, C. and Easthope, G. (2000) ‘Intensification of teachers’ workload’, </w:t>
      </w:r>
      <w:r w:rsidRPr="00EC098B">
        <w:rPr>
          <w:rFonts w:ascii="Calibri" w:hAnsi="Calibri" w:cs="Calibri"/>
          <w:i/>
          <w:iCs/>
        </w:rPr>
        <w:t>British Journal of Sociology of Education</w:t>
      </w:r>
      <w:r w:rsidRPr="00EC098B">
        <w:rPr>
          <w:rFonts w:ascii="Calibri" w:hAnsi="Calibri" w:cs="Calibri"/>
        </w:rPr>
        <w:t>, 21(1), pp. 43–58.</w:t>
      </w:r>
    </w:p>
    <w:p w14:paraId="0DE55A62" w14:textId="77777777" w:rsidR="00EC098B" w:rsidRPr="00EC098B" w:rsidRDefault="00EC098B" w:rsidP="00EC098B">
      <w:pPr>
        <w:rPr>
          <w:rFonts w:ascii="Calibri" w:hAnsi="Calibri" w:cs="Calibri"/>
        </w:rPr>
      </w:pPr>
      <w:r w:rsidRPr="00EC098B">
        <w:rPr>
          <w:rFonts w:ascii="Calibri" w:hAnsi="Calibri" w:cs="Calibri"/>
        </w:rPr>
        <w:t xml:space="preserve">Ellis, T. (2025) </w:t>
      </w:r>
      <w:r w:rsidRPr="00EC098B">
        <w:rPr>
          <w:rFonts w:ascii="Calibri" w:hAnsi="Calibri" w:cs="Calibri"/>
          <w:i/>
          <w:iCs/>
        </w:rPr>
        <w:t>Educational system leadership</w:t>
      </w:r>
      <w:r w:rsidRPr="00EC098B">
        <w:rPr>
          <w:rFonts w:ascii="Calibri" w:hAnsi="Calibri" w:cs="Calibri"/>
        </w:rPr>
        <w:t>. Doctoral thesis, University of Wales Trinity Saint David.</w:t>
      </w:r>
    </w:p>
    <w:p w14:paraId="32C91275" w14:textId="77777777" w:rsidR="00EC098B" w:rsidRPr="00EC098B" w:rsidRDefault="00EC098B" w:rsidP="00EC098B">
      <w:pPr>
        <w:rPr>
          <w:rFonts w:ascii="Calibri" w:hAnsi="Calibri" w:cs="Calibri"/>
        </w:rPr>
      </w:pPr>
      <w:proofErr w:type="spellStart"/>
      <w:r w:rsidRPr="00EC098B">
        <w:rPr>
          <w:rFonts w:ascii="Calibri" w:hAnsi="Calibri" w:cs="Calibri"/>
        </w:rPr>
        <w:t>Geuens</w:t>
      </w:r>
      <w:proofErr w:type="spellEnd"/>
      <w:r w:rsidRPr="00EC098B">
        <w:rPr>
          <w:rFonts w:ascii="Calibri" w:hAnsi="Calibri" w:cs="Calibri"/>
        </w:rPr>
        <w:t xml:space="preserve">, N., Van Bogaert, P. and Franck, E. (2017) ‘Vulnerability to burnout within the nursing workforce’, </w:t>
      </w:r>
      <w:r w:rsidRPr="00EC098B">
        <w:rPr>
          <w:rFonts w:ascii="Calibri" w:hAnsi="Calibri" w:cs="Calibri"/>
          <w:i/>
          <w:iCs/>
        </w:rPr>
        <w:t>Journal of Clinical Nursing</w:t>
      </w:r>
      <w:r w:rsidRPr="00EC098B">
        <w:rPr>
          <w:rFonts w:ascii="Calibri" w:hAnsi="Calibri" w:cs="Calibri"/>
        </w:rPr>
        <w:t>, 26(23–24), pp. 4622–4633.</w:t>
      </w:r>
    </w:p>
    <w:p w14:paraId="66D5D676" w14:textId="77777777" w:rsidR="00EC098B" w:rsidRPr="00EC098B" w:rsidRDefault="00EC098B" w:rsidP="00EC098B">
      <w:pPr>
        <w:rPr>
          <w:rFonts w:ascii="Calibri" w:hAnsi="Calibri" w:cs="Calibri"/>
        </w:rPr>
      </w:pPr>
      <w:r w:rsidRPr="00EC098B">
        <w:rPr>
          <w:rFonts w:ascii="Calibri" w:hAnsi="Calibri" w:cs="Calibri"/>
        </w:rPr>
        <w:t xml:space="preserve">Ghasemi, F. (2025) ‘Teachers’ occupational stressors and coping strategies’, </w:t>
      </w:r>
      <w:r w:rsidRPr="00EC098B">
        <w:rPr>
          <w:rFonts w:ascii="Calibri" w:hAnsi="Calibri" w:cs="Calibri"/>
          <w:i/>
          <w:iCs/>
        </w:rPr>
        <w:t>Research Papers in Education</w:t>
      </w:r>
      <w:r w:rsidRPr="00EC098B">
        <w:rPr>
          <w:rFonts w:ascii="Calibri" w:hAnsi="Calibri" w:cs="Calibri"/>
        </w:rPr>
        <w:t>, 40(1), pp. 136–165.</w:t>
      </w:r>
    </w:p>
    <w:p w14:paraId="34916368" w14:textId="77777777" w:rsidR="00EC098B" w:rsidRPr="00EC098B" w:rsidRDefault="00EC098B" w:rsidP="00EC098B">
      <w:pPr>
        <w:rPr>
          <w:rFonts w:ascii="Calibri" w:hAnsi="Calibri" w:cs="Calibri"/>
        </w:rPr>
      </w:pPr>
      <w:proofErr w:type="spellStart"/>
      <w:r w:rsidRPr="00EC098B">
        <w:rPr>
          <w:rFonts w:ascii="Calibri" w:hAnsi="Calibri" w:cs="Calibri"/>
        </w:rPr>
        <w:t>Gorard</w:t>
      </w:r>
      <w:proofErr w:type="spellEnd"/>
      <w:r w:rsidRPr="00EC098B">
        <w:rPr>
          <w:rFonts w:ascii="Calibri" w:hAnsi="Calibri" w:cs="Calibri"/>
        </w:rPr>
        <w:t xml:space="preserve">, S. (2017) ‘How prepared do newly-qualified teachers feel?’, </w:t>
      </w:r>
      <w:r w:rsidRPr="00EC098B">
        <w:rPr>
          <w:rFonts w:ascii="Calibri" w:hAnsi="Calibri" w:cs="Calibri"/>
          <w:i/>
          <w:iCs/>
        </w:rPr>
        <w:t>Journal of Education for Teaching</w:t>
      </w:r>
      <w:r w:rsidRPr="00EC098B">
        <w:rPr>
          <w:rFonts w:ascii="Calibri" w:hAnsi="Calibri" w:cs="Calibri"/>
        </w:rPr>
        <w:t>, 43(1), pp. 3–19.</w:t>
      </w:r>
    </w:p>
    <w:p w14:paraId="489F4DE5" w14:textId="77777777" w:rsidR="00EC098B" w:rsidRPr="00EC098B" w:rsidRDefault="00EC098B" w:rsidP="00EC098B">
      <w:pPr>
        <w:rPr>
          <w:rFonts w:ascii="Calibri" w:hAnsi="Calibri" w:cs="Calibri"/>
        </w:rPr>
      </w:pPr>
      <w:r w:rsidRPr="00EC098B">
        <w:rPr>
          <w:rFonts w:ascii="Calibri" w:hAnsi="Calibri" w:cs="Calibri"/>
        </w:rPr>
        <w:t xml:space="preserve">Haddaway, N.R., Woodcock, P., Macura, B. and Collins, A. (2015) ‘Making literature reviews more reliable’, </w:t>
      </w:r>
      <w:r w:rsidRPr="00EC098B">
        <w:rPr>
          <w:rFonts w:ascii="Calibri" w:hAnsi="Calibri" w:cs="Calibri"/>
          <w:i/>
          <w:iCs/>
        </w:rPr>
        <w:t>Conservation Biology</w:t>
      </w:r>
      <w:r w:rsidRPr="00EC098B">
        <w:rPr>
          <w:rFonts w:ascii="Calibri" w:hAnsi="Calibri" w:cs="Calibri"/>
        </w:rPr>
        <w:t>, 29(6), pp. 1596–1605.</w:t>
      </w:r>
    </w:p>
    <w:p w14:paraId="227C1E1D" w14:textId="77777777" w:rsidR="00EC098B" w:rsidRPr="00EC098B" w:rsidRDefault="00EC098B" w:rsidP="00EC098B">
      <w:pPr>
        <w:rPr>
          <w:rFonts w:ascii="Calibri" w:hAnsi="Calibri" w:cs="Calibri"/>
        </w:rPr>
      </w:pPr>
      <w:r w:rsidRPr="00EC098B">
        <w:rPr>
          <w:rFonts w:ascii="Calibri" w:hAnsi="Calibri" w:cs="Calibri"/>
        </w:rPr>
        <w:t xml:space="preserve">Hogan, J.P. and White, P. (2021) ‘Early career teacher burnout’, </w:t>
      </w:r>
      <w:r w:rsidRPr="00EC098B">
        <w:rPr>
          <w:rFonts w:ascii="Calibri" w:hAnsi="Calibri" w:cs="Calibri"/>
          <w:i/>
          <w:iCs/>
        </w:rPr>
        <w:t>Australian Journal of Teacher Education</w:t>
      </w:r>
      <w:r w:rsidRPr="00EC098B">
        <w:rPr>
          <w:rFonts w:ascii="Calibri" w:hAnsi="Calibri" w:cs="Calibri"/>
        </w:rPr>
        <w:t>, 46(5), pp. 18–39.</w:t>
      </w:r>
    </w:p>
    <w:p w14:paraId="0E9C02CC" w14:textId="77777777" w:rsidR="00EC098B" w:rsidRPr="00EC098B" w:rsidRDefault="00EC098B" w:rsidP="00EC098B">
      <w:pPr>
        <w:rPr>
          <w:rFonts w:ascii="Calibri" w:hAnsi="Calibri" w:cs="Calibri"/>
        </w:rPr>
      </w:pPr>
      <w:proofErr w:type="spellStart"/>
      <w:r w:rsidRPr="00EC098B">
        <w:rPr>
          <w:rFonts w:ascii="Calibri" w:hAnsi="Calibri" w:cs="Calibri"/>
        </w:rPr>
        <w:t>Hoogendijk</w:t>
      </w:r>
      <w:proofErr w:type="spellEnd"/>
      <w:r w:rsidRPr="00EC098B">
        <w:rPr>
          <w:rFonts w:ascii="Calibri" w:hAnsi="Calibri" w:cs="Calibri"/>
        </w:rPr>
        <w:t xml:space="preserve">, K. et al. (2023) ‘Teachers’ self-efficacy and emotional exhaustion’, </w:t>
      </w:r>
      <w:r w:rsidRPr="00EC098B">
        <w:rPr>
          <w:rFonts w:ascii="Calibri" w:hAnsi="Calibri" w:cs="Calibri"/>
          <w:i/>
          <w:iCs/>
        </w:rPr>
        <w:t>Current Psychology</w:t>
      </w:r>
      <w:r w:rsidRPr="00EC098B">
        <w:rPr>
          <w:rFonts w:ascii="Calibri" w:hAnsi="Calibri" w:cs="Calibri"/>
        </w:rPr>
        <w:t>, 42(26), pp. 22989–23002.</w:t>
      </w:r>
    </w:p>
    <w:p w14:paraId="122411CC" w14:textId="77777777" w:rsidR="00EC098B" w:rsidRPr="00EC098B" w:rsidRDefault="00EC098B" w:rsidP="00EC098B">
      <w:pPr>
        <w:rPr>
          <w:rFonts w:ascii="Calibri" w:hAnsi="Calibri" w:cs="Calibri"/>
        </w:rPr>
      </w:pPr>
      <w:r w:rsidRPr="00EC098B">
        <w:rPr>
          <w:rFonts w:ascii="Calibri" w:hAnsi="Calibri" w:cs="Calibri"/>
        </w:rPr>
        <w:t xml:space="preserve">Howard, S. and Johnson, B. (2004) ‘Resilient teachers’, </w:t>
      </w:r>
      <w:r w:rsidRPr="00EC098B">
        <w:rPr>
          <w:rFonts w:ascii="Calibri" w:hAnsi="Calibri" w:cs="Calibri"/>
          <w:i/>
          <w:iCs/>
        </w:rPr>
        <w:t>Social Psychology of Education</w:t>
      </w:r>
      <w:r w:rsidRPr="00EC098B">
        <w:rPr>
          <w:rFonts w:ascii="Calibri" w:hAnsi="Calibri" w:cs="Calibri"/>
        </w:rPr>
        <w:t>, 7(4), pp. 399–420.</w:t>
      </w:r>
    </w:p>
    <w:p w14:paraId="0CCB6FBE" w14:textId="77777777" w:rsidR="00EC098B" w:rsidRPr="00EC098B" w:rsidRDefault="00EC098B" w:rsidP="00EC098B">
      <w:pPr>
        <w:rPr>
          <w:rFonts w:ascii="Calibri" w:hAnsi="Calibri" w:cs="Calibri"/>
        </w:rPr>
      </w:pPr>
      <w:r w:rsidRPr="00EC098B">
        <w:rPr>
          <w:rFonts w:ascii="Calibri" w:hAnsi="Calibri" w:cs="Calibri"/>
        </w:rPr>
        <w:t xml:space="preserve">Hudson, P. (2012) ‘How can schools support beginning teachers?’, </w:t>
      </w:r>
      <w:r w:rsidRPr="00EC098B">
        <w:rPr>
          <w:rFonts w:ascii="Calibri" w:hAnsi="Calibri" w:cs="Calibri"/>
          <w:i/>
          <w:iCs/>
        </w:rPr>
        <w:t>Australian Journal of Teacher Education</w:t>
      </w:r>
      <w:r w:rsidRPr="00EC098B">
        <w:rPr>
          <w:rFonts w:ascii="Calibri" w:hAnsi="Calibri" w:cs="Calibri"/>
        </w:rPr>
        <w:t>, 37(7), pp. 71–84.</w:t>
      </w:r>
    </w:p>
    <w:p w14:paraId="738A7B13" w14:textId="77777777" w:rsidR="00EC098B" w:rsidRPr="00EC098B" w:rsidRDefault="00EC098B" w:rsidP="00EC098B">
      <w:pPr>
        <w:rPr>
          <w:rFonts w:ascii="Calibri" w:hAnsi="Calibri" w:cs="Calibri"/>
        </w:rPr>
      </w:pPr>
      <w:r w:rsidRPr="00EC098B">
        <w:rPr>
          <w:rFonts w:ascii="Calibri" w:hAnsi="Calibri" w:cs="Calibri"/>
        </w:rPr>
        <w:t xml:space="preserve">Jomuad, P.D. et al. (2021) ‘Teachers’ workload and burnout’, </w:t>
      </w:r>
      <w:r w:rsidRPr="00EC098B">
        <w:rPr>
          <w:rFonts w:ascii="Calibri" w:hAnsi="Calibri" w:cs="Calibri"/>
          <w:i/>
          <w:iCs/>
        </w:rPr>
        <w:t>International Journal of Educational Policy Research and Review</w:t>
      </w:r>
      <w:r w:rsidRPr="00EC098B">
        <w:rPr>
          <w:rFonts w:ascii="Calibri" w:hAnsi="Calibri" w:cs="Calibri"/>
        </w:rPr>
        <w:t>.</w:t>
      </w:r>
    </w:p>
    <w:p w14:paraId="22A08ACE" w14:textId="77777777" w:rsidR="00EC098B" w:rsidRPr="00EC098B" w:rsidRDefault="00EC098B" w:rsidP="00EC098B">
      <w:pPr>
        <w:rPr>
          <w:rFonts w:ascii="Calibri" w:hAnsi="Calibri" w:cs="Calibri"/>
        </w:rPr>
      </w:pPr>
      <w:r w:rsidRPr="00EC098B">
        <w:rPr>
          <w:rFonts w:ascii="Calibri" w:hAnsi="Calibri" w:cs="Calibri"/>
        </w:rPr>
        <w:t xml:space="preserve">Johnson, B. et al. (2015) </w:t>
      </w:r>
      <w:r w:rsidRPr="00EC098B">
        <w:rPr>
          <w:rFonts w:ascii="Calibri" w:hAnsi="Calibri" w:cs="Calibri"/>
          <w:i/>
          <w:iCs/>
        </w:rPr>
        <w:t>Early career teachers: Stories of resilience</w:t>
      </w:r>
      <w:r w:rsidRPr="00EC098B">
        <w:rPr>
          <w:rFonts w:ascii="Calibri" w:hAnsi="Calibri" w:cs="Calibri"/>
        </w:rPr>
        <w:t>. Singapore: Springer.</w:t>
      </w:r>
    </w:p>
    <w:p w14:paraId="03F9C0E7" w14:textId="77777777" w:rsidR="00EC098B" w:rsidRPr="00EC098B" w:rsidRDefault="00EC098B" w:rsidP="00EC098B">
      <w:pPr>
        <w:rPr>
          <w:rFonts w:ascii="Calibri" w:hAnsi="Calibri" w:cs="Calibri"/>
        </w:rPr>
      </w:pPr>
      <w:r w:rsidRPr="00EC098B">
        <w:rPr>
          <w:rFonts w:ascii="Calibri" w:hAnsi="Calibri" w:cs="Calibri"/>
        </w:rPr>
        <w:t xml:space="preserve">Klusmann, U. et al. (2008) ‘Engagement and emotional exhaustion’, </w:t>
      </w:r>
      <w:r w:rsidRPr="00EC098B">
        <w:rPr>
          <w:rFonts w:ascii="Calibri" w:hAnsi="Calibri" w:cs="Calibri"/>
          <w:i/>
          <w:iCs/>
        </w:rPr>
        <w:t>Applied Psychology</w:t>
      </w:r>
      <w:r w:rsidRPr="00EC098B">
        <w:rPr>
          <w:rFonts w:ascii="Calibri" w:hAnsi="Calibri" w:cs="Calibri"/>
        </w:rPr>
        <w:t>, 57, pp. 127–151.</w:t>
      </w:r>
    </w:p>
    <w:p w14:paraId="1F6A1D03" w14:textId="77777777" w:rsidR="00EC098B" w:rsidRPr="00EC098B" w:rsidRDefault="00EC098B" w:rsidP="00EC098B">
      <w:pPr>
        <w:rPr>
          <w:rFonts w:ascii="Calibri" w:hAnsi="Calibri" w:cs="Calibri"/>
        </w:rPr>
      </w:pPr>
      <w:r w:rsidRPr="00EC098B">
        <w:rPr>
          <w:rFonts w:ascii="Calibri" w:hAnsi="Calibri" w:cs="Calibri"/>
        </w:rPr>
        <w:t xml:space="preserve">Korthagen, F.A. (2004) ‘In search of the essence of a good teacher’, </w:t>
      </w:r>
      <w:r w:rsidRPr="00EC098B">
        <w:rPr>
          <w:rFonts w:ascii="Calibri" w:hAnsi="Calibri" w:cs="Calibri"/>
          <w:i/>
          <w:iCs/>
        </w:rPr>
        <w:t>Teaching and Teacher Education</w:t>
      </w:r>
      <w:r w:rsidRPr="00EC098B">
        <w:rPr>
          <w:rFonts w:ascii="Calibri" w:hAnsi="Calibri" w:cs="Calibri"/>
        </w:rPr>
        <w:t>, 20(1), pp. 77–97.</w:t>
      </w:r>
    </w:p>
    <w:p w14:paraId="44E7AD51" w14:textId="77777777" w:rsidR="00EC098B" w:rsidRPr="00EC098B" w:rsidRDefault="00EC098B" w:rsidP="00EC098B">
      <w:pPr>
        <w:rPr>
          <w:rFonts w:ascii="Calibri" w:hAnsi="Calibri" w:cs="Calibri"/>
        </w:rPr>
      </w:pPr>
      <w:proofErr w:type="spellStart"/>
      <w:r w:rsidRPr="00EC098B">
        <w:rPr>
          <w:rFonts w:ascii="Calibri" w:hAnsi="Calibri" w:cs="Calibri"/>
        </w:rPr>
        <w:t>Kutsyuruba</w:t>
      </w:r>
      <w:proofErr w:type="spellEnd"/>
      <w:r w:rsidRPr="00EC098B">
        <w:rPr>
          <w:rFonts w:ascii="Calibri" w:hAnsi="Calibri" w:cs="Calibri"/>
        </w:rPr>
        <w:t xml:space="preserve">, B., Godden, L. and Walker, K. (2020) ‘Mentoring early-career teachers’, </w:t>
      </w:r>
      <w:r w:rsidRPr="00EC098B">
        <w:rPr>
          <w:rFonts w:ascii="Calibri" w:hAnsi="Calibri" w:cs="Calibri"/>
          <w:i/>
          <w:iCs/>
        </w:rPr>
        <w:t>Research in Educational Administration and Leadership</w:t>
      </w:r>
      <w:r w:rsidRPr="00EC098B">
        <w:rPr>
          <w:rFonts w:ascii="Calibri" w:hAnsi="Calibri" w:cs="Calibri"/>
        </w:rPr>
        <w:t>, 5(3), pp. 682–720.</w:t>
      </w:r>
    </w:p>
    <w:p w14:paraId="06F0E33B" w14:textId="77777777" w:rsidR="00EC098B" w:rsidRPr="00EC098B" w:rsidRDefault="00EC098B" w:rsidP="00EC098B">
      <w:pPr>
        <w:rPr>
          <w:rFonts w:ascii="Calibri" w:hAnsi="Calibri" w:cs="Calibri"/>
        </w:rPr>
      </w:pPr>
      <w:r w:rsidRPr="00EC098B">
        <w:rPr>
          <w:rFonts w:ascii="Calibri" w:hAnsi="Calibri" w:cs="Calibri"/>
        </w:rPr>
        <w:t xml:space="preserve">Lambert, K. and Gray, C. (2020) ‘Performing teacher identity’, </w:t>
      </w:r>
      <w:r w:rsidRPr="00EC098B">
        <w:rPr>
          <w:rFonts w:ascii="Calibri" w:hAnsi="Calibri" w:cs="Calibri"/>
          <w:i/>
          <w:iCs/>
        </w:rPr>
        <w:t>Pedagogy, Culture &amp; Society</w:t>
      </w:r>
      <w:r w:rsidRPr="00EC098B">
        <w:rPr>
          <w:rFonts w:ascii="Calibri" w:hAnsi="Calibri" w:cs="Calibri"/>
        </w:rPr>
        <w:t>, 28(4), pp. 501–523.</w:t>
      </w:r>
    </w:p>
    <w:p w14:paraId="624A0A00" w14:textId="77777777" w:rsidR="00EC098B" w:rsidRPr="00EC098B" w:rsidRDefault="00EC098B" w:rsidP="00EC098B">
      <w:pPr>
        <w:rPr>
          <w:rFonts w:ascii="Calibri" w:hAnsi="Calibri" w:cs="Calibri"/>
        </w:rPr>
      </w:pPr>
      <w:proofErr w:type="spellStart"/>
      <w:r w:rsidRPr="00EC098B">
        <w:rPr>
          <w:rFonts w:ascii="Calibri" w:hAnsi="Calibri" w:cs="Calibri"/>
        </w:rPr>
        <w:lastRenderedPageBreak/>
        <w:t>Leithwood</w:t>
      </w:r>
      <w:proofErr w:type="spellEnd"/>
      <w:r w:rsidRPr="00EC098B">
        <w:rPr>
          <w:rFonts w:ascii="Calibri" w:hAnsi="Calibri" w:cs="Calibri"/>
        </w:rPr>
        <w:t xml:space="preserve">, K. and Sun, J. (2018) ‘Academic culture and leadership’, </w:t>
      </w:r>
      <w:r w:rsidRPr="00EC098B">
        <w:rPr>
          <w:rFonts w:ascii="Calibri" w:hAnsi="Calibri" w:cs="Calibri"/>
          <w:i/>
          <w:iCs/>
        </w:rPr>
        <w:t>Journal of Educational Administration</w:t>
      </w:r>
      <w:r w:rsidRPr="00EC098B">
        <w:rPr>
          <w:rFonts w:ascii="Calibri" w:hAnsi="Calibri" w:cs="Calibri"/>
        </w:rPr>
        <w:t>, 56(3), pp. 350–363.</w:t>
      </w:r>
    </w:p>
    <w:p w14:paraId="4D6E8B59" w14:textId="77777777" w:rsidR="00EC098B" w:rsidRPr="00EC098B" w:rsidRDefault="00EC098B" w:rsidP="00EC098B">
      <w:pPr>
        <w:rPr>
          <w:rFonts w:ascii="Calibri" w:hAnsi="Calibri" w:cs="Calibri"/>
        </w:rPr>
      </w:pPr>
      <w:r w:rsidRPr="00EC098B">
        <w:rPr>
          <w:rFonts w:ascii="Calibri" w:hAnsi="Calibri" w:cs="Calibri"/>
        </w:rPr>
        <w:t xml:space="preserve">Li, S. (2023) ‘The effect of teacher self-efficacy, teacher resilience, and emotion regulation on teacher burnout: A mediation model’, </w:t>
      </w:r>
      <w:r w:rsidRPr="00EC098B">
        <w:rPr>
          <w:rFonts w:ascii="Calibri" w:hAnsi="Calibri" w:cs="Calibri"/>
          <w:i/>
          <w:iCs/>
        </w:rPr>
        <w:t>Frontiers in Psychology</w:t>
      </w:r>
      <w:r w:rsidRPr="00EC098B">
        <w:rPr>
          <w:rFonts w:ascii="Calibri" w:hAnsi="Calibri" w:cs="Calibri"/>
        </w:rPr>
        <w:t>, 14, p. 1185079.</w:t>
      </w:r>
    </w:p>
    <w:p w14:paraId="24E4BE02" w14:textId="77777777" w:rsidR="00EC098B" w:rsidRPr="00EC098B" w:rsidRDefault="00EC098B" w:rsidP="00EC098B">
      <w:pPr>
        <w:rPr>
          <w:rFonts w:ascii="Calibri" w:hAnsi="Calibri" w:cs="Calibri"/>
        </w:rPr>
      </w:pPr>
      <w:r w:rsidRPr="00EC098B">
        <w:rPr>
          <w:rFonts w:ascii="Calibri" w:hAnsi="Calibri" w:cs="Calibri"/>
        </w:rPr>
        <w:t xml:space="preserve">Little, S. (2016) ‘Staff–student partnership model’, </w:t>
      </w:r>
      <w:r w:rsidRPr="00EC098B">
        <w:rPr>
          <w:rFonts w:ascii="Calibri" w:hAnsi="Calibri" w:cs="Calibri"/>
          <w:i/>
          <w:iCs/>
        </w:rPr>
        <w:t>International Journal for Academic Development</w:t>
      </w:r>
      <w:r w:rsidRPr="00EC098B">
        <w:rPr>
          <w:rFonts w:ascii="Calibri" w:hAnsi="Calibri" w:cs="Calibri"/>
        </w:rPr>
        <w:t>, 21(4), pp. 273–285.</w:t>
      </w:r>
    </w:p>
    <w:p w14:paraId="765A230C" w14:textId="77777777" w:rsidR="00EC098B" w:rsidRPr="00EC098B" w:rsidRDefault="00EC098B" w:rsidP="00EC098B">
      <w:pPr>
        <w:rPr>
          <w:rFonts w:ascii="Calibri" w:hAnsi="Calibri" w:cs="Calibri"/>
        </w:rPr>
      </w:pPr>
      <w:r w:rsidRPr="00EC098B">
        <w:rPr>
          <w:rFonts w:ascii="Calibri" w:hAnsi="Calibri" w:cs="Calibri"/>
        </w:rPr>
        <w:t xml:space="preserve">Madigan, D.J. and Kim, L.E. (2021) ‘Teacher burnout and student outcomes’, </w:t>
      </w:r>
      <w:r w:rsidRPr="00EC098B">
        <w:rPr>
          <w:rFonts w:ascii="Calibri" w:hAnsi="Calibri" w:cs="Calibri"/>
          <w:i/>
          <w:iCs/>
        </w:rPr>
        <w:t>International Journal of Educational Research</w:t>
      </w:r>
      <w:r w:rsidRPr="00EC098B">
        <w:rPr>
          <w:rFonts w:ascii="Calibri" w:hAnsi="Calibri" w:cs="Calibri"/>
        </w:rPr>
        <w:t>, 105, p. 101714.</w:t>
      </w:r>
    </w:p>
    <w:p w14:paraId="7AFF78C5" w14:textId="77777777" w:rsidR="00EC098B" w:rsidRPr="00EC098B" w:rsidRDefault="00EC098B" w:rsidP="00EC098B">
      <w:pPr>
        <w:rPr>
          <w:rFonts w:ascii="Calibri" w:hAnsi="Calibri" w:cs="Calibri"/>
        </w:rPr>
      </w:pPr>
      <w:r w:rsidRPr="00EC098B">
        <w:rPr>
          <w:rFonts w:ascii="Calibri" w:hAnsi="Calibri" w:cs="Calibri"/>
        </w:rPr>
        <w:t>Mahmoodi-</w:t>
      </w:r>
      <w:proofErr w:type="spellStart"/>
      <w:r w:rsidRPr="00EC098B">
        <w:rPr>
          <w:rFonts w:ascii="Calibri" w:hAnsi="Calibri" w:cs="Calibri"/>
        </w:rPr>
        <w:t>Shahrebabaki</w:t>
      </w:r>
      <w:proofErr w:type="spellEnd"/>
      <w:r w:rsidRPr="00EC098B">
        <w:rPr>
          <w:rFonts w:ascii="Calibri" w:hAnsi="Calibri" w:cs="Calibri"/>
        </w:rPr>
        <w:t xml:space="preserve">, M. (2019) ‘Teacher burnout’, </w:t>
      </w:r>
      <w:r w:rsidRPr="00EC098B">
        <w:rPr>
          <w:rFonts w:ascii="Calibri" w:hAnsi="Calibri" w:cs="Calibri"/>
          <w:i/>
          <w:iCs/>
        </w:rPr>
        <w:t xml:space="preserve">TESOL </w:t>
      </w:r>
      <w:proofErr w:type="spellStart"/>
      <w:r w:rsidRPr="00EC098B">
        <w:rPr>
          <w:rFonts w:ascii="Calibri" w:hAnsi="Calibri" w:cs="Calibri"/>
          <w:i/>
          <w:iCs/>
        </w:rPr>
        <w:t>Encyclopedia</w:t>
      </w:r>
      <w:proofErr w:type="spellEnd"/>
      <w:r w:rsidRPr="00EC098B">
        <w:rPr>
          <w:rFonts w:ascii="Calibri" w:hAnsi="Calibri" w:cs="Calibri"/>
        </w:rPr>
        <w:t>.</w:t>
      </w:r>
    </w:p>
    <w:p w14:paraId="35C90FAF" w14:textId="77777777" w:rsidR="00EC098B" w:rsidRPr="00EC098B" w:rsidRDefault="00EC098B" w:rsidP="00EC098B">
      <w:pPr>
        <w:rPr>
          <w:rFonts w:ascii="Calibri" w:hAnsi="Calibri" w:cs="Calibri"/>
        </w:rPr>
      </w:pPr>
      <w:r w:rsidRPr="00EC098B">
        <w:rPr>
          <w:rFonts w:ascii="Calibri" w:hAnsi="Calibri" w:cs="Calibri"/>
        </w:rPr>
        <w:t xml:space="preserve">Markle, M. (2020) </w:t>
      </w:r>
      <w:r w:rsidRPr="00EC098B">
        <w:rPr>
          <w:rFonts w:ascii="Calibri" w:hAnsi="Calibri" w:cs="Calibri"/>
          <w:i/>
          <w:iCs/>
        </w:rPr>
        <w:t>Reality shock in new teachers</w:t>
      </w:r>
      <w:r w:rsidRPr="00EC098B">
        <w:rPr>
          <w:rFonts w:ascii="Calibri" w:hAnsi="Calibri" w:cs="Calibri"/>
        </w:rPr>
        <w:t>. Arcadia University.</w:t>
      </w:r>
    </w:p>
    <w:p w14:paraId="7D6B789F" w14:textId="77777777" w:rsidR="00EC098B" w:rsidRPr="00EC098B" w:rsidRDefault="00EC098B" w:rsidP="00EC098B">
      <w:pPr>
        <w:rPr>
          <w:rFonts w:ascii="Calibri" w:hAnsi="Calibri" w:cs="Calibri"/>
        </w:rPr>
      </w:pPr>
      <w:r w:rsidRPr="00EC098B">
        <w:rPr>
          <w:rFonts w:ascii="Calibri" w:hAnsi="Calibri" w:cs="Calibri"/>
        </w:rPr>
        <w:t xml:space="preserve">Maslach, C. and Jackson, S.E. (1981) ‘The measurement of burnout’, </w:t>
      </w:r>
      <w:r w:rsidRPr="00EC098B">
        <w:rPr>
          <w:rFonts w:ascii="Calibri" w:hAnsi="Calibri" w:cs="Calibri"/>
          <w:i/>
          <w:iCs/>
        </w:rPr>
        <w:t xml:space="preserve">Journal of Organizational </w:t>
      </w:r>
      <w:proofErr w:type="spellStart"/>
      <w:r w:rsidRPr="00EC098B">
        <w:rPr>
          <w:rFonts w:ascii="Calibri" w:hAnsi="Calibri" w:cs="Calibri"/>
          <w:i/>
          <w:iCs/>
        </w:rPr>
        <w:t>Behavior</w:t>
      </w:r>
      <w:proofErr w:type="spellEnd"/>
      <w:r w:rsidRPr="00EC098B">
        <w:rPr>
          <w:rFonts w:ascii="Calibri" w:hAnsi="Calibri" w:cs="Calibri"/>
        </w:rPr>
        <w:t>, 2(2), pp. 99–113.</w:t>
      </w:r>
    </w:p>
    <w:p w14:paraId="1EFF79FA" w14:textId="77777777" w:rsidR="00EC098B" w:rsidRPr="00EC098B" w:rsidRDefault="00EC098B" w:rsidP="00EC098B">
      <w:pPr>
        <w:rPr>
          <w:rFonts w:ascii="Calibri" w:hAnsi="Calibri" w:cs="Calibri"/>
        </w:rPr>
      </w:pPr>
      <w:r w:rsidRPr="00EC098B">
        <w:rPr>
          <w:rFonts w:ascii="Calibri" w:hAnsi="Calibri" w:cs="Calibri"/>
        </w:rPr>
        <w:t xml:space="preserve">Maslach, C. and Leiter, M.P. (2016) ‘Understanding burnout’, </w:t>
      </w:r>
      <w:r w:rsidRPr="00EC098B">
        <w:rPr>
          <w:rFonts w:ascii="Calibri" w:hAnsi="Calibri" w:cs="Calibri"/>
          <w:i/>
          <w:iCs/>
        </w:rPr>
        <w:t>World Psychiatry</w:t>
      </w:r>
      <w:r w:rsidRPr="00EC098B">
        <w:rPr>
          <w:rFonts w:ascii="Calibri" w:hAnsi="Calibri" w:cs="Calibri"/>
        </w:rPr>
        <w:t>, 15(2), pp. 103–111.</w:t>
      </w:r>
    </w:p>
    <w:p w14:paraId="49F73C5E" w14:textId="77777777" w:rsidR="00EC098B" w:rsidRPr="00EC098B" w:rsidRDefault="00EC098B" w:rsidP="00EC098B">
      <w:pPr>
        <w:rPr>
          <w:rFonts w:ascii="Calibri" w:hAnsi="Calibri" w:cs="Calibri"/>
        </w:rPr>
      </w:pPr>
      <w:r w:rsidRPr="00EC098B">
        <w:rPr>
          <w:rFonts w:ascii="Calibri" w:hAnsi="Calibri" w:cs="Calibri"/>
        </w:rPr>
        <w:t xml:space="preserve">McKay, A., MacDonald, K. and Longmuir, F. (2025) ‘Emotional intensity of educational leadership’, </w:t>
      </w:r>
      <w:r w:rsidRPr="00EC098B">
        <w:rPr>
          <w:rFonts w:ascii="Calibri" w:hAnsi="Calibri" w:cs="Calibri"/>
          <w:i/>
          <w:iCs/>
        </w:rPr>
        <w:t>International Journal of Leadership in Education</w:t>
      </w:r>
      <w:r w:rsidRPr="00EC098B">
        <w:rPr>
          <w:rFonts w:ascii="Calibri" w:hAnsi="Calibri" w:cs="Calibri"/>
        </w:rPr>
        <w:t>, 28(4), pp. 673–695.</w:t>
      </w:r>
    </w:p>
    <w:p w14:paraId="2CD3C61B" w14:textId="77777777" w:rsidR="00EC098B" w:rsidRPr="00EC098B" w:rsidRDefault="00EC098B" w:rsidP="00EC098B">
      <w:pPr>
        <w:rPr>
          <w:rFonts w:ascii="Calibri" w:hAnsi="Calibri" w:cs="Calibri"/>
        </w:rPr>
      </w:pPr>
      <w:r w:rsidRPr="00EC098B">
        <w:rPr>
          <w:rFonts w:ascii="Calibri" w:hAnsi="Calibri" w:cs="Calibri"/>
        </w:rPr>
        <w:t xml:space="preserve">Milton, E. et al. (2022) ‘Learning environments for new teachers’, </w:t>
      </w:r>
      <w:r w:rsidRPr="00EC098B">
        <w:rPr>
          <w:rFonts w:ascii="Calibri" w:hAnsi="Calibri" w:cs="Calibri"/>
          <w:i/>
          <w:iCs/>
        </w:rPr>
        <w:t>Professional Development in Education</w:t>
      </w:r>
      <w:r w:rsidRPr="00EC098B">
        <w:rPr>
          <w:rFonts w:ascii="Calibri" w:hAnsi="Calibri" w:cs="Calibri"/>
        </w:rPr>
        <w:t>, 48(5), pp. 878–891.</w:t>
      </w:r>
    </w:p>
    <w:p w14:paraId="5363B91F" w14:textId="77777777" w:rsidR="00EC098B" w:rsidRPr="00EC098B" w:rsidRDefault="00EC098B" w:rsidP="00EC098B">
      <w:pPr>
        <w:rPr>
          <w:rFonts w:ascii="Calibri" w:hAnsi="Calibri" w:cs="Calibri"/>
        </w:rPr>
      </w:pPr>
      <w:r w:rsidRPr="00EC098B">
        <w:rPr>
          <w:rFonts w:ascii="Calibri" w:hAnsi="Calibri" w:cs="Calibri"/>
        </w:rPr>
        <w:t xml:space="preserve">Mijakoski, D. et al. (2022) ‘Determinants of burnout among teachers: A systematic review’, </w:t>
      </w:r>
      <w:r w:rsidRPr="00EC098B">
        <w:rPr>
          <w:rFonts w:ascii="Calibri" w:hAnsi="Calibri" w:cs="Calibri"/>
          <w:i/>
          <w:iCs/>
        </w:rPr>
        <w:t>International Journal of Environmental Research and Public Health</w:t>
      </w:r>
      <w:r w:rsidRPr="00EC098B">
        <w:rPr>
          <w:rFonts w:ascii="Calibri" w:hAnsi="Calibri" w:cs="Calibri"/>
        </w:rPr>
        <w:t>, 19(9), p. 5776.</w:t>
      </w:r>
    </w:p>
    <w:p w14:paraId="33C1C6C2" w14:textId="77777777" w:rsidR="00EC098B" w:rsidRPr="00EC098B" w:rsidRDefault="00EC098B" w:rsidP="00EC098B">
      <w:pPr>
        <w:rPr>
          <w:rFonts w:ascii="Calibri" w:hAnsi="Calibri" w:cs="Calibri"/>
        </w:rPr>
      </w:pPr>
      <w:r w:rsidRPr="00EC098B">
        <w:rPr>
          <w:rFonts w:ascii="Calibri" w:hAnsi="Calibri" w:cs="Calibri"/>
        </w:rPr>
        <w:t xml:space="preserve">Nagar, K. (2012) ‘Organisational commitment and burnout’, </w:t>
      </w:r>
      <w:proofErr w:type="spellStart"/>
      <w:r w:rsidRPr="00EC098B">
        <w:rPr>
          <w:rFonts w:ascii="Calibri" w:hAnsi="Calibri" w:cs="Calibri"/>
          <w:i/>
          <w:iCs/>
        </w:rPr>
        <w:t>Vikalpa</w:t>
      </w:r>
      <w:proofErr w:type="spellEnd"/>
      <w:r w:rsidRPr="00EC098B">
        <w:rPr>
          <w:rFonts w:ascii="Calibri" w:hAnsi="Calibri" w:cs="Calibri"/>
        </w:rPr>
        <w:t>, 37(2), pp. 43–60.</w:t>
      </w:r>
    </w:p>
    <w:p w14:paraId="2BF2DAEB" w14:textId="77777777" w:rsidR="00EC098B" w:rsidRPr="00EC098B" w:rsidRDefault="00EC098B" w:rsidP="00EC098B">
      <w:pPr>
        <w:rPr>
          <w:rFonts w:ascii="Calibri" w:hAnsi="Calibri" w:cs="Calibri"/>
        </w:rPr>
      </w:pPr>
      <w:r w:rsidRPr="00EC098B">
        <w:rPr>
          <w:rFonts w:ascii="Calibri" w:hAnsi="Calibri" w:cs="Calibri"/>
        </w:rPr>
        <w:t xml:space="preserve">Nwoko, J.C. et al. (2024) ‘Teachers’ occupational wellbeing’, </w:t>
      </w:r>
      <w:r w:rsidRPr="00EC098B">
        <w:rPr>
          <w:rFonts w:ascii="Calibri" w:hAnsi="Calibri" w:cs="Calibri"/>
          <w:i/>
          <w:iCs/>
        </w:rPr>
        <w:t>Education Sciences</w:t>
      </w:r>
      <w:r w:rsidRPr="00EC098B">
        <w:rPr>
          <w:rFonts w:ascii="Calibri" w:hAnsi="Calibri" w:cs="Calibri"/>
        </w:rPr>
        <w:t>, 14(11), p. 1225.</w:t>
      </w:r>
    </w:p>
    <w:p w14:paraId="1EC52611" w14:textId="77777777" w:rsidR="00EC098B" w:rsidRPr="00EC098B" w:rsidRDefault="00EC098B" w:rsidP="00EC098B">
      <w:pPr>
        <w:rPr>
          <w:rFonts w:ascii="Calibri" w:hAnsi="Calibri" w:cs="Calibri"/>
        </w:rPr>
      </w:pPr>
      <w:r w:rsidRPr="00EC098B">
        <w:rPr>
          <w:rFonts w:ascii="Calibri" w:hAnsi="Calibri" w:cs="Calibri"/>
        </w:rPr>
        <w:t xml:space="preserve">Paetz, A.M. (2024) </w:t>
      </w:r>
      <w:r w:rsidRPr="00EC098B">
        <w:rPr>
          <w:rFonts w:ascii="Calibri" w:hAnsi="Calibri" w:cs="Calibri"/>
          <w:i/>
          <w:iCs/>
        </w:rPr>
        <w:t>Perfectionism and burnout</w:t>
      </w:r>
      <w:r w:rsidRPr="00EC098B">
        <w:rPr>
          <w:rFonts w:ascii="Calibri" w:hAnsi="Calibri" w:cs="Calibri"/>
        </w:rPr>
        <w:t>. Doctoral thesis.</w:t>
      </w:r>
    </w:p>
    <w:p w14:paraId="0C52129A" w14:textId="77777777" w:rsidR="00EC098B" w:rsidRPr="00EC098B" w:rsidRDefault="00EC098B" w:rsidP="00EC098B">
      <w:pPr>
        <w:rPr>
          <w:rFonts w:ascii="Calibri" w:hAnsi="Calibri" w:cs="Calibri"/>
        </w:rPr>
      </w:pPr>
      <w:r w:rsidRPr="00EC098B">
        <w:rPr>
          <w:rFonts w:ascii="Calibri" w:hAnsi="Calibri" w:cs="Calibri"/>
        </w:rPr>
        <w:t xml:space="preserve">Pickard, E.L. (2021) </w:t>
      </w:r>
      <w:r w:rsidRPr="00EC098B">
        <w:rPr>
          <w:rFonts w:ascii="Calibri" w:hAnsi="Calibri" w:cs="Calibri"/>
          <w:i/>
          <w:iCs/>
        </w:rPr>
        <w:t>Towards a collective theory of burnout</w:t>
      </w:r>
      <w:r w:rsidRPr="00EC098B">
        <w:rPr>
          <w:rFonts w:ascii="Calibri" w:hAnsi="Calibri" w:cs="Calibri"/>
        </w:rPr>
        <w:t>. William James College.</w:t>
      </w:r>
    </w:p>
    <w:p w14:paraId="43A048CE" w14:textId="77777777" w:rsidR="00EC098B" w:rsidRPr="00EC098B" w:rsidRDefault="00EC098B" w:rsidP="00EC098B">
      <w:pPr>
        <w:rPr>
          <w:rFonts w:ascii="Calibri" w:hAnsi="Calibri" w:cs="Calibri"/>
        </w:rPr>
      </w:pPr>
      <w:r w:rsidRPr="00EC098B">
        <w:rPr>
          <w:rFonts w:ascii="Calibri" w:hAnsi="Calibri" w:cs="Calibri"/>
        </w:rPr>
        <w:t xml:space="preserve">Quickfall, A., Wood, P. and Clarke, E. (2022) ‘Experiences of newly qualified teachers in 2020 and what we can learn for future cohorts’, </w:t>
      </w:r>
      <w:r w:rsidRPr="00EC098B">
        <w:rPr>
          <w:rFonts w:ascii="Calibri" w:hAnsi="Calibri" w:cs="Calibri"/>
          <w:i/>
          <w:iCs/>
        </w:rPr>
        <w:t>London Review of Education</w:t>
      </w:r>
      <w:r w:rsidRPr="00EC098B">
        <w:rPr>
          <w:rFonts w:ascii="Calibri" w:hAnsi="Calibri" w:cs="Calibri"/>
        </w:rPr>
        <w:t>, 20(1), pp. 1–14.</w:t>
      </w:r>
    </w:p>
    <w:p w14:paraId="7715DCC7" w14:textId="77777777" w:rsidR="00EC098B" w:rsidRPr="00EC098B" w:rsidRDefault="00EC098B" w:rsidP="00EC098B">
      <w:pPr>
        <w:rPr>
          <w:rFonts w:ascii="Calibri" w:hAnsi="Calibri" w:cs="Calibri"/>
        </w:rPr>
      </w:pPr>
      <w:r w:rsidRPr="00EC098B">
        <w:rPr>
          <w:rFonts w:ascii="Calibri" w:hAnsi="Calibri" w:cs="Calibri"/>
        </w:rPr>
        <w:t xml:space="preserve">Richards, K.A.R., Hemphill, M.A. and Templin, T.J. (2018) ‘Teacher stress and burnout’, </w:t>
      </w:r>
      <w:r w:rsidRPr="00EC098B">
        <w:rPr>
          <w:rFonts w:ascii="Calibri" w:hAnsi="Calibri" w:cs="Calibri"/>
          <w:i/>
          <w:iCs/>
        </w:rPr>
        <w:t>Teachers and Teaching</w:t>
      </w:r>
      <w:r w:rsidRPr="00EC098B">
        <w:rPr>
          <w:rFonts w:ascii="Calibri" w:hAnsi="Calibri" w:cs="Calibri"/>
        </w:rPr>
        <w:t>, 24(7), pp. 768–787.</w:t>
      </w:r>
    </w:p>
    <w:p w14:paraId="1CC3A53F" w14:textId="77777777" w:rsidR="00EC098B" w:rsidRPr="00EC098B" w:rsidRDefault="00EC098B" w:rsidP="00EC098B">
      <w:pPr>
        <w:rPr>
          <w:rFonts w:ascii="Calibri" w:hAnsi="Calibri" w:cs="Calibri"/>
        </w:rPr>
      </w:pPr>
      <w:r w:rsidRPr="00EC098B">
        <w:rPr>
          <w:rFonts w:ascii="Calibri" w:hAnsi="Calibri" w:cs="Calibri"/>
        </w:rPr>
        <w:t xml:space="preserve">Schaufeli, W.B. (2017) ‘Applying the JD-R model’, </w:t>
      </w:r>
      <w:r w:rsidRPr="00EC098B">
        <w:rPr>
          <w:rFonts w:ascii="Calibri" w:hAnsi="Calibri" w:cs="Calibri"/>
          <w:i/>
          <w:iCs/>
        </w:rPr>
        <w:t>Organizational Dynamics</w:t>
      </w:r>
      <w:r w:rsidRPr="00EC098B">
        <w:rPr>
          <w:rFonts w:ascii="Calibri" w:hAnsi="Calibri" w:cs="Calibri"/>
        </w:rPr>
        <w:t>, 46(2), pp. 120–132.</w:t>
      </w:r>
    </w:p>
    <w:p w14:paraId="18A72B8B" w14:textId="77777777" w:rsidR="00EC098B" w:rsidRPr="00EC098B" w:rsidRDefault="00EC098B" w:rsidP="00EC098B">
      <w:pPr>
        <w:rPr>
          <w:rFonts w:ascii="Calibri" w:hAnsi="Calibri" w:cs="Calibri"/>
        </w:rPr>
      </w:pPr>
      <w:r w:rsidRPr="00EC098B">
        <w:rPr>
          <w:rFonts w:ascii="Calibri" w:hAnsi="Calibri" w:cs="Calibri"/>
        </w:rPr>
        <w:t xml:space="preserve">Schaufeli, W.B. (2018) </w:t>
      </w:r>
      <w:r w:rsidRPr="00EC098B">
        <w:rPr>
          <w:rFonts w:ascii="Calibri" w:hAnsi="Calibri" w:cs="Calibri"/>
          <w:i/>
          <w:iCs/>
        </w:rPr>
        <w:t>Professional burnout</w:t>
      </w:r>
      <w:r w:rsidRPr="00EC098B">
        <w:rPr>
          <w:rFonts w:ascii="Calibri" w:hAnsi="Calibri" w:cs="Calibri"/>
        </w:rPr>
        <w:t>.</w:t>
      </w:r>
    </w:p>
    <w:p w14:paraId="603E3C2D" w14:textId="77777777" w:rsidR="00EC098B" w:rsidRPr="00EC098B" w:rsidRDefault="00EC098B" w:rsidP="00EC098B">
      <w:pPr>
        <w:rPr>
          <w:rFonts w:ascii="Calibri" w:hAnsi="Calibri" w:cs="Calibri"/>
        </w:rPr>
      </w:pPr>
      <w:r w:rsidRPr="00EC098B">
        <w:rPr>
          <w:rFonts w:ascii="Calibri" w:hAnsi="Calibri" w:cs="Calibri"/>
        </w:rPr>
        <w:t xml:space="preserve">Shin, H. et al. (2014) ‘Coping strategies and burnout’, </w:t>
      </w:r>
      <w:r w:rsidRPr="00EC098B">
        <w:rPr>
          <w:rFonts w:ascii="Calibri" w:hAnsi="Calibri" w:cs="Calibri"/>
          <w:i/>
          <w:iCs/>
        </w:rPr>
        <w:t>Professional Psychology</w:t>
      </w:r>
      <w:r w:rsidRPr="00EC098B">
        <w:rPr>
          <w:rFonts w:ascii="Calibri" w:hAnsi="Calibri" w:cs="Calibri"/>
        </w:rPr>
        <w:t>, 45(1), p. 44.</w:t>
      </w:r>
    </w:p>
    <w:p w14:paraId="4E976B87" w14:textId="77777777" w:rsidR="00EC098B" w:rsidRPr="00EC098B" w:rsidRDefault="00EC098B" w:rsidP="00EC098B">
      <w:pPr>
        <w:rPr>
          <w:rFonts w:ascii="Calibri" w:hAnsi="Calibri" w:cs="Calibri"/>
        </w:rPr>
      </w:pPr>
      <w:proofErr w:type="spellStart"/>
      <w:r w:rsidRPr="00EC098B">
        <w:rPr>
          <w:rFonts w:ascii="Calibri" w:hAnsi="Calibri" w:cs="Calibri"/>
        </w:rPr>
        <w:t>Skaalvik</w:t>
      </w:r>
      <w:proofErr w:type="spellEnd"/>
      <w:r w:rsidRPr="00EC098B">
        <w:rPr>
          <w:rFonts w:ascii="Calibri" w:hAnsi="Calibri" w:cs="Calibri"/>
        </w:rPr>
        <w:t xml:space="preserve">, E.M. and </w:t>
      </w:r>
      <w:proofErr w:type="spellStart"/>
      <w:r w:rsidRPr="00EC098B">
        <w:rPr>
          <w:rFonts w:ascii="Calibri" w:hAnsi="Calibri" w:cs="Calibri"/>
        </w:rPr>
        <w:t>Skaalvik</w:t>
      </w:r>
      <w:proofErr w:type="spellEnd"/>
      <w:r w:rsidRPr="00EC098B">
        <w:rPr>
          <w:rFonts w:ascii="Calibri" w:hAnsi="Calibri" w:cs="Calibri"/>
        </w:rPr>
        <w:t xml:space="preserve">, S. (2016) ‘Teacher stress and self-efficacy’, </w:t>
      </w:r>
      <w:r w:rsidRPr="00EC098B">
        <w:rPr>
          <w:rFonts w:ascii="Calibri" w:hAnsi="Calibri" w:cs="Calibri"/>
          <w:i/>
          <w:iCs/>
        </w:rPr>
        <w:t>Creative Education</w:t>
      </w:r>
      <w:r w:rsidRPr="00EC098B">
        <w:rPr>
          <w:rFonts w:ascii="Calibri" w:hAnsi="Calibri" w:cs="Calibri"/>
        </w:rPr>
        <w:t>, 7(13), pp. 1785–1799.</w:t>
      </w:r>
    </w:p>
    <w:p w14:paraId="22050A70" w14:textId="77777777" w:rsidR="00EC098B" w:rsidRPr="00EC098B" w:rsidRDefault="00EC098B" w:rsidP="00EC098B">
      <w:pPr>
        <w:rPr>
          <w:rFonts w:ascii="Calibri" w:hAnsi="Calibri" w:cs="Calibri"/>
        </w:rPr>
      </w:pPr>
      <w:r w:rsidRPr="00EC098B">
        <w:rPr>
          <w:rFonts w:ascii="Calibri" w:hAnsi="Calibri" w:cs="Calibri"/>
        </w:rPr>
        <w:t xml:space="preserve">Sohail, M.M. et al. (2023) ‘Teacher wellbeing and burnout’, </w:t>
      </w:r>
      <w:r w:rsidRPr="00EC098B">
        <w:rPr>
          <w:rFonts w:ascii="Calibri" w:hAnsi="Calibri" w:cs="Calibri"/>
          <w:i/>
          <w:iCs/>
        </w:rPr>
        <w:t>Work</w:t>
      </w:r>
      <w:r w:rsidRPr="00EC098B">
        <w:rPr>
          <w:rFonts w:ascii="Calibri" w:hAnsi="Calibri" w:cs="Calibri"/>
        </w:rPr>
        <w:t>, 76(4), pp. 1317–1331.</w:t>
      </w:r>
    </w:p>
    <w:p w14:paraId="366E2FD9" w14:textId="77777777" w:rsidR="00EC098B" w:rsidRPr="00EC098B" w:rsidRDefault="00EC098B" w:rsidP="00EC098B">
      <w:pPr>
        <w:rPr>
          <w:rFonts w:ascii="Calibri" w:hAnsi="Calibri" w:cs="Calibri"/>
        </w:rPr>
      </w:pPr>
      <w:r w:rsidRPr="00EC098B">
        <w:rPr>
          <w:rFonts w:ascii="Calibri" w:hAnsi="Calibri" w:cs="Calibri"/>
        </w:rPr>
        <w:t xml:space="preserve">Stevenson, J. et al. (2023) </w:t>
      </w:r>
      <w:r w:rsidRPr="00EC098B">
        <w:rPr>
          <w:rFonts w:ascii="Calibri" w:hAnsi="Calibri" w:cs="Calibri"/>
          <w:i/>
          <w:iCs/>
        </w:rPr>
        <w:t>Mentoring early career teachers: Evidence review</w:t>
      </w:r>
      <w:r w:rsidRPr="00EC098B">
        <w:rPr>
          <w:rFonts w:ascii="Calibri" w:hAnsi="Calibri" w:cs="Calibri"/>
        </w:rPr>
        <w:t>.</w:t>
      </w:r>
    </w:p>
    <w:p w14:paraId="3C2E6469" w14:textId="77777777" w:rsidR="00EC098B" w:rsidRPr="00EC098B" w:rsidRDefault="00EC098B" w:rsidP="00EC098B">
      <w:pPr>
        <w:rPr>
          <w:rFonts w:ascii="Calibri" w:hAnsi="Calibri" w:cs="Calibri"/>
        </w:rPr>
      </w:pPr>
      <w:proofErr w:type="spellStart"/>
      <w:r w:rsidRPr="00EC098B">
        <w:rPr>
          <w:rFonts w:ascii="Calibri" w:hAnsi="Calibri" w:cs="Calibri"/>
        </w:rPr>
        <w:lastRenderedPageBreak/>
        <w:t>Struyve</w:t>
      </w:r>
      <w:proofErr w:type="spellEnd"/>
      <w:r w:rsidRPr="00EC098B">
        <w:rPr>
          <w:rFonts w:ascii="Calibri" w:hAnsi="Calibri" w:cs="Calibri"/>
        </w:rPr>
        <w:t xml:space="preserve">, C., Meredith, C. and Gielen, S. (2014) ‘Teacher leadership practices’, </w:t>
      </w:r>
      <w:r w:rsidRPr="00EC098B">
        <w:rPr>
          <w:rFonts w:ascii="Calibri" w:hAnsi="Calibri" w:cs="Calibri"/>
          <w:i/>
          <w:iCs/>
        </w:rPr>
        <w:t>Journal of Educational Change</w:t>
      </w:r>
      <w:r w:rsidRPr="00EC098B">
        <w:rPr>
          <w:rFonts w:ascii="Calibri" w:hAnsi="Calibri" w:cs="Calibri"/>
        </w:rPr>
        <w:t>, 15(2), pp. 203–230.</w:t>
      </w:r>
    </w:p>
    <w:p w14:paraId="5ACEDC0C" w14:textId="77777777" w:rsidR="00EC098B" w:rsidRPr="00EC098B" w:rsidRDefault="00EC098B" w:rsidP="00EC098B">
      <w:pPr>
        <w:rPr>
          <w:rFonts w:ascii="Calibri" w:hAnsi="Calibri" w:cs="Calibri"/>
        </w:rPr>
      </w:pPr>
      <w:r w:rsidRPr="00EC098B">
        <w:rPr>
          <w:rFonts w:ascii="Calibri" w:hAnsi="Calibri" w:cs="Calibri"/>
        </w:rPr>
        <w:t xml:space="preserve">Tarling, I. and Ng’ambi, D. (2016) ‘Teachers’ pedagogical change’, </w:t>
      </w:r>
      <w:r w:rsidRPr="00EC098B">
        <w:rPr>
          <w:rFonts w:ascii="Calibri" w:hAnsi="Calibri" w:cs="Calibri"/>
          <w:i/>
          <w:iCs/>
        </w:rPr>
        <w:t>British Journal of Educational Technology</w:t>
      </w:r>
      <w:r w:rsidRPr="00EC098B">
        <w:rPr>
          <w:rFonts w:ascii="Calibri" w:hAnsi="Calibri" w:cs="Calibri"/>
        </w:rPr>
        <w:t>, 47(3), pp. 554–572.</w:t>
      </w:r>
    </w:p>
    <w:p w14:paraId="4CDC9246" w14:textId="77777777" w:rsidR="00EC098B" w:rsidRPr="00EC098B" w:rsidRDefault="00EC098B" w:rsidP="00EC098B">
      <w:pPr>
        <w:rPr>
          <w:rFonts w:ascii="Calibri" w:hAnsi="Calibri" w:cs="Calibri"/>
        </w:rPr>
      </w:pPr>
      <w:r w:rsidRPr="00EC098B">
        <w:rPr>
          <w:rFonts w:ascii="Calibri" w:hAnsi="Calibri" w:cs="Calibri"/>
        </w:rPr>
        <w:t xml:space="preserve">Tompkins, A. (2023) ‘Teacher attrition’, </w:t>
      </w:r>
      <w:r w:rsidRPr="00EC098B">
        <w:rPr>
          <w:rFonts w:ascii="Calibri" w:hAnsi="Calibri" w:cs="Calibri"/>
          <w:i/>
          <w:iCs/>
        </w:rPr>
        <w:t>Journal of School Administration Research</w:t>
      </w:r>
      <w:r w:rsidRPr="00EC098B">
        <w:rPr>
          <w:rFonts w:ascii="Calibri" w:hAnsi="Calibri" w:cs="Calibri"/>
        </w:rPr>
        <w:t>, 8(1), pp. 24–35.</w:t>
      </w:r>
    </w:p>
    <w:p w14:paraId="44E46012" w14:textId="77777777" w:rsidR="00EC098B" w:rsidRPr="00EC098B" w:rsidRDefault="00EC098B" w:rsidP="00EC098B">
      <w:pPr>
        <w:rPr>
          <w:rFonts w:ascii="Calibri" w:hAnsi="Calibri" w:cs="Calibri"/>
        </w:rPr>
      </w:pPr>
      <w:r w:rsidRPr="00EC098B">
        <w:rPr>
          <w:rFonts w:ascii="Calibri" w:hAnsi="Calibri" w:cs="Calibri"/>
        </w:rPr>
        <w:t xml:space="preserve">Tong, Q. (2025) ‘Teachers’ wellbeing’, </w:t>
      </w:r>
      <w:r w:rsidRPr="00EC098B">
        <w:rPr>
          <w:rFonts w:ascii="Calibri" w:hAnsi="Calibri" w:cs="Calibri"/>
          <w:i/>
          <w:iCs/>
        </w:rPr>
        <w:t>European Journal of Education</w:t>
      </w:r>
      <w:r w:rsidRPr="00EC098B">
        <w:rPr>
          <w:rFonts w:ascii="Calibri" w:hAnsi="Calibri" w:cs="Calibri"/>
        </w:rPr>
        <w:t>, 60(1).</w:t>
      </w:r>
    </w:p>
    <w:p w14:paraId="084667D0" w14:textId="77777777" w:rsidR="00EC098B" w:rsidRPr="00EC098B" w:rsidRDefault="00EC098B" w:rsidP="00EC098B">
      <w:pPr>
        <w:rPr>
          <w:rFonts w:ascii="Calibri" w:hAnsi="Calibri" w:cs="Calibri"/>
        </w:rPr>
      </w:pPr>
      <w:proofErr w:type="spellStart"/>
      <w:r w:rsidRPr="00EC098B">
        <w:rPr>
          <w:rFonts w:ascii="Calibri" w:hAnsi="Calibri" w:cs="Calibri"/>
        </w:rPr>
        <w:t>Volkwein</w:t>
      </w:r>
      <w:proofErr w:type="spellEnd"/>
      <w:r w:rsidRPr="00EC098B">
        <w:rPr>
          <w:rFonts w:ascii="Calibri" w:hAnsi="Calibri" w:cs="Calibri"/>
        </w:rPr>
        <w:t xml:space="preserve">, J.F. (2010) ‘Assessment context’, </w:t>
      </w:r>
      <w:r w:rsidRPr="00EC098B">
        <w:rPr>
          <w:rFonts w:ascii="Calibri" w:hAnsi="Calibri" w:cs="Calibri"/>
          <w:i/>
          <w:iCs/>
        </w:rPr>
        <w:t>New Directions for Institutional Research</w:t>
      </w:r>
      <w:r w:rsidRPr="00EC098B">
        <w:rPr>
          <w:rFonts w:ascii="Calibri" w:hAnsi="Calibri" w:cs="Calibri"/>
        </w:rPr>
        <w:t>, pp. 3–12.</w:t>
      </w:r>
    </w:p>
    <w:p w14:paraId="10093ECD" w14:textId="77777777" w:rsidR="00EC098B" w:rsidRPr="00EC098B" w:rsidRDefault="00EC098B" w:rsidP="00EC098B">
      <w:pPr>
        <w:rPr>
          <w:rFonts w:ascii="Calibri" w:hAnsi="Calibri" w:cs="Calibri"/>
        </w:rPr>
      </w:pPr>
      <w:r w:rsidRPr="00EC098B">
        <w:rPr>
          <w:rFonts w:ascii="Calibri" w:hAnsi="Calibri" w:cs="Calibri"/>
        </w:rPr>
        <w:t xml:space="preserve">Wang, H., Lee, S.Y. and Hall, N.C. (2022) ‘Coping profiles among teachers’, </w:t>
      </w:r>
      <w:r w:rsidRPr="00EC098B">
        <w:rPr>
          <w:rFonts w:ascii="Calibri" w:hAnsi="Calibri" w:cs="Calibri"/>
          <w:i/>
          <w:iCs/>
        </w:rPr>
        <w:t>Contemporary Educational Psychology</w:t>
      </w:r>
      <w:r w:rsidRPr="00EC098B">
        <w:rPr>
          <w:rFonts w:ascii="Calibri" w:hAnsi="Calibri" w:cs="Calibri"/>
        </w:rPr>
        <w:t>, 68.</w:t>
      </w:r>
    </w:p>
    <w:p w14:paraId="4DBB06B4" w14:textId="77777777" w:rsidR="00EC098B" w:rsidRPr="00EC098B" w:rsidRDefault="00EC098B" w:rsidP="00EC098B">
      <w:pPr>
        <w:rPr>
          <w:rFonts w:ascii="Calibri" w:hAnsi="Calibri" w:cs="Calibri"/>
        </w:rPr>
      </w:pPr>
      <w:r w:rsidRPr="00EC098B">
        <w:rPr>
          <w:rFonts w:ascii="Calibri" w:hAnsi="Calibri" w:cs="Calibri"/>
        </w:rPr>
        <w:t xml:space="preserve">Wang, Y. (2024) ‘Workload and wellbeing’, </w:t>
      </w:r>
      <w:r w:rsidRPr="00EC098B">
        <w:rPr>
          <w:rFonts w:ascii="Calibri" w:hAnsi="Calibri" w:cs="Calibri"/>
          <w:i/>
          <w:iCs/>
        </w:rPr>
        <w:t>Frontiers in Psychology</w:t>
      </w:r>
      <w:r w:rsidRPr="00EC098B">
        <w:rPr>
          <w:rFonts w:ascii="Calibri" w:hAnsi="Calibri" w:cs="Calibri"/>
        </w:rPr>
        <w:t>, 14.</w:t>
      </w:r>
    </w:p>
    <w:p w14:paraId="1AFD0521" w14:textId="77777777" w:rsidR="00EC098B" w:rsidRPr="00EC098B" w:rsidRDefault="00EC098B" w:rsidP="00EC098B">
      <w:pPr>
        <w:rPr>
          <w:rFonts w:ascii="Calibri" w:hAnsi="Calibri" w:cs="Calibri"/>
        </w:rPr>
      </w:pPr>
      <w:r w:rsidRPr="00EC098B">
        <w:rPr>
          <w:rFonts w:ascii="Calibri" w:hAnsi="Calibri" w:cs="Calibri"/>
        </w:rPr>
        <w:t xml:space="preserve">Waters, M. (2020) </w:t>
      </w:r>
      <w:r w:rsidRPr="00EC098B">
        <w:rPr>
          <w:rFonts w:ascii="Calibri" w:hAnsi="Calibri" w:cs="Calibri"/>
          <w:i/>
          <w:iCs/>
        </w:rPr>
        <w:t>Learning to be a teacher for Wales</w:t>
      </w:r>
      <w:r w:rsidRPr="00EC098B">
        <w:rPr>
          <w:rFonts w:ascii="Calibri" w:hAnsi="Calibri" w:cs="Calibri"/>
        </w:rPr>
        <w:t>. Cardiff: Welsh Government.</w:t>
      </w:r>
    </w:p>
    <w:p w14:paraId="77BA7F61" w14:textId="77777777" w:rsidR="00EC098B" w:rsidRPr="00EC098B" w:rsidRDefault="00EC098B" w:rsidP="00EC098B">
      <w:pPr>
        <w:rPr>
          <w:rFonts w:ascii="Calibri" w:hAnsi="Calibri" w:cs="Calibri"/>
        </w:rPr>
      </w:pPr>
      <w:r w:rsidRPr="00EC098B">
        <w:rPr>
          <w:rFonts w:ascii="Calibri" w:hAnsi="Calibri" w:cs="Calibri"/>
        </w:rPr>
        <w:t xml:space="preserve">Welsh Government (2019) </w:t>
      </w:r>
      <w:r w:rsidRPr="00EC098B">
        <w:rPr>
          <w:rFonts w:ascii="Calibri" w:hAnsi="Calibri" w:cs="Calibri"/>
          <w:i/>
          <w:iCs/>
        </w:rPr>
        <w:t>Professional standards for teaching and leadership</w:t>
      </w:r>
      <w:r w:rsidRPr="00EC098B">
        <w:rPr>
          <w:rFonts w:ascii="Calibri" w:hAnsi="Calibri" w:cs="Calibri"/>
        </w:rPr>
        <w:t>. Cardiff: Welsh Government.</w:t>
      </w:r>
    </w:p>
    <w:p w14:paraId="48B59583" w14:textId="77777777" w:rsidR="00EC098B" w:rsidRPr="00EC098B" w:rsidRDefault="00EC098B" w:rsidP="00EC098B">
      <w:pPr>
        <w:rPr>
          <w:rFonts w:ascii="Calibri" w:hAnsi="Calibri" w:cs="Calibri"/>
        </w:rPr>
      </w:pPr>
      <w:r w:rsidRPr="00EC098B">
        <w:rPr>
          <w:rFonts w:ascii="Calibri" w:hAnsi="Calibri" w:cs="Calibri"/>
        </w:rPr>
        <w:t xml:space="preserve">Welsh Government (2020) </w:t>
      </w:r>
      <w:r w:rsidRPr="00EC098B">
        <w:rPr>
          <w:rFonts w:ascii="Calibri" w:hAnsi="Calibri" w:cs="Calibri"/>
          <w:i/>
          <w:iCs/>
        </w:rPr>
        <w:t>Curriculum for Wales guidance</w:t>
      </w:r>
      <w:r w:rsidRPr="00EC098B">
        <w:rPr>
          <w:rFonts w:ascii="Calibri" w:hAnsi="Calibri" w:cs="Calibri"/>
        </w:rPr>
        <w:t xml:space="preserve">. Available at: </w:t>
      </w:r>
      <w:hyperlink r:id="rId10" w:tgtFrame="_new" w:history="1">
        <w:r w:rsidRPr="00EC098B">
          <w:rPr>
            <w:rStyle w:val="Hyperlink"/>
            <w:rFonts w:ascii="Calibri" w:hAnsi="Calibri" w:cs="Calibri"/>
          </w:rPr>
          <w:t>https://hwb.gov.wales</w:t>
        </w:r>
      </w:hyperlink>
      <w:r w:rsidRPr="00EC098B">
        <w:rPr>
          <w:rFonts w:ascii="Calibri" w:hAnsi="Calibri" w:cs="Calibri"/>
        </w:rPr>
        <w:t xml:space="preserve"> (Accessed: 2 March 2026).</w:t>
      </w:r>
    </w:p>
    <w:p w14:paraId="7935A45E" w14:textId="77777777" w:rsidR="00EC098B" w:rsidRPr="00EC098B" w:rsidRDefault="00EC098B" w:rsidP="00EC098B">
      <w:pPr>
        <w:rPr>
          <w:rFonts w:ascii="Calibri" w:hAnsi="Calibri" w:cs="Calibri"/>
        </w:rPr>
      </w:pPr>
      <w:r w:rsidRPr="00EC098B">
        <w:rPr>
          <w:rFonts w:ascii="Calibri" w:hAnsi="Calibri" w:cs="Calibri"/>
        </w:rPr>
        <w:t xml:space="preserve">Welsh Government (2022) </w:t>
      </w:r>
      <w:r w:rsidRPr="00EC098B">
        <w:rPr>
          <w:rFonts w:ascii="Calibri" w:hAnsi="Calibri" w:cs="Calibri"/>
          <w:i/>
          <w:iCs/>
        </w:rPr>
        <w:t>Induction for newly qualified teachers in Wales</w:t>
      </w:r>
      <w:r w:rsidRPr="00EC098B">
        <w:rPr>
          <w:rFonts w:ascii="Calibri" w:hAnsi="Calibri" w:cs="Calibri"/>
        </w:rPr>
        <w:t xml:space="preserve">. Available at: </w:t>
      </w:r>
      <w:hyperlink r:id="rId11" w:tgtFrame="_new" w:history="1">
        <w:r w:rsidRPr="00EC098B">
          <w:rPr>
            <w:rStyle w:val="Hyperlink"/>
            <w:rFonts w:ascii="Calibri" w:hAnsi="Calibri" w:cs="Calibri"/>
          </w:rPr>
          <w:t>https://hwb.gov.wales</w:t>
        </w:r>
      </w:hyperlink>
      <w:r w:rsidRPr="00EC098B">
        <w:rPr>
          <w:rFonts w:ascii="Calibri" w:hAnsi="Calibri" w:cs="Calibri"/>
        </w:rPr>
        <w:t xml:space="preserve"> (Accessed: 13 April 2026).</w:t>
      </w:r>
    </w:p>
    <w:p w14:paraId="19EFABED" w14:textId="77777777" w:rsidR="00EC098B" w:rsidRPr="00EC098B" w:rsidRDefault="00EC098B" w:rsidP="00EC098B">
      <w:pPr>
        <w:rPr>
          <w:rFonts w:ascii="Calibri" w:hAnsi="Calibri" w:cs="Calibri"/>
        </w:rPr>
      </w:pPr>
      <w:r w:rsidRPr="00EC098B">
        <w:rPr>
          <w:rFonts w:ascii="Calibri" w:hAnsi="Calibri" w:cs="Calibri"/>
        </w:rPr>
        <w:t xml:space="preserve">Worth, J. and Van den Brande, J. (2020) </w:t>
      </w:r>
      <w:r w:rsidRPr="00EC098B">
        <w:rPr>
          <w:rFonts w:ascii="Calibri" w:hAnsi="Calibri" w:cs="Calibri"/>
          <w:i/>
          <w:iCs/>
        </w:rPr>
        <w:t>Teacher autonomy and retention</w:t>
      </w:r>
      <w:r w:rsidRPr="00EC098B">
        <w:rPr>
          <w:rFonts w:ascii="Calibri" w:hAnsi="Calibri" w:cs="Calibri"/>
        </w:rPr>
        <w:t>. Slough: National Foundation for Educational Research.</w:t>
      </w:r>
    </w:p>
    <w:p w14:paraId="1AA36DA7" w14:textId="77777777" w:rsidR="00EC098B" w:rsidRPr="00EC098B" w:rsidRDefault="00EC098B" w:rsidP="00EC098B">
      <w:pPr>
        <w:rPr>
          <w:rFonts w:ascii="Calibri" w:hAnsi="Calibri" w:cs="Calibri"/>
        </w:rPr>
      </w:pPr>
      <w:r w:rsidRPr="00EC098B">
        <w:rPr>
          <w:rFonts w:ascii="Calibri" w:hAnsi="Calibri" w:cs="Calibri"/>
        </w:rPr>
        <w:t xml:space="preserve">Zarabi, H. and Amirian, S.M.R. (2025) ‘Emotional tensions in teaching’, </w:t>
      </w:r>
      <w:r w:rsidRPr="00EC098B">
        <w:rPr>
          <w:rFonts w:ascii="Calibri" w:hAnsi="Calibri" w:cs="Calibri"/>
          <w:i/>
          <w:iCs/>
        </w:rPr>
        <w:t>Interdisciplinary Studies in English Language Teaching</w:t>
      </w:r>
      <w:r w:rsidRPr="00EC098B">
        <w:rPr>
          <w:rFonts w:ascii="Calibri" w:hAnsi="Calibri" w:cs="Calibri"/>
        </w:rPr>
        <w:t>, 3(1), pp. 39–62.</w:t>
      </w:r>
    </w:p>
    <w:p w14:paraId="25EECF81" w14:textId="14F3B23E" w:rsidR="005A0AF7" w:rsidRPr="00BA2A39" w:rsidRDefault="00EC098B" w:rsidP="00B77F29">
      <w:pPr>
        <w:rPr>
          <w:rFonts w:ascii="Calibri" w:hAnsi="Calibri" w:cs="Calibri"/>
        </w:rPr>
      </w:pPr>
      <w:r w:rsidRPr="00EC098B">
        <w:rPr>
          <w:rFonts w:ascii="Calibri" w:hAnsi="Calibri" w:cs="Calibri"/>
        </w:rPr>
        <w:t xml:space="preserve">Zhukova, O. (2018) ‘Novice teachers’ development’, </w:t>
      </w:r>
      <w:r w:rsidRPr="00EC098B">
        <w:rPr>
          <w:rFonts w:ascii="Calibri" w:hAnsi="Calibri" w:cs="Calibri"/>
          <w:i/>
          <w:iCs/>
        </w:rPr>
        <w:t>Discourse and Communication for Sustainable Education</w:t>
      </w:r>
      <w:r w:rsidRPr="00EC098B">
        <w:rPr>
          <w:rFonts w:ascii="Calibri" w:hAnsi="Calibri" w:cs="Calibri"/>
        </w:rPr>
        <w:t>, 9(1), pp. 100–114.</w:t>
      </w:r>
    </w:p>
    <w:p w14:paraId="437639C8" w14:textId="77777777" w:rsidR="005A0AF7" w:rsidRDefault="005A0AF7" w:rsidP="00B77F29"/>
    <w:p w14:paraId="1A0FD857" w14:textId="77777777" w:rsidR="005A0AF7" w:rsidRDefault="005A0AF7" w:rsidP="00B77F29"/>
    <w:p w14:paraId="1793CA77" w14:textId="77777777" w:rsidR="005A0AF7" w:rsidRDefault="005A0AF7" w:rsidP="00B77F29"/>
    <w:p w14:paraId="55751293" w14:textId="77777777" w:rsidR="005A0AF7" w:rsidRDefault="005A0AF7" w:rsidP="00B77F29"/>
    <w:p w14:paraId="1D67CCA4" w14:textId="77777777" w:rsidR="005A0AF7" w:rsidRDefault="005A0AF7" w:rsidP="00B77F29"/>
    <w:p w14:paraId="6E108CCE" w14:textId="77777777" w:rsidR="005A0AF7" w:rsidRDefault="005A0AF7" w:rsidP="00B77F29"/>
    <w:p w14:paraId="1110DBCD" w14:textId="77777777" w:rsidR="005A0AF7" w:rsidRDefault="005A0AF7" w:rsidP="00B77F29"/>
    <w:p w14:paraId="2870B1B4" w14:textId="77777777" w:rsidR="005A0AF7" w:rsidRDefault="005A0AF7" w:rsidP="00B77F29"/>
    <w:p w14:paraId="5EDFE477" w14:textId="77777777" w:rsidR="005A0AF7" w:rsidRDefault="005A0AF7" w:rsidP="00B77F29"/>
    <w:p w14:paraId="69FF27AE" w14:textId="77777777" w:rsidR="005A0AF7" w:rsidRDefault="005A0AF7" w:rsidP="00B77F29"/>
    <w:p w14:paraId="75EB2991" w14:textId="77777777" w:rsidR="005A0AF7" w:rsidRDefault="005A0AF7" w:rsidP="00B77F29"/>
    <w:p w14:paraId="6702DB7C" w14:textId="77777777" w:rsidR="005A0AF7" w:rsidRDefault="005A0AF7" w:rsidP="00B77F29"/>
    <w:p w14:paraId="057B355E" w14:textId="77777777" w:rsidR="005A0AF7" w:rsidRDefault="005A0AF7" w:rsidP="00B77F29"/>
    <w:p w14:paraId="42E3D4FD" w14:textId="03AAD374" w:rsidR="00BA022F" w:rsidRDefault="00BA022F" w:rsidP="001A103D">
      <w:pPr>
        <w:pStyle w:val="Heading3"/>
      </w:pPr>
      <w:bookmarkStart w:id="71" w:name="_Toc228136362"/>
      <w:r>
        <w:t xml:space="preserve">Appendix </w:t>
      </w:r>
      <w:bookmarkEnd w:id="71"/>
      <w:r w:rsidR="00BA2A39">
        <w:t>1</w:t>
      </w:r>
    </w:p>
    <w:p w14:paraId="3D3D111C" w14:textId="6AC634D0" w:rsidR="00BA022F" w:rsidRDefault="00BA022F" w:rsidP="00B77F29">
      <w:r>
        <w:rPr>
          <w:noProof/>
        </w:rPr>
        <w:drawing>
          <wp:inline distT="0" distB="0" distL="0" distR="0" wp14:anchorId="50E50101" wp14:editId="7C645D80">
            <wp:extent cx="4876800" cy="3670300"/>
            <wp:effectExtent l="0" t="0" r="0" b="6350"/>
            <wp:docPr id="2111863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76800" cy="3670300"/>
                    </a:xfrm>
                    <a:prstGeom prst="rect">
                      <a:avLst/>
                    </a:prstGeom>
                    <a:noFill/>
                    <a:ln>
                      <a:noFill/>
                    </a:ln>
                  </pic:spPr>
                </pic:pic>
              </a:graphicData>
            </a:graphic>
          </wp:inline>
        </w:drawing>
      </w:r>
    </w:p>
    <w:p w14:paraId="0B3B605D" w14:textId="4EEEE743" w:rsidR="00BA022F" w:rsidRDefault="00BA022F" w:rsidP="00B77F29">
      <w:r>
        <w:t xml:space="preserve">  </w:t>
      </w:r>
    </w:p>
    <w:p w14:paraId="09FC392A" w14:textId="77777777" w:rsidR="00BA022F" w:rsidRDefault="00BA022F" w:rsidP="00B77F29"/>
    <w:p w14:paraId="292A8FD9" w14:textId="47ED1D1F" w:rsidR="00BA022F" w:rsidRDefault="00BA022F" w:rsidP="00B77F29">
      <w:r>
        <w:t>(</w:t>
      </w:r>
      <w:r w:rsidRPr="00B77F29">
        <w:t>Demerouti</w:t>
      </w:r>
      <w:r>
        <w:t xml:space="preserve"> et al, 2001)</w:t>
      </w:r>
    </w:p>
    <w:p w14:paraId="32597073" w14:textId="77777777" w:rsidR="00BA022F" w:rsidRDefault="00BA022F" w:rsidP="00B77F29"/>
    <w:p w14:paraId="088CB8F1" w14:textId="77777777" w:rsidR="00BA022F" w:rsidRDefault="00BA022F" w:rsidP="00B77F29"/>
    <w:p w14:paraId="1CC2879D" w14:textId="77777777" w:rsidR="00BA022F" w:rsidRDefault="00BA022F" w:rsidP="00B77F29"/>
    <w:p w14:paraId="46FB59D8" w14:textId="77777777" w:rsidR="00BA022F" w:rsidRDefault="00BA022F" w:rsidP="00B77F29"/>
    <w:p w14:paraId="627F7168" w14:textId="77777777" w:rsidR="00BA022F" w:rsidRDefault="00BA022F" w:rsidP="00B77F29"/>
    <w:p w14:paraId="6A35DCFF" w14:textId="77777777" w:rsidR="00BA022F" w:rsidRDefault="00BA022F" w:rsidP="00B77F29"/>
    <w:p w14:paraId="629862BE" w14:textId="77777777" w:rsidR="00BA022F" w:rsidRDefault="00BA022F" w:rsidP="00B77F29"/>
    <w:p w14:paraId="2419636C" w14:textId="77777777" w:rsidR="00BA022F" w:rsidRDefault="00BA022F" w:rsidP="00B77F29"/>
    <w:p w14:paraId="3662314D" w14:textId="77777777" w:rsidR="00BA022F" w:rsidRDefault="00BA022F" w:rsidP="00B77F29"/>
    <w:p w14:paraId="4F92892B" w14:textId="77777777" w:rsidR="00BA022F" w:rsidRDefault="00BA022F" w:rsidP="00B77F29"/>
    <w:p w14:paraId="2F94C39C" w14:textId="77777777" w:rsidR="00BA022F" w:rsidRDefault="00BA022F" w:rsidP="00B77F29"/>
    <w:p w14:paraId="00541230" w14:textId="77777777" w:rsidR="00BA022F" w:rsidRDefault="00BA022F" w:rsidP="00B77F29"/>
    <w:p w14:paraId="2368FCE5" w14:textId="77777777" w:rsidR="00BA022F" w:rsidRDefault="00BA022F" w:rsidP="00B77F29"/>
    <w:p w14:paraId="4BD66491" w14:textId="77777777" w:rsidR="00BA022F" w:rsidRDefault="00BA022F" w:rsidP="00B77F29"/>
    <w:p w14:paraId="3ED847E9" w14:textId="1887F8BB" w:rsidR="00BA022F" w:rsidRDefault="00BA022F" w:rsidP="001A103D">
      <w:pPr>
        <w:pStyle w:val="Heading3"/>
      </w:pPr>
      <w:bookmarkStart w:id="72" w:name="_Toc228136363"/>
      <w:r>
        <w:t xml:space="preserve">Appendix </w:t>
      </w:r>
      <w:bookmarkEnd w:id="72"/>
      <w:r w:rsidR="00231540">
        <w:t>2</w:t>
      </w:r>
    </w:p>
    <w:p w14:paraId="7ED82D52" w14:textId="5144C97A" w:rsidR="00BA022F" w:rsidRDefault="00BA4D76" w:rsidP="00B77F29">
      <w:r>
        <w:rPr>
          <w:noProof/>
        </w:rPr>
        <w:drawing>
          <wp:inline distT="0" distB="0" distL="0" distR="0" wp14:anchorId="76BBC878" wp14:editId="07830D1C">
            <wp:extent cx="5743575" cy="3829050"/>
            <wp:effectExtent l="0" t="0" r="9525" b="0"/>
            <wp:docPr id="4562954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46471" cy="3830981"/>
                    </a:xfrm>
                    <a:prstGeom prst="rect">
                      <a:avLst/>
                    </a:prstGeom>
                    <a:noFill/>
                  </pic:spPr>
                </pic:pic>
              </a:graphicData>
            </a:graphic>
          </wp:inline>
        </w:drawing>
      </w:r>
    </w:p>
    <w:p w14:paraId="2201DB09" w14:textId="77777777" w:rsidR="00231540" w:rsidRDefault="00231540" w:rsidP="00B77F29"/>
    <w:p w14:paraId="00BECB8E" w14:textId="77777777" w:rsidR="00231540" w:rsidRDefault="00231540" w:rsidP="00B77F29"/>
    <w:p w14:paraId="6A7DB0A7" w14:textId="77777777" w:rsidR="00231540" w:rsidRDefault="00231540" w:rsidP="00B77F29"/>
    <w:p w14:paraId="5291C107" w14:textId="77777777" w:rsidR="00231540" w:rsidRDefault="00231540" w:rsidP="00B77F29"/>
    <w:p w14:paraId="71BA6FEC" w14:textId="77777777" w:rsidR="00231540" w:rsidRDefault="00231540" w:rsidP="00B77F29"/>
    <w:p w14:paraId="66DC9BDA" w14:textId="77777777" w:rsidR="00231540" w:rsidRDefault="00231540" w:rsidP="00B77F29"/>
    <w:p w14:paraId="03FA036F" w14:textId="77777777" w:rsidR="00231540" w:rsidRDefault="00231540" w:rsidP="00B77F29"/>
    <w:p w14:paraId="426A49D3" w14:textId="77777777" w:rsidR="00231540" w:rsidRDefault="00231540" w:rsidP="00B77F29"/>
    <w:p w14:paraId="25592003" w14:textId="77777777" w:rsidR="00231540" w:rsidRDefault="00231540" w:rsidP="00B77F29"/>
    <w:p w14:paraId="65328E4D" w14:textId="77777777" w:rsidR="00231540" w:rsidRDefault="00231540" w:rsidP="00B77F29"/>
    <w:p w14:paraId="4EF047D1" w14:textId="77777777" w:rsidR="00231540" w:rsidRDefault="00231540" w:rsidP="00B77F29"/>
    <w:p w14:paraId="5F405F2B" w14:textId="77777777" w:rsidR="00231540" w:rsidRDefault="00231540" w:rsidP="00B77F29"/>
    <w:p w14:paraId="01F2B3E2" w14:textId="77777777" w:rsidR="00231540" w:rsidRDefault="00231540" w:rsidP="00B77F29"/>
    <w:p w14:paraId="286E6A40" w14:textId="77777777" w:rsidR="00231540" w:rsidRDefault="00231540" w:rsidP="00B77F29"/>
    <w:p w14:paraId="1DD14379" w14:textId="77777777" w:rsidR="00231540" w:rsidRDefault="00231540" w:rsidP="00B77F29"/>
    <w:p w14:paraId="42580BF4" w14:textId="6A9D92C3" w:rsidR="00231540" w:rsidRDefault="00231540" w:rsidP="00B77F29"/>
    <w:p w14:paraId="7C6F255B" w14:textId="77777777" w:rsidR="00231540" w:rsidRPr="00231540" w:rsidRDefault="00231540" w:rsidP="00231540"/>
    <w:sectPr w:rsidR="00231540" w:rsidRPr="00231540" w:rsidSect="008D23BE">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4C9DE5" w14:textId="77777777" w:rsidR="00503869" w:rsidRDefault="00503869" w:rsidP="00B1405A">
      <w:pPr>
        <w:spacing w:after="0" w:line="240" w:lineRule="auto"/>
      </w:pPr>
      <w:r>
        <w:separator/>
      </w:r>
    </w:p>
  </w:endnote>
  <w:endnote w:type="continuationSeparator" w:id="0">
    <w:p w14:paraId="1837DF53" w14:textId="77777777" w:rsidR="00503869" w:rsidRDefault="00503869" w:rsidP="00B140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7644810"/>
      <w:docPartObj>
        <w:docPartGallery w:val="Page Numbers (Bottom of Page)"/>
        <w:docPartUnique/>
      </w:docPartObj>
    </w:sdtPr>
    <w:sdtEndPr>
      <w:rPr>
        <w:noProof/>
      </w:rPr>
    </w:sdtEndPr>
    <w:sdtContent>
      <w:p w14:paraId="196A88D1" w14:textId="6B6BB4E8" w:rsidR="005A0AF7" w:rsidRDefault="005A0AF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AD3041" w14:textId="77777777" w:rsidR="005A0AF7" w:rsidRDefault="005A0A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2B3E7E" w14:textId="77777777" w:rsidR="00503869" w:rsidRDefault="00503869" w:rsidP="00B1405A">
      <w:pPr>
        <w:spacing w:after="0" w:line="240" w:lineRule="auto"/>
      </w:pPr>
      <w:r>
        <w:separator/>
      </w:r>
    </w:p>
  </w:footnote>
  <w:footnote w:type="continuationSeparator" w:id="0">
    <w:p w14:paraId="1246944A" w14:textId="77777777" w:rsidR="00503869" w:rsidRDefault="00503869" w:rsidP="00B140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F0975"/>
    <w:multiLevelType w:val="hybridMultilevel"/>
    <w:tmpl w:val="2256C2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B82E25"/>
    <w:multiLevelType w:val="hybridMultilevel"/>
    <w:tmpl w:val="866C8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4A7CBB"/>
    <w:multiLevelType w:val="hybridMultilevel"/>
    <w:tmpl w:val="517446C6"/>
    <w:lvl w:ilvl="0" w:tplc="B99AFE1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722684"/>
    <w:multiLevelType w:val="hybridMultilevel"/>
    <w:tmpl w:val="F072E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B044A8"/>
    <w:multiLevelType w:val="multilevel"/>
    <w:tmpl w:val="325EA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517225"/>
    <w:multiLevelType w:val="multilevel"/>
    <w:tmpl w:val="ACA237BE"/>
    <w:lvl w:ilvl="0">
      <w:start w:val="1"/>
      <w:numFmt w:val="decimal"/>
      <w:lvlText w:val="%1."/>
      <w:lvlJc w:val="left"/>
      <w:pPr>
        <w:ind w:left="720" w:hanging="360"/>
      </w:pPr>
    </w:lvl>
    <w:lvl w:ilvl="1">
      <w:start w:val="7"/>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1CD0D56"/>
    <w:multiLevelType w:val="multilevel"/>
    <w:tmpl w:val="BEDA2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E663B3"/>
    <w:multiLevelType w:val="multilevel"/>
    <w:tmpl w:val="1A4AE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21551B3"/>
    <w:multiLevelType w:val="hybridMultilevel"/>
    <w:tmpl w:val="F980407E"/>
    <w:lvl w:ilvl="0" w:tplc="D578E49C">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9" w15:restartNumberingAfterBreak="0">
    <w:nsid w:val="13B53A78"/>
    <w:multiLevelType w:val="multilevel"/>
    <w:tmpl w:val="AD94A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79F72D9"/>
    <w:multiLevelType w:val="hybridMultilevel"/>
    <w:tmpl w:val="86BC7F4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18744F57"/>
    <w:multiLevelType w:val="hybridMultilevel"/>
    <w:tmpl w:val="D4B4AE0A"/>
    <w:lvl w:ilvl="0" w:tplc="24E00110">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9F80603"/>
    <w:multiLevelType w:val="hybridMultilevel"/>
    <w:tmpl w:val="A17A48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BA676C2"/>
    <w:multiLevelType w:val="multilevel"/>
    <w:tmpl w:val="8918E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C2B4E6D"/>
    <w:multiLevelType w:val="multilevel"/>
    <w:tmpl w:val="C0CA92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EDA48FC"/>
    <w:multiLevelType w:val="multilevel"/>
    <w:tmpl w:val="408CA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F79190A"/>
    <w:multiLevelType w:val="multilevel"/>
    <w:tmpl w:val="90547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F7F037D"/>
    <w:multiLevelType w:val="hybridMultilevel"/>
    <w:tmpl w:val="7514E1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24A17512"/>
    <w:multiLevelType w:val="hybridMultilevel"/>
    <w:tmpl w:val="9B466FEA"/>
    <w:lvl w:ilvl="0" w:tplc="4AEE00E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25B726E1"/>
    <w:multiLevelType w:val="multilevel"/>
    <w:tmpl w:val="87B22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286B54AC"/>
    <w:multiLevelType w:val="multilevel"/>
    <w:tmpl w:val="25F8F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2E424AFD"/>
    <w:multiLevelType w:val="multilevel"/>
    <w:tmpl w:val="447A77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0031DA8"/>
    <w:multiLevelType w:val="hybridMultilevel"/>
    <w:tmpl w:val="5F8A9616"/>
    <w:lvl w:ilvl="0" w:tplc="3F0CFAC4">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0D6302A"/>
    <w:multiLevelType w:val="hybridMultilevel"/>
    <w:tmpl w:val="0D027D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31E2779F"/>
    <w:multiLevelType w:val="multilevel"/>
    <w:tmpl w:val="AE964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3127DB9"/>
    <w:multiLevelType w:val="multilevel"/>
    <w:tmpl w:val="EE84F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344A2BC7"/>
    <w:multiLevelType w:val="hybridMultilevel"/>
    <w:tmpl w:val="66DC5EC0"/>
    <w:lvl w:ilvl="0" w:tplc="2976091A">
      <w:start w:val="1"/>
      <w:numFmt w:val="decimal"/>
      <w:lvlText w:val="%1)"/>
      <w:lvlJc w:val="left"/>
      <w:pPr>
        <w:ind w:left="720" w:hanging="360"/>
      </w:pPr>
      <w:rPr>
        <w:rFonts w:hint="default"/>
        <w:color w:val="808080"/>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34CD50AE"/>
    <w:multiLevelType w:val="multilevel"/>
    <w:tmpl w:val="DDC21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4D332B9"/>
    <w:multiLevelType w:val="hybridMultilevel"/>
    <w:tmpl w:val="50A4F7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8"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0" w15:restartNumberingAfterBreak="0">
    <w:nsid w:val="39E37CCC"/>
    <w:multiLevelType w:val="hybridMultilevel"/>
    <w:tmpl w:val="7034D45C"/>
    <w:lvl w:ilvl="0" w:tplc="0840E6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BD40570"/>
    <w:multiLevelType w:val="hybridMultilevel"/>
    <w:tmpl w:val="A36253B2"/>
    <w:lvl w:ilvl="0" w:tplc="86FCE87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3CEB3C9A"/>
    <w:multiLevelType w:val="multilevel"/>
    <w:tmpl w:val="42E85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09147E2"/>
    <w:multiLevelType w:val="multilevel"/>
    <w:tmpl w:val="D5D852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0E95DBA"/>
    <w:multiLevelType w:val="multilevel"/>
    <w:tmpl w:val="DE6A4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3C23338"/>
    <w:multiLevelType w:val="multilevel"/>
    <w:tmpl w:val="55F64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70F4FCA"/>
    <w:multiLevelType w:val="multilevel"/>
    <w:tmpl w:val="A03A37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4C9362C8"/>
    <w:multiLevelType w:val="multilevel"/>
    <w:tmpl w:val="D5D4B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E5B3EB8"/>
    <w:multiLevelType w:val="multilevel"/>
    <w:tmpl w:val="A4F4C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4" w15:restartNumberingAfterBreak="0">
    <w:nsid w:val="553C2B4F"/>
    <w:multiLevelType w:val="hybridMultilevel"/>
    <w:tmpl w:val="C8341E98"/>
    <w:lvl w:ilvl="0" w:tplc="1EF4E2B8">
      <w:start w:val="1"/>
      <w:numFmt w:val="decimal"/>
      <w:lvlText w:val="%1-"/>
      <w:lvlJc w:val="left"/>
      <w:pPr>
        <w:ind w:left="785" w:hanging="360"/>
      </w:pPr>
      <w:rPr>
        <w:rFonts w:hint="default"/>
        <w:b/>
        <w:bCs/>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55" w15:restartNumberingAfterBreak="0">
    <w:nsid w:val="553F2916"/>
    <w:multiLevelType w:val="hybridMultilevel"/>
    <w:tmpl w:val="51D6F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9915651"/>
    <w:multiLevelType w:val="hybridMultilevel"/>
    <w:tmpl w:val="B2363928"/>
    <w:lvl w:ilvl="0" w:tplc="1264ED14">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59932E05"/>
    <w:multiLevelType w:val="hybridMultilevel"/>
    <w:tmpl w:val="81227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9" w15:restartNumberingAfterBreak="0">
    <w:nsid w:val="5AC05170"/>
    <w:multiLevelType w:val="hybridMultilevel"/>
    <w:tmpl w:val="1EAC0F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5B7968B0"/>
    <w:multiLevelType w:val="hybridMultilevel"/>
    <w:tmpl w:val="F37C9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61357BB1"/>
    <w:multiLevelType w:val="multilevel"/>
    <w:tmpl w:val="F64663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21D33B9"/>
    <w:multiLevelType w:val="multilevel"/>
    <w:tmpl w:val="007A8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6" w15:restartNumberingAfterBreak="0">
    <w:nsid w:val="62CA2EAB"/>
    <w:multiLevelType w:val="hybridMultilevel"/>
    <w:tmpl w:val="499E81D2"/>
    <w:lvl w:ilvl="0" w:tplc="DE0E6A2A">
      <w:start w:val="1"/>
      <w:numFmt w:val="decimal"/>
      <w:lvlText w:val="%1."/>
      <w:lvlJc w:val="left"/>
      <w:pPr>
        <w:ind w:left="720" w:hanging="360"/>
      </w:pPr>
      <w:rPr>
        <w:rFonts w:hint="default"/>
        <w:b/>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68B11ABE"/>
    <w:multiLevelType w:val="multilevel"/>
    <w:tmpl w:val="20B07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8C5220D"/>
    <w:multiLevelType w:val="hybridMultilevel"/>
    <w:tmpl w:val="E88AB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6A3F2E8C"/>
    <w:multiLevelType w:val="multilevel"/>
    <w:tmpl w:val="EC842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3" w15:restartNumberingAfterBreak="0">
    <w:nsid w:val="6D1C1881"/>
    <w:multiLevelType w:val="hybridMultilevel"/>
    <w:tmpl w:val="9F306B7A"/>
    <w:lvl w:ilvl="0" w:tplc="AA5C40CA">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 w15:restartNumberingAfterBreak="0">
    <w:nsid w:val="6F5312E9"/>
    <w:multiLevelType w:val="hybridMultilevel"/>
    <w:tmpl w:val="210AC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6F5C71A5"/>
    <w:multiLevelType w:val="multilevel"/>
    <w:tmpl w:val="0BA63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FB552CB"/>
    <w:multiLevelType w:val="multilevel"/>
    <w:tmpl w:val="F964F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8" w15:restartNumberingAfterBreak="0">
    <w:nsid w:val="72087388"/>
    <w:multiLevelType w:val="hybridMultilevel"/>
    <w:tmpl w:val="2FDA36A2"/>
    <w:lvl w:ilvl="0" w:tplc="DAE4E4FC">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9" w15:restartNumberingAfterBreak="0">
    <w:nsid w:val="72155641"/>
    <w:multiLevelType w:val="multilevel"/>
    <w:tmpl w:val="A7CCB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1" w15:restartNumberingAfterBreak="0">
    <w:nsid w:val="75D948A9"/>
    <w:multiLevelType w:val="multilevel"/>
    <w:tmpl w:val="2E084124"/>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2" w15:restartNumberingAfterBreak="0">
    <w:nsid w:val="76B70C1F"/>
    <w:multiLevelType w:val="hybridMultilevel"/>
    <w:tmpl w:val="A01CC9C2"/>
    <w:lvl w:ilvl="0" w:tplc="B3569FD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77BF1BC4"/>
    <w:multiLevelType w:val="hybridMultilevel"/>
    <w:tmpl w:val="FF24A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7A3F0A24"/>
    <w:multiLevelType w:val="hybridMultilevel"/>
    <w:tmpl w:val="E0C0E510"/>
    <w:lvl w:ilvl="0" w:tplc="F3E070A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5" w15:restartNumberingAfterBreak="0">
    <w:nsid w:val="7CB86ECF"/>
    <w:multiLevelType w:val="multilevel"/>
    <w:tmpl w:val="A7340D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77839724">
    <w:abstractNumId w:val="17"/>
  </w:num>
  <w:num w:numId="2" w16cid:durableId="1440491398">
    <w:abstractNumId w:val="18"/>
  </w:num>
  <w:num w:numId="3" w16cid:durableId="1859734775">
    <w:abstractNumId w:val="31"/>
  </w:num>
  <w:num w:numId="4" w16cid:durableId="978268663">
    <w:abstractNumId w:val="68"/>
  </w:num>
  <w:num w:numId="5" w16cid:durableId="723913148">
    <w:abstractNumId w:val="51"/>
  </w:num>
  <w:num w:numId="6" w16cid:durableId="1558974403">
    <w:abstractNumId w:val="22"/>
  </w:num>
  <w:num w:numId="7" w16cid:durableId="1855147657">
    <w:abstractNumId w:val="75"/>
  </w:num>
  <w:num w:numId="8" w16cid:durableId="278295702">
    <w:abstractNumId w:val="6"/>
  </w:num>
  <w:num w:numId="9" w16cid:durableId="468472981">
    <w:abstractNumId w:val="79"/>
  </w:num>
  <w:num w:numId="10" w16cid:durableId="1730880940">
    <w:abstractNumId w:val="4"/>
  </w:num>
  <w:num w:numId="11" w16cid:durableId="96027303">
    <w:abstractNumId w:val="70"/>
  </w:num>
  <w:num w:numId="12" w16cid:durableId="1537354765">
    <w:abstractNumId w:val="32"/>
  </w:num>
  <w:num w:numId="13" w16cid:durableId="1187645001">
    <w:abstractNumId w:val="35"/>
  </w:num>
  <w:num w:numId="14" w16cid:durableId="1435318014">
    <w:abstractNumId w:val="45"/>
  </w:num>
  <w:num w:numId="15" w16cid:durableId="641886201">
    <w:abstractNumId w:val="81"/>
  </w:num>
  <w:num w:numId="16" w16cid:durableId="935796064">
    <w:abstractNumId w:val="13"/>
  </w:num>
  <w:num w:numId="17" w16cid:durableId="2047439806">
    <w:abstractNumId w:val="5"/>
  </w:num>
  <w:num w:numId="18" w16cid:durableId="1467969276">
    <w:abstractNumId w:val="43"/>
  </w:num>
  <w:num w:numId="19" w16cid:durableId="719474981">
    <w:abstractNumId w:val="15"/>
  </w:num>
  <w:num w:numId="20" w16cid:durableId="1600678933">
    <w:abstractNumId w:val="52"/>
  </w:num>
  <w:num w:numId="21" w16cid:durableId="1820002696">
    <w:abstractNumId w:val="24"/>
  </w:num>
  <w:num w:numId="22" w16cid:durableId="1703360084">
    <w:abstractNumId w:val="7"/>
  </w:num>
  <w:num w:numId="23" w16cid:durableId="332416344">
    <w:abstractNumId w:val="44"/>
  </w:num>
  <w:num w:numId="24" w16cid:durableId="183714447">
    <w:abstractNumId w:val="27"/>
  </w:num>
  <w:num w:numId="25" w16cid:durableId="693196064">
    <w:abstractNumId w:val="16"/>
  </w:num>
  <w:num w:numId="26" w16cid:durableId="1307003386">
    <w:abstractNumId w:val="63"/>
  </w:num>
  <w:num w:numId="27" w16cid:durableId="2124112696">
    <w:abstractNumId w:val="49"/>
  </w:num>
  <w:num w:numId="28" w16cid:durableId="1048995403">
    <w:abstractNumId w:val="11"/>
  </w:num>
  <w:num w:numId="29" w16cid:durableId="604002362">
    <w:abstractNumId w:val="69"/>
  </w:num>
  <w:num w:numId="30" w16cid:durableId="1619726051">
    <w:abstractNumId w:val="42"/>
  </w:num>
  <w:num w:numId="31" w16cid:durableId="417948007">
    <w:abstractNumId w:val="3"/>
  </w:num>
  <w:num w:numId="32" w16cid:durableId="1742211151">
    <w:abstractNumId w:val="2"/>
  </w:num>
  <w:num w:numId="33" w16cid:durableId="1305936315">
    <w:abstractNumId w:val="1"/>
  </w:num>
  <w:num w:numId="34" w16cid:durableId="1894583539">
    <w:abstractNumId w:val="66"/>
  </w:num>
  <w:num w:numId="35" w16cid:durableId="134495341">
    <w:abstractNumId w:val="74"/>
  </w:num>
  <w:num w:numId="36" w16cid:durableId="556817905">
    <w:abstractNumId w:val="20"/>
  </w:num>
  <w:num w:numId="37" w16cid:durableId="159128163">
    <w:abstractNumId w:val="85"/>
  </w:num>
  <w:num w:numId="38" w16cid:durableId="970210277">
    <w:abstractNumId w:val="64"/>
  </w:num>
  <w:num w:numId="39" w16cid:durableId="288242538">
    <w:abstractNumId w:val="76"/>
  </w:num>
  <w:num w:numId="40" w16cid:durableId="662200477">
    <w:abstractNumId w:val="9"/>
  </w:num>
  <w:num w:numId="41" w16cid:durableId="186719378">
    <w:abstractNumId w:val="46"/>
  </w:num>
  <w:num w:numId="42" w16cid:durableId="332878093">
    <w:abstractNumId w:val="39"/>
  </w:num>
  <w:num w:numId="43" w16cid:durableId="748648791">
    <w:abstractNumId w:val="65"/>
  </w:num>
  <w:num w:numId="44" w16cid:durableId="1599868859">
    <w:abstractNumId w:val="21"/>
  </w:num>
  <w:num w:numId="45" w16cid:durableId="908688609">
    <w:abstractNumId w:val="80"/>
  </w:num>
  <w:num w:numId="46" w16cid:durableId="61683370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82762783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883446587">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367608457">
    <w:abstractNumId w:val="23"/>
  </w:num>
  <w:num w:numId="50" w16cid:durableId="215702115">
    <w:abstractNumId w:val="33"/>
  </w:num>
  <w:num w:numId="51" w16cid:durableId="1504738712">
    <w:abstractNumId w:val="37"/>
  </w:num>
  <w:num w:numId="52" w16cid:durableId="1614824361">
    <w:abstractNumId w:val="72"/>
  </w:num>
  <w:num w:numId="53" w16cid:durableId="843015882">
    <w:abstractNumId w:val="67"/>
  </w:num>
  <w:num w:numId="54" w16cid:durableId="933132694">
    <w:abstractNumId w:val="71"/>
  </w:num>
  <w:num w:numId="55" w16cid:durableId="892234921">
    <w:abstractNumId w:val="10"/>
  </w:num>
  <w:num w:numId="56" w16cid:durableId="2169955">
    <w:abstractNumId w:val="26"/>
  </w:num>
  <w:num w:numId="57" w16cid:durableId="1387990781">
    <w:abstractNumId w:val="30"/>
  </w:num>
  <w:num w:numId="58" w16cid:durableId="256986007">
    <w:abstractNumId w:val="41"/>
  </w:num>
  <w:num w:numId="59" w16cid:durableId="378094551">
    <w:abstractNumId w:val="48"/>
  </w:num>
  <w:num w:numId="60" w16cid:durableId="1172527113">
    <w:abstractNumId w:val="77"/>
  </w:num>
  <w:num w:numId="61" w16cid:durableId="592977771">
    <w:abstractNumId w:val="25"/>
  </w:num>
  <w:num w:numId="62" w16cid:durableId="902448623">
    <w:abstractNumId w:val="50"/>
  </w:num>
  <w:num w:numId="63" w16cid:durableId="1573150578">
    <w:abstractNumId w:val="62"/>
  </w:num>
  <w:num w:numId="64" w16cid:durableId="21633528">
    <w:abstractNumId w:val="14"/>
  </w:num>
  <w:num w:numId="65" w16cid:durableId="736441896">
    <w:abstractNumId w:val="38"/>
  </w:num>
  <w:num w:numId="66" w16cid:durableId="496382334">
    <w:abstractNumId w:val="47"/>
  </w:num>
  <w:num w:numId="67" w16cid:durableId="1728793781">
    <w:abstractNumId w:val="83"/>
  </w:num>
  <w:num w:numId="68" w16cid:durableId="1550914899">
    <w:abstractNumId w:val="61"/>
  </w:num>
  <w:num w:numId="69" w16cid:durableId="1942712602">
    <w:abstractNumId w:val="36"/>
  </w:num>
  <w:num w:numId="70" w16cid:durableId="666785246">
    <w:abstractNumId w:val="59"/>
  </w:num>
  <w:num w:numId="71" w16cid:durableId="529685575">
    <w:abstractNumId w:val="55"/>
  </w:num>
  <w:num w:numId="72" w16cid:durableId="970015207">
    <w:abstractNumId w:val="0"/>
  </w:num>
  <w:num w:numId="73" w16cid:durableId="1964917050">
    <w:abstractNumId w:val="19"/>
  </w:num>
  <w:num w:numId="74" w16cid:durableId="1610114600">
    <w:abstractNumId w:val="82"/>
  </w:num>
  <w:num w:numId="75" w16cid:durableId="1067997983">
    <w:abstractNumId w:val="84"/>
  </w:num>
  <w:num w:numId="76" w16cid:durableId="798032481">
    <w:abstractNumId w:val="78"/>
  </w:num>
  <w:num w:numId="77" w16cid:durableId="497889292">
    <w:abstractNumId w:val="40"/>
  </w:num>
  <w:num w:numId="78" w16cid:durableId="414061017">
    <w:abstractNumId w:val="56"/>
  </w:num>
  <w:num w:numId="79" w16cid:durableId="1889491613">
    <w:abstractNumId w:val="54"/>
  </w:num>
  <w:num w:numId="80" w16cid:durableId="141890898">
    <w:abstractNumId w:val="73"/>
  </w:num>
  <w:num w:numId="81" w16cid:durableId="1893076586">
    <w:abstractNumId w:val="12"/>
  </w:num>
  <w:num w:numId="82" w16cid:durableId="120848542">
    <w:abstractNumId w:val="28"/>
  </w:num>
  <w:num w:numId="83" w16cid:durableId="1730884396">
    <w:abstractNumId w:val="60"/>
  </w:num>
  <w:num w:numId="84" w16cid:durableId="1384021679">
    <w:abstractNumId w:val="57"/>
  </w:num>
  <w:num w:numId="85" w16cid:durableId="387924361">
    <w:abstractNumId w:val="8"/>
  </w:num>
  <w:num w:numId="86" w16cid:durableId="1005015055">
    <w:abstractNumId w:val="34"/>
  </w:num>
  <w:num w:numId="87" w16cid:durableId="80323274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341"/>
    <w:rsid w:val="000022DA"/>
    <w:rsid w:val="000023A9"/>
    <w:rsid w:val="00002E11"/>
    <w:rsid w:val="0001747D"/>
    <w:rsid w:val="000200FD"/>
    <w:rsid w:val="00031C55"/>
    <w:rsid w:val="00032044"/>
    <w:rsid w:val="00035B25"/>
    <w:rsid w:val="00035D46"/>
    <w:rsid w:val="000372E1"/>
    <w:rsid w:val="00045B31"/>
    <w:rsid w:val="00047686"/>
    <w:rsid w:val="00055C28"/>
    <w:rsid w:val="0006763B"/>
    <w:rsid w:val="00070E06"/>
    <w:rsid w:val="000733E2"/>
    <w:rsid w:val="00076823"/>
    <w:rsid w:val="00081988"/>
    <w:rsid w:val="000848D9"/>
    <w:rsid w:val="0009082E"/>
    <w:rsid w:val="000A0CC9"/>
    <w:rsid w:val="000B1B93"/>
    <w:rsid w:val="000C0423"/>
    <w:rsid w:val="000C206D"/>
    <w:rsid w:val="000C6E89"/>
    <w:rsid w:val="000D0B2B"/>
    <w:rsid w:val="000D2073"/>
    <w:rsid w:val="000E6374"/>
    <w:rsid w:val="000E6C27"/>
    <w:rsid w:val="000F08DB"/>
    <w:rsid w:val="000F581F"/>
    <w:rsid w:val="001041A3"/>
    <w:rsid w:val="0011241F"/>
    <w:rsid w:val="00117975"/>
    <w:rsid w:val="00125822"/>
    <w:rsid w:val="001354B8"/>
    <w:rsid w:val="0013752A"/>
    <w:rsid w:val="00142952"/>
    <w:rsid w:val="00142BEF"/>
    <w:rsid w:val="0014342A"/>
    <w:rsid w:val="00150DE8"/>
    <w:rsid w:val="00153595"/>
    <w:rsid w:val="001622ED"/>
    <w:rsid w:val="001636EF"/>
    <w:rsid w:val="001654D2"/>
    <w:rsid w:val="00167856"/>
    <w:rsid w:val="0017565A"/>
    <w:rsid w:val="0019788C"/>
    <w:rsid w:val="001A103D"/>
    <w:rsid w:val="001A10CF"/>
    <w:rsid w:val="001A2A97"/>
    <w:rsid w:val="001A2BC0"/>
    <w:rsid w:val="001A3350"/>
    <w:rsid w:val="001B3448"/>
    <w:rsid w:val="001E1207"/>
    <w:rsid w:val="001F2E84"/>
    <w:rsid w:val="001F3EBE"/>
    <w:rsid w:val="001F5D20"/>
    <w:rsid w:val="0020564A"/>
    <w:rsid w:val="00212D7D"/>
    <w:rsid w:val="002256C9"/>
    <w:rsid w:val="00231540"/>
    <w:rsid w:val="00235F0A"/>
    <w:rsid w:val="00237395"/>
    <w:rsid w:val="00241EE1"/>
    <w:rsid w:val="00242CE8"/>
    <w:rsid w:val="0024492C"/>
    <w:rsid w:val="00245853"/>
    <w:rsid w:val="00251581"/>
    <w:rsid w:val="00254E5B"/>
    <w:rsid w:val="00256CFD"/>
    <w:rsid w:val="00261304"/>
    <w:rsid w:val="00263A7B"/>
    <w:rsid w:val="00275C24"/>
    <w:rsid w:val="002767DB"/>
    <w:rsid w:val="00276920"/>
    <w:rsid w:val="00277DAE"/>
    <w:rsid w:val="002861E7"/>
    <w:rsid w:val="002922FD"/>
    <w:rsid w:val="00292329"/>
    <w:rsid w:val="002963EF"/>
    <w:rsid w:val="002A381A"/>
    <w:rsid w:val="002A5558"/>
    <w:rsid w:val="002A6AEC"/>
    <w:rsid w:val="002C135A"/>
    <w:rsid w:val="002C44F3"/>
    <w:rsid w:val="002D2824"/>
    <w:rsid w:val="002D3C1A"/>
    <w:rsid w:val="002D4CC1"/>
    <w:rsid w:val="002E080A"/>
    <w:rsid w:val="002E1720"/>
    <w:rsid w:val="002E69E1"/>
    <w:rsid w:val="002E6A2F"/>
    <w:rsid w:val="002E6A7C"/>
    <w:rsid w:val="00303B8C"/>
    <w:rsid w:val="00306689"/>
    <w:rsid w:val="003211FB"/>
    <w:rsid w:val="00327580"/>
    <w:rsid w:val="00334EE9"/>
    <w:rsid w:val="00341F0D"/>
    <w:rsid w:val="00352F07"/>
    <w:rsid w:val="003544DE"/>
    <w:rsid w:val="003656B6"/>
    <w:rsid w:val="00377ACB"/>
    <w:rsid w:val="00380890"/>
    <w:rsid w:val="003810C9"/>
    <w:rsid w:val="00390481"/>
    <w:rsid w:val="003939D1"/>
    <w:rsid w:val="00395688"/>
    <w:rsid w:val="003A28B5"/>
    <w:rsid w:val="003A3413"/>
    <w:rsid w:val="003A405D"/>
    <w:rsid w:val="003B41FB"/>
    <w:rsid w:val="003B6AE7"/>
    <w:rsid w:val="003D27B8"/>
    <w:rsid w:val="003E2EEF"/>
    <w:rsid w:val="003E4589"/>
    <w:rsid w:val="003E7E0A"/>
    <w:rsid w:val="003F5FB7"/>
    <w:rsid w:val="0043517D"/>
    <w:rsid w:val="0044063A"/>
    <w:rsid w:val="00442C71"/>
    <w:rsid w:val="00445377"/>
    <w:rsid w:val="00450040"/>
    <w:rsid w:val="00480439"/>
    <w:rsid w:val="004855C8"/>
    <w:rsid w:val="004868BB"/>
    <w:rsid w:val="00487708"/>
    <w:rsid w:val="00493D7B"/>
    <w:rsid w:val="0049502C"/>
    <w:rsid w:val="004B6383"/>
    <w:rsid w:val="004E2CF9"/>
    <w:rsid w:val="004F3BCB"/>
    <w:rsid w:val="004F717B"/>
    <w:rsid w:val="00502BD0"/>
    <w:rsid w:val="00503869"/>
    <w:rsid w:val="00507D20"/>
    <w:rsid w:val="005174C8"/>
    <w:rsid w:val="00525228"/>
    <w:rsid w:val="00530BC4"/>
    <w:rsid w:val="00532EBE"/>
    <w:rsid w:val="00543D7C"/>
    <w:rsid w:val="005451D3"/>
    <w:rsid w:val="00547610"/>
    <w:rsid w:val="00547FD5"/>
    <w:rsid w:val="00551864"/>
    <w:rsid w:val="005552A5"/>
    <w:rsid w:val="00555736"/>
    <w:rsid w:val="00556E23"/>
    <w:rsid w:val="00557377"/>
    <w:rsid w:val="005608A3"/>
    <w:rsid w:val="00561893"/>
    <w:rsid w:val="0057302D"/>
    <w:rsid w:val="0057361E"/>
    <w:rsid w:val="00577803"/>
    <w:rsid w:val="00582DA0"/>
    <w:rsid w:val="00591E15"/>
    <w:rsid w:val="005934C4"/>
    <w:rsid w:val="00595ADC"/>
    <w:rsid w:val="00595D93"/>
    <w:rsid w:val="005A0AF7"/>
    <w:rsid w:val="005A1D58"/>
    <w:rsid w:val="005A4FA4"/>
    <w:rsid w:val="005A664C"/>
    <w:rsid w:val="005B198A"/>
    <w:rsid w:val="005B4400"/>
    <w:rsid w:val="005C407D"/>
    <w:rsid w:val="005C7E6B"/>
    <w:rsid w:val="005D0697"/>
    <w:rsid w:val="005D5207"/>
    <w:rsid w:val="005D7966"/>
    <w:rsid w:val="005E0FD1"/>
    <w:rsid w:val="005E664E"/>
    <w:rsid w:val="00605CF7"/>
    <w:rsid w:val="0062263A"/>
    <w:rsid w:val="00622A02"/>
    <w:rsid w:val="00630069"/>
    <w:rsid w:val="0063211B"/>
    <w:rsid w:val="00636130"/>
    <w:rsid w:val="00637C5D"/>
    <w:rsid w:val="00647AB6"/>
    <w:rsid w:val="0066446D"/>
    <w:rsid w:val="00666311"/>
    <w:rsid w:val="00673ABE"/>
    <w:rsid w:val="00674501"/>
    <w:rsid w:val="00692602"/>
    <w:rsid w:val="006B009E"/>
    <w:rsid w:val="006B5218"/>
    <w:rsid w:val="006B59E9"/>
    <w:rsid w:val="006C3D0B"/>
    <w:rsid w:val="006C43DF"/>
    <w:rsid w:val="006C521F"/>
    <w:rsid w:val="006C5530"/>
    <w:rsid w:val="006F0A1D"/>
    <w:rsid w:val="006F6466"/>
    <w:rsid w:val="006F6EC4"/>
    <w:rsid w:val="00713361"/>
    <w:rsid w:val="007151DF"/>
    <w:rsid w:val="00717C01"/>
    <w:rsid w:val="00723594"/>
    <w:rsid w:val="00726580"/>
    <w:rsid w:val="00726BE3"/>
    <w:rsid w:val="007364CA"/>
    <w:rsid w:val="00737B8B"/>
    <w:rsid w:val="00741A8A"/>
    <w:rsid w:val="007429A3"/>
    <w:rsid w:val="00745F47"/>
    <w:rsid w:val="00746401"/>
    <w:rsid w:val="00750F24"/>
    <w:rsid w:val="00777B47"/>
    <w:rsid w:val="00783830"/>
    <w:rsid w:val="00791AEF"/>
    <w:rsid w:val="007B1781"/>
    <w:rsid w:val="007C01FC"/>
    <w:rsid w:val="007E1122"/>
    <w:rsid w:val="007E5E78"/>
    <w:rsid w:val="007E666E"/>
    <w:rsid w:val="007F3E39"/>
    <w:rsid w:val="007F4276"/>
    <w:rsid w:val="007F7C50"/>
    <w:rsid w:val="00800B08"/>
    <w:rsid w:val="00805103"/>
    <w:rsid w:val="008075D0"/>
    <w:rsid w:val="008228A9"/>
    <w:rsid w:val="00824384"/>
    <w:rsid w:val="00825E0B"/>
    <w:rsid w:val="008278DB"/>
    <w:rsid w:val="008313FB"/>
    <w:rsid w:val="008368FF"/>
    <w:rsid w:val="0084184E"/>
    <w:rsid w:val="00843568"/>
    <w:rsid w:val="0085369C"/>
    <w:rsid w:val="0089190D"/>
    <w:rsid w:val="008A2833"/>
    <w:rsid w:val="008A4E5D"/>
    <w:rsid w:val="008B1D07"/>
    <w:rsid w:val="008B2C36"/>
    <w:rsid w:val="008B4C7E"/>
    <w:rsid w:val="008B5D0D"/>
    <w:rsid w:val="008B7C04"/>
    <w:rsid w:val="008C2C7A"/>
    <w:rsid w:val="008C3469"/>
    <w:rsid w:val="008C40A8"/>
    <w:rsid w:val="008D23BE"/>
    <w:rsid w:val="008E6527"/>
    <w:rsid w:val="008F4600"/>
    <w:rsid w:val="008F68B9"/>
    <w:rsid w:val="00902737"/>
    <w:rsid w:val="009048D6"/>
    <w:rsid w:val="00943AF0"/>
    <w:rsid w:val="0096425C"/>
    <w:rsid w:val="00967101"/>
    <w:rsid w:val="009951BD"/>
    <w:rsid w:val="009B040C"/>
    <w:rsid w:val="009B3435"/>
    <w:rsid w:val="009B3BE7"/>
    <w:rsid w:val="009B4E15"/>
    <w:rsid w:val="009C06D4"/>
    <w:rsid w:val="009C6B10"/>
    <w:rsid w:val="009D1844"/>
    <w:rsid w:val="009D1890"/>
    <w:rsid w:val="009D6713"/>
    <w:rsid w:val="009E1448"/>
    <w:rsid w:val="009E3E2C"/>
    <w:rsid w:val="00A1299F"/>
    <w:rsid w:val="00A14097"/>
    <w:rsid w:val="00A149B8"/>
    <w:rsid w:val="00A158D5"/>
    <w:rsid w:val="00A211FC"/>
    <w:rsid w:val="00A40ABF"/>
    <w:rsid w:val="00A50B96"/>
    <w:rsid w:val="00A530C3"/>
    <w:rsid w:val="00A54132"/>
    <w:rsid w:val="00A63807"/>
    <w:rsid w:val="00A66C69"/>
    <w:rsid w:val="00A73200"/>
    <w:rsid w:val="00A90BD9"/>
    <w:rsid w:val="00A93093"/>
    <w:rsid w:val="00A9788E"/>
    <w:rsid w:val="00AA0A5E"/>
    <w:rsid w:val="00AA128B"/>
    <w:rsid w:val="00AA1F38"/>
    <w:rsid w:val="00AA37B0"/>
    <w:rsid w:val="00AA6899"/>
    <w:rsid w:val="00AB4CB6"/>
    <w:rsid w:val="00AB66FC"/>
    <w:rsid w:val="00AD095A"/>
    <w:rsid w:val="00AD4588"/>
    <w:rsid w:val="00AD79E3"/>
    <w:rsid w:val="00AF283F"/>
    <w:rsid w:val="00B03328"/>
    <w:rsid w:val="00B04E9D"/>
    <w:rsid w:val="00B113DE"/>
    <w:rsid w:val="00B1405A"/>
    <w:rsid w:val="00B14C9D"/>
    <w:rsid w:val="00B346C2"/>
    <w:rsid w:val="00B365ED"/>
    <w:rsid w:val="00B4749B"/>
    <w:rsid w:val="00B475D3"/>
    <w:rsid w:val="00B50965"/>
    <w:rsid w:val="00B52917"/>
    <w:rsid w:val="00B561F2"/>
    <w:rsid w:val="00B6056D"/>
    <w:rsid w:val="00B621E0"/>
    <w:rsid w:val="00B65539"/>
    <w:rsid w:val="00B71B89"/>
    <w:rsid w:val="00B77F29"/>
    <w:rsid w:val="00B806D6"/>
    <w:rsid w:val="00BA022F"/>
    <w:rsid w:val="00BA2A39"/>
    <w:rsid w:val="00BA453B"/>
    <w:rsid w:val="00BA4D76"/>
    <w:rsid w:val="00BA4D84"/>
    <w:rsid w:val="00BC1096"/>
    <w:rsid w:val="00BD38E3"/>
    <w:rsid w:val="00BD3A74"/>
    <w:rsid w:val="00BD463F"/>
    <w:rsid w:val="00BD53BC"/>
    <w:rsid w:val="00BF5EA1"/>
    <w:rsid w:val="00BF6206"/>
    <w:rsid w:val="00C000F2"/>
    <w:rsid w:val="00C039BA"/>
    <w:rsid w:val="00C05771"/>
    <w:rsid w:val="00C25977"/>
    <w:rsid w:val="00C26D82"/>
    <w:rsid w:val="00C30070"/>
    <w:rsid w:val="00C37459"/>
    <w:rsid w:val="00C41BE7"/>
    <w:rsid w:val="00C4297E"/>
    <w:rsid w:val="00C54988"/>
    <w:rsid w:val="00C63E51"/>
    <w:rsid w:val="00C85142"/>
    <w:rsid w:val="00C853F1"/>
    <w:rsid w:val="00C87C20"/>
    <w:rsid w:val="00C96CE8"/>
    <w:rsid w:val="00CA5709"/>
    <w:rsid w:val="00CA694D"/>
    <w:rsid w:val="00CB0E5E"/>
    <w:rsid w:val="00CB79A9"/>
    <w:rsid w:val="00CD1E7D"/>
    <w:rsid w:val="00CD265D"/>
    <w:rsid w:val="00CD2E4F"/>
    <w:rsid w:val="00CD50DE"/>
    <w:rsid w:val="00CE1F5E"/>
    <w:rsid w:val="00CE2BA7"/>
    <w:rsid w:val="00CE4C0B"/>
    <w:rsid w:val="00CE5C35"/>
    <w:rsid w:val="00CF195C"/>
    <w:rsid w:val="00D046F8"/>
    <w:rsid w:val="00D04BDA"/>
    <w:rsid w:val="00D23B82"/>
    <w:rsid w:val="00D34AE5"/>
    <w:rsid w:val="00D36B91"/>
    <w:rsid w:val="00D424BA"/>
    <w:rsid w:val="00D45289"/>
    <w:rsid w:val="00D46C14"/>
    <w:rsid w:val="00D60454"/>
    <w:rsid w:val="00D6422C"/>
    <w:rsid w:val="00D73AC2"/>
    <w:rsid w:val="00D749D4"/>
    <w:rsid w:val="00D74C75"/>
    <w:rsid w:val="00DA1897"/>
    <w:rsid w:val="00DB2026"/>
    <w:rsid w:val="00DB7CEA"/>
    <w:rsid w:val="00DC1923"/>
    <w:rsid w:val="00DE5A0B"/>
    <w:rsid w:val="00E0367A"/>
    <w:rsid w:val="00E1187D"/>
    <w:rsid w:val="00E16396"/>
    <w:rsid w:val="00E231A1"/>
    <w:rsid w:val="00E30CF5"/>
    <w:rsid w:val="00E31EEC"/>
    <w:rsid w:val="00E339A2"/>
    <w:rsid w:val="00E44019"/>
    <w:rsid w:val="00E449E3"/>
    <w:rsid w:val="00E459FD"/>
    <w:rsid w:val="00E53C4C"/>
    <w:rsid w:val="00E53D81"/>
    <w:rsid w:val="00E5417E"/>
    <w:rsid w:val="00E57C6D"/>
    <w:rsid w:val="00E61DD3"/>
    <w:rsid w:val="00E62456"/>
    <w:rsid w:val="00E66710"/>
    <w:rsid w:val="00E81732"/>
    <w:rsid w:val="00E834A6"/>
    <w:rsid w:val="00E9645E"/>
    <w:rsid w:val="00EA394E"/>
    <w:rsid w:val="00EB1455"/>
    <w:rsid w:val="00EC098B"/>
    <w:rsid w:val="00EC1DFF"/>
    <w:rsid w:val="00EC3625"/>
    <w:rsid w:val="00ED3341"/>
    <w:rsid w:val="00ED6F54"/>
    <w:rsid w:val="00EE3B64"/>
    <w:rsid w:val="00EE45FF"/>
    <w:rsid w:val="00EF3307"/>
    <w:rsid w:val="00F15351"/>
    <w:rsid w:val="00F1603D"/>
    <w:rsid w:val="00F172DB"/>
    <w:rsid w:val="00F43823"/>
    <w:rsid w:val="00F43E5E"/>
    <w:rsid w:val="00F5406F"/>
    <w:rsid w:val="00F56CD5"/>
    <w:rsid w:val="00F60A3C"/>
    <w:rsid w:val="00F837E9"/>
    <w:rsid w:val="00F9393F"/>
    <w:rsid w:val="00F95485"/>
    <w:rsid w:val="00FA3F87"/>
    <w:rsid w:val="00FB3DCE"/>
    <w:rsid w:val="00FC308C"/>
    <w:rsid w:val="00FD4388"/>
    <w:rsid w:val="00FD6710"/>
    <w:rsid w:val="00FE3CEE"/>
    <w:rsid w:val="00FF1ECE"/>
    <w:rsid w:val="00FF39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A4DBE"/>
  <w15:chartTrackingRefBased/>
  <w15:docId w15:val="{F2141E93-9C0E-45A5-B3E8-C8BDDF854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ED33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D33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D33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ED33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33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33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33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33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33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D33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D33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D33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ED33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33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33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33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33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3341"/>
    <w:rPr>
      <w:rFonts w:eastAsiaTheme="majorEastAsia" w:cstheme="majorBidi"/>
      <w:color w:val="272727" w:themeColor="text1" w:themeTint="D8"/>
    </w:rPr>
  </w:style>
  <w:style w:type="paragraph" w:styleId="Title">
    <w:name w:val="Title"/>
    <w:basedOn w:val="Normal"/>
    <w:next w:val="Normal"/>
    <w:link w:val="TitleChar"/>
    <w:uiPriority w:val="10"/>
    <w:qFormat/>
    <w:rsid w:val="00ED33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33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33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33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3341"/>
    <w:pPr>
      <w:spacing w:before="160"/>
      <w:jc w:val="center"/>
    </w:pPr>
    <w:rPr>
      <w:i/>
      <w:iCs/>
      <w:color w:val="404040" w:themeColor="text1" w:themeTint="BF"/>
    </w:rPr>
  </w:style>
  <w:style w:type="character" w:customStyle="1" w:styleId="QuoteChar">
    <w:name w:val="Quote Char"/>
    <w:basedOn w:val="DefaultParagraphFont"/>
    <w:link w:val="Quote"/>
    <w:uiPriority w:val="29"/>
    <w:rsid w:val="00ED3341"/>
    <w:rPr>
      <w:i/>
      <w:iCs/>
      <w:color w:val="404040" w:themeColor="text1" w:themeTint="BF"/>
    </w:rPr>
  </w:style>
  <w:style w:type="paragraph" w:styleId="ListParagraph">
    <w:name w:val="List Paragraph"/>
    <w:basedOn w:val="Normal"/>
    <w:uiPriority w:val="34"/>
    <w:qFormat/>
    <w:rsid w:val="00ED3341"/>
    <w:pPr>
      <w:ind w:left="720"/>
      <w:contextualSpacing/>
    </w:pPr>
  </w:style>
  <w:style w:type="character" w:styleId="IntenseEmphasis">
    <w:name w:val="Intense Emphasis"/>
    <w:basedOn w:val="DefaultParagraphFont"/>
    <w:uiPriority w:val="21"/>
    <w:qFormat/>
    <w:rsid w:val="00ED3341"/>
    <w:rPr>
      <w:i/>
      <w:iCs/>
      <w:color w:val="0F4761" w:themeColor="accent1" w:themeShade="BF"/>
    </w:rPr>
  </w:style>
  <w:style w:type="paragraph" w:styleId="IntenseQuote">
    <w:name w:val="Intense Quote"/>
    <w:basedOn w:val="Normal"/>
    <w:next w:val="Normal"/>
    <w:link w:val="IntenseQuoteChar"/>
    <w:uiPriority w:val="30"/>
    <w:qFormat/>
    <w:rsid w:val="00ED33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3341"/>
    <w:rPr>
      <w:i/>
      <w:iCs/>
      <w:color w:val="0F4761" w:themeColor="accent1" w:themeShade="BF"/>
    </w:rPr>
  </w:style>
  <w:style w:type="character" w:styleId="IntenseReference">
    <w:name w:val="Intense Reference"/>
    <w:basedOn w:val="DefaultParagraphFont"/>
    <w:uiPriority w:val="32"/>
    <w:qFormat/>
    <w:rsid w:val="00ED3341"/>
    <w:rPr>
      <w:b/>
      <w:bCs/>
      <w:smallCaps/>
      <w:color w:val="0F4761" w:themeColor="accent1" w:themeShade="BF"/>
      <w:spacing w:val="5"/>
    </w:rPr>
  </w:style>
  <w:style w:type="paragraph" w:styleId="NormalWeb">
    <w:name w:val="Normal (Web)"/>
    <w:basedOn w:val="Normal"/>
    <w:uiPriority w:val="99"/>
    <w:unhideWhenUsed/>
    <w:rsid w:val="0025158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2E69E1"/>
    <w:rPr>
      <w:color w:val="467886" w:themeColor="hyperlink"/>
      <w:u w:val="single"/>
    </w:rPr>
  </w:style>
  <w:style w:type="character" w:styleId="UnresolvedMention">
    <w:name w:val="Unresolved Mention"/>
    <w:basedOn w:val="DefaultParagraphFont"/>
    <w:uiPriority w:val="99"/>
    <w:semiHidden/>
    <w:unhideWhenUsed/>
    <w:rsid w:val="002E69E1"/>
    <w:rPr>
      <w:color w:val="605E5C"/>
      <w:shd w:val="clear" w:color="auto" w:fill="E1DFDD"/>
    </w:rPr>
  </w:style>
  <w:style w:type="paragraph" w:styleId="Header">
    <w:name w:val="header"/>
    <w:basedOn w:val="Normal"/>
    <w:link w:val="HeaderChar"/>
    <w:uiPriority w:val="99"/>
    <w:unhideWhenUsed/>
    <w:rsid w:val="00B140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405A"/>
  </w:style>
  <w:style w:type="paragraph" w:styleId="Footer">
    <w:name w:val="footer"/>
    <w:basedOn w:val="Normal"/>
    <w:link w:val="FooterChar"/>
    <w:uiPriority w:val="99"/>
    <w:unhideWhenUsed/>
    <w:rsid w:val="00B140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405A"/>
  </w:style>
  <w:style w:type="paragraph" w:styleId="TOCHeading">
    <w:name w:val="TOC Heading"/>
    <w:basedOn w:val="Heading1"/>
    <w:next w:val="Normal"/>
    <w:uiPriority w:val="39"/>
    <w:unhideWhenUsed/>
    <w:qFormat/>
    <w:rsid w:val="009951BD"/>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AA1F38"/>
    <w:pPr>
      <w:tabs>
        <w:tab w:val="right" w:leader="dot" w:pos="9016"/>
      </w:tabs>
      <w:spacing w:after="100"/>
      <w:ind w:left="220"/>
    </w:pPr>
    <w:rPr>
      <w:rFonts w:ascii="Calibri" w:hAnsi="Calibri" w:cs="Calibri"/>
      <w:b/>
      <w:bCs/>
      <w:noProof/>
    </w:rPr>
  </w:style>
  <w:style w:type="paragraph" w:styleId="TOC1">
    <w:name w:val="toc 1"/>
    <w:basedOn w:val="Normal"/>
    <w:next w:val="Normal"/>
    <w:autoRedefine/>
    <w:uiPriority w:val="39"/>
    <w:unhideWhenUsed/>
    <w:rsid w:val="00750F24"/>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750F24"/>
    <w:pPr>
      <w:spacing w:after="100"/>
      <w:ind w:left="440"/>
    </w:pPr>
    <w:rPr>
      <w:rFonts w:eastAsiaTheme="minorEastAsia" w:cs="Times New Roman"/>
      <w:kern w:val="0"/>
      <w:lang w:val="en-US"/>
      <w14:ligatures w14:val="none"/>
    </w:rPr>
  </w:style>
  <w:style w:type="paragraph" w:styleId="NoSpacing">
    <w:name w:val="No Spacing"/>
    <w:link w:val="NoSpacingChar"/>
    <w:uiPriority w:val="1"/>
    <w:qFormat/>
    <w:rsid w:val="008D23B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D23BE"/>
    <w:rPr>
      <w:rFonts w:eastAsiaTheme="minorEastAsia"/>
      <w:kern w:val="0"/>
      <w:lang w:val="en-US"/>
      <w14:ligatures w14:val="none"/>
    </w:rPr>
  </w:style>
  <w:style w:type="paragraph" w:styleId="BodyText2">
    <w:name w:val="Body Text 2"/>
    <w:basedOn w:val="Normal"/>
    <w:link w:val="BodyText2Char"/>
    <w:uiPriority w:val="99"/>
    <w:rsid w:val="002D4CC1"/>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2D4CC1"/>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2D4CC1"/>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2D4CC1"/>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2D4CC1"/>
    <w:rPr>
      <w:rFonts w:ascii="Tahoma" w:eastAsia="Times New Roman" w:hAnsi="Tahoma" w:cs="Tahoma"/>
      <w:kern w:val="0"/>
      <w:sz w:val="16"/>
      <w:szCs w:val="16"/>
      <w14:ligatures w14:val="none"/>
    </w:rPr>
  </w:style>
  <w:style w:type="table" w:styleId="TableGrid">
    <w:name w:val="Table Grid"/>
    <w:basedOn w:val="TableNormal"/>
    <w:uiPriority w:val="59"/>
    <w:rsid w:val="002D4CC1"/>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2D4CC1"/>
    <w:rPr>
      <w:color w:val="800080"/>
      <w:u w:val="single"/>
    </w:rPr>
  </w:style>
  <w:style w:type="character" w:customStyle="1" w:styleId="Hyperlink1">
    <w:name w:val="Hyperlink1"/>
    <w:uiPriority w:val="99"/>
    <w:rsid w:val="002D4CC1"/>
    <w:rPr>
      <w:color w:val="535353"/>
      <w:u w:val="single"/>
      <w:effect w:val="none"/>
    </w:rPr>
  </w:style>
  <w:style w:type="paragraph" w:customStyle="1" w:styleId="NormalWeb1">
    <w:name w:val="Normal (Web)1"/>
    <w:basedOn w:val="Normal"/>
    <w:uiPriority w:val="99"/>
    <w:rsid w:val="002D4CC1"/>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2D4CC1"/>
  </w:style>
  <w:style w:type="character" w:styleId="CommentReference">
    <w:name w:val="annotation reference"/>
    <w:uiPriority w:val="99"/>
    <w:semiHidden/>
    <w:unhideWhenUsed/>
    <w:rsid w:val="002D4CC1"/>
    <w:rPr>
      <w:sz w:val="16"/>
      <w:szCs w:val="16"/>
    </w:rPr>
  </w:style>
  <w:style w:type="paragraph" w:styleId="CommentText">
    <w:name w:val="annotation text"/>
    <w:basedOn w:val="Normal"/>
    <w:link w:val="CommentTextChar"/>
    <w:uiPriority w:val="99"/>
    <w:semiHidden/>
    <w:unhideWhenUsed/>
    <w:rsid w:val="002D4CC1"/>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2D4CC1"/>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2D4CC1"/>
    <w:rPr>
      <w:b/>
      <w:bCs/>
    </w:rPr>
  </w:style>
  <w:style w:type="character" w:customStyle="1" w:styleId="CommentSubjectChar">
    <w:name w:val="Comment Subject Char"/>
    <w:basedOn w:val="CommentTextChar"/>
    <w:link w:val="CommentSubject"/>
    <w:uiPriority w:val="99"/>
    <w:semiHidden/>
    <w:rsid w:val="002D4CC1"/>
    <w:rPr>
      <w:rFonts w:ascii="Times New Roman" w:eastAsia="Times New Roman" w:hAnsi="Times New Roman" w:cs="Times New Roman"/>
      <w:b/>
      <w:bCs/>
      <w:kern w:val="0"/>
      <w:sz w:val="20"/>
      <w:szCs w:val="20"/>
      <w14:ligatures w14:val="none"/>
    </w:rPr>
  </w:style>
  <w:style w:type="character" w:styleId="Strong">
    <w:name w:val="Strong"/>
    <w:uiPriority w:val="22"/>
    <w:qFormat/>
    <w:rsid w:val="002D4CC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hwb.gov.wales"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hwb.gov.wales"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ECGE7006P</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114BC84-552E-4F70-9CF9-454056867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79918</TotalTime>
  <Pages>60</Pages>
  <Words>16567</Words>
  <Characters>107692</Characters>
  <Application>Microsoft Office Word</Application>
  <DocSecurity>0</DocSecurity>
  <Lines>1765</Lines>
  <Paragraphs>487</Paragraphs>
  <ScaleCrop>false</ScaleCrop>
  <HeadingPairs>
    <vt:vector size="2" baseType="variant">
      <vt:variant>
        <vt:lpstr>Title</vt:lpstr>
      </vt:variant>
      <vt:variant>
        <vt:i4>1</vt:i4>
      </vt:variant>
    </vt:vector>
  </HeadingPairs>
  <TitlesOfParts>
    <vt:vector size="1" baseType="lpstr">
      <vt:lpstr/>
    </vt:vector>
  </TitlesOfParts>
  <Company>UWSTD</Company>
  <LinksUpToDate>false</LinksUpToDate>
  <CharactersWithSpaces>123772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Burnout in Newly Qualified Teachers in Wales: A Critical Analysis of Individual, Organisational and Systemic Factors</dc:title>
  <dc:subject>By Tyler King</dc:subject>
  <dc:creator>Tyler King</dc:creator>
  <cp:keywords/>
  <dc:description/>
  <cp:lastModifiedBy>Tyler King</cp:lastModifiedBy>
  <cp:revision>206</cp:revision>
  <dcterms:created xsi:type="dcterms:W3CDTF">2026-03-02T17:22:00Z</dcterms:created>
  <dcterms:modified xsi:type="dcterms:W3CDTF">2026-04-27T10:22:00Z</dcterms:modified>
</cp:coreProperties>
</file>