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8D4E73A">
      <w:pPr>
        <w:pStyle w:val="2"/>
        <w:bidi w:val="0"/>
        <w:jc w:val="center"/>
        <w:rPr>
          <w:rFonts w:hint="default" w:ascii="Times New Roman" w:hAnsi="Times New Roman" w:cs="Times New Roman"/>
          <w:sz w:val="36"/>
          <w:szCs w:val="36"/>
        </w:rPr>
      </w:pPr>
      <w:r>
        <w:rPr>
          <w:rFonts w:hint="default" w:ascii="Times New Roman" w:hAnsi="Times New Roman" w:cs="Times New Roman"/>
          <w:sz w:val="36"/>
          <w:szCs w:val="36"/>
        </w:rPr>
        <w:t>Reconfiguring the Emotional Value of Turntable Appearance for the Chinese Market in the Post-Streaming Era</w:t>
      </w:r>
    </w:p>
    <w:p w14:paraId="4C949740">
      <w:pPr>
        <w:keepNext w:val="0"/>
        <w:keepLines w:val="0"/>
        <w:pageBreakBefore w:val="0"/>
        <w:widowControl/>
        <w:numPr>
          <w:ilvl w:val="0"/>
          <w:numId w:val="1"/>
        </w:numPr>
        <w:suppressLineNumbers w:val="0"/>
        <w:kinsoku/>
        <w:wordWrap/>
        <w:overflowPunct/>
        <w:topLinePunct w:val="0"/>
        <w:autoSpaceDE/>
        <w:autoSpaceDN/>
        <w:bidi w:val="0"/>
        <w:adjustRightInd/>
        <w:snapToGrid/>
        <w:jc w:val="left"/>
        <w:textAlignment w:val="auto"/>
        <w:outlineLvl w:val="1"/>
        <w:rPr>
          <w:rFonts w:hint="default" w:ascii="Times New Roman" w:hAnsi="Times New Roman" w:eastAsia="宋体" w:cs="Times New Roman"/>
          <w:b/>
          <w:bCs/>
          <w:color w:val="000000"/>
          <w:kern w:val="0"/>
          <w:sz w:val="28"/>
          <w:szCs w:val="28"/>
          <w:lang w:val="en-US" w:eastAsia="zh-CN" w:bidi="ar"/>
        </w:rPr>
      </w:pPr>
      <w:r>
        <w:rPr>
          <w:rFonts w:hint="default" w:ascii="Times New Roman" w:hAnsi="Times New Roman" w:eastAsia="宋体" w:cs="Times New Roman"/>
          <w:b/>
          <w:bCs/>
          <w:color w:val="000000"/>
          <w:kern w:val="0"/>
          <w:sz w:val="28"/>
          <w:szCs w:val="28"/>
          <w:lang w:val="en-US" w:eastAsia="zh-CN" w:bidi="ar"/>
        </w:rPr>
        <w:t xml:space="preserve">Introduction </w:t>
      </w:r>
    </w:p>
    <w:p w14:paraId="3B1F4342">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cs="Times New Roman"/>
          <w:b/>
          <w:bCs/>
          <w:sz w:val="24"/>
          <w:szCs w:val="24"/>
        </w:rPr>
      </w:pPr>
      <w:r>
        <w:rPr>
          <w:rFonts w:hint="default" w:ascii="Times New Roman" w:hAnsi="Times New Roman" w:eastAsia="宋体" w:cs="Times New Roman"/>
          <w:b/>
          <w:bCs/>
          <w:sz w:val="24"/>
          <w:szCs w:val="24"/>
          <w:lang w:val="en-US" w:eastAsia="zh-CN"/>
        </w:rPr>
        <w:t>P</w:t>
      </w:r>
      <w:r>
        <w:rPr>
          <w:rFonts w:hint="default" w:ascii="Times New Roman" w:hAnsi="Times New Roman" w:eastAsia="宋体" w:cs="Times New Roman"/>
          <w:b/>
          <w:bCs/>
          <w:sz w:val="24"/>
          <w:szCs w:val="24"/>
        </w:rPr>
        <w:t xml:space="preserve">henomenon and </w:t>
      </w:r>
      <w:r>
        <w:rPr>
          <w:rFonts w:hint="default" w:ascii="Times New Roman" w:hAnsi="Times New Roman" w:eastAsia="宋体" w:cs="Times New Roman"/>
          <w:b/>
          <w:bCs/>
          <w:sz w:val="24"/>
          <w:szCs w:val="24"/>
          <w:lang w:val="en-US" w:eastAsia="zh-CN"/>
        </w:rPr>
        <w:t>C</w:t>
      </w:r>
      <w:r>
        <w:rPr>
          <w:rFonts w:hint="default" w:ascii="Times New Roman" w:hAnsi="Times New Roman" w:eastAsia="宋体" w:cs="Times New Roman"/>
          <w:b/>
          <w:bCs/>
          <w:sz w:val="24"/>
          <w:szCs w:val="24"/>
        </w:rPr>
        <w:t>ontext</w:t>
      </w:r>
      <w:r>
        <w:rPr>
          <w:rFonts w:hint="default" w:ascii="Times New Roman" w:hAnsi="Times New Roman" w:cs="Times New Roman"/>
          <w:b/>
          <w:bCs/>
          <w:sz w:val="24"/>
          <w:szCs w:val="24"/>
        </w:rPr>
        <w:t xml:space="preserve"> </w:t>
      </w:r>
    </w:p>
    <w:p w14:paraId="1DFB6B1E">
      <w:pPr>
        <w:keepNext w:val="0"/>
        <w:keepLines w:val="0"/>
        <w:widowControl/>
        <w:numPr>
          <w:ilvl w:val="0"/>
          <w:numId w:val="0"/>
        </w:numPr>
        <w:suppressLineNumbers w:val="0"/>
        <w:ind w:leftChars="0"/>
        <w:rPr>
          <w:rFonts w:hint="default" w:ascii="Times New Roman" w:hAnsi="Times New Roman" w:cs="Times New Roman" w:eastAsiaTheme="minorEastAsia"/>
          <w:kern w:val="0"/>
          <w:sz w:val="21"/>
          <w:szCs w:val="21"/>
          <w:lang w:val="en-US" w:eastAsia="zh-CN" w:bidi="ar"/>
        </w:rPr>
      </w:pPr>
      <w:r>
        <w:rPr>
          <w:rFonts w:hint="default" w:ascii="Times New Roman" w:hAnsi="Times New Roman" w:cs="Times New Roman" w:eastAsiaTheme="minorEastAsia"/>
          <w:kern w:val="0"/>
          <w:sz w:val="21"/>
          <w:szCs w:val="21"/>
          <w:lang w:val="en-US" w:eastAsia="zh-CN" w:bidi="ar"/>
        </w:rPr>
        <w:t xml:space="preserve">In an era when people can access music through digital devices such as mobile phones and computers, some consumers still purchase physical music playback devices that need to be placed, cleaned, physically operated and given space. According to the performance of the Chinese consumer market in recent years and related studies, traditional physical music culture, represented by vinyl turntables and related vinyl products, has not disappeared because of streaming media and digitalisation. Instead, in the post-digital and post-streaming era, it has gained further meanings related to materiality, emotional provision, experience and cultural identity (Luo Yang </w:t>
      </w:r>
      <w:r>
        <w:rPr>
          <w:rFonts w:hint="eastAsia" w:ascii="Times New Roman" w:hAnsi="Times New Roman" w:cs="Times New Roman"/>
          <w:kern w:val="0"/>
          <w:sz w:val="21"/>
          <w:szCs w:val="21"/>
          <w:lang w:val="en-US" w:eastAsia="zh-CN" w:bidi="ar"/>
        </w:rPr>
        <w:t>&amp;</w:t>
      </w:r>
      <w:r>
        <w:rPr>
          <w:rFonts w:hint="default" w:ascii="Times New Roman" w:hAnsi="Times New Roman" w:cs="Times New Roman" w:eastAsiaTheme="minorEastAsia"/>
          <w:kern w:val="0"/>
          <w:sz w:val="21"/>
          <w:szCs w:val="21"/>
          <w:lang w:val="en-US" w:eastAsia="zh-CN" w:bidi="ar"/>
        </w:rPr>
        <w:t xml:space="preserve"> Xiao, 2025; Guo, 2023; Bartmanski </w:t>
      </w:r>
      <w:r>
        <w:rPr>
          <w:rFonts w:hint="eastAsia" w:ascii="Times New Roman" w:hAnsi="Times New Roman" w:cs="Times New Roman"/>
          <w:kern w:val="0"/>
          <w:sz w:val="21"/>
          <w:szCs w:val="21"/>
          <w:lang w:val="en-US" w:eastAsia="zh-CN" w:bidi="ar"/>
        </w:rPr>
        <w:t>&amp;</w:t>
      </w:r>
      <w:r>
        <w:rPr>
          <w:rFonts w:hint="default" w:ascii="Times New Roman" w:hAnsi="Times New Roman" w:cs="Times New Roman" w:eastAsiaTheme="minorEastAsia"/>
          <w:kern w:val="0"/>
          <w:sz w:val="21"/>
          <w:szCs w:val="21"/>
          <w:lang w:val="en-US" w:eastAsia="zh-CN" w:bidi="ar"/>
        </w:rPr>
        <w:t xml:space="preserve"> Woodward, 2018, 2015; Sinclair </w:t>
      </w:r>
      <w:r>
        <w:rPr>
          <w:rFonts w:hint="eastAsia" w:ascii="Times New Roman" w:hAnsi="Times New Roman" w:cs="Times New Roman"/>
          <w:kern w:val="0"/>
          <w:sz w:val="21"/>
          <w:szCs w:val="21"/>
          <w:lang w:val="en-US" w:eastAsia="zh-CN" w:bidi="ar"/>
        </w:rPr>
        <w:t>&amp;</w:t>
      </w:r>
      <w:r>
        <w:rPr>
          <w:rFonts w:hint="default" w:ascii="Times New Roman" w:hAnsi="Times New Roman" w:cs="Times New Roman" w:eastAsiaTheme="minorEastAsia"/>
          <w:kern w:val="0"/>
          <w:sz w:val="21"/>
          <w:szCs w:val="21"/>
          <w:lang w:val="en-US" w:eastAsia="zh-CN" w:bidi="ar"/>
        </w:rPr>
        <w:t xml:space="preserve"> Tinson, 2017).</w:t>
      </w:r>
    </w:p>
    <w:p w14:paraId="01F46EF2">
      <w:pPr>
        <w:keepNext w:val="0"/>
        <w:keepLines w:val="0"/>
        <w:widowControl/>
        <w:numPr>
          <w:ilvl w:val="0"/>
          <w:numId w:val="0"/>
        </w:numPr>
        <w:suppressLineNumbers w:val="0"/>
        <w:ind w:leftChars="0"/>
        <w:rPr>
          <w:rFonts w:hint="default" w:ascii="Times New Roman" w:hAnsi="Times New Roman" w:cs="Times New Roman" w:eastAsiaTheme="minorEastAsia"/>
          <w:kern w:val="0"/>
          <w:sz w:val="21"/>
          <w:szCs w:val="21"/>
          <w:lang w:val="en-US" w:eastAsia="zh-CN" w:bidi="ar"/>
        </w:rPr>
      </w:pPr>
    </w:p>
    <w:p w14:paraId="08AEC1E3">
      <w:pPr>
        <w:keepNext w:val="0"/>
        <w:keepLines w:val="0"/>
        <w:widowControl/>
        <w:numPr>
          <w:ilvl w:val="0"/>
          <w:numId w:val="0"/>
        </w:numPr>
        <w:suppressLineNumbers w:val="0"/>
        <w:ind w:leftChars="0"/>
        <w:rPr>
          <w:rFonts w:hint="default" w:ascii="Times New Roman" w:hAnsi="Times New Roman" w:cs="Times New Roman" w:eastAsiaTheme="minorEastAsia"/>
          <w:kern w:val="0"/>
          <w:sz w:val="21"/>
          <w:szCs w:val="21"/>
          <w:lang w:val="en-US" w:eastAsia="zh-CN" w:bidi="ar"/>
        </w:rPr>
      </w:pPr>
      <w:r>
        <w:rPr>
          <w:rFonts w:hint="default" w:ascii="Times New Roman" w:hAnsi="Times New Roman" w:cs="Times New Roman" w:eastAsiaTheme="minorEastAsia"/>
          <w:kern w:val="0"/>
          <w:sz w:val="21"/>
          <w:szCs w:val="21"/>
          <w:lang w:val="en-US" w:eastAsia="zh-CN" w:bidi="ar"/>
        </w:rPr>
        <w:t>At the same time, according to internal analytical data from the Chinese vinyl turntable brand S</w:t>
      </w:r>
      <w:r>
        <w:rPr>
          <w:rFonts w:hint="eastAsia" w:ascii="Times New Roman" w:hAnsi="Times New Roman" w:cs="Times New Roman"/>
          <w:kern w:val="0"/>
          <w:sz w:val="21"/>
          <w:szCs w:val="21"/>
          <w:lang w:val="en-US" w:eastAsia="zh-CN" w:bidi="ar"/>
        </w:rPr>
        <w:t>yitren</w:t>
      </w:r>
      <w:r>
        <w:rPr>
          <w:rFonts w:hint="default" w:ascii="Times New Roman" w:hAnsi="Times New Roman" w:cs="Times New Roman" w:eastAsiaTheme="minorEastAsia"/>
          <w:kern w:val="0"/>
          <w:sz w:val="21"/>
          <w:szCs w:val="21"/>
          <w:lang w:val="en-US" w:eastAsia="zh-CN" w:bidi="ar"/>
        </w:rPr>
        <w:t>, the main purchasing group for its turntables is women aged 25 to 35 with economic purchasing power. This finding is completely different from, and even contrasts with, the traditional Western market. This indicates that the performance of vinyl turntables in China is generated through the experience-driven consumption of Chinese consumers. It reflects both the characteristics of the time and the characteristics of the region. It also suggests a direction in which product design needs to be reconsidered and discussed within the Chinese consumer market model of the post-streaming era.</w:t>
      </w:r>
    </w:p>
    <w:p w14:paraId="63BEB63F">
      <w:pPr>
        <w:keepNext w:val="0"/>
        <w:keepLines w:val="0"/>
        <w:widowControl/>
        <w:numPr>
          <w:ilvl w:val="0"/>
          <w:numId w:val="0"/>
        </w:numPr>
        <w:suppressLineNumbers w:val="0"/>
        <w:ind w:leftChars="0"/>
        <w:rPr>
          <w:rFonts w:hint="default" w:eastAsiaTheme="minorEastAsia"/>
          <w:lang w:val="en-US" w:eastAsia="zh-CN"/>
        </w:rPr>
      </w:pPr>
    </w:p>
    <w:p w14:paraId="4F541499">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lang w:val="en-US" w:eastAsia="zh-CN"/>
        </w:rPr>
        <w:t>C</w:t>
      </w:r>
      <w:r>
        <w:rPr>
          <w:rFonts w:hint="default" w:ascii="Times New Roman" w:hAnsi="Times New Roman" w:eastAsia="宋体" w:cs="Times New Roman"/>
          <w:b/>
          <w:bCs/>
          <w:sz w:val="24"/>
          <w:szCs w:val="24"/>
        </w:rPr>
        <w:t xml:space="preserve">ore </w:t>
      </w:r>
      <w:r>
        <w:rPr>
          <w:rFonts w:hint="default" w:ascii="Times New Roman" w:hAnsi="Times New Roman" w:eastAsia="宋体" w:cs="Times New Roman"/>
          <w:b/>
          <w:bCs/>
          <w:sz w:val="24"/>
          <w:szCs w:val="24"/>
          <w:lang w:val="en-US" w:eastAsia="zh-CN"/>
        </w:rPr>
        <w:t>T</w:t>
      </w:r>
      <w:r>
        <w:rPr>
          <w:rFonts w:hint="default" w:ascii="Times New Roman" w:hAnsi="Times New Roman" w:eastAsia="宋体" w:cs="Times New Roman"/>
          <w:b/>
          <w:bCs/>
          <w:sz w:val="24"/>
          <w:szCs w:val="24"/>
        </w:rPr>
        <w:t xml:space="preserve">ension and </w:t>
      </w:r>
      <w:r>
        <w:rPr>
          <w:rFonts w:hint="default" w:ascii="Times New Roman" w:hAnsi="Times New Roman" w:eastAsia="宋体" w:cs="Times New Roman"/>
          <w:b/>
          <w:bCs/>
          <w:sz w:val="24"/>
          <w:szCs w:val="24"/>
          <w:lang w:val="en-US" w:eastAsia="zh-CN"/>
        </w:rPr>
        <w:t>P</w:t>
      </w:r>
      <w:r>
        <w:rPr>
          <w:rFonts w:hint="default" w:ascii="Times New Roman" w:hAnsi="Times New Roman" w:eastAsia="宋体" w:cs="Times New Roman"/>
          <w:b/>
          <w:bCs/>
          <w:sz w:val="24"/>
          <w:szCs w:val="24"/>
        </w:rPr>
        <w:t xml:space="preserve">roblem </w:t>
      </w:r>
      <w:r>
        <w:rPr>
          <w:rFonts w:hint="default" w:ascii="Times New Roman" w:hAnsi="Times New Roman" w:eastAsia="宋体" w:cs="Times New Roman"/>
          <w:b/>
          <w:bCs/>
          <w:sz w:val="24"/>
          <w:szCs w:val="24"/>
          <w:lang w:val="en-US" w:eastAsia="zh-CN"/>
        </w:rPr>
        <w:t>F</w:t>
      </w:r>
      <w:r>
        <w:rPr>
          <w:rFonts w:hint="default" w:ascii="Times New Roman" w:hAnsi="Times New Roman" w:eastAsia="宋体" w:cs="Times New Roman"/>
          <w:b/>
          <w:bCs/>
          <w:sz w:val="24"/>
          <w:szCs w:val="24"/>
        </w:rPr>
        <w:t>raming</w:t>
      </w:r>
    </w:p>
    <w:p w14:paraId="3ECD1D62">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Based on the above phenomenon, design research on vinyl turntables in the Chinese consumer market mainly involves two core contradictions.</w:t>
      </w:r>
    </w:p>
    <w:p w14:paraId="18B1E448">
      <w:pPr>
        <w:keepNext w:val="0"/>
        <w:keepLines w:val="0"/>
        <w:widowControl/>
        <w:numPr>
          <w:ilvl w:val="0"/>
          <w:numId w:val="0"/>
        </w:numPr>
        <w:suppressLineNumbers w:val="0"/>
        <w:ind w:leftChars="0"/>
        <w:rPr>
          <w:rFonts w:hint="default" w:ascii="Times New Roman" w:hAnsi="Times New Roman" w:cs="Times New Roman"/>
        </w:rPr>
      </w:pPr>
    </w:p>
    <w:p w14:paraId="0EAD29DC">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first contradiction concerns the materiality, slow experience and sense of ritual brought by the vinyl turntable itself. These qualities conflict with the digitalisation, fast pace and immediacy of the current streaming music era. However, in the context of digital development, these contradictory qualities have attracted increasing attention from young people who do not have a strong foundation in vinyl culture. To some extent, digital media platforms such as Douyin, Xiaohongshu and Weibo have also promoted the dissemination of vinyl turntables, as shown in Figure 1.</w:t>
      </w:r>
    </w:p>
    <w:p w14:paraId="3199875B">
      <w:pPr>
        <w:keepNext w:val="0"/>
        <w:keepLines w:val="0"/>
        <w:widowControl/>
        <w:numPr>
          <w:ilvl w:val="0"/>
          <w:numId w:val="0"/>
        </w:numPr>
        <w:suppressLineNumbers w:val="0"/>
        <w:ind w:leftChars="0"/>
        <w:rPr>
          <w:rFonts w:hint="default"/>
          <w:lang w:val="en-US" w:eastAsia="zh-CN"/>
        </w:rPr>
      </w:pPr>
      <w:r>
        <w:rPr>
          <w:rFonts w:hint="default"/>
          <w:lang w:val="en-US" w:eastAsia="zh-CN"/>
        </w:rPr>
        <w:drawing>
          <wp:inline distT="0" distB="0" distL="114300" distR="114300">
            <wp:extent cx="5271135" cy="3726815"/>
            <wp:effectExtent l="0" t="0" r="5715" b="6985"/>
            <wp:docPr id="1" name="图片 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
                    <pic:cNvPicPr>
                      <a:picLocks noChangeAspect="1"/>
                    </pic:cNvPicPr>
                  </pic:nvPicPr>
                  <pic:blipFill>
                    <a:blip r:embed="rId4"/>
                    <a:stretch>
                      <a:fillRect/>
                    </a:stretch>
                  </pic:blipFill>
                  <pic:spPr>
                    <a:xfrm>
                      <a:off x="0" y="0"/>
                      <a:ext cx="5271135" cy="3726815"/>
                    </a:xfrm>
                    <a:prstGeom prst="rect">
                      <a:avLst/>
                    </a:prstGeom>
                  </pic:spPr>
                </pic:pic>
              </a:graphicData>
            </a:graphic>
          </wp:inline>
        </w:drawing>
      </w:r>
    </w:p>
    <w:p w14:paraId="62AEB3D2">
      <w:pPr>
        <w:keepNext w:val="0"/>
        <w:keepLines w:val="0"/>
        <w:widowControl/>
        <w:numPr>
          <w:ilvl w:val="0"/>
          <w:numId w:val="0"/>
        </w:numPr>
        <w:suppressLineNumbers w:val="0"/>
        <w:ind w:leftChars="0"/>
        <w:jc w:val="center"/>
        <w:rPr>
          <w:rFonts w:hint="default" w:ascii="Times New Roman" w:hAnsi="Times New Roman" w:cs="Times New Roman"/>
          <w:sz w:val="18"/>
          <w:szCs w:val="18"/>
          <w:lang w:val="en-US" w:eastAsia="zh-CN"/>
        </w:rPr>
      </w:pPr>
      <w:r>
        <w:rPr>
          <w:rFonts w:hint="default" w:ascii="Times New Roman" w:hAnsi="Times New Roman" w:cs="Times New Roman"/>
          <w:b/>
          <w:bCs/>
          <w:sz w:val="18"/>
          <w:szCs w:val="18"/>
          <w:lang w:val="en-US" w:eastAsia="zh-CN"/>
        </w:rPr>
        <w:t>Figure 1</w:t>
      </w:r>
      <w:r>
        <w:rPr>
          <w:rFonts w:hint="eastAsia" w:ascii="Times New Roman" w:hAnsi="Times New Roman" w:cs="Times New Roman"/>
          <w:sz w:val="18"/>
          <w:szCs w:val="18"/>
          <w:lang w:val="en-US" w:eastAsia="zh-CN"/>
        </w:rPr>
        <w:t xml:space="preserve"> </w:t>
      </w:r>
      <w:r>
        <w:rPr>
          <w:rFonts w:hint="default" w:ascii="Times New Roman" w:hAnsi="Times New Roman" w:cs="Times New Roman"/>
          <w:sz w:val="18"/>
          <w:szCs w:val="18"/>
          <w:lang w:val="en-US" w:eastAsia="zh-CN"/>
        </w:rPr>
        <w:t>Vinyl turntables on Chinese social media</w:t>
      </w:r>
      <w:r>
        <w:rPr>
          <w:rFonts w:hint="eastAsia" w:ascii="Times New Roman" w:hAnsi="Times New Roman" w:cs="Times New Roman"/>
          <w:sz w:val="18"/>
          <w:szCs w:val="18"/>
          <w:lang w:val="en-US" w:eastAsia="zh-CN"/>
        </w:rPr>
        <w:t xml:space="preserve"> </w:t>
      </w:r>
      <w:r>
        <w:rPr>
          <w:rFonts w:hint="default" w:ascii="Times New Roman" w:hAnsi="Times New Roman" w:cs="Times New Roman"/>
          <w:sz w:val="18"/>
          <w:szCs w:val="18"/>
          <w:lang w:val="en-US" w:eastAsia="zh-CN"/>
        </w:rPr>
        <w:t>(Image sources: Douyin, Xiaohongshu and Weibo)</w:t>
      </w:r>
    </w:p>
    <w:p w14:paraId="2B659FCB">
      <w:pPr>
        <w:keepNext w:val="0"/>
        <w:keepLines w:val="0"/>
        <w:widowControl/>
        <w:numPr>
          <w:ilvl w:val="0"/>
          <w:numId w:val="0"/>
        </w:numPr>
        <w:suppressLineNumbers w:val="0"/>
        <w:ind w:leftChars="0"/>
        <w:rPr>
          <w:rFonts w:hint="eastAsia"/>
        </w:rPr>
      </w:pPr>
    </w:p>
    <w:p w14:paraId="7561FA57">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 xml:space="preserve">The second core contradiction is that current discussions and studies often attribute this phenomenon of vinyl turntables in the Chinese market to cultural issues, such as nostalgia and the aesthetic display of social media. However, they rarely consider the design issues of the product itself from the perspective of the product (Luo Yang </w:t>
      </w:r>
      <w:r>
        <w:rPr>
          <w:rFonts w:hint="eastAsia" w:ascii="Times New Roman" w:hAnsi="Times New Roman" w:cs="Times New Roman"/>
          <w:lang w:val="en-US" w:eastAsia="zh-CN"/>
        </w:rPr>
        <w:t>&amp;</w:t>
      </w:r>
      <w:r>
        <w:rPr>
          <w:rFonts w:hint="default" w:ascii="Times New Roman" w:hAnsi="Times New Roman" w:cs="Times New Roman"/>
        </w:rPr>
        <w:t xml:space="preserve"> Xiao, 2025; Bartmanski </w:t>
      </w:r>
      <w:r>
        <w:rPr>
          <w:rFonts w:hint="eastAsia" w:ascii="Times New Roman" w:hAnsi="Times New Roman" w:cs="Times New Roman"/>
          <w:lang w:val="en-US" w:eastAsia="zh-CN"/>
        </w:rPr>
        <w:t>&amp;</w:t>
      </w:r>
      <w:r>
        <w:rPr>
          <w:rFonts w:hint="default" w:ascii="Times New Roman" w:hAnsi="Times New Roman" w:cs="Times New Roman"/>
        </w:rPr>
        <w:t xml:space="preserve"> Woodward, 2015).</w:t>
      </w:r>
    </w:p>
    <w:p w14:paraId="666A6559">
      <w:pPr>
        <w:keepNext w:val="0"/>
        <w:keepLines w:val="0"/>
        <w:widowControl/>
        <w:numPr>
          <w:ilvl w:val="0"/>
          <w:numId w:val="0"/>
        </w:numPr>
        <w:suppressLineNumbers w:val="0"/>
        <w:ind w:leftChars="0"/>
      </w:pPr>
    </w:p>
    <w:p w14:paraId="3BFAB1E2">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rPr>
        <w:t xml:space="preserve">Research </w:t>
      </w:r>
      <w:r>
        <w:rPr>
          <w:rFonts w:hint="default" w:ascii="Times New Roman" w:hAnsi="Times New Roman" w:eastAsia="宋体" w:cs="Times New Roman"/>
          <w:b/>
          <w:bCs/>
          <w:sz w:val="24"/>
          <w:szCs w:val="24"/>
          <w:lang w:val="en-US" w:eastAsia="zh-CN"/>
        </w:rPr>
        <w:t>O</w:t>
      </w:r>
      <w:r>
        <w:rPr>
          <w:rFonts w:hint="default" w:ascii="Times New Roman" w:hAnsi="Times New Roman" w:eastAsia="宋体" w:cs="Times New Roman"/>
          <w:b/>
          <w:bCs/>
          <w:sz w:val="24"/>
          <w:szCs w:val="24"/>
        </w:rPr>
        <w:t>bject and Significance</w:t>
      </w:r>
    </w:p>
    <w:p w14:paraId="33ED2198">
      <w:pPr>
        <w:keepNext w:val="0"/>
        <w:keepLines w:val="0"/>
        <w:widowControl/>
        <w:numPr>
          <w:ilvl w:val="0"/>
          <w:numId w:val="0"/>
        </w:numPr>
        <w:suppressLineNumbers w:val="0"/>
        <w:ind w:leftChars="0"/>
        <w:rPr>
          <w:rFonts w:hint="default" w:ascii="Times New Roman" w:hAnsi="Times New Roman" w:cs="Times New Roman"/>
          <w:lang w:eastAsia="zh-CN"/>
        </w:rPr>
      </w:pPr>
      <w:r>
        <w:rPr>
          <w:rFonts w:hint="default" w:ascii="Times New Roman" w:hAnsi="Times New Roman" w:cs="Times New Roman"/>
          <w:lang w:eastAsia="zh-CN"/>
        </w:rPr>
        <w:t>The research object of this article is traditional physical music playback devices represented by vinyl turntables. The main research scope is the renewal design of vinyl turntables within the context of the Chinese consumer market. It does not discuss all forms of physical music media or the global consumer market. It also does not involve in-depth research related to music, marketing or industrial product manufacturing.</w:t>
      </w:r>
    </w:p>
    <w:p w14:paraId="65C3C8B1">
      <w:pPr>
        <w:keepNext w:val="0"/>
        <w:keepLines w:val="0"/>
        <w:widowControl/>
        <w:numPr>
          <w:ilvl w:val="0"/>
          <w:numId w:val="0"/>
        </w:numPr>
        <w:suppressLineNumbers w:val="0"/>
        <w:ind w:leftChars="0"/>
        <w:rPr>
          <w:rFonts w:hint="default" w:ascii="Times New Roman" w:hAnsi="Times New Roman" w:cs="Times New Roman"/>
          <w:lang w:eastAsia="zh-CN"/>
        </w:rPr>
      </w:pPr>
    </w:p>
    <w:p w14:paraId="4A5CA926">
      <w:pPr>
        <w:keepNext w:val="0"/>
        <w:keepLines w:val="0"/>
        <w:widowControl/>
        <w:numPr>
          <w:ilvl w:val="0"/>
          <w:numId w:val="0"/>
        </w:numPr>
        <w:suppressLineNumbers w:val="0"/>
        <w:ind w:leftChars="0"/>
        <w:rPr>
          <w:rFonts w:hint="default" w:ascii="Times New Roman" w:hAnsi="Times New Roman" w:cs="Times New Roman"/>
          <w:lang w:eastAsia="zh-CN"/>
        </w:rPr>
      </w:pPr>
      <w:r>
        <w:rPr>
          <w:rFonts w:hint="default" w:ascii="Times New Roman" w:hAnsi="Times New Roman" w:cs="Times New Roman"/>
          <w:lang w:eastAsia="zh-CN"/>
        </w:rPr>
        <w:t>The theoretical significance of this research lies in integrating the characteristics and content reflected by the revival of physical products in the Chinese consumer market of the post-streaming era into a product design problem that can be examined within a specific product category.</w:t>
      </w:r>
    </w:p>
    <w:p w14:paraId="65B03634">
      <w:pPr>
        <w:keepNext w:val="0"/>
        <w:keepLines w:val="0"/>
        <w:widowControl/>
        <w:numPr>
          <w:ilvl w:val="0"/>
          <w:numId w:val="0"/>
        </w:numPr>
        <w:suppressLineNumbers w:val="0"/>
        <w:ind w:leftChars="0"/>
        <w:rPr>
          <w:rFonts w:hint="default" w:ascii="Times New Roman" w:hAnsi="Times New Roman" w:cs="Times New Roman"/>
          <w:lang w:eastAsia="zh-CN"/>
        </w:rPr>
      </w:pPr>
    </w:p>
    <w:p w14:paraId="2C2893AC">
      <w:pPr>
        <w:keepNext w:val="0"/>
        <w:keepLines w:val="0"/>
        <w:widowControl/>
        <w:numPr>
          <w:ilvl w:val="0"/>
          <w:numId w:val="0"/>
        </w:numPr>
        <w:suppressLineNumbers w:val="0"/>
        <w:ind w:leftChars="0"/>
        <w:rPr>
          <w:rFonts w:hint="default" w:ascii="Times New Roman" w:hAnsi="Times New Roman" w:cs="Times New Roman"/>
          <w:lang w:eastAsia="zh-CN"/>
        </w:rPr>
      </w:pPr>
      <w:r>
        <w:rPr>
          <w:rFonts w:hint="default" w:ascii="Times New Roman" w:hAnsi="Times New Roman" w:cs="Times New Roman"/>
          <w:lang w:eastAsia="zh-CN"/>
        </w:rPr>
        <w:t>The practical significance of this research lies in providing vinyl turntable brands in the Chinese consumer market with an applicable preliminary design evaluation system, as well as design proposals that can be used as product references.</w:t>
      </w:r>
    </w:p>
    <w:p w14:paraId="3DF53958">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607383E3">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6250FA59">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6F6C40E9">
      <w:pPr>
        <w:keepNext w:val="0"/>
        <w:keepLines w:val="0"/>
        <w:pageBreakBefore w:val="0"/>
        <w:widowControl/>
        <w:numPr>
          <w:ilvl w:val="0"/>
          <w:numId w:val="1"/>
        </w:numPr>
        <w:suppressLineNumbers w:val="0"/>
        <w:kinsoku/>
        <w:wordWrap/>
        <w:overflowPunct/>
        <w:topLinePunct w:val="0"/>
        <w:autoSpaceDE/>
        <w:autoSpaceDN/>
        <w:bidi w:val="0"/>
        <w:adjustRightInd/>
        <w:snapToGrid/>
        <w:jc w:val="left"/>
        <w:textAlignment w:val="auto"/>
        <w:outlineLvl w:val="1"/>
        <w:rPr>
          <w:rFonts w:hint="default" w:ascii="Times New Roman" w:hAnsi="Times New Roman" w:eastAsia="宋体" w:cs="Times New Roman"/>
          <w:b/>
          <w:bCs/>
          <w:color w:val="000000"/>
          <w:kern w:val="0"/>
          <w:sz w:val="28"/>
          <w:szCs w:val="28"/>
          <w:lang w:val="en-US" w:eastAsia="zh-CN" w:bidi="ar"/>
        </w:rPr>
      </w:pPr>
      <w:r>
        <w:rPr>
          <w:rFonts w:hint="default" w:ascii="Times New Roman" w:hAnsi="Times New Roman" w:eastAsia="宋体" w:cs="Times New Roman"/>
          <w:b/>
          <w:bCs/>
          <w:color w:val="000000"/>
          <w:kern w:val="0"/>
          <w:sz w:val="28"/>
          <w:szCs w:val="28"/>
          <w:lang w:val="en-US" w:eastAsia="zh-CN" w:bidi="ar"/>
        </w:rPr>
        <w:t xml:space="preserve">Critical Literature Review </w:t>
      </w:r>
    </w:p>
    <w:p w14:paraId="44CDCD62">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rPr>
        <w:t xml:space="preserve">Post-streaming </w:t>
      </w:r>
      <w:r>
        <w:rPr>
          <w:rFonts w:hint="default" w:ascii="Times New Roman" w:hAnsi="Times New Roman" w:eastAsia="宋体" w:cs="Times New Roman"/>
          <w:b/>
          <w:bCs/>
          <w:sz w:val="24"/>
          <w:szCs w:val="24"/>
          <w:lang w:val="en-US" w:eastAsia="zh-CN"/>
        </w:rPr>
        <w:t>E</w:t>
      </w:r>
      <w:r>
        <w:rPr>
          <w:rFonts w:hint="default" w:ascii="Times New Roman" w:hAnsi="Times New Roman" w:eastAsia="宋体" w:cs="Times New Roman"/>
          <w:b/>
          <w:bCs/>
          <w:sz w:val="24"/>
          <w:szCs w:val="24"/>
        </w:rPr>
        <w:t xml:space="preserve">ra and the </w:t>
      </w:r>
      <w:r>
        <w:rPr>
          <w:rFonts w:hint="default" w:ascii="Times New Roman" w:hAnsi="Times New Roman" w:eastAsia="宋体" w:cs="Times New Roman"/>
          <w:b/>
          <w:bCs/>
          <w:sz w:val="24"/>
          <w:szCs w:val="24"/>
          <w:lang w:val="en-US" w:eastAsia="zh-CN"/>
        </w:rPr>
        <w:t>R</w:t>
      </w:r>
      <w:r>
        <w:rPr>
          <w:rFonts w:hint="default" w:ascii="Times New Roman" w:hAnsi="Times New Roman" w:eastAsia="宋体" w:cs="Times New Roman"/>
          <w:b/>
          <w:bCs/>
          <w:sz w:val="24"/>
          <w:szCs w:val="24"/>
        </w:rPr>
        <w:t xml:space="preserve">evival of </w:t>
      </w:r>
      <w:r>
        <w:rPr>
          <w:rFonts w:hint="default" w:ascii="Times New Roman" w:hAnsi="Times New Roman" w:eastAsia="宋体" w:cs="Times New Roman"/>
          <w:b/>
          <w:bCs/>
          <w:sz w:val="24"/>
          <w:szCs w:val="24"/>
          <w:lang w:val="en-US" w:eastAsia="zh-CN"/>
        </w:rPr>
        <w:t>P</w:t>
      </w:r>
      <w:r>
        <w:rPr>
          <w:rFonts w:hint="default" w:ascii="Times New Roman" w:hAnsi="Times New Roman" w:eastAsia="宋体" w:cs="Times New Roman"/>
          <w:b/>
          <w:bCs/>
          <w:sz w:val="24"/>
          <w:szCs w:val="24"/>
        </w:rPr>
        <w:t xml:space="preserve">hysical </w:t>
      </w:r>
      <w:r>
        <w:rPr>
          <w:rFonts w:hint="default" w:ascii="Times New Roman" w:hAnsi="Times New Roman" w:eastAsia="宋体" w:cs="Times New Roman"/>
          <w:b/>
          <w:bCs/>
          <w:sz w:val="24"/>
          <w:szCs w:val="24"/>
          <w:lang w:val="en-US" w:eastAsia="zh-CN"/>
        </w:rPr>
        <w:t>M</w:t>
      </w:r>
      <w:r>
        <w:rPr>
          <w:rFonts w:hint="default" w:ascii="Times New Roman" w:hAnsi="Times New Roman" w:eastAsia="宋体" w:cs="Times New Roman"/>
          <w:b/>
          <w:bCs/>
          <w:sz w:val="24"/>
          <w:szCs w:val="24"/>
        </w:rPr>
        <w:t>edia</w:t>
      </w:r>
    </w:p>
    <w:p w14:paraId="71A26A27">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 xml:space="preserve">The post-streaming era refers to the restructuring of the music industry under new music platforms, data systems, business models, intellectual property frameworks and distribution logics after the streaming industry has become stable. However, this concept does not yet have a fixed definition. In this article, the term post-streaming is used only as an analytical term (Watson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Leyshon, 2022; Hagen, 2020; Hesmondhalgh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Meier, 2018).</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Streaming has changed many mechanisms of music. Through platforms, algorithms and data, it has also shaped a new music ecology. At the same time, criticisms of the functionalisation and fragmentation of music caused by streaming have continued to emerge (Hesmondhalgh, 2022; Morris, 2020; Maasø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Hagen, 2020). However, there is not yet sufficient evidence to prove whether streaming platforms have had a negative impact on the development of music. Therefore, this cannot be used as direct evidence for the development of music media in the post-streaming era. It can only be used as a theoretical reference.</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Meanwhile, vinyl culture is not a product that only revived in the post-streaming era. It is a cultural topic that has been studied continuously. Existing studies mainly focus on nostalgia, cultural attributes and collectible value (Hracs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Jansson, 2020; Sarpong, Dong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Appiah, 2016; Bartmanski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Woodward, 2015). However, these studies do not fully address why physical music media such as vinyl turntables can still be given new value when streaming has become the normal mode of music consumption.</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Therefore, the revival of vinyl cannot be interpreted only through surface-level phenomena. Existing studies have also emphasised factors such as the materiality, authenticity, tactile experience, consumption ritual and social performance of vinyl. They also stress the key role of practice within this process (Whitehouse, 2023; Bates, 2020; Goulding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Derbaix, 2019). However, these studies rarely involve the specific characteristics of the Chinese consumer market. Their focus on aesthetics and materiality may also overlook the internal social attributes of this phenomenon.</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In summary, existing studies on vinyl rarely focus on the vinyl turntable as a product subject. They also lack sufficient discussion of localisation, consumer characteristics and product design.</w:t>
      </w:r>
    </w:p>
    <w:p w14:paraId="011B2A97">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821C31F">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Emotional design, Materiality, and Product meaning</w:t>
      </w:r>
    </w:p>
    <w:p w14:paraId="7717C5F4">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This section responds to the previous discussion by examining why physical media place value on experience, ritual and authenticity from three aspects: emotion, materiality and product meaning.</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First, emotional design represents a shift in product design from functionalism towards emotional value within the development of contemporary design. Emotion can influence cognition and product evaluation, and it has remained an important field of discussion in design research (Desmet, Xue and Xin, 2023; Norman, 2002). However, relying only on emotional design may lead the research towards surface-level visual attraction, while ignoring the internal value of the product. Therefore, emotional design research needs to consider multiple dimensions, such as product materiality and meaning.</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Studies on product materiality suggest that emotion is not generated independently. Instead, it is triggered through the combination of material experience and sensory use (Bertheaux, Zimmermann and Gazel, 2024; Karana, Pedgley and Rognoli, 2015). However, most studies on materiality remain focused on visual and tactile aspects. Vinyl turntables also involve temporality, waiting and a sense of ritual. This shows that materiality research provides a useful theoretical foundation, but still lacks more specific discussion in relation to this product category.</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On this basis, research on product meaning becomes particularly important. Product meaning does not operate directly through physical attributes. Instead, it is produced through dialogue between the product and the user. Different subjects interpret a product through the interaction between material, form, function, culture and user factors (Karana and Hekkert, 2010; Krippendorff, 2005). Research on product meaning can often fall into a standardised model and overlook interaction and dialogue. Therefore, in studying the meaning of vinyl turntables, it is necessary to pay attention to the differences created by materials, visual features and functions under different backgrounds and conditions.</w:t>
      </w:r>
    </w:p>
    <w:p w14:paraId="006B6AE5">
      <w:pPr>
        <w:keepNext w:val="0"/>
        <w:keepLines w:val="0"/>
        <w:widowControl/>
        <w:numPr>
          <w:ilvl w:val="0"/>
          <w:numId w:val="0"/>
        </w:numPr>
        <w:suppressLineNumbers w:val="0"/>
        <w:ind w:leftChars="0"/>
        <w:rPr>
          <w:rFonts w:hint="default" w:ascii="Times New Roman" w:hAnsi="Times New Roman" w:cs="Times New Roman"/>
          <w:lang w:val="en-US" w:eastAsia="zh-CN"/>
        </w:rPr>
      </w:pPr>
    </w:p>
    <w:p w14:paraId="57DBEFD2">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Redesign of Traditional Products</w:t>
      </w:r>
    </w:p>
    <w:p w14:paraId="4E2A4D10">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However, in the age of artificial intelligence, where technology and the environment are constantly changing, the materiality, emotion and meaning of products may also be changing. What the vinyl turntable needs is not only technological breakthrough and the renewal of user needs. More importantly, it needs to be redefined as a product through design (Verganti, 2008).</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The next step is to achieve a radical transformation at the level of meaning. Sustainability in the contemporary era can be included as part of the renewal approach, in order to renew the product in terms of meaning, use and culture (Norman and Verganti, 2014).</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Although this part explains the necessity and significance of product renewal, it lacks specific practical methods. Further discussion is still needed on how product renewal can be achieved through appearance design.</w:t>
      </w:r>
    </w:p>
    <w:p w14:paraId="6578FB94">
      <w:pPr>
        <w:keepNext w:val="0"/>
        <w:keepLines w:val="0"/>
        <w:widowControl/>
        <w:numPr>
          <w:ilvl w:val="0"/>
          <w:numId w:val="0"/>
        </w:numPr>
        <w:suppressLineNumbers w:val="0"/>
        <w:ind w:leftChars="0"/>
        <w:rPr>
          <w:rFonts w:hint="default" w:ascii="Times New Roman" w:hAnsi="Times New Roman" w:cs="Times New Roman"/>
          <w:lang w:val="en-US" w:eastAsia="zh-CN"/>
        </w:rPr>
      </w:pPr>
    </w:p>
    <w:p w14:paraId="40130E2F">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Critical Regionalism and the Translation of Localized Design</w:t>
      </w:r>
    </w:p>
    <w:p w14:paraId="4559F4AD">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Based on the discussion above, the design research on vinyl turntables also needs to introduce critical regionalism as the overall entry point for the following research. Critical regionalism was first mentioned by Tzonis and Lefaivre in architectural theory in 1981. It mainly discussed how regional characteristics in architecture could be reconstructed in a critical way within globalised and universalised modern design. The theory became widely influential in 1983, when Frampton transformed it from an experiential description of architectural practice into a more general theoretical position. This position does not accept homogenised global modernism, nor does it simply return to postmodern decoration. Instead, it seeks a form of modern design that reflects regional characteristics, cultural attributes and its own forms of experience.</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However, with changes in time, the global environment and the influence of postcolonial theory, this theory is no longer regarded as a correct answer, but has been subjected to critical evaluation (Giamarelos, 2020). This means that critical regionalism should no longer be understood simply as a contrast between globalisation and locality. Greater attention should be paid to deeper issues, such as methods of definition, the selection of characteristics and social factors.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In the modern context, critical regionalism has expanded from a concern with local identity to ecological response and digital reconstruction. Giamarelos (2022) suggests that this theory can be easily connected with climate change and sustainability research, and can support localised responses to climate, energy and materials. In terms of digital reconstruction, conventional theory tends to function in buildings with a smaller scale and a more direct relationship with the site. It cannot fully adapt to high-density, tower-based, digitalised and globalised urban contexts. Therefore, Zahiri, Dezhdar and Foroutan (2016) combine new conditions such as integrated customized tectonic articulation, digital construction and material computation to reconstruct place-making and identity-giving. In 2023, Zheng, Schmidt and Richards further proposed a theoretical reconstruction of critical regionalism. They reorganised it into three operable core dimensions: defamiliarization, sense of place and tectonics. On this basis, critical regionalism is repositioned as a more systematic and accountable methodological lens for contemporary case analysis and design judgement.</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Although critical regionalism has developed from an initial theoretical concept into a framework that can respond to the current environment, its focus remains on regional characteristics in architectural theory. Products do not have the same fixed geographical embeddedness as architecture. Therefore, this theory needs to be transformed through research rather than applied directly. In relation to digital integration and the critique of globalisation, the current age also requires an updated awareness and reconstruction of this theoretical content because of the influence of artificial intelligence and geopolitical factors.</w:t>
      </w:r>
    </w:p>
    <w:p w14:paraId="23F610C0">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A526B08">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Research Gap and Entry Point</w:t>
      </w:r>
    </w:p>
    <w:p w14:paraId="58BC7FD4">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In the discussion of the post-streaming era and the revival of physical media, existing studies mainly focus on media, consumption, the relationship between physical and digital forms, and spatial experience. They rarely take the vinyl turntable itself as the main product subject for discussion. In the section on emotional design, materiality and product meaning, existing research focuses on the relationship between emotion and products, how materials participate in product dialogue, and how product meaning is constructed through interaction. However, these studies remain mainly at the level of experience and logic. They lack specific explanations of how the product itself can be designed.</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Research on critical regionalism mainly focuses on the field of architecture. Its discussion of cultural translation cannot be directly adapted to product design. At the same time, the overall body of research is mainly centred on Western consumer markets and everyday contexts. It lacks a targeted perspective on the Chinese market, and it cannot fully explain issues such as differences among consumers.</w:t>
      </w:r>
    </w:p>
    <w:p w14:paraId="735E8985">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1B331661">
      <w:pPr>
        <w:keepNext w:val="0"/>
        <w:keepLines w:val="0"/>
        <w:pageBreakBefore w:val="0"/>
        <w:widowControl/>
        <w:numPr>
          <w:ilvl w:val="0"/>
          <w:numId w:val="1"/>
        </w:numPr>
        <w:suppressLineNumbers w:val="0"/>
        <w:kinsoku/>
        <w:wordWrap/>
        <w:overflowPunct/>
        <w:topLinePunct w:val="0"/>
        <w:autoSpaceDE/>
        <w:autoSpaceDN/>
        <w:bidi w:val="0"/>
        <w:adjustRightInd/>
        <w:snapToGrid/>
        <w:jc w:val="left"/>
        <w:textAlignment w:val="auto"/>
        <w:outlineLvl w:val="1"/>
        <w:rPr>
          <w:rFonts w:hint="default" w:ascii="Times New Roman" w:hAnsi="Times New Roman" w:eastAsia="宋体" w:cs="Times New Roman"/>
          <w:b/>
          <w:bCs/>
          <w:color w:val="000000"/>
          <w:kern w:val="0"/>
          <w:sz w:val="28"/>
          <w:szCs w:val="28"/>
          <w:lang w:val="en-US" w:eastAsia="zh-CN" w:bidi="ar"/>
        </w:rPr>
      </w:pPr>
      <w:r>
        <w:rPr>
          <w:rFonts w:hint="default" w:ascii="Times New Roman" w:hAnsi="Times New Roman" w:eastAsia="宋体" w:cs="Times New Roman"/>
          <w:b/>
          <w:bCs/>
          <w:color w:val="000000"/>
          <w:kern w:val="0"/>
          <w:sz w:val="28"/>
          <w:szCs w:val="28"/>
          <w:lang w:val="en-US" w:eastAsia="zh-CN" w:bidi="ar"/>
        </w:rPr>
        <w:t xml:space="preserve">Research Methodology and Design </w:t>
      </w:r>
    </w:p>
    <w:p w14:paraId="49B46D64">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Research Aims and Questions</w:t>
      </w:r>
    </w:p>
    <w:p w14:paraId="58A10F92">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Based on the counter</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intuitive phenomenon and the research gaps identified in the literature review, this article defines its research aim and research question. This article aims to explore how physical music playback products, represented by vinyl turntables, can be given renewed product meaning and consumer appeal through product design translation in the contemporary Chinese consumer context of the post-streaming era. </w:t>
      </w:r>
    </w:p>
    <w:p w14:paraId="48C7761A">
      <w:pPr>
        <w:keepNext w:val="0"/>
        <w:keepLines w:val="0"/>
        <w:widowControl/>
        <w:numPr>
          <w:ilvl w:val="0"/>
          <w:numId w:val="0"/>
        </w:numPr>
        <w:suppressLineNumbers w:val="0"/>
        <w:ind w:leftChars="0"/>
        <w:rPr>
          <w:rFonts w:hint="default" w:ascii="Times New Roman" w:hAnsi="Times New Roman" w:cs="Times New Roman"/>
          <w:lang w:val="en-US" w:eastAsia="zh-CN"/>
        </w:rPr>
      </w:pPr>
    </w:p>
    <w:p w14:paraId="69F0CFE4">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Therefore, the core research question of this article is: In the post-streaming era, how can vinyl turntables maintain their distinctive appeal in the Chinese consumer market, and how can this appeal be reconstructed through product design into new product meanings that respond to regional consumer characteristics?</w:t>
      </w:r>
    </w:p>
    <w:p w14:paraId="75F951D0">
      <w:pPr>
        <w:keepNext w:val="0"/>
        <w:keepLines w:val="0"/>
        <w:widowControl/>
        <w:numPr>
          <w:ilvl w:val="0"/>
          <w:numId w:val="0"/>
        </w:numPr>
        <w:suppressLineNumbers w:val="0"/>
        <w:ind w:leftChars="0"/>
        <w:rPr>
          <w:rFonts w:hint="default" w:ascii="Times New Roman" w:hAnsi="Times New Roman" w:cs="Times New Roman"/>
          <w:lang w:val="en-US" w:eastAsia="zh-CN"/>
        </w:rPr>
      </w:pPr>
    </w:p>
    <w:p w14:paraId="3940A38D">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Research Methodology</w:t>
      </w:r>
    </w:p>
    <w:p w14:paraId="027D04D4">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b/>
          <w:bCs/>
        </w:rPr>
      </w:pPr>
      <w:r>
        <w:rPr>
          <w:rFonts w:hint="default" w:ascii="Times New Roman" w:hAnsi="Times New Roman" w:cs="Times New Roman"/>
          <w:b/>
          <w:bCs/>
          <w:lang w:val="en-US" w:eastAsia="zh-CN"/>
        </w:rPr>
        <w:t xml:space="preserve">3.2.1 </w:t>
      </w:r>
      <w:r>
        <w:rPr>
          <w:rFonts w:hint="default" w:ascii="Times New Roman" w:hAnsi="Times New Roman" w:cs="Times New Roman"/>
          <w:b/>
          <w:bCs/>
        </w:rPr>
        <w:t>Ontology</w:t>
      </w:r>
    </w:p>
    <w:p w14:paraId="7E3E954A">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ontology of this article is based on relational constructivist ontology. The research argues that understandings of the world, subjects and meanings are not formed by isolated individuals, but are generated through dynamic relational formation and interaction (Emirbayer, 1997; Gergen, 2009). At the same time, product meaning is not fixed, but is dynamically constructed through factors such as social attributes, cultural characteristics, economic conditions, aesthetic education and understandings of everyday life (Berger and Luckmann, 1966).</w:t>
      </w:r>
    </w:p>
    <w:p w14:paraId="068AC35F">
      <w:pPr>
        <w:keepNext w:val="0"/>
        <w:keepLines w:val="0"/>
        <w:widowControl/>
        <w:numPr>
          <w:ilvl w:val="0"/>
          <w:numId w:val="0"/>
        </w:numPr>
        <w:suppressLineNumbers w:val="0"/>
        <w:ind w:leftChars="0"/>
        <w:rPr>
          <w:rFonts w:hint="default" w:ascii="Times New Roman" w:hAnsi="Times New Roman" w:cs="Times New Roman"/>
        </w:rPr>
      </w:pPr>
    </w:p>
    <w:p w14:paraId="146FD3BE">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 xml:space="preserve">Therefore, the specific product meaning, emotional value and cultural attributes of vinyl turntables are formed through multiple forms of interaction. These include the relationships between product and user, interaction mode and user experience, visual design and cultural expression, and product characteristics and consumer environment. The relationship between users, products and environment should be given particular attention in this research. At the same time, in the Chinese consumer context, many related factors have changed. </w:t>
      </w:r>
      <w:r>
        <w:rPr>
          <w:rFonts w:hint="default" w:ascii="Times New Roman" w:hAnsi="Times New Roman" w:cs="Times New Roman"/>
          <w:lang w:val="en-US" w:eastAsia="zh-CN"/>
        </w:rPr>
        <w:t>T</w:t>
      </w:r>
      <w:r>
        <w:rPr>
          <w:rFonts w:hint="default" w:ascii="Times New Roman" w:hAnsi="Times New Roman" w:cs="Times New Roman"/>
        </w:rPr>
        <w:t>he product meaning of vinyl turntables, which has been influenced by Western design paradigms, should also be reinterpreted, redesigned and reconstructed according to Chinese characteristics.</w:t>
      </w:r>
    </w:p>
    <w:p w14:paraId="09501435">
      <w:pPr>
        <w:keepNext w:val="0"/>
        <w:keepLines w:val="0"/>
        <w:widowControl/>
        <w:numPr>
          <w:ilvl w:val="0"/>
          <w:numId w:val="0"/>
        </w:numPr>
        <w:suppressLineNumbers w:val="0"/>
        <w:ind w:leftChars="0"/>
        <w:rPr>
          <w:rFonts w:hint="default" w:ascii="Times New Roman" w:hAnsi="Times New Roman" w:cs="Times New Roman"/>
        </w:rPr>
      </w:pPr>
    </w:p>
    <w:p w14:paraId="0F08931A">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This research understands the renewal design of vinyl turntables as a reconstruction of localised product meaning. The focus of the research is not to produce a permanent truth. It is also not only to produce a visually effective vinyl turntable design proposal. Instead, it is based on the specific context of the Chinese consumer market. It seeks to explore how vinyl turntables can use product design to interpret, respond to and satisfy product materiality, users’ emotional value and local cultural expression under Chinese conditions.</w:t>
      </w:r>
    </w:p>
    <w:p w14:paraId="277E9D8C">
      <w:pPr>
        <w:keepNext w:val="0"/>
        <w:keepLines w:val="0"/>
        <w:widowControl/>
        <w:numPr>
          <w:ilvl w:val="0"/>
          <w:numId w:val="0"/>
        </w:numPr>
        <w:suppressLineNumbers w:val="0"/>
        <w:ind w:leftChars="0"/>
        <w:rPr>
          <w:rFonts w:hint="default" w:ascii="Times New Roman" w:hAnsi="Times New Roman" w:cs="Times New Roman"/>
        </w:rPr>
      </w:pPr>
    </w:p>
    <w:p w14:paraId="4989C9F7">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b/>
          <w:bCs/>
        </w:rPr>
      </w:pPr>
      <w:r>
        <w:rPr>
          <w:rFonts w:hint="default" w:ascii="Times New Roman" w:hAnsi="Times New Roman" w:cs="Times New Roman"/>
          <w:b/>
          <w:bCs/>
          <w:lang w:val="en-US" w:eastAsia="zh-CN"/>
        </w:rPr>
        <w:t xml:space="preserve">3.2.2 </w:t>
      </w:r>
      <w:r>
        <w:rPr>
          <w:rFonts w:hint="default" w:ascii="Times New Roman" w:hAnsi="Times New Roman" w:cs="Times New Roman"/>
          <w:b/>
          <w:bCs/>
        </w:rPr>
        <w:t>Epistemology</w:t>
      </w:r>
    </w:p>
    <w:p w14:paraId="33629895">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epistemological position of this article adopts an interpretive constructivist epistemology with a certain pragmatic orientation.</w:t>
      </w:r>
    </w:p>
    <w:p w14:paraId="09EDA11F">
      <w:pPr>
        <w:keepNext w:val="0"/>
        <w:keepLines w:val="0"/>
        <w:widowControl/>
        <w:numPr>
          <w:ilvl w:val="0"/>
          <w:numId w:val="0"/>
        </w:numPr>
        <w:suppressLineNumbers w:val="0"/>
        <w:ind w:leftChars="0"/>
        <w:rPr>
          <w:rFonts w:hint="default" w:ascii="Times New Roman" w:hAnsi="Times New Roman" w:cs="Times New Roman"/>
        </w:rPr>
      </w:pPr>
    </w:p>
    <w:p w14:paraId="6DC21447">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According to Guba and Lincoln (1994), knowledge is based on an interactive position and is generated through interaction involving the researcher, rather than being objectively discovered from an external position. Research should be conducted in real contexts. It is not suitable to place it entirely within a controlled laboratory environment. It should pay attention to the relationships between multiple factors and objects in reality. The use of data should also consider the potential meanings behind it (Lincoln and Guba, 1988; Schwandt, 1994). At the same time, pragmatist ideas can be used as a methodological reference in the process of knowledge production. Research does not passively describe reality. Instead, it deals with problems, reconstructs situations and produces knowledge through action (Dewey, 2018).</w:t>
      </w:r>
    </w:p>
    <w:p w14:paraId="0ACC1B5A">
      <w:pPr>
        <w:keepNext w:val="0"/>
        <w:keepLines w:val="0"/>
        <w:widowControl/>
        <w:numPr>
          <w:ilvl w:val="0"/>
          <w:numId w:val="0"/>
        </w:numPr>
        <w:suppressLineNumbers w:val="0"/>
        <w:ind w:leftChars="0"/>
        <w:rPr>
          <w:rFonts w:hint="default" w:ascii="Times New Roman" w:hAnsi="Times New Roman" w:cs="Times New Roman"/>
        </w:rPr>
      </w:pPr>
    </w:p>
    <w:p w14:paraId="20422AEF">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Based on the above theories, the knowledge produced by design research on vinyl turntables in the Chinese consumer context is not intended to pursue a standard answer. Rather, it is continuously constructed through design. In the production of knowledge, the design practice of vinyl turntables should be placed in real use contexts. Through product design methods, abstract and ambiguous problems can be transformed into sensory experiences that are perceptible, observable and usable. This can support a more realistic and innovative understanding of the product.</w:t>
      </w:r>
      <w:r>
        <w:rPr>
          <w:rFonts w:hint="default" w:ascii="Times New Roman" w:hAnsi="Times New Roman" w:cs="Times New Roman"/>
          <w:lang w:val="en-US" w:eastAsia="zh-CN"/>
        </w:rPr>
        <w:t xml:space="preserve"> </w:t>
      </w:r>
      <w:r>
        <w:rPr>
          <w:rFonts w:hint="default" w:ascii="Times New Roman" w:hAnsi="Times New Roman" w:cs="Times New Roman"/>
        </w:rPr>
        <w:t>At the same time, an appropriate pragmatic orientation allows understanding to be continuously revised, iterated and reinterpreted through ongoing action.</w:t>
      </w:r>
    </w:p>
    <w:p w14:paraId="375C77AA">
      <w:pPr>
        <w:keepNext w:val="0"/>
        <w:keepLines w:val="0"/>
        <w:widowControl/>
        <w:numPr>
          <w:ilvl w:val="0"/>
          <w:numId w:val="0"/>
        </w:numPr>
        <w:suppressLineNumbers w:val="0"/>
        <w:ind w:leftChars="0"/>
        <w:rPr>
          <w:rFonts w:hint="default" w:ascii="Times New Roman" w:hAnsi="Times New Roman" w:cs="Times New Roman"/>
        </w:rPr>
      </w:pPr>
    </w:p>
    <w:p w14:paraId="71A919E5">
      <w:pPr>
        <w:keepNext w:val="0"/>
        <w:keepLines w:val="0"/>
        <w:widowControl/>
        <w:numPr>
          <w:ilvl w:val="0"/>
          <w:numId w:val="0"/>
        </w:numPr>
        <w:suppressLineNumbers w:val="0"/>
        <w:ind w:leftChars="0"/>
        <w:rPr>
          <w:rFonts w:hint="default" w:ascii="Times New Roman" w:hAnsi="Times New Roman" w:cs="Times New Roman"/>
        </w:rPr>
      </w:pPr>
    </w:p>
    <w:p w14:paraId="249F8CF3">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b/>
          <w:bCs/>
          <w:lang w:val="en-US" w:eastAsia="zh-CN"/>
        </w:rPr>
      </w:pPr>
      <w:r>
        <w:rPr>
          <w:rFonts w:hint="default" w:ascii="Times New Roman" w:hAnsi="Times New Roman" w:cs="Times New Roman"/>
          <w:b/>
          <w:bCs/>
          <w:lang w:val="en-US" w:eastAsia="zh-CN"/>
        </w:rPr>
        <w:t>3.2.3 Methodology</w:t>
      </w:r>
    </w:p>
    <w:p w14:paraId="2B2F41D6">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epistemological position of interpretive constructivism with a pragmatic orientation suggests that knowledge needs to be produced through multiple forms of interpretation and construction. Therefore, the methodological choice of this article cannot rely only on literature analysis and simple observational inference. It requires a research approach that obtains feedback and knowledge through design practice. This article will use Research through Design as the main methodology, together with action research as the generative path for design practice.</w:t>
      </w:r>
    </w:p>
    <w:p w14:paraId="33030617">
      <w:pPr>
        <w:keepNext w:val="0"/>
        <w:keepLines w:val="0"/>
        <w:widowControl/>
        <w:numPr>
          <w:ilvl w:val="0"/>
          <w:numId w:val="0"/>
        </w:numPr>
        <w:suppressLineNumbers w:val="0"/>
        <w:ind w:leftChars="0"/>
        <w:rPr>
          <w:rFonts w:hint="default" w:ascii="Times New Roman" w:hAnsi="Times New Roman" w:cs="Times New Roman"/>
          <w:lang w:val="en-US" w:eastAsia="zh-CN"/>
        </w:rPr>
      </w:pPr>
    </w:p>
    <w:p w14:paraId="19A28166">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According to the methodological content of RtD, the design proposal for the vinyl turntable can be understood as an effective way to generate knowledge, and it is also the main content of this research. Frayling (1994) distinguishes three relationships in art and design research, including research into art and design, research for art and design, and research through art and design, which provides a theoretical basis for using RtD as a methodology and for allowing the design practice of the vinyl turntable to play a role in knowledge generation in this article. In this way, the design process, design outcomes and research report together form knowledge. At the same time, Zimmerman, Forlizzi and Evenson (2007) argue that design innovation in RtD can move the world towards a more desirable future state, and that it is suitable for dealing with open-ended, multimodal and unconstrained problems that lack a single answer. This makes it suitable for addressing the complex relationships involved in the design research of vinyl turntables within the Chinese consumer context. These relationships include emotional value, product materiality, media revival and cultural translation. The outcome of vinyl turntable research based on RtD is not a universal design proposal that is suitable for all consumer contexts. Instead, it generates temporary, conditional and targeted design knowledge through design research. The design proposal is not only a result, but an artificially generated carrier that embodies regional characteristics and meanings (Gaver, 2012).</w:t>
      </w:r>
    </w:p>
    <w:p w14:paraId="4AC794CC">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82171BA">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On the basis of RtD methodology, the design practice process is mainly based on the research framework of Koskinen et al. (2013), which is divided into three stages: Field, Lab and Showroom. In the Field stage, the research mainly develops an understanding of users, existing designs and regional differences in relation to vinyl turntables within the Chinese consumer context. This understanding then enters the Lab stage, where design practice is carried out and the research understanding is transformed into visual and experiential design symbols. Finally, the Showroom stage presents and evaluates the design proposals. Data are collected so that design practice becomes research evidence that can be observed and reflected upon. Within this framework, the specific method of design practice will adopt the iterative approach of action research. A three-cycle iterative design structure will be used to observe the understanding and key information of vinyl turntables in the Chinese consumer market, formulate design plans, express the research content through design practice, collect feedback, reflect on the results, and then enter the next round of iterative design. Through this process, practical design knowledge that is genuinely suitable for the context can be continuously generated (Stringer and Aragón, 2020; Kemmis and McTaggart, 1988).</w:t>
      </w:r>
    </w:p>
    <w:p w14:paraId="2556D44C">
      <w:pPr>
        <w:keepNext w:val="0"/>
        <w:keepLines w:val="0"/>
        <w:widowControl/>
        <w:numPr>
          <w:ilvl w:val="0"/>
          <w:numId w:val="0"/>
        </w:numPr>
        <w:suppressLineNumbers w:val="0"/>
        <w:ind w:leftChars="0"/>
        <w:rPr>
          <w:rFonts w:hint="default" w:ascii="Times New Roman" w:hAnsi="Times New Roman" w:cs="Times New Roman"/>
        </w:rPr>
      </w:pPr>
    </w:p>
    <w:p w14:paraId="4B00BECF">
      <w:pPr>
        <w:keepNext w:val="0"/>
        <w:keepLines w:val="0"/>
        <w:widowControl/>
        <w:numPr>
          <w:ilvl w:val="0"/>
          <w:numId w:val="0"/>
        </w:numPr>
        <w:suppressLineNumbers w:val="0"/>
        <w:ind w:leftChars="0"/>
        <w:rPr>
          <w:rFonts w:hint="default" w:ascii="Times New Roman" w:hAnsi="Times New Roman" w:cs="Times New Roman"/>
        </w:rPr>
      </w:pPr>
    </w:p>
    <w:p w14:paraId="3B4BC9B7">
      <w:pPr>
        <w:keepNext w:val="0"/>
        <w:keepLines w:val="0"/>
        <w:widowControl/>
        <w:numPr>
          <w:ilvl w:val="0"/>
          <w:numId w:val="0"/>
        </w:numPr>
        <w:suppressLineNumbers w:val="0"/>
        <w:ind w:leftChars="0"/>
        <w:rPr>
          <w:rFonts w:hint="default" w:ascii="Times New Roman" w:hAnsi="Times New Roman" w:cs="Times New Roman"/>
        </w:rPr>
      </w:pPr>
    </w:p>
    <w:p w14:paraId="333E7703">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Research Position</w:t>
      </w:r>
    </w:p>
    <w:p w14:paraId="39592333">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9"/>
        <w:rPr>
          <w:rFonts w:hint="default" w:ascii="Times New Roman" w:hAnsi="Times New Roman" w:eastAsia="宋体" w:cs="Times New Roman"/>
          <w:b w:val="0"/>
          <w:bCs w:val="0"/>
          <w:sz w:val="21"/>
          <w:szCs w:val="21"/>
          <w:lang w:val="en-US" w:eastAsia="zh-CN"/>
        </w:rPr>
      </w:pPr>
      <w:r>
        <w:rPr>
          <w:rFonts w:hint="default" w:ascii="Times New Roman" w:hAnsi="Times New Roman" w:eastAsia="宋体" w:cs="Times New Roman"/>
          <w:b w:val="0"/>
          <w:bCs w:val="0"/>
          <w:sz w:val="21"/>
          <w:szCs w:val="21"/>
          <w:lang w:val="en-US" w:eastAsia="zh-CN"/>
        </w:rPr>
        <w:t>The research position of this article is based on the dual identity of the researcher and product participant. Therefore, the approach to the research problem should not only involve external observation and investigation. It should also involve entering the experiential context of the vinyl turntable, so that design intervention and knowledge generation can take place from within.</w:t>
      </w:r>
      <w:r>
        <w:rPr>
          <w:rFonts w:hint="eastAsia" w:ascii="Times New Roman" w:hAnsi="Times New Roman" w:eastAsia="宋体" w:cs="Times New Roman"/>
          <w:b w:val="0"/>
          <w:bCs w:val="0"/>
          <w:sz w:val="21"/>
          <w:szCs w:val="21"/>
          <w:lang w:val="en-US" w:eastAsia="zh-CN"/>
        </w:rPr>
        <w:t xml:space="preserve"> </w:t>
      </w:r>
      <w:r>
        <w:rPr>
          <w:rFonts w:hint="default" w:ascii="Times New Roman" w:hAnsi="Times New Roman" w:eastAsia="宋体" w:cs="Times New Roman"/>
          <w:b w:val="0"/>
          <w:bCs w:val="0"/>
          <w:sz w:val="21"/>
          <w:szCs w:val="21"/>
          <w:lang w:val="en-US" w:eastAsia="zh-CN"/>
        </w:rPr>
        <w:t>Because of the dual identity of the researcher and participant, the generation of knowledge will not be completely neutral. Practice and reflection will involve a certain degree of subjective intervention. However, this subjectivity will not negatively affect the research. Rather, it represents a defined group from the perspectives of the researcher and participant. It is also useful for collecting data for evaluation and reflection.</w:t>
      </w:r>
    </w:p>
    <w:p w14:paraId="7C094991">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9"/>
        <w:rPr>
          <w:rFonts w:hint="default" w:ascii="Times New Roman" w:hAnsi="Times New Roman" w:eastAsia="宋体" w:cs="Times New Roman"/>
          <w:b w:val="0"/>
          <w:bCs w:val="0"/>
          <w:sz w:val="21"/>
          <w:szCs w:val="21"/>
          <w:lang w:val="en-US" w:eastAsia="zh-CN"/>
        </w:rPr>
      </w:pPr>
    </w:p>
    <w:p w14:paraId="1F16797D">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Research Method</w:t>
      </w:r>
    </w:p>
    <w:p w14:paraId="058E54DE">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Based on the above discussion, suitable research methods are selected according to the three-layer framework of RtD. Each method serves a corresponding stage. At the same time, these methods are not used in parallel or independently during the research process. Instead, they are organised sequentially according to the iterative process. In this way, a complete and clear chain of evidence can be formed.</w:t>
      </w:r>
      <w:r>
        <w:rPr>
          <w:rFonts w:hint="default" w:ascii="Times New Roman" w:hAnsi="Times New Roman" w:cs="Times New Roman"/>
          <w:lang w:val="en-US" w:eastAsia="zh-CN"/>
        </w:rPr>
        <w:t xml:space="preserve"> </w:t>
      </w:r>
      <w:r>
        <w:rPr>
          <w:rFonts w:hint="default" w:ascii="Times New Roman" w:hAnsi="Times New Roman" w:cs="Times New Roman"/>
        </w:rPr>
        <w:t>According to the iterative process of design practice, the research first uses literature research, field visits and case analysis. These methods correspond to the Field stage of the methodology and support the formulation of design practice strategies. Based on the formulated strategies, the research then enters the Lab stage. In this stage, design practice, research diaries and annotated portfolios are used to produce product design proposals. Finally, in the Showroom stage, interviews, observation, feedback collection and expert evaluation are used to assess the design practice. Together, these research methods form the research system of this article.</w:t>
      </w:r>
    </w:p>
    <w:p w14:paraId="38776954">
      <w:pPr>
        <w:keepNext w:val="0"/>
        <w:keepLines w:val="0"/>
        <w:widowControl/>
        <w:numPr>
          <w:ilvl w:val="0"/>
          <w:numId w:val="0"/>
        </w:numPr>
        <w:suppressLineNumbers w:val="0"/>
        <w:ind w:leftChars="0"/>
        <w:rPr>
          <w:rFonts w:hint="default" w:ascii="Times New Roman" w:hAnsi="Times New Roman" w:cs="Times New Roman"/>
        </w:rPr>
      </w:pPr>
    </w:p>
    <w:p w14:paraId="772BB5FD">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literature research used in the first stage is not a repetition of a new literature review. Instead, it seeks concepts and standardised content that can support design practice from several aspects. These include physical media in the post-streaming era, product materiality and emotional value, the renewal design of traditional products, and local cultural translation. Field visits are carried out after a certain understanding of the research direction has been developed, in order to obtain real experiences and data. Case comparison examines representative design cases from the perspective of current product design. It supports comparative analysis and helps identify differences. These contents are then combined for deeper inference, in order to formulate later design strategies and support design practice.</w:t>
      </w:r>
    </w:p>
    <w:p w14:paraId="613FBAC0">
      <w:pPr>
        <w:keepNext w:val="0"/>
        <w:keepLines w:val="0"/>
        <w:widowControl/>
        <w:numPr>
          <w:ilvl w:val="0"/>
          <w:numId w:val="0"/>
        </w:numPr>
        <w:suppressLineNumbers w:val="0"/>
        <w:ind w:leftChars="0"/>
        <w:rPr>
          <w:rFonts w:hint="default" w:ascii="Times New Roman" w:hAnsi="Times New Roman" w:cs="Times New Roman"/>
        </w:rPr>
      </w:pPr>
    </w:p>
    <w:p w14:paraId="558E322C">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design practice, research diary and annotated portfolio used in the second stage mainly transform the abstract content collected in the previous stage into product expressions that are easier to understand through product design. They also act as generators of knowledge that can be evaluated. During this process, the research diary is used to record daily design decisions, insights and reflections in real time. This helps revise the proposal and prepare for the next design iteration. At the same time, the annotated portfolio can clearly mark the design content. It allows the conceptual proposal to be better understood when there is no physical prototype experience. It also supports later participant review and expert evaluation.</w:t>
      </w:r>
    </w:p>
    <w:p w14:paraId="02E62FF3">
      <w:pPr>
        <w:keepNext w:val="0"/>
        <w:keepLines w:val="0"/>
        <w:widowControl/>
        <w:numPr>
          <w:ilvl w:val="0"/>
          <w:numId w:val="0"/>
        </w:numPr>
        <w:suppressLineNumbers w:val="0"/>
        <w:ind w:leftChars="0"/>
        <w:rPr>
          <w:rFonts w:hint="default" w:ascii="Times New Roman" w:hAnsi="Times New Roman" w:cs="Times New Roman"/>
        </w:rPr>
      </w:pPr>
    </w:p>
    <w:p w14:paraId="5C4705AF">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semi-structured interviews, feedback collection, observation and expert review used in the third stage collect responses to the displayed design practice. This stage observes whether interviewees or participants can understand the meanings that the research aims to explore through the design practice. It also seeks to obtain useful descriptive content as far as possible. These findings then guide the next design iteration.</w:t>
      </w:r>
    </w:p>
    <w:p w14:paraId="120ADF8F">
      <w:pPr>
        <w:keepNext w:val="0"/>
        <w:keepLines w:val="0"/>
        <w:widowControl/>
        <w:numPr>
          <w:ilvl w:val="0"/>
          <w:numId w:val="0"/>
        </w:numPr>
        <w:suppressLineNumbers w:val="0"/>
        <w:ind w:leftChars="0"/>
        <w:rPr>
          <w:rFonts w:hint="default" w:ascii="Times New Roman" w:hAnsi="Times New Roman" w:cs="Times New Roman"/>
        </w:rPr>
      </w:pPr>
    </w:p>
    <w:p w14:paraId="0B409B3E">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Analytical Strategy</w:t>
      </w:r>
    </w:p>
    <w:p w14:paraId="465911F5">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b/>
          <w:bCs/>
          <w:lang w:val="en-US" w:eastAsia="zh-CN"/>
        </w:rPr>
      </w:pPr>
      <w:r>
        <w:rPr>
          <w:rFonts w:hint="default" w:ascii="Times New Roman" w:hAnsi="Times New Roman" w:cs="Times New Roman"/>
          <w:b/>
          <w:bCs/>
          <w:lang w:val="en-US" w:eastAsia="zh-CN"/>
        </w:rPr>
        <w:t>3.5.1 Data Classification</w:t>
      </w:r>
    </w:p>
    <w:p w14:paraId="1D47E99D">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data generated by the research methods will be classified and organised in a targeted way. The analytical strategy for theoretical data from literature analysis is to develop a defined framework that can support design practice, based on the directions of the literature review. Research on the revival of physical media in the post-streaming era can identify the range of consumer preferences for physical media within the context of the time. In the literature on emotional design, materiality and product meaning, the purpose of theoretical analysis is to explain how products can provide emotional value, express materiality and construct meaning. Literature analysis on the renewal design of traditional products provides theoretical support and design boundaries for redefining innovation in product design. Literature analysis on cultural translation in critical regionalism is used to clarify the content and methods of defining cultural translation.</w:t>
      </w:r>
    </w:p>
    <w:p w14:paraId="2AF7FCED">
      <w:pPr>
        <w:keepNext w:val="0"/>
        <w:keepLines w:val="0"/>
        <w:widowControl/>
        <w:numPr>
          <w:ilvl w:val="0"/>
          <w:numId w:val="0"/>
        </w:numPr>
        <w:suppressLineNumbers w:val="0"/>
        <w:ind w:leftChars="0"/>
        <w:rPr>
          <w:rFonts w:hint="default" w:ascii="Times New Roman" w:hAnsi="Times New Roman" w:cs="Times New Roman"/>
          <w:lang w:val="en-US" w:eastAsia="zh-CN"/>
        </w:rPr>
      </w:pPr>
    </w:p>
    <w:p w14:paraId="3FCBBAE5">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Comparative data mainly come from case comparison and field visits. Representative cases are selected and combined with specific contexts to conduct comparative analysis with different points of emphasis. This analysis focuses on identifying common features or design content within the cases, the expression of differences between modern and traditional elements, the ways in which design deals with local characteristics, and the ways in which emotional, material and physical media features are emphasised. Through comparison, the design language used in existing cases can be visualised.</w:t>
      </w:r>
    </w:p>
    <w:p w14:paraId="39FDF354">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E823C5B">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analytical strategy for generative data mainly focuses on the recording and presentation of design practice. Research diaries and annotated content will be analysed and applied. This will form design practice content based on the strategy of each iteration.</w:t>
      </w:r>
    </w:p>
    <w:p w14:paraId="312EF756">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269A8A9">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analytical strategy for perceptual data based on user feedback, including feedback collection, interviews, observation and expert review, is used to judge whether the content of the design practice can be effectively perceived by users. It moves beyond surface-level information in the feedback. Through observation and interview analysis, it examines whether the current design practice can respond to the problems that the research aims to address. These include whether the design is suitable for the Chinese consumer market and whether it meets consumers’ purchasing expectations.</w:t>
      </w:r>
    </w:p>
    <w:p w14:paraId="0FE4ED86">
      <w:pPr>
        <w:keepNext w:val="0"/>
        <w:keepLines w:val="0"/>
        <w:widowControl/>
        <w:numPr>
          <w:ilvl w:val="0"/>
          <w:numId w:val="0"/>
        </w:numPr>
        <w:suppressLineNumbers w:val="0"/>
        <w:ind w:leftChars="0"/>
        <w:rPr>
          <w:rFonts w:hint="default" w:ascii="Times New Roman" w:hAnsi="Times New Roman" w:cs="Times New Roman"/>
          <w:lang w:val="en-US" w:eastAsia="zh-CN"/>
        </w:rPr>
      </w:pPr>
    </w:p>
    <w:p w14:paraId="1AC81216">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lang w:val="en-US" w:eastAsia="zh-CN"/>
        </w:rPr>
      </w:pPr>
      <w:r>
        <w:rPr>
          <w:rFonts w:hint="default" w:ascii="Times New Roman" w:hAnsi="Times New Roman" w:cs="Times New Roman"/>
          <w:b/>
          <w:bCs/>
          <w:lang w:val="en-US" w:eastAsia="zh-CN"/>
        </w:rPr>
        <w:t>3.5.2 Evaluation Criteria</w:t>
      </w:r>
    </w:p>
    <w:p w14:paraId="0AEFBF59">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At the same time, based on the analytical strategy, strict standards for data judgement should be maintained in the design practice. This is to ensure the rationality and objectivity of the analytical strategy, and to better support the design practice. The following evaluation criteria are important general aspects derived from the literature and discussion above.</w:t>
      </w:r>
    </w:p>
    <w:p w14:paraId="092E3D56">
      <w:pPr>
        <w:keepNext w:val="0"/>
        <w:keepLines w:val="0"/>
        <w:widowControl/>
        <w:numPr>
          <w:ilvl w:val="0"/>
          <w:numId w:val="0"/>
        </w:numPr>
        <w:suppressLineNumbers w:val="0"/>
        <w:ind w:leftChars="0"/>
        <w:rPr>
          <w:rFonts w:hint="default" w:ascii="Times New Roman" w:hAnsi="Times New Roman" w:cs="Times New Roman"/>
          <w:lang w:val="en-US" w:eastAsia="zh-CN"/>
        </w:rPr>
      </w:pPr>
    </w:p>
    <w:p w14:paraId="6CDE028A">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1. Evaluation criterion of product recognisability</w:t>
      </w:r>
    </w:p>
    <w:p w14:paraId="299D7AF0">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This is the basic criterion for judging the overall research and design practice. It mainly evaluates whether the data obtained and the displayed design proposal can be understood as a vinyl turntable, rather than causing ambiguity. This criterion limits the research content and prevents the emergence of content that is overly speculative or overly personalised.</w:t>
      </w:r>
    </w:p>
    <w:p w14:paraId="52700DDD">
      <w:pPr>
        <w:keepNext w:val="0"/>
        <w:keepLines w:val="0"/>
        <w:widowControl/>
        <w:numPr>
          <w:ilvl w:val="0"/>
          <w:numId w:val="0"/>
        </w:numPr>
        <w:suppressLineNumbers w:val="0"/>
        <w:ind w:leftChars="0"/>
        <w:rPr>
          <w:rFonts w:hint="default" w:ascii="Times New Roman" w:hAnsi="Times New Roman" w:cs="Times New Roman"/>
          <w:lang w:val="en-US" w:eastAsia="zh-CN"/>
        </w:rPr>
      </w:pPr>
    </w:p>
    <w:p w14:paraId="548EF9C3">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2. Evaluation criterion of product novelty</w:t>
      </w:r>
    </w:p>
    <w:p w14:paraId="10FD636A">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On the basis of meeting basic product recognisability, this criterion judges whether the design practice is novel and whether it moves beyond the existing design paradigm. It prevents the research content of design practice from lacking innovation and breakthrough, and avoids ineffective iteration within the existing framework.</w:t>
      </w:r>
    </w:p>
    <w:p w14:paraId="7BAB69CE">
      <w:pPr>
        <w:keepNext w:val="0"/>
        <w:keepLines w:val="0"/>
        <w:widowControl/>
        <w:numPr>
          <w:ilvl w:val="0"/>
          <w:numId w:val="0"/>
        </w:numPr>
        <w:suppressLineNumbers w:val="0"/>
        <w:ind w:leftChars="0"/>
        <w:rPr>
          <w:rFonts w:hint="default" w:ascii="Times New Roman" w:hAnsi="Times New Roman" w:cs="Times New Roman"/>
          <w:lang w:val="en-US" w:eastAsia="zh-CN"/>
        </w:rPr>
      </w:pPr>
    </w:p>
    <w:p w14:paraId="4A2092AA">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3. Evaluation criterion of product appeal</w:t>
      </w:r>
    </w:p>
    <w:p w14:paraId="04B84800">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This criterion further develops the previous standards. It ensures that the design content still meets consumer expectations and continues to have emotional value, product meaning and product materiality. It prevents excessive innovation from creating a design that cannot generate emotional resonance with consumers. If market feedback is abandoned, later evaluation of localisation cannot be carried out.</w:t>
      </w:r>
    </w:p>
    <w:p w14:paraId="20F87934">
      <w:pPr>
        <w:keepNext w:val="0"/>
        <w:keepLines w:val="0"/>
        <w:widowControl/>
        <w:numPr>
          <w:ilvl w:val="0"/>
          <w:numId w:val="0"/>
        </w:numPr>
        <w:suppressLineNumbers w:val="0"/>
        <w:ind w:leftChars="0"/>
        <w:rPr>
          <w:rFonts w:hint="default" w:ascii="Times New Roman" w:hAnsi="Times New Roman" w:cs="Times New Roman"/>
          <w:lang w:val="en-US" w:eastAsia="zh-CN"/>
        </w:rPr>
      </w:pPr>
    </w:p>
    <w:p w14:paraId="350D0453">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4. Evaluation criterion of product localisation</w:t>
      </w:r>
    </w:p>
    <w:p w14:paraId="61F322EE">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This criterion evaluates whether the design practice includes the characteristics of the Chinese consumer context, whether it achieves effective cultural translation, and whether this can be perceived by users. However, cultural translation should not remain at the level of surface cultural symbols. It can guide users’ understanding through narrative explanation.</w:t>
      </w:r>
    </w:p>
    <w:p w14:paraId="73A0678D">
      <w:pPr>
        <w:keepNext w:val="0"/>
        <w:keepLines w:val="0"/>
        <w:widowControl/>
        <w:numPr>
          <w:ilvl w:val="0"/>
          <w:numId w:val="0"/>
        </w:numPr>
        <w:suppressLineNumbers w:val="0"/>
        <w:ind w:leftChars="0"/>
        <w:rPr>
          <w:rFonts w:hint="default" w:ascii="Times New Roman" w:hAnsi="Times New Roman" w:cs="Times New Roman"/>
          <w:lang w:val="en-US" w:eastAsia="zh-CN"/>
        </w:rPr>
      </w:pPr>
    </w:p>
    <w:p w14:paraId="47AA283B">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5. Evaluation criterion of product completeness</w:t>
      </w:r>
    </w:p>
    <w:p w14:paraId="1CB11129">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After all the above criteria have been met, product completeness is evaluated. This includes the evaluation of materials, colour, function and structure in the design practice. This prevents the overall design research from remaining only at the stage of open-ended conceptual design. The evaluation standard is based on feasibility rather than definite realisation. This is also an exploration of future design.</w:t>
      </w:r>
    </w:p>
    <w:p w14:paraId="37A0A1DD">
      <w:pPr>
        <w:keepNext w:val="0"/>
        <w:keepLines w:val="0"/>
        <w:widowControl/>
        <w:numPr>
          <w:ilvl w:val="0"/>
          <w:numId w:val="0"/>
        </w:numPr>
        <w:suppressLineNumbers w:val="0"/>
        <w:ind w:leftChars="0"/>
        <w:rPr>
          <w:rFonts w:hint="default" w:ascii="Times New Roman" w:hAnsi="Times New Roman" w:cs="Times New Roman"/>
          <w:lang w:val="en-US" w:eastAsia="zh-CN"/>
        </w:rPr>
      </w:pPr>
    </w:p>
    <w:p w14:paraId="2E25037B">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In the iteration of design practice, the above evaluation criteria will be used to assess the content and determine whether each round of iteration has achieved the expected effect. Since each design iteration has different tasks, the evaluation criteria that the design practice needs to meet should also be different. The research assumes that the final round of design practice will meet all the evaluation criteria.</w:t>
      </w:r>
    </w:p>
    <w:p w14:paraId="2D291B4B">
      <w:pPr>
        <w:keepNext w:val="0"/>
        <w:keepLines w:val="0"/>
        <w:widowControl/>
        <w:numPr>
          <w:ilvl w:val="0"/>
          <w:numId w:val="0"/>
        </w:numPr>
        <w:suppressLineNumbers w:val="0"/>
        <w:ind w:leftChars="0"/>
        <w:rPr>
          <w:rFonts w:hint="default" w:ascii="Times New Roman" w:hAnsi="Times New Roman" w:cs="Times New Roman"/>
        </w:rPr>
      </w:pPr>
    </w:p>
    <w:p w14:paraId="1F336366">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Design Practice</w:t>
      </w:r>
    </w:p>
    <w:p w14:paraId="59057A84">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According to the research position and methodology, design practice is the most important knowledge generator in this research. It transforms the abstract content of literature and data into effective knowledge through design. The design practice framework developed through methodology, research position, methods and analytical strategies allows the design work to function not only as a subjective form of presentation within the research. Instead, through the combination of RtD and action research, it forms a research system based on design work.</w:t>
      </w:r>
    </w:p>
    <w:p w14:paraId="38AF0CB4">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9"/>
        <w:rPr>
          <w:rFonts w:hint="default" w:ascii="Times New Roman" w:hAnsi="Times New Roman" w:eastAsia="宋体" w:cs="Times New Roman"/>
          <w:b w:val="0"/>
          <w:bCs w:val="0"/>
          <w:sz w:val="24"/>
          <w:szCs w:val="24"/>
          <w:lang w:val="en-US" w:eastAsia="zh-CN"/>
        </w:rPr>
      </w:pPr>
    </w:p>
    <w:p w14:paraId="65734A22">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b/>
          <w:bCs/>
          <w:lang w:val="en-US" w:eastAsia="zh-CN"/>
        </w:rPr>
      </w:pPr>
      <w:r>
        <w:rPr>
          <w:rFonts w:hint="default" w:ascii="Times New Roman" w:hAnsi="Times New Roman" w:cs="Times New Roman"/>
          <w:b/>
          <w:bCs/>
          <w:lang w:val="en-US" w:eastAsia="zh-CN"/>
        </w:rPr>
        <w:t>3.6.1 Practical Steps</w:t>
      </w:r>
    </w:p>
    <w:p w14:paraId="40FB6314">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specific steps of design practice will follow the spiral iteration proposed by Kemmis and McTaggart (1988). This process is mainly divided into four stages: Plan, Act, Observe and Reflect. These stages form a spiral cycle that advances design practice, product understanding and contextual change.</w:t>
      </w:r>
    </w:p>
    <w:p w14:paraId="4C56A3ED">
      <w:pPr>
        <w:keepNext w:val="0"/>
        <w:keepLines w:val="0"/>
        <w:widowControl/>
        <w:numPr>
          <w:ilvl w:val="0"/>
          <w:numId w:val="0"/>
        </w:numPr>
        <w:suppressLineNumbers w:val="0"/>
        <w:ind w:leftChars="0"/>
        <w:rPr>
          <w:rFonts w:hint="default" w:ascii="Times New Roman" w:hAnsi="Times New Roman" w:cs="Times New Roman"/>
          <w:lang w:val="en-US" w:eastAsia="zh-CN"/>
        </w:rPr>
      </w:pPr>
    </w:p>
    <w:p w14:paraId="5A5056A4">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1. Plan Stage</w:t>
      </w:r>
    </w:p>
    <w:p w14:paraId="4C1F9A5A">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Based on the research aim, research questions and research position, this stage clarifies the design theme of the design practice. It transforms the theoretical data and comparative data from the analytical strategy into a guiding plan before design practice. First, the basic content of the product is clarified. The design goal is the vinyl turntable. The product use scenario and mode of use are defined. At the same time, the design expectations of the product are explained, including what research effect the product design is expected to achieve. Second, the target user profile is positioned. This includes the age, gender and identity characteristics of users. The aesthetic preferences, product use habits and everyday behaviours of this user group are also defined. Based on the comparative data, the basic content, problematic content, referenceable content and ambiguous content that should be considered in the design are listed. At the same time, the keywords that guide design practice and their core meanings are clarified. The design differences and innovative content are then explained through four aspects: product appearance, function, material and structure. Finally, the boundaries of design practice are defined. Visual style, proportion and presentation methods are set in advance. At the same time, the design guidance plan is reviewed and reflected upon, in order to prevent the product design from developing blindly.</w:t>
      </w:r>
    </w:p>
    <w:p w14:paraId="7830576C">
      <w:pPr>
        <w:keepNext w:val="0"/>
        <w:keepLines w:val="0"/>
        <w:widowControl/>
        <w:numPr>
          <w:ilvl w:val="0"/>
          <w:numId w:val="0"/>
        </w:numPr>
        <w:suppressLineNumbers w:val="0"/>
        <w:ind w:leftChars="0"/>
        <w:rPr>
          <w:rFonts w:hint="default" w:ascii="Times New Roman" w:hAnsi="Times New Roman" w:cs="Times New Roman"/>
          <w:lang w:val="en-US" w:eastAsia="zh-CN"/>
        </w:rPr>
      </w:pPr>
    </w:p>
    <w:p w14:paraId="568CFD6A">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2. Act Stage</w:t>
      </w:r>
    </w:p>
    <w:p w14:paraId="29A7F816">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In this stage, the specific product design is generated according to the design guidance plan. First, brainstorming and divergent design are carried out. Through rapid product sketching, multiple attempts are made in relation to form, proportion, function, structure and interaction. The focus is not on details, but on innovative expression. This process forms a set of conceptual sketch boards. Second, the early design proposals are screened. The early proposals are evaluated in terms of design goal completion, innovation, extensibility and feasibility. Two to three early proposals are then selected for further design development. Through refined product sketches, 3D modelling and rendering, the product proportion, details and overall effect are clarified. A second evaluation of the proposals is then carried out. The proposal to be used for later presentation and evaluation is selected for product visual rendering. At the same time, a product prototype model is used for presentation. During the design stage, the research diary and annotated portfolio are also recorded. These records are presented together with the product prototype and visual renderings. This helps develop a better understanding of the product proposal.</w:t>
      </w:r>
    </w:p>
    <w:p w14:paraId="3E8F45FA">
      <w:pPr>
        <w:keepNext w:val="0"/>
        <w:keepLines w:val="0"/>
        <w:widowControl/>
        <w:numPr>
          <w:ilvl w:val="0"/>
          <w:numId w:val="0"/>
        </w:numPr>
        <w:suppressLineNumbers w:val="0"/>
        <w:ind w:leftChars="0"/>
        <w:rPr>
          <w:rFonts w:hint="default" w:ascii="Times New Roman" w:hAnsi="Times New Roman" w:cs="Times New Roman"/>
          <w:lang w:val="en-US" w:eastAsia="zh-CN"/>
        </w:rPr>
      </w:pPr>
    </w:p>
    <w:p w14:paraId="15761CA2">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3. Observe Stage</w:t>
      </w:r>
    </w:p>
    <w:p w14:paraId="79F42638">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Representative participants are invited to simulate target users. After observing and experiencing the proposal, observation and interviews are carried out. At the same time, researchers and designers in the field of product design are invited to conduct expert reviews. The results are evaluated from both non-professional and professional perspectives. This analysis examines whether the design goals have been achieved by the design proposal, and whether the problems have been addressed through the design proposal. Some guiding questions are also provided in order to collect user intentions. These findings support the next design iteration.</w:t>
      </w:r>
    </w:p>
    <w:p w14:paraId="14E4534B">
      <w:pPr>
        <w:keepNext w:val="0"/>
        <w:keepLines w:val="0"/>
        <w:widowControl/>
        <w:numPr>
          <w:ilvl w:val="0"/>
          <w:numId w:val="0"/>
        </w:numPr>
        <w:suppressLineNumbers w:val="0"/>
        <w:ind w:leftChars="0"/>
        <w:rPr>
          <w:rFonts w:hint="default" w:ascii="Times New Roman" w:hAnsi="Times New Roman" w:cs="Times New Roman"/>
          <w:lang w:val="en-US" w:eastAsia="zh-CN"/>
        </w:rPr>
      </w:pPr>
    </w:p>
    <w:p w14:paraId="76710263">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4. Reflect Stage</w:t>
      </w:r>
    </w:p>
    <w:p w14:paraId="2EA9CD37">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reflection should be based on the theoretical data, comparative data, generative data and perceptual data in the analytical strategy. First, the design itself is reflected upon. This includes evaluating whether this round of design has achieved the design goals and whether the design proposition has been effectively transformed. Through this reflection, subjective evaluative content is generated. The contents of observation, interviews and reviews are then summarised. This examines whether the expected effects have been understood and identified, and whether any unexpected feedback or overlooked content has appeared. The next round of design iteration is then planned. The strengths and weaknesses of this round are summarised. The content to be retained, removed, strengthened and restarted is defined and explained. Data are integrated, content is revised and the design is reconstructed, in order to enter the next round of design iteration.</w:t>
      </w:r>
    </w:p>
    <w:p w14:paraId="5F918724">
      <w:pPr>
        <w:keepNext w:val="0"/>
        <w:keepLines w:val="0"/>
        <w:widowControl/>
        <w:numPr>
          <w:ilvl w:val="0"/>
          <w:numId w:val="0"/>
        </w:numPr>
        <w:suppressLineNumbers w:val="0"/>
        <w:ind w:leftChars="0"/>
        <w:rPr>
          <w:rFonts w:hint="default" w:ascii="Times New Roman" w:hAnsi="Times New Roman" w:cs="Times New Roman"/>
          <w:lang w:val="en-US" w:eastAsia="zh-CN"/>
        </w:rPr>
      </w:pPr>
    </w:p>
    <w:p w14:paraId="73C392AC">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default" w:ascii="Times New Roman" w:hAnsi="Times New Roman" w:cs="Times New Roman"/>
          <w:b/>
          <w:bCs/>
          <w:lang w:val="en-US" w:eastAsia="zh-CN"/>
        </w:rPr>
      </w:pPr>
      <w:r>
        <w:rPr>
          <w:rFonts w:hint="default" w:ascii="Times New Roman" w:hAnsi="Times New Roman" w:cs="Times New Roman"/>
          <w:b/>
          <w:bCs/>
          <w:lang w:val="en-US" w:eastAsia="zh-CN"/>
        </w:rPr>
        <w:t>3.6.2 Design Iteration</w:t>
      </w:r>
    </w:p>
    <w:p w14:paraId="623FC8DF">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Based on the design practice process above, three rounds of design iteration will be carried out. Through a progressive design practice approach, different levels of vinyl turntable design problems and research priorities will be addressed in sequence, and the design will be revised during the iterations. As the number of iterations increases, design requirements will be gradually added, so that the research questions can be answered step by step.</w:t>
      </w:r>
    </w:p>
    <w:p w14:paraId="1599C4ED">
      <w:pPr>
        <w:keepNext w:val="0"/>
        <w:keepLines w:val="0"/>
        <w:widowControl/>
        <w:numPr>
          <w:ilvl w:val="0"/>
          <w:numId w:val="0"/>
        </w:numPr>
        <w:suppressLineNumbers w:val="0"/>
        <w:ind w:leftChars="0"/>
        <w:rPr>
          <w:rFonts w:hint="default" w:ascii="Times New Roman" w:hAnsi="Times New Roman" w:cs="Times New Roman"/>
          <w:lang w:val="en-US" w:eastAsia="zh-CN"/>
        </w:rPr>
      </w:pPr>
    </w:p>
    <w:p w14:paraId="52F397FF">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default" w:ascii="Times New Roman" w:hAnsi="Times New Roman" w:cs="Times New Roman"/>
          <w:b/>
          <w:bCs/>
          <w:lang w:val="en-US" w:eastAsia="zh-CN"/>
        </w:rPr>
        <w:t>First Design Iteration: Basic Product Design Exploration</w:t>
      </w:r>
    </w:p>
    <w:p w14:paraId="7B131935">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 xml:space="preserve">This round of design iteration will adopt the most basic design plan. It will use the theoretical data from two areas, namely physical media in the post-streaming era and the renewal design of traditional products, as the overall research scope. Comparative data generated from existing representative products will be used to define the basic design content. The main purpose is to explore the most basic form of renewal design for vinyl turntables in the post-streaming era. Through design and research, this stage will identify the most fundamental product-carrying form of the vinyl turntable. </w:t>
      </w:r>
      <w:r>
        <w:rPr>
          <w:rFonts w:hint="eastAsia" w:ascii="Times New Roman" w:hAnsi="Times New Roman" w:cs="Times New Roman"/>
          <w:lang w:val="en-US" w:eastAsia="zh-CN"/>
        </w:rPr>
        <w:t>I</w:t>
      </w:r>
      <w:r>
        <w:rPr>
          <w:rFonts w:hint="default" w:ascii="Times New Roman" w:hAnsi="Times New Roman" w:cs="Times New Roman"/>
          <w:lang w:val="en-US" w:eastAsia="zh-CN"/>
        </w:rPr>
        <w:t>t will identify the content that must be retained in design innovation so that users can still understand the essential nature of the product during design transformation. At the same time, it will explore how a basic renewal of the vinyl turntable can be achieved through a completely new design language while abandoning traditional decorative language.</w:t>
      </w:r>
    </w:p>
    <w:p w14:paraId="4E6080C5">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430E0BA">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The design focus of this round will concentrate on product details, proportion, basic functions, operation logic and initial innovation. The core judgement criteria after this iteration are whether the product can still be recognised as a vinyl turntable, whether it still retains the characteristics of a physical medium, and whether the design has been renewed and moved away from the traditional retro form.</w:t>
      </w:r>
    </w:p>
    <w:p w14:paraId="130A0720">
      <w:pPr>
        <w:keepNext w:val="0"/>
        <w:keepLines w:val="0"/>
        <w:widowControl/>
        <w:numPr>
          <w:ilvl w:val="0"/>
          <w:numId w:val="0"/>
        </w:numPr>
        <w:suppressLineNumbers w:val="0"/>
        <w:ind w:leftChars="0"/>
        <w:rPr>
          <w:rFonts w:hint="default" w:ascii="Times New Roman" w:hAnsi="Times New Roman" w:cs="Times New Roman"/>
          <w:lang w:val="en-US" w:eastAsia="zh-CN"/>
        </w:rPr>
      </w:pPr>
    </w:p>
    <w:p w14:paraId="335AD1C6">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This round of iterative design aims to create a basic innovative form of vinyl turntable design that can carry further added content. However, this basic form will not contain too much innovation or research significance. Its purpose is to obtain evaluation and improvement strategies on this basis. Based on this basic form, research on product emotion, materiality and meaning will then be added in the second round of design iteration.</w:t>
      </w:r>
    </w:p>
    <w:p w14:paraId="1834B5DE">
      <w:pPr>
        <w:keepNext w:val="0"/>
        <w:keepLines w:val="0"/>
        <w:widowControl/>
        <w:numPr>
          <w:ilvl w:val="0"/>
          <w:numId w:val="0"/>
        </w:numPr>
        <w:suppressLineNumbers w:val="0"/>
        <w:ind w:leftChars="0"/>
        <w:rPr>
          <w:rFonts w:hint="default" w:ascii="Times New Roman" w:hAnsi="Times New Roman" w:cs="Times New Roman"/>
          <w:lang w:val="en-US" w:eastAsia="zh-CN"/>
        </w:rPr>
      </w:pPr>
    </w:p>
    <w:p w14:paraId="25A1F69A">
      <w:pPr>
        <w:keepNext w:val="0"/>
        <w:keepLines w:val="0"/>
        <w:widowControl/>
        <w:numPr>
          <w:ilvl w:val="0"/>
          <w:numId w:val="0"/>
        </w:numPr>
        <w:suppressLineNumbers w:val="0"/>
        <w:ind w:leftChars="0"/>
        <w:rPr>
          <w:rFonts w:hint="default" w:ascii="Times New Roman" w:hAnsi="Times New Roman" w:cs="Times New Roman"/>
          <w:b/>
          <w:bCs/>
          <w:lang w:val="en-US" w:eastAsia="zh-CN"/>
        </w:rPr>
      </w:pPr>
      <w:r>
        <w:rPr>
          <w:rFonts w:hint="eastAsia" w:ascii="Times New Roman" w:hAnsi="Times New Roman" w:cs="Times New Roman"/>
          <w:b/>
          <w:bCs/>
          <w:lang w:val="en-US" w:eastAsia="zh-CN"/>
        </w:rPr>
        <w:t>Second</w:t>
      </w:r>
      <w:r>
        <w:rPr>
          <w:rFonts w:hint="default" w:ascii="Times New Roman" w:hAnsi="Times New Roman" w:cs="Times New Roman"/>
          <w:b/>
          <w:bCs/>
          <w:lang w:val="en-US" w:eastAsia="zh-CN"/>
        </w:rPr>
        <w:t xml:space="preserve"> Design Iteration: Organising Design Methods to Make Emotion and Materiality Perceptible to Users</w:t>
      </w:r>
    </w:p>
    <w:p w14:paraId="5BE847EA">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This round of design iteration takes place after the first round has established the basic product form. Its purpose is to address the theoretical data related to product emotion, materiality and meaning. It seeks to explore the user appeal of vinyl turntables in the Chinese market, the ways in which emotional value can be expressed in product design, how product materiality can be perceived, and how these aspects can be integrated into the basic form of the vinyl turntable in order to create a new product design.</w:t>
      </w:r>
    </w:p>
    <w:p w14:paraId="7673817A">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p>
    <w:p w14:paraId="68ABBC3D">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Based on the basic form, this round focuses on the overall logic between detail, material, layout, function and operation. It is no longer only concerned with the selection and expression of design elements. Instead, it aims to connect design elements so that the physical product can generate perceptible meaning and content. This involves targeted preference-based design, so that the design moves from a basic form towards a vinyl turntable that can express emotional value and be perceptible to users.</w:t>
      </w:r>
    </w:p>
    <w:p w14:paraId="05106DB6">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p>
    <w:p w14:paraId="60D8A61A">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The purpose of the second iterative design is to explore how the vinyl turntable can carry meaning and allow that meaning to be effectively perceived by users, so that the innovative product design can also meet user expectations. The outcome at this stage will be a design proposal with a relatively high level of completion. The main criteria are whether the product can express all the requirements in the design plan, whether it can stimulate users’ desire to purchase, and whether, on the basis of completeness, the product is no longer only visually pleasing but also meaningful.</w:t>
      </w:r>
    </w:p>
    <w:p w14:paraId="0AE093B4">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p>
    <w:p w14:paraId="7932EE14">
      <w:pPr>
        <w:keepNext w:val="0"/>
        <w:keepLines w:val="0"/>
        <w:widowControl/>
        <w:numPr>
          <w:ilvl w:val="0"/>
          <w:numId w:val="0"/>
        </w:numPr>
        <w:suppressLineNumbers w:val="0"/>
        <w:ind w:leftChars="0"/>
        <w:rPr>
          <w:rFonts w:hint="eastAsia" w:ascii="Times New Roman" w:hAnsi="Times New Roman" w:cs="Times New Roman"/>
          <w:b/>
          <w:bCs/>
          <w:lang w:val="en-US" w:eastAsia="zh-CN"/>
        </w:rPr>
      </w:pPr>
      <w:r>
        <w:rPr>
          <w:rFonts w:hint="eastAsia" w:ascii="Times New Roman" w:hAnsi="Times New Roman" w:cs="Times New Roman"/>
          <w:b/>
          <w:bCs/>
          <w:lang w:val="en-US" w:eastAsia="zh-CN"/>
        </w:rPr>
        <w:t>Third</w:t>
      </w:r>
      <w:r>
        <w:rPr>
          <w:rFonts w:hint="default" w:ascii="Times New Roman" w:hAnsi="Times New Roman" w:cs="Times New Roman"/>
          <w:b/>
          <w:bCs/>
          <w:lang w:val="en-US" w:eastAsia="zh-CN"/>
        </w:rPr>
        <w:t xml:space="preserve"> Design Iteration:</w:t>
      </w:r>
      <w:r>
        <w:rPr>
          <w:rFonts w:hint="eastAsia" w:ascii="Times New Roman" w:hAnsi="Times New Roman" w:cs="Times New Roman"/>
          <w:b/>
          <w:bCs/>
          <w:lang w:val="en-US" w:eastAsia="zh-CN"/>
        </w:rPr>
        <w:t xml:space="preserve"> Constructing the Chinese Consumer Context for the Renewal Design of Vinyl Turntables</w:t>
      </w:r>
    </w:p>
    <w:p w14:paraId="650B1A49">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Based on the second-round design, the third round addresses the Chinese consumer context. It introduces a localised design expression of the Chinese consumer context without undermining the design and research results of the previous two rounds. The content of the second and third rounds is not simply added together. Instead, it is integrated as a whole, in order to prevent the design from becoming bloated, overloaded with elements or overly comprehensive.</w:t>
      </w:r>
    </w:p>
    <w:p w14:paraId="05E42C6A">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p>
    <w:p w14:paraId="7D5666D2">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Based on the second-round design, this stage responds to the Chinese consumer context. It develops a localised design expression for the Chinese consumer context without undermining the design and research outcomes of the first two rounds. The contents of the second and third rounds will not be simply added together. Instead, they will be integrated as a whole, in order to avoid a complex design that becomes bloated, overloaded with elements and overly comprehensive.</w:t>
      </w:r>
    </w:p>
    <w:p w14:paraId="51457D6D">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p>
    <w:p w14:paraId="48985EAE">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The focus is on the integrated expression of design elements. This includes understanding local aesthetics and localised design. Through adjustments to proportion, detail and material, the design aims to present a product atmosphere with cultural suitability. The main content of this round is to place the design within a complete and specific use context and target user group. It places particular emphasis on the integration of localised design. Through design, it responds to the overall research question and forms a vinyl turntable design proposal with innovation, internal value and cultural attributes. The overall evaluation criterion is whether the design integrates the basic form of the vinyl turntable, emotional value, materiality, meaning and localisation. Particular attention will also be paid to the effectiveness of cultural translation and the level of acceptance within the Chinese consumer context.</w:t>
      </w:r>
    </w:p>
    <w:p w14:paraId="76257A0E">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p>
    <w:p w14:paraId="56321246">
      <w:pPr>
        <w:keepNext w:val="0"/>
        <w:keepLines w:val="0"/>
        <w:widowControl/>
        <w:numPr>
          <w:ilvl w:val="0"/>
          <w:numId w:val="0"/>
        </w:numPr>
        <w:suppressLineNumbers w:val="0"/>
        <w:ind w:leftChars="0"/>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The three rounds of design above form an overall design operation method based on RtD and action research. This method aims to reduce subjectivity and limitation as much as possible. This progressive design approach allows design practice to function not only as a case within the research. Instead, it becomes a research process for identifying problems, revising problems and solving problems.</w:t>
      </w:r>
    </w:p>
    <w:p w14:paraId="5B3FBB1C">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1646AAE4">
      <w:pPr>
        <w:keepNext w:val="0"/>
        <w:keepLines w:val="0"/>
        <w:pageBreakBefore w:val="0"/>
        <w:widowControl/>
        <w:numPr>
          <w:ilvl w:val="0"/>
          <w:numId w:val="1"/>
        </w:numPr>
        <w:suppressLineNumbers w:val="0"/>
        <w:kinsoku/>
        <w:wordWrap/>
        <w:overflowPunct/>
        <w:topLinePunct w:val="0"/>
        <w:autoSpaceDE/>
        <w:autoSpaceDN/>
        <w:bidi w:val="0"/>
        <w:adjustRightInd/>
        <w:snapToGrid/>
        <w:jc w:val="left"/>
        <w:textAlignment w:val="auto"/>
        <w:outlineLvl w:val="1"/>
        <w:rPr>
          <w:rFonts w:hint="default" w:ascii="Times New Roman" w:hAnsi="Times New Roman" w:eastAsia="宋体" w:cs="Times New Roman"/>
          <w:b/>
          <w:bCs/>
          <w:color w:val="000000"/>
          <w:kern w:val="0"/>
          <w:sz w:val="28"/>
          <w:szCs w:val="28"/>
          <w:lang w:val="en-US" w:eastAsia="zh-CN" w:bidi="ar"/>
        </w:rPr>
      </w:pPr>
      <w:r>
        <w:rPr>
          <w:rFonts w:hint="default" w:ascii="Times New Roman" w:hAnsi="Times New Roman" w:eastAsia="宋体" w:cs="Times New Roman"/>
          <w:b/>
          <w:bCs/>
          <w:color w:val="000000"/>
          <w:kern w:val="0"/>
          <w:sz w:val="28"/>
          <w:szCs w:val="28"/>
          <w:lang w:val="en-US" w:eastAsia="zh-CN" w:bidi="ar"/>
        </w:rPr>
        <w:t>Reflection and Ethical Considerations</w:t>
      </w:r>
    </w:p>
    <w:p w14:paraId="6B360567">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Reflection on Research Methodology</w:t>
      </w:r>
    </w:p>
    <w:p w14:paraId="02ACDC73">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This article adopts a methodology that combines RtD with action research to conduct practice-oriented iterative research. On the one hand, design practice is transformed from a subsidiary form of final research presentation into a generator of knowledge. It becomes an important part of the research process. Multiple rounds of feedback and evaluation also make the research findings more persuasive. On the other hand, the progressive structure of iterative design effectively avoids the aimlessness that may occur in design practice. In a single design proposal, if too many elements are included, the design process may ignore hierarchy and priority. This can lead to overdesign, function creep and information overload.</w:t>
      </w:r>
    </w:p>
    <w:p w14:paraId="43F3FED8">
      <w:pPr>
        <w:keepNext w:val="0"/>
        <w:keepLines w:val="0"/>
        <w:widowControl/>
        <w:numPr>
          <w:ilvl w:val="0"/>
          <w:numId w:val="0"/>
        </w:numPr>
        <w:suppressLineNumbers w:val="0"/>
        <w:ind w:leftChars="0"/>
        <w:rPr>
          <w:rFonts w:hint="default" w:ascii="Times New Roman" w:hAnsi="Times New Roman" w:cs="Times New Roman"/>
          <w:lang w:val="en-US" w:eastAsia="zh-CN"/>
        </w:rPr>
      </w:pPr>
    </w:p>
    <w:p w14:paraId="50EAFF3F">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In the selection of methods, a continuous methodological chain is formed according to the methodological framework. This chain moves from literature research, field visits and case analysis in the Field stage, to design practice, research diaries and annotated portfolios in the Lab stage. It then moves to interviews, observation, feedback collection and expert evaluation in the Showroom stage. Through this progressive method, multi-source research data can be provided for design.</w:t>
      </w:r>
    </w:p>
    <w:p w14:paraId="19420517">
      <w:pPr>
        <w:keepNext w:val="0"/>
        <w:keepLines w:val="0"/>
        <w:widowControl/>
        <w:numPr>
          <w:ilvl w:val="0"/>
          <w:numId w:val="0"/>
        </w:numPr>
        <w:suppressLineNumbers w:val="0"/>
        <w:ind w:leftChars="0"/>
        <w:rPr>
          <w:rFonts w:hint="default" w:ascii="Times New Roman" w:hAnsi="Times New Roman" w:cs="Times New Roman"/>
          <w:lang w:val="en-US" w:eastAsia="zh-CN"/>
        </w:rPr>
      </w:pPr>
    </w:p>
    <w:p w14:paraId="010CB1A0">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At the same time, the choice of methodology and methods also has certain limitations. First, the research scope is not universal. It has strict conditions and criteria, so it cannot be used as a design reference for all vinyl turntables. The iterative cycles of the design proposals are carried out in simulated environments and through user feedback. They cannot fully represent the needs and preferences of potential users. The simulated scenarios may also not fully match real market validation. In addition, there may be a degree of subjective preference in the selection of cases and in the summary of feedback. Therefore, absolute neutrality cannot be maintained.</w:t>
      </w:r>
    </w:p>
    <w:p w14:paraId="47D1C1E5">
      <w:pPr>
        <w:keepNext w:val="0"/>
        <w:keepLines w:val="0"/>
        <w:widowControl/>
        <w:numPr>
          <w:ilvl w:val="0"/>
          <w:numId w:val="0"/>
        </w:numPr>
        <w:suppressLineNumbers w:val="0"/>
        <w:ind w:leftChars="0"/>
        <w:rPr>
          <w:rFonts w:hint="default" w:ascii="Times New Roman" w:hAnsi="Times New Roman" w:cs="Times New Roman"/>
          <w:lang w:val="en-US" w:eastAsia="zh-CN"/>
        </w:rPr>
      </w:pPr>
    </w:p>
    <w:p w14:paraId="1E7CC3C8">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Reflection on </w:t>
      </w:r>
      <w:r>
        <w:rPr>
          <w:rFonts w:hint="default" w:ascii="Times New Roman" w:hAnsi="Times New Roman" w:eastAsia="宋体" w:cs="Times New Roman"/>
          <w:b/>
          <w:bCs/>
          <w:sz w:val="24"/>
          <w:szCs w:val="24"/>
          <w:lang w:val="en-US" w:eastAsia="zh-CN"/>
        </w:rPr>
        <w:t>Research Position</w:t>
      </w:r>
    </w:p>
    <w:p w14:paraId="303DF059">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This article adopts the dual position of researcher and participant. This allows the research to enter the topic from the user’s perspective, and it can support a better construction and experience of the research content, rather than remaining at the level of superficial analysis. However, under the influence of this position, the research content cannot be separated from subjective experience and preference.</w:t>
      </w:r>
    </w:p>
    <w:p w14:paraId="5E106B7C">
      <w:pPr>
        <w:keepNext w:val="0"/>
        <w:keepLines w:val="0"/>
        <w:widowControl/>
        <w:numPr>
          <w:ilvl w:val="0"/>
          <w:numId w:val="0"/>
        </w:numPr>
        <w:suppressLineNumbers w:val="0"/>
        <w:ind w:leftChars="0"/>
        <w:rPr>
          <w:rFonts w:hint="default" w:ascii="Times New Roman" w:hAnsi="Times New Roman" w:cs="Times New Roman"/>
        </w:rPr>
      </w:pPr>
    </w:p>
    <w:p w14:paraId="676BA1AA">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Subjective preference is mainly reflected in aesthetics, understanding and cultural interpretation. The researcher’s personal aesthetic may tend towards minimalism or functionalism. This aesthetic preference, together with the researcher’s local identity as a Chinese person, may change the understanding of the product and may further produce research bias. It may also influence the judgement of the Chinese consumer context, which could lead to the neglect of important data or excessive attention to certain data.</w:t>
      </w:r>
    </w:p>
    <w:p w14:paraId="10B521ED">
      <w:pPr>
        <w:keepNext w:val="0"/>
        <w:keepLines w:val="0"/>
        <w:widowControl/>
        <w:numPr>
          <w:ilvl w:val="0"/>
          <w:numId w:val="0"/>
        </w:numPr>
        <w:suppressLineNumbers w:val="0"/>
        <w:ind w:leftChars="0"/>
        <w:rPr>
          <w:rFonts w:hint="default" w:ascii="Times New Roman" w:hAnsi="Times New Roman" w:cs="Times New Roman"/>
        </w:rPr>
      </w:pPr>
    </w:p>
    <w:p w14:paraId="76965A39">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To avoid bias caused by the research position, the selection of literature and cases should avoid personal preference and intuition. In terms of literature, authoritative and up-to-date references should be selected. In terms of comparative cases, authoritative design cases and recent design cases should be collected from both conceptual and mass-produced directions, with particular attention to sales performance and popularity. In the summary and analysis of feedback, feedback information should not only be summarised through surface-level observation. More in-depth interviews or technological methods should also be used to judge the validity of the data. The content can then be continuously reflected on and revised through three rounds of iterative design.</w:t>
      </w:r>
    </w:p>
    <w:p w14:paraId="6277219C">
      <w:pPr>
        <w:keepNext w:val="0"/>
        <w:keepLines w:val="0"/>
        <w:widowControl/>
        <w:numPr>
          <w:ilvl w:val="0"/>
          <w:numId w:val="0"/>
        </w:numPr>
        <w:suppressLineNumbers w:val="0"/>
        <w:ind w:leftChars="0"/>
        <w:rPr>
          <w:rFonts w:hint="default" w:ascii="Times New Roman" w:hAnsi="Times New Roman" w:cs="Times New Roman"/>
        </w:rPr>
      </w:pPr>
    </w:p>
    <w:p w14:paraId="44E38FB3">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Ethics of Participant </w:t>
      </w:r>
    </w:p>
    <w:p w14:paraId="2C9860B5">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eastAsia" w:ascii="Times New Roman" w:hAnsi="Times New Roman" w:cs="Times New Roman"/>
          <w:b/>
          <w:bCs/>
          <w:lang w:val="en-US" w:eastAsia="zh-CN"/>
        </w:rPr>
      </w:pPr>
      <w:r>
        <w:rPr>
          <w:rFonts w:hint="eastAsia" w:ascii="Times New Roman" w:hAnsi="Times New Roman" w:cs="Times New Roman"/>
          <w:b/>
          <w:bCs/>
          <w:lang w:val="en-US" w:eastAsia="zh-CN"/>
        </w:rPr>
        <w:t xml:space="preserve">4.3.1 Ethical analysis of basic procedural </w:t>
      </w:r>
    </w:p>
    <w:p w14:paraId="22F99046">
      <w:pPr>
        <w:keepNext w:val="0"/>
        <w:keepLines w:val="0"/>
        <w:widowControl/>
        <w:numPr>
          <w:ilvl w:val="0"/>
          <w:numId w:val="0"/>
        </w:numPr>
        <w:suppressLineNumbers w:val="0"/>
        <w:ind w:leftChars="0"/>
        <w:rPr>
          <w:rFonts w:hint="eastAsia" w:ascii="Times New Roman" w:hAnsi="Times New Roman" w:cs="Times New Roman"/>
          <w:lang w:val="en-US" w:eastAsia="zh-CN"/>
        </w:rPr>
      </w:pPr>
      <w:r>
        <w:rPr>
          <w:rFonts w:hint="eastAsia" w:ascii="Times New Roman" w:hAnsi="Times New Roman" w:cs="Times New Roman"/>
          <w:lang w:val="en-US" w:eastAsia="zh-CN"/>
        </w:rPr>
        <w:t>The recruitment principles for participants are based on the industry analysis data of the Chinese vinyl turntable brand Syitren. Participants will be recruited in a targeted way according to the brand’s target user data. At the same time, music product designers, university design teachers and design students will also be invited to participate in the research anonymously. All participants will be required to sign a corresponding consent form for data collection. The form will state that the collected data will only be used for this research project. This is to protect participants’ privacy and ensure the rationality of data collection. The collected data will be stored on a separate hard drive. After the research is completed, the data will be destroyed in a unified manner.</w:t>
      </w:r>
    </w:p>
    <w:p w14:paraId="38B04A64">
      <w:pPr>
        <w:keepNext w:val="0"/>
        <w:keepLines w:val="0"/>
        <w:widowControl/>
        <w:numPr>
          <w:ilvl w:val="0"/>
          <w:numId w:val="0"/>
        </w:numPr>
        <w:suppressLineNumbers w:val="0"/>
        <w:ind w:leftChars="0"/>
        <w:rPr>
          <w:rFonts w:hint="eastAsia" w:ascii="Times New Roman" w:hAnsi="Times New Roman" w:cs="Times New Roman"/>
          <w:lang w:val="en-US" w:eastAsia="zh-CN"/>
        </w:rPr>
      </w:pPr>
    </w:p>
    <w:p w14:paraId="25CD2184">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eastAsia" w:ascii="Times New Roman" w:hAnsi="Times New Roman" w:cs="Times New Roman"/>
          <w:b/>
          <w:bCs/>
          <w:lang w:val="en-US" w:eastAsia="zh-CN"/>
        </w:rPr>
      </w:pPr>
      <w:r>
        <w:rPr>
          <w:rFonts w:hint="eastAsia" w:ascii="Times New Roman" w:hAnsi="Times New Roman" w:cs="Times New Roman"/>
          <w:b/>
          <w:bCs/>
          <w:lang w:val="en-US" w:eastAsia="zh-CN"/>
        </w:rPr>
        <w:t>4.3.2 Ethical analysis of the participation process</w:t>
      </w:r>
    </w:p>
    <w:p w14:paraId="07EFE5D4">
      <w:pPr>
        <w:keepNext w:val="0"/>
        <w:keepLines w:val="0"/>
        <w:widowControl/>
        <w:numPr>
          <w:ilvl w:val="0"/>
          <w:numId w:val="0"/>
        </w:numPr>
        <w:suppressLineNumbers w:val="0"/>
        <w:ind w:leftChars="0"/>
        <w:rPr>
          <w:rFonts w:hint="eastAsia" w:ascii="Times New Roman" w:hAnsi="Times New Roman" w:cs="Times New Roman"/>
          <w:lang w:val="en-US" w:eastAsia="zh-CN"/>
        </w:rPr>
      </w:pPr>
      <w:r>
        <w:rPr>
          <w:rFonts w:hint="eastAsia" w:ascii="Times New Roman" w:hAnsi="Times New Roman" w:cs="Times New Roman"/>
          <w:lang w:val="en-US" w:eastAsia="zh-CN"/>
        </w:rPr>
        <w:t>The participation procedure is divided into participation before design practice and participation after design practice. The procedure before design practice is based on the researcher’s field observation. At the early stage, participants will take part passively. After the researcher has completed the observation, useful data will be selected. Passive participants will then be informed of the situation, and authorisation for information collection will be obtained. The procedure after design practice involves the selection of representative participants. They will be informed in advance about the collection of information. The relevant content of the research will only be introduced briefly, without any guiding prompts. This allows participants to give feedback on the displayed content without being influenced by external factors. Throughout the whole process, the main priority is to protect participants’ privacy and right to be informed. The neutrality of the data will also be maintained by avoiding hints or any form of external influence.</w:t>
      </w:r>
    </w:p>
    <w:p w14:paraId="22266E4C">
      <w:pPr>
        <w:keepNext w:val="0"/>
        <w:keepLines w:val="0"/>
        <w:widowControl/>
        <w:numPr>
          <w:ilvl w:val="0"/>
          <w:numId w:val="0"/>
        </w:numPr>
        <w:suppressLineNumbers w:val="0"/>
        <w:ind w:leftChars="0"/>
        <w:rPr>
          <w:rFonts w:hint="eastAsia" w:ascii="Times New Roman" w:hAnsi="Times New Roman" w:cs="Times New Roman"/>
          <w:lang w:val="en-US" w:eastAsia="zh-CN"/>
        </w:rPr>
      </w:pPr>
    </w:p>
    <w:p w14:paraId="251A0AD6">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textAlignment w:val="auto"/>
        <w:outlineLvl w:val="3"/>
        <w:rPr>
          <w:rFonts w:hint="eastAsia" w:ascii="Times New Roman" w:hAnsi="Times New Roman" w:cs="Times New Roman"/>
          <w:b/>
          <w:bCs/>
          <w:lang w:val="en-US" w:eastAsia="zh-CN"/>
        </w:rPr>
      </w:pPr>
      <w:r>
        <w:rPr>
          <w:rFonts w:hint="eastAsia" w:ascii="Times New Roman" w:hAnsi="Times New Roman" w:cs="Times New Roman"/>
          <w:b/>
          <w:bCs/>
          <w:lang w:val="en-US" w:eastAsia="zh-CN"/>
        </w:rPr>
        <w:t>4.3.3 Ethical analysis of participant feedback</w:t>
      </w:r>
    </w:p>
    <w:p w14:paraId="6BD6603F">
      <w:pPr>
        <w:keepNext w:val="0"/>
        <w:keepLines w:val="0"/>
        <w:widowControl/>
        <w:numPr>
          <w:ilvl w:val="0"/>
          <w:numId w:val="0"/>
        </w:numPr>
        <w:suppressLineNumbers w:val="0"/>
        <w:ind w:leftChars="0"/>
        <w:rPr>
          <w:rFonts w:hint="default" w:ascii="Times New Roman" w:hAnsi="Times New Roman" w:cs="Times New Roman"/>
          <w:lang w:val="en-US" w:eastAsia="zh-CN"/>
        </w:rPr>
      </w:pPr>
      <w:r>
        <w:rPr>
          <w:rFonts w:hint="default" w:ascii="Times New Roman" w:hAnsi="Times New Roman" w:cs="Times New Roman"/>
          <w:lang w:val="en-US" w:eastAsia="zh-CN"/>
        </w:rPr>
        <w:t>Participant feedback will not be used as the complete reference standard for formulating design practice. The data will be evaluated and screened, in order to avoid individual information or individual feedback being mistaken for key information or general patterns.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The importance of participant feedback within the research will be assessed rationally. It will not be treated as the only criterion of the research. Instead, participant feedback will be understood as part of the co-construction of the overall design research.</w:t>
      </w:r>
    </w:p>
    <w:p w14:paraId="0C3EA13B">
      <w:pPr>
        <w:keepNext w:val="0"/>
        <w:keepLines w:val="0"/>
        <w:widowControl/>
        <w:numPr>
          <w:ilvl w:val="0"/>
          <w:numId w:val="0"/>
        </w:numPr>
        <w:suppressLineNumbers w:val="0"/>
        <w:ind w:leftChars="0"/>
        <w:rPr>
          <w:rFonts w:hint="default" w:ascii="Times New Roman" w:hAnsi="Times New Roman" w:cs="Times New Roman"/>
        </w:rPr>
      </w:pPr>
    </w:p>
    <w:p w14:paraId="721CD329">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Ethics of Cultural Translation</w:t>
      </w:r>
    </w:p>
    <w:p w14:paraId="75EFDC0F">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vinyl turntable is a product form influenced by Western design paradigms and culture. However, it also has a certain consumer market in China. This means that vinyl turntables need renewal design and cultural translation in the Chinese consumer market, in order to achieve local adaptation. However, localised design in China may also produce a series of ethical issues.</w:t>
      </w:r>
    </w:p>
    <w:p w14:paraId="5AB6709F">
      <w:pPr>
        <w:keepNext w:val="0"/>
        <w:keepLines w:val="0"/>
        <w:widowControl/>
        <w:numPr>
          <w:ilvl w:val="0"/>
          <w:numId w:val="0"/>
        </w:numPr>
        <w:suppressLineNumbers w:val="0"/>
        <w:ind w:leftChars="0"/>
        <w:rPr>
          <w:rFonts w:hint="default" w:ascii="Times New Roman" w:hAnsi="Times New Roman" w:cs="Times New Roman"/>
        </w:rPr>
      </w:pPr>
    </w:p>
    <w:p w14:paraId="640A634F">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First, superficial collage of visual symbols must be avoided. Chinese local culture should not be simply understood as traditional symbols. At the same time, the research should avoid the common problem of ignoring the Chinese consumer context. It should set primary and secondary contexts. On the basis of a clear hierarchy, the design can still maintain broad cultural coverage. The research should also avoid being excessively influenced by market consumption characteristics. It should not overemphasise local consumer characteristics while ignoring the complexity of culture.</w:t>
      </w:r>
    </w:p>
    <w:p w14:paraId="7E610894">
      <w:pPr>
        <w:keepNext w:val="0"/>
        <w:keepLines w:val="0"/>
        <w:widowControl/>
        <w:numPr>
          <w:ilvl w:val="0"/>
          <w:numId w:val="0"/>
        </w:numPr>
        <w:suppressLineNumbers w:val="0"/>
        <w:ind w:leftChars="0"/>
        <w:rPr>
          <w:rFonts w:hint="default" w:ascii="Times New Roman" w:hAnsi="Times New Roman" w:cs="Times New Roman"/>
        </w:rPr>
      </w:pPr>
    </w:p>
    <w:p w14:paraId="3E9A52EE">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When conducting research on cultural translation, it is necessary to examine other product types that have achieved successful cultural translation, and to identify design experience that can be used as reference. In this research, culture will not be directly defined. Instead, culture will be combined with the market to guide product design. The aim is to enable the product to adapt to the Chinese consumer market through cultural translation, rather than to design a vinyl turntable that simply carries Chinese cultural characteristics.</w:t>
      </w:r>
    </w:p>
    <w:p w14:paraId="6659D78D">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34F02560">
      <w:pPr>
        <w:keepNext w:val="0"/>
        <w:keepLines w:val="0"/>
        <w:pageBreakBefore w:val="0"/>
        <w:widowControl/>
        <w:numPr>
          <w:ilvl w:val="0"/>
          <w:numId w:val="1"/>
        </w:numPr>
        <w:suppressLineNumbers w:val="0"/>
        <w:kinsoku/>
        <w:wordWrap/>
        <w:overflowPunct/>
        <w:topLinePunct w:val="0"/>
        <w:autoSpaceDE/>
        <w:autoSpaceDN/>
        <w:bidi w:val="0"/>
        <w:adjustRightInd/>
        <w:snapToGrid/>
        <w:jc w:val="left"/>
        <w:textAlignment w:val="auto"/>
        <w:outlineLvl w:val="1"/>
        <w:rPr>
          <w:rFonts w:hint="default" w:ascii="Times New Roman" w:hAnsi="Times New Roman" w:eastAsia="宋体" w:cs="Times New Roman"/>
          <w:b/>
          <w:bCs/>
          <w:color w:val="000000"/>
          <w:kern w:val="0"/>
          <w:sz w:val="28"/>
          <w:szCs w:val="28"/>
          <w:lang w:val="en-US" w:eastAsia="zh-CN" w:bidi="ar"/>
        </w:rPr>
      </w:pPr>
      <w:r>
        <w:rPr>
          <w:rFonts w:hint="default" w:ascii="Times New Roman" w:hAnsi="Times New Roman" w:eastAsia="宋体" w:cs="Times New Roman"/>
          <w:b/>
          <w:bCs/>
          <w:color w:val="000000"/>
          <w:kern w:val="0"/>
          <w:sz w:val="28"/>
          <w:szCs w:val="28"/>
          <w:lang w:val="en-US" w:eastAsia="zh-CN" w:bidi="ar"/>
        </w:rPr>
        <w:t xml:space="preserve">Conclusion </w:t>
      </w:r>
    </w:p>
    <w:p w14:paraId="04652EC9">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Summary</w:t>
      </w:r>
    </w:p>
    <w:p w14:paraId="3B30408E">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This research starts from the counterintuitive phenomenon of vinyl turntables in the Chinese consumer context of the post-streaming era. It seeks to identify the internal driving factors behind this phenomenon, and to transform them into product design problems that can be addressed through design research.</w:t>
      </w:r>
      <w:r>
        <w:rPr>
          <w:rFonts w:hint="eastAsia" w:ascii="Times New Roman" w:hAnsi="Times New Roman" w:cs="Times New Roman"/>
          <w:lang w:val="en-US" w:eastAsia="zh-CN"/>
        </w:rPr>
        <w:t xml:space="preserve"> </w:t>
      </w:r>
      <w:r>
        <w:rPr>
          <w:rFonts w:hint="default" w:ascii="Times New Roman" w:hAnsi="Times New Roman" w:cs="Times New Roman"/>
        </w:rPr>
        <w:t>Based on the literature review, four research directions are selected as the overall theoretical basis and as the foundation for identifying the research gap. These directions further form the specific design aims and research questions.</w:t>
      </w:r>
      <w:r>
        <w:rPr>
          <w:rFonts w:hint="eastAsia" w:ascii="Times New Roman" w:hAnsi="Times New Roman" w:cs="Times New Roman"/>
          <w:lang w:val="en-US" w:eastAsia="zh-CN"/>
        </w:rPr>
        <w:t xml:space="preserve"> </w:t>
      </w:r>
      <w:r>
        <w:rPr>
          <w:rFonts w:hint="default" w:ascii="Times New Roman" w:hAnsi="Times New Roman" w:cs="Times New Roman"/>
        </w:rPr>
        <w:t>Through the development of ontology, epistemology and methodology, the research position and specific research methods are clarified, and the design practice is planned accordingly. Together, these elements construct a product design research model guided by design practice.</w:t>
      </w:r>
      <w:r>
        <w:rPr>
          <w:rFonts w:hint="eastAsia" w:ascii="Times New Roman" w:hAnsi="Times New Roman" w:cs="Times New Roman"/>
          <w:lang w:val="en-US" w:eastAsia="zh-CN"/>
        </w:rPr>
        <w:t xml:space="preserve"> </w:t>
      </w:r>
      <w:r>
        <w:rPr>
          <w:rFonts w:hint="default" w:ascii="Times New Roman" w:hAnsi="Times New Roman" w:cs="Times New Roman"/>
        </w:rPr>
        <w:t>Finally, reflection is used to identify potential bias and clarify the boundaries of the research.</w:t>
      </w:r>
    </w:p>
    <w:p w14:paraId="3D71D5EB">
      <w:pPr>
        <w:keepNext w:val="0"/>
        <w:keepLines w:val="0"/>
        <w:widowControl/>
        <w:numPr>
          <w:ilvl w:val="0"/>
          <w:numId w:val="0"/>
        </w:numPr>
        <w:suppressLineNumbers w:val="0"/>
        <w:ind w:leftChars="0"/>
        <w:rPr>
          <w:rFonts w:hint="default" w:ascii="Times New Roman" w:hAnsi="Times New Roman" w:cs="Times New Roman"/>
        </w:rPr>
      </w:pPr>
    </w:p>
    <w:p w14:paraId="15B461AF">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Contribution</w:t>
      </w:r>
    </w:p>
    <w:p w14:paraId="7B620D15">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theoretical contribution of this research lies in combining the meaning of traditional products, emotional value, regional characteristics and product renewal. Using the vinyl turntable as the product medium, it forms a targeted design framework. It provides a certain level of theoretical reference for the renewal of traditional products and cultural translation.</w:t>
      </w:r>
      <w:r>
        <w:rPr>
          <w:rFonts w:hint="eastAsia" w:ascii="Times New Roman" w:hAnsi="Times New Roman" w:cs="Times New Roman"/>
          <w:lang w:val="en-US" w:eastAsia="zh-CN"/>
        </w:rPr>
        <w:t xml:space="preserve"> </w:t>
      </w:r>
      <w:r>
        <w:rPr>
          <w:rFonts w:hint="default" w:ascii="Times New Roman" w:hAnsi="Times New Roman" w:cs="Times New Roman"/>
        </w:rPr>
        <w:t>At the same time, research literature on specific product design is already limited. This study therefore also offers the possibility of theoretical reference for other product categories.</w:t>
      </w:r>
    </w:p>
    <w:p w14:paraId="04103F46">
      <w:pPr>
        <w:keepNext w:val="0"/>
        <w:keepLines w:val="0"/>
        <w:widowControl/>
        <w:numPr>
          <w:ilvl w:val="0"/>
          <w:numId w:val="0"/>
        </w:numPr>
        <w:suppressLineNumbers w:val="0"/>
        <w:ind w:leftChars="0"/>
        <w:rPr>
          <w:rFonts w:hint="default" w:ascii="Times New Roman" w:hAnsi="Times New Roman" w:cs="Times New Roman"/>
        </w:rPr>
      </w:pPr>
      <w:r>
        <w:rPr>
          <w:rFonts w:hint="default" w:ascii="Times New Roman" w:hAnsi="Times New Roman" w:cs="Times New Roman"/>
        </w:rPr>
        <w:t>The main design contribution of this article lies in providing a clear product design model and case for the vinyl turntable consumer market in China. The design practice will offer brands or companies a design proposal that can be transferred and used as a reference.</w:t>
      </w:r>
      <w:r>
        <w:rPr>
          <w:rFonts w:hint="eastAsia" w:ascii="Times New Roman" w:hAnsi="Times New Roman" w:cs="Times New Roman"/>
          <w:lang w:val="en-US" w:eastAsia="zh-CN"/>
        </w:rPr>
        <w:t xml:space="preserve"> </w:t>
      </w:r>
      <w:r>
        <w:rPr>
          <w:rFonts w:hint="default" w:ascii="Times New Roman" w:hAnsi="Times New Roman" w:cs="Times New Roman"/>
        </w:rPr>
        <w:t>The feedback data and design proposals generated through the iterative process can also provide supporting material for design practice or research conducted by professionals in the industry.</w:t>
      </w:r>
    </w:p>
    <w:p w14:paraId="1F6DB4D9">
      <w:pPr>
        <w:keepNext w:val="0"/>
        <w:keepLines w:val="0"/>
        <w:widowControl/>
        <w:numPr>
          <w:ilvl w:val="0"/>
          <w:numId w:val="0"/>
        </w:numPr>
        <w:suppressLineNumbers w:val="0"/>
        <w:ind w:leftChars="0"/>
        <w:rPr>
          <w:rFonts w:hint="default" w:ascii="Times New Roman" w:hAnsi="Times New Roman" w:cs="Times New Roman"/>
        </w:rPr>
      </w:pPr>
    </w:p>
    <w:p w14:paraId="65D5A14C">
      <w:pPr>
        <w:keepNext w:val="0"/>
        <w:keepLines w:val="0"/>
        <w:pageBreakBefore w:val="0"/>
        <w:widowControl/>
        <w:numPr>
          <w:ilvl w:val="1"/>
          <w:numId w:val="1"/>
        </w:numPr>
        <w:suppressLineNumbers w:val="0"/>
        <w:kinsoku/>
        <w:wordWrap/>
        <w:overflowPunct/>
        <w:topLinePunct w:val="0"/>
        <w:autoSpaceDE/>
        <w:autoSpaceDN/>
        <w:bidi w:val="0"/>
        <w:adjustRightInd/>
        <w:snapToGrid/>
        <w:ind w:left="0" w:leftChars="0" w:firstLine="0" w:firstLineChars="0"/>
        <w:textAlignment w:val="auto"/>
        <w:outlineLvl w:val="2"/>
        <w:rPr>
          <w:rFonts w:hint="default" w:ascii="Times New Roman" w:hAnsi="Times New Roman" w:eastAsia="宋体" w:cs="Times New Roman"/>
          <w:b/>
          <w:bCs/>
          <w:sz w:val="24"/>
          <w:szCs w:val="24"/>
          <w:lang w:val="en-US" w:eastAsia="zh-CN"/>
        </w:rPr>
      </w:pPr>
      <w:bookmarkStart w:id="0" w:name="_GoBack"/>
      <w:bookmarkEnd w:id="0"/>
      <w:r>
        <w:rPr>
          <w:rFonts w:hint="default" w:ascii="Times New Roman" w:hAnsi="Times New Roman" w:eastAsia="宋体" w:cs="Times New Roman"/>
          <w:b/>
          <w:bCs/>
          <w:sz w:val="24"/>
          <w:szCs w:val="24"/>
          <w:lang w:val="en-US" w:eastAsia="zh-CN"/>
        </w:rPr>
        <w:t>Future Research</w:t>
      </w:r>
    </w:p>
    <w:p w14:paraId="22985A74">
      <w:pPr>
        <w:keepNext w:val="0"/>
        <w:keepLines w:val="0"/>
        <w:widowControl/>
        <w:numPr>
          <w:ilvl w:val="0"/>
          <w:numId w:val="0"/>
        </w:numPr>
        <w:suppressLineNumbers w:val="0"/>
        <w:ind w:leftChars="0"/>
        <w:rPr>
          <w:rFonts w:hint="default" w:ascii="Times New Roman" w:hAnsi="Times New Roman" w:eastAsia="宋体" w:cs="Times New Roman"/>
          <w:color w:val="000000"/>
          <w:kern w:val="0"/>
          <w:sz w:val="21"/>
          <w:szCs w:val="21"/>
          <w:lang w:val="en-US" w:eastAsia="zh-CN" w:bidi="ar"/>
        </w:rPr>
      </w:pPr>
      <w:r>
        <w:rPr>
          <w:rFonts w:hint="default" w:ascii="Times New Roman" w:hAnsi="Times New Roman" w:eastAsia="宋体" w:cs="Times New Roman"/>
          <w:color w:val="000000"/>
          <w:kern w:val="0"/>
          <w:sz w:val="21"/>
          <w:szCs w:val="21"/>
          <w:lang w:val="en-US" w:eastAsia="zh-CN" w:bidi="ar"/>
        </w:rPr>
        <w:t>Future research will integrate theories from other disciplines into the design research. For example, sociological theory can be used to analyse the internal expressions of the Chinese consumer context, and cultural meanings can be mapped through social behaviour in order to support cultural translation. Another possible direction is to combine relevant theories from interior design within design practice, in order to examine the relationship between the product and Chinese interior environments. This can further help understand the product’s emotional value, materiality and meaning.</w:t>
      </w:r>
      <w:r>
        <w:rPr>
          <w:rFonts w:hint="eastAsia" w:ascii="Times New Roman" w:hAnsi="Times New Roman" w:eastAsia="宋体" w:cs="Times New Roman"/>
          <w:color w:val="000000"/>
          <w:kern w:val="0"/>
          <w:sz w:val="21"/>
          <w:szCs w:val="21"/>
          <w:lang w:val="en-US" w:eastAsia="zh-CN" w:bidi="ar"/>
        </w:rPr>
        <w:t xml:space="preserve"> </w:t>
      </w:r>
      <w:r>
        <w:rPr>
          <w:rFonts w:hint="default" w:ascii="Times New Roman" w:hAnsi="Times New Roman" w:eastAsia="宋体" w:cs="Times New Roman"/>
          <w:color w:val="000000"/>
          <w:kern w:val="0"/>
          <w:sz w:val="21"/>
          <w:szCs w:val="21"/>
          <w:lang w:val="en-US" w:eastAsia="zh-CN" w:bidi="ar"/>
        </w:rPr>
        <w:t>The research will also consider increasing the number of design practice iterations and refining the design plan for each iteration, in order to ensure the feasibility of the research.</w:t>
      </w:r>
    </w:p>
    <w:p w14:paraId="3A17F4F8">
      <w:pPr>
        <w:keepNext w:val="0"/>
        <w:keepLines w:val="0"/>
        <w:widowControl/>
        <w:suppressLineNumbers w:val="0"/>
        <w:jc w:val="left"/>
        <w:rPr>
          <w:rFonts w:hint="default" w:ascii="Times New Roman" w:hAnsi="Times New Roman" w:eastAsia="宋体" w:cs="Times New Roman"/>
          <w:color w:val="000000"/>
          <w:kern w:val="0"/>
          <w:sz w:val="20"/>
          <w:szCs w:val="20"/>
          <w:lang w:val="en-US" w:eastAsia="zh-CN" w:bidi="ar"/>
        </w:rPr>
      </w:pPr>
    </w:p>
    <w:p w14:paraId="48667689">
      <w:pPr>
        <w:keepNext w:val="0"/>
        <w:keepLines w:val="0"/>
        <w:pageBreakBefore w:val="0"/>
        <w:widowControl/>
        <w:numPr>
          <w:ilvl w:val="0"/>
          <w:numId w:val="0"/>
        </w:numPr>
        <w:suppressLineNumbers w:val="0"/>
        <w:kinsoku/>
        <w:wordWrap/>
        <w:overflowPunct/>
        <w:topLinePunct w:val="0"/>
        <w:autoSpaceDE/>
        <w:autoSpaceDN/>
        <w:bidi w:val="0"/>
        <w:adjustRightInd/>
        <w:snapToGrid/>
        <w:jc w:val="center"/>
        <w:textAlignment w:val="auto"/>
        <w:outlineLvl w:val="1"/>
        <w:rPr>
          <w:rFonts w:hint="default" w:ascii="Times New Roman" w:hAnsi="Times New Roman" w:eastAsia="宋体" w:cs="Times New Roman"/>
          <w:b/>
          <w:bCs/>
          <w:color w:val="000000"/>
          <w:kern w:val="0"/>
          <w:sz w:val="28"/>
          <w:szCs w:val="28"/>
          <w:lang w:val="en-US" w:eastAsia="zh-CN" w:bidi="ar"/>
        </w:rPr>
      </w:pPr>
      <w:r>
        <w:rPr>
          <w:rFonts w:hint="default" w:ascii="Times New Roman" w:hAnsi="Times New Roman" w:eastAsia="宋体" w:cs="Times New Roman"/>
          <w:b/>
          <w:bCs/>
          <w:color w:val="000000"/>
          <w:kern w:val="0"/>
          <w:sz w:val="28"/>
          <w:szCs w:val="28"/>
          <w:lang w:val="en-US" w:eastAsia="zh-CN" w:bidi="ar"/>
        </w:rPr>
        <w:t>References</w:t>
      </w:r>
    </w:p>
    <w:p w14:paraId="740E49B6">
      <w:pPr>
        <w:rPr>
          <w:rFonts w:hint="default" w:ascii="Times New Roman" w:hAnsi="Times New Roman" w:eastAsia="宋体" w:cs="Times New Roman"/>
          <w:i w:val="0"/>
          <w:iCs w:val="0"/>
          <w:caps w:val="0"/>
          <w:color w:val="auto"/>
          <w:spacing w:val="0"/>
          <w:sz w:val="18"/>
          <w:szCs w:val="18"/>
          <w:shd w:val="clear" w:fill="FFFFFF"/>
        </w:rPr>
      </w:pPr>
      <w:r>
        <w:rPr>
          <w:rFonts w:hint="default" w:ascii="Times New Roman" w:hAnsi="Times New Roman" w:eastAsia="宋体" w:cs="Times New Roman"/>
          <w:i w:val="0"/>
          <w:iCs w:val="0"/>
          <w:caps w:val="0"/>
          <w:color w:val="auto"/>
          <w:spacing w:val="0"/>
          <w:sz w:val="18"/>
          <w:szCs w:val="18"/>
          <w:shd w:val="clear" w:fill="FFFFFF"/>
        </w:rPr>
        <w:t>Bartmanski, D. and Woodward, I., 2015. The vinyl: The analogue medium in the age of digital reproduction. </w:t>
      </w:r>
      <w:r>
        <w:rPr>
          <w:rFonts w:hint="default" w:ascii="Times New Roman" w:hAnsi="Times New Roman" w:eastAsia="宋体" w:cs="Times New Roman"/>
          <w:i/>
          <w:iCs/>
          <w:caps w:val="0"/>
          <w:color w:val="auto"/>
          <w:spacing w:val="0"/>
          <w:sz w:val="18"/>
          <w:szCs w:val="18"/>
          <w:shd w:val="clear" w:fill="FFFFFF"/>
        </w:rPr>
        <w:t>Journal of consumer culture</w:t>
      </w:r>
      <w:r>
        <w:rPr>
          <w:rFonts w:hint="default" w:ascii="Times New Roman" w:hAnsi="Times New Roman" w:eastAsia="宋体" w:cs="Times New Roman"/>
          <w:i w:val="0"/>
          <w:iCs w:val="0"/>
          <w:caps w:val="0"/>
          <w:color w:val="auto"/>
          <w:spacing w:val="0"/>
          <w:sz w:val="18"/>
          <w:szCs w:val="18"/>
          <w:shd w:val="clear" w:fill="FFFFFF"/>
        </w:rPr>
        <w:t>, </w:t>
      </w:r>
      <w:r>
        <w:rPr>
          <w:rFonts w:hint="default" w:ascii="Times New Roman" w:hAnsi="Times New Roman" w:eastAsia="宋体" w:cs="Times New Roman"/>
          <w:i/>
          <w:iCs/>
          <w:caps w:val="0"/>
          <w:color w:val="auto"/>
          <w:spacing w:val="0"/>
          <w:sz w:val="18"/>
          <w:szCs w:val="18"/>
          <w:shd w:val="clear" w:fill="FFFFFF"/>
        </w:rPr>
        <w:t>15</w:t>
      </w:r>
      <w:r>
        <w:rPr>
          <w:rFonts w:hint="default" w:ascii="Times New Roman" w:hAnsi="Times New Roman" w:eastAsia="宋体" w:cs="Times New Roman"/>
          <w:i w:val="0"/>
          <w:iCs w:val="0"/>
          <w:caps w:val="0"/>
          <w:color w:val="auto"/>
          <w:spacing w:val="0"/>
          <w:sz w:val="18"/>
          <w:szCs w:val="18"/>
          <w:shd w:val="clear" w:fill="FFFFFF"/>
        </w:rPr>
        <w:t>(1), pp.3-27.</w:t>
      </w:r>
    </w:p>
    <w:p w14:paraId="2BBEFE75">
      <w:pPr>
        <w:rPr>
          <w:rFonts w:hint="default" w:ascii="Times New Roman" w:hAnsi="Times New Roman" w:eastAsia="宋体" w:cs="Times New Roman"/>
          <w:i w:val="0"/>
          <w:iCs w:val="0"/>
          <w:caps w:val="0"/>
          <w:color w:val="auto"/>
          <w:spacing w:val="0"/>
          <w:sz w:val="18"/>
          <w:szCs w:val="18"/>
          <w:shd w:val="clear" w:fill="FFFFFF"/>
        </w:rPr>
      </w:pPr>
      <w:r>
        <w:rPr>
          <w:rFonts w:hint="default" w:ascii="Times New Roman" w:hAnsi="Times New Roman" w:eastAsia="宋体" w:cs="Times New Roman"/>
          <w:i w:val="0"/>
          <w:iCs w:val="0"/>
          <w:caps w:val="0"/>
          <w:color w:val="auto"/>
          <w:spacing w:val="0"/>
          <w:sz w:val="18"/>
          <w:szCs w:val="18"/>
          <w:shd w:val="clear" w:fill="FFFFFF"/>
        </w:rPr>
        <w:t>Bartmanski, D. and Woodward, I., 2018. Vinyl record: A cultural icon. </w:t>
      </w:r>
      <w:r>
        <w:rPr>
          <w:rFonts w:hint="default" w:ascii="Times New Roman" w:hAnsi="Times New Roman" w:eastAsia="宋体" w:cs="Times New Roman"/>
          <w:i/>
          <w:iCs/>
          <w:caps w:val="0"/>
          <w:color w:val="auto"/>
          <w:spacing w:val="0"/>
          <w:sz w:val="18"/>
          <w:szCs w:val="18"/>
          <w:shd w:val="clear" w:fill="FFFFFF"/>
        </w:rPr>
        <w:t>Consumption Markets &amp; Culture</w:t>
      </w:r>
      <w:r>
        <w:rPr>
          <w:rFonts w:hint="default" w:ascii="Times New Roman" w:hAnsi="Times New Roman" w:eastAsia="宋体" w:cs="Times New Roman"/>
          <w:i w:val="0"/>
          <w:iCs w:val="0"/>
          <w:caps w:val="0"/>
          <w:color w:val="auto"/>
          <w:spacing w:val="0"/>
          <w:sz w:val="18"/>
          <w:szCs w:val="18"/>
          <w:shd w:val="clear" w:fill="FFFFFF"/>
        </w:rPr>
        <w:t>, </w:t>
      </w:r>
      <w:r>
        <w:rPr>
          <w:rFonts w:hint="default" w:ascii="Times New Roman" w:hAnsi="Times New Roman" w:eastAsia="宋体" w:cs="Times New Roman"/>
          <w:i/>
          <w:iCs/>
          <w:caps w:val="0"/>
          <w:color w:val="auto"/>
          <w:spacing w:val="0"/>
          <w:sz w:val="18"/>
          <w:szCs w:val="18"/>
          <w:shd w:val="clear" w:fill="FFFFFF"/>
        </w:rPr>
        <w:t>21</w:t>
      </w:r>
      <w:r>
        <w:rPr>
          <w:rFonts w:hint="default" w:ascii="Times New Roman" w:hAnsi="Times New Roman" w:eastAsia="宋体" w:cs="Times New Roman"/>
          <w:i w:val="0"/>
          <w:iCs w:val="0"/>
          <w:caps w:val="0"/>
          <w:color w:val="auto"/>
          <w:spacing w:val="0"/>
          <w:sz w:val="18"/>
          <w:szCs w:val="18"/>
          <w:shd w:val="clear" w:fill="FFFFFF"/>
        </w:rPr>
        <w:t>(2), pp.171-177.</w:t>
      </w:r>
    </w:p>
    <w:p w14:paraId="49BA799C">
      <w:pPr>
        <w:rPr>
          <w:rFonts w:hint="default" w:ascii="Times New Roman" w:hAnsi="Times New Roman" w:eastAsia="宋体" w:cs="Times New Roman"/>
          <w:i w:val="0"/>
          <w:iCs w:val="0"/>
          <w:caps w:val="0"/>
          <w:color w:val="auto"/>
          <w:spacing w:val="0"/>
          <w:sz w:val="18"/>
          <w:szCs w:val="18"/>
          <w:shd w:val="clear" w:fill="FFFFFF"/>
        </w:rPr>
      </w:pPr>
      <w:r>
        <w:rPr>
          <w:rFonts w:hint="default" w:ascii="Times New Roman" w:hAnsi="Times New Roman" w:eastAsia="宋体" w:cs="Times New Roman"/>
          <w:i w:val="0"/>
          <w:iCs w:val="0"/>
          <w:caps w:val="0"/>
          <w:color w:val="auto"/>
          <w:spacing w:val="0"/>
          <w:sz w:val="18"/>
          <w:szCs w:val="18"/>
          <w:shd w:val="clear" w:fill="FFFFFF"/>
        </w:rPr>
        <w:t>Bates, E., 2020. Vinyl as event: Record Store Day and the value-vibrant matter nexus. </w:t>
      </w:r>
      <w:r>
        <w:rPr>
          <w:rFonts w:hint="default" w:ascii="Times New Roman" w:hAnsi="Times New Roman" w:eastAsia="宋体" w:cs="Times New Roman"/>
          <w:i/>
          <w:iCs/>
          <w:caps w:val="0"/>
          <w:color w:val="auto"/>
          <w:spacing w:val="0"/>
          <w:sz w:val="18"/>
          <w:szCs w:val="18"/>
          <w:shd w:val="clear" w:fill="FFFFFF"/>
        </w:rPr>
        <w:t>Journal of Cultural Economy</w:t>
      </w:r>
      <w:r>
        <w:rPr>
          <w:rFonts w:hint="default" w:ascii="Times New Roman" w:hAnsi="Times New Roman" w:eastAsia="宋体" w:cs="Times New Roman"/>
          <w:i w:val="0"/>
          <w:iCs w:val="0"/>
          <w:caps w:val="0"/>
          <w:color w:val="auto"/>
          <w:spacing w:val="0"/>
          <w:sz w:val="18"/>
          <w:szCs w:val="18"/>
          <w:shd w:val="clear" w:fill="FFFFFF"/>
        </w:rPr>
        <w:t>, </w:t>
      </w:r>
      <w:r>
        <w:rPr>
          <w:rFonts w:hint="default" w:ascii="Times New Roman" w:hAnsi="Times New Roman" w:eastAsia="宋体" w:cs="Times New Roman"/>
          <w:i/>
          <w:iCs/>
          <w:caps w:val="0"/>
          <w:color w:val="auto"/>
          <w:spacing w:val="0"/>
          <w:sz w:val="18"/>
          <w:szCs w:val="18"/>
          <w:shd w:val="clear" w:fill="FFFFFF"/>
        </w:rPr>
        <w:t>13</w:t>
      </w:r>
      <w:r>
        <w:rPr>
          <w:rFonts w:hint="default" w:ascii="Times New Roman" w:hAnsi="Times New Roman" w:eastAsia="宋体" w:cs="Times New Roman"/>
          <w:i w:val="0"/>
          <w:iCs w:val="0"/>
          <w:caps w:val="0"/>
          <w:color w:val="auto"/>
          <w:spacing w:val="0"/>
          <w:sz w:val="18"/>
          <w:szCs w:val="18"/>
          <w:shd w:val="clear" w:fill="FFFFFF"/>
        </w:rPr>
        <w:t>(6), pp.690-708.</w:t>
      </w:r>
    </w:p>
    <w:p w14:paraId="2BA5996C">
      <w:pPr>
        <w:rPr>
          <w:rFonts w:hint="default" w:ascii="Times New Roman" w:hAnsi="Times New Roman" w:eastAsia="宋体" w:cs="Times New Roman"/>
          <w:i w:val="0"/>
          <w:iCs w:val="0"/>
          <w:caps w:val="0"/>
          <w:color w:val="auto"/>
          <w:spacing w:val="0"/>
          <w:sz w:val="18"/>
          <w:szCs w:val="18"/>
          <w:shd w:val="clear" w:fill="FFFFFF"/>
        </w:rPr>
      </w:pPr>
      <w:r>
        <w:rPr>
          <w:rFonts w:hint="default" w:ascii="Times New Roman" w:hAnsi="Times New Roman" w:eastAsia="宋体" w:cs="Times New Roman"/>
          <w:i w:val="0"/>
          <w:iCs w:val="0"/>
          <w:caps w:val="0"/>
          <w:color w:val="auto"/>
          <w:spacing w:val="0"/>
          <w:sz w:val="18"/>
          <w:szCs w:val="18"/>
          <w:shd w:val="clear" w:fill="FFFFFF"/>
        </w:rPr>
        <w:t>Berger, P.L. and Luckmann, T., 1966. The social con-struction of reality. New York: Anchor.</w:t>
      </w:r>
    </w:p>
    <w:p w14:paraId="3728C1D6">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Bertheaux, C., Zimmermann, E., Gazel, M., Delanoy, J., Raimbaud, P. and Lavoué, G., 2024. Effect of material properties on emotion: a virtual reality study. </w:t>
      </w:r>
      <w:r>
        <w:rPr>
          <w:rFonts w:hint="default" w:ascii="Times New Roman" w:hAnsi="Times New Roman" w:eastAsia="宋体" w:cs="Times New Roman"/>
          <w:i/>
          <w:iCs/>
          <w:caps w:val="0"/>
          <w:color w:val="222222"/>
          <w:spacing w:val="0"/>
          <w:sz w:val="18"/>
          <w:szCs w:val="18"/>
          <w:shd w:val="clear" w:fill="FFFFFF"/>
        </w:rPr>
        <w:t>Frontiers in Human Neuroscience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17</w:t>
      </w:r>
      <w:r>
        <w:rPr>
          <w:rFonts w:hint="default" w:ascii="Times New Roman" w:hAnsi="Times New Roman" w:eastAsia="宋体" w:cs="Times New Roman"/>
          <w:i w:val="0"/>
          <w:iCs w:val="0"/>
          <w:caps w:val="0"/>
          <w:color w:val="222222"/>
          <w:spacing w:val="0"/>
          <w:sz w:val="18"/>
          <w:szCs w:val="18"/>
          <w:shd w:val="clear" w:fill="FFFFFF"/>
        </w:rPr>
        <w:t>, p.1301891.</w:t>
      </w:r>
    </w:p>
    <w:p w14:paraId="2263436A">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Desmet, P.M., Xue, H., Xin, X. and Liu, W., 2023. Demystifying emotion for designers: A five-day course based on seven fundamental principles. </w:t>
      </w:r>
      <w:r>
        <w:rPr>
          <w:rFonts w:hint="default" w:ascii="Times New Roman" w:hAnsi="Times New Roman" w:eastAsia="宋体" w:cs="Times New Roman"/>
          <w:i/>
          <w:iCs/>
          <w:caps w:val="0"/>
          <w:color w:val="222222"/>
          <w:spacing w:val="0"/>
          <w:sz w:val="18"/>
          <w:szCs w:val="18"/>
          <w:shd w:val="clear" w:fill="FFFFFF"/>
        </w:rPr>
        <w:t>Advanced Design Research</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w:t>
      </w:r>
      <w:r>
        <w:rPr>
          <w:rFonts w:hint="default" w:ascii="Times New Roman" w:hAnsi="Times New Roman" w:eastAsia="宋体" w:cs="Times New Roman"/>
          <w:i w:val="0"/>
          <w:iCs w:val="0"/>
          <w:caps w:val="0"/>
          <w:color w:val="222222"/>
          <w:spacing w:val="0"/>
          <w:sz w:val="18"/>
          <w:szCs w:val="18"/>
          <w:shd w:val="clear" w:fill="FFFFFF"/>
        </w:rPr>
        <w:t>(1), pp.50-62.</w:t>
      </w:r>
    </w:p>
    <w:p w14:paraId="0FBFD357">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Dewey, J., 2018. </w:t>
      </w:r>
      <w:r>
        <w:rPr>
          <w:rFonts w:hint="default" w:ascii="Times New Roman" w:hAnsi="Times New Roman" w:eastAsia="宋体" w:cs="Times New Roman"/>
          <w:i/>
          <w:iCs/>
          <w:caps w:val="0"/>
          <w:color w:val="222222"/>
          <w:spacing w:val="0"/>
          <w:sz w:val="18"/>
          <w:szCs w:val="18"/>
          <w:shd w:val="clear" w:fill="FFFFFF"/>
        </w:rPr>
        <w:t>Logic-The theory of inquiry</w:t>
      </w:r>
      <w:r>
        <w:rPr>
          <w:rFonts w:hint="default" w:ascii="Times New Roman" w:hAnsi="Times New Roman" w:eastAsia="宋体" w:cs="Times New Roman"/>
          <w:i w:val="0"/>
          <w:iCs w:val="0"/>
          <w:caps w:val="0"/>
          <w:color w:val="222222"/>
          <w:spacing w:val="0"/>
          <w:sz w:val="18"/>
          <w:szCs w:val="18"/>
          <w:shd w:val="clear" w:fill="FFFFFF"/>
        </w:rPr>
        <w:t>. Read Books Ltd.</w:t>
      </w:r>
    </w:p>
    <w:p w14:paraId="560BCC33">
      <w:pPr>
        <w:rPr>
          <w:rFonts w:hint="default" w:ascii="Times New Roman" w:hAnsi="Times New Roman" w:eastAsia="宋体" w:cs="Times New Roman"/>
          <w:i w:val="0"/>
          <w:iCs w:val="0"/>
          <w:caps w:val="0"/>
          <w:color w:val="222222"/>
          <w:spacing w:val="0"/>
          <w:sz w:val="18"/>
          <w:szCs w:val="18"/>
          <w:shd w:val="clear" w:fill="FFFFFF"/>
          <w:lang w:val="en-US" w:eastAsia="zh-CN"/>
        </w:rPr>
      </w:pPr>
      <w:r>
        <w:rPr>
          <w:rFonts w:hint="default" w:ascii="Times New Roman" w:hAnsi="Times New Roman" w:eastAsia="宋体" w:cs="Times New Roman"/>
          <w:i w:val="0"/>
          <w:iCs w:val="0"/>
          <w:caps w:val="0"/>
          <w:color w:val="auto"/>
          <w:spacing w:val="0"/>
          <w:sz w:val="18"/>
          <w:szCs w:val="18"/>
          <w:shd w:val="clear" w:fill="FFFFFF"/>
        </w:rPr>
        <w:t>Emirbayer, M., 1997. Manifesto for a relational sociology. American journal of sociology, 103(2), pp.281-317.</w:t>
      </w:r>
    </w:p>
    <w:p w14:paraId="32BEDC08">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Frampton, K., 1983. Towards a Critical Regionalism: Six Points for an Architecture of Resistance (H. Foster, Ed.), the Anti-Aesthetic; Essays on Postmodern Culture.</w:t>
      </w:r>
    </w:p>
    <w:p w14:paraId="77553880">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Frayling, C., 1994. Research in art and design (Royal College of Art Research Papers, vol 1, no 1, 1993/4).</w:t>
      </w:r>
    </w:p>
    <w:p w14:paraId="04AC035E">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Gaver, W., 2012, May. What should we expect from research through design?. In </w:t>
      </w:r>
      <w:r>
        <w:rPr>
          <w:rFonts w:hint="default" w:ascii="Times New Roman" w:hAnsi="Times New Roman" w:eastAsia="宋体" w:cs="Times New Roman"/>
          <w:i/>
          <w:iCs/>
          <w:caps w:val="0"/>
          <w:color w:val="222222"/>
          <w:spacing w:val="0"/>
          <w:sz w:val="18"/>
          <w:szCs w:val="18"/>
          <w:shd w:val="clear" w:fill="FFFFFF"/>
        </w:rPr>
        <w:t>Proceedings of the SIGCHI conference on human factors in computing systems</w:t>
      </w:r>
      <w:r>
        <w:rPr>
          <w:rFonts w:hint="default" w:ascii="Times New Roman" w:hAnsi="Times New Roman" w:eastAsia="宋体" w:cs="Times New Roman"/>
          <w:i w:val="0"/>
          <w:iCs w:val="0"/>
          <w:caps w:val="0"/>
          <w:color w:val="222222"/>
          <w:spacing w:val="0"/>
          <w:sz w:val="18"/>
          <w:szCs w:val="18"/>
          <w:shd w:val="clear" w:fill="FFFFFF"/>
        </w:rPr>
        <w:t> (pp. 937-946).</w:t>
      </w:r>
    </w:p>
    <w:p w14:paraId="7F03E4A8">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auto"/>
          <w:spacing w:val="0"/>
          <w:sz w:val="18"/>
          <w:szCs w:val="18"/>
          <w:shd w:val="clear" w:fill="FFFFFF"/>
        </w:rPr>
        <w:t>Gergen, K.J., 2009. </w:t>
      </w:r>
      <w:r>
        <w:rPr>
          <w:rFonts w:hint="default" w:ascii="Times New Roman" w:hAnsi="Times New Roman" w:eastAsia="宋体" w:cs="Times New Roman"/>
          <w:i/>
          <w:iCs/>
          <w:caps w:val="0"/>
          <w:color w:val="auto"/>
          <w:spacing w:val="0"/>
          <w:sz w:val="18"/>
          <w:szCs w:val="18"/>
          <w:shd w:val="clear" w:fill="FFFFFF"/>
        </w:rPr>
        <w:t>Relational being: Beyond self and community</w:t>
      </w:r>
      <w:r>
        <w:rPr>
          <w:rFonts w:hint="default" w:ascii="Times New Roman" w:hAnsi="Times New Roman" w:eastAsia="宋体" w:cs="Times New Roman"/>
          <w:i w:val="0"/>
          <w:iCs w:val="0"/>
          <w:caps w:val="0"/>
          <w:color w:val="auto"/>
          <w:spacing w:val="0"/>
          <w:sz w:val="18"/>
          <w:szCs w:val="18"/>
          <w:shd w:val="clear" w:fill="FFFFFF"/>
        </w:rPr>
        <w:t>. Oxford university press.</w:t>
      </w:r>
    </w:p>
    <w:p w14:paraId="031FC719">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Giamarelos, S., 2020. Greece, the modern margin in the classical centre: seven points for critical regionalism as historiography. </w:t>
      </w:r>
      <w:r>
        <w:rPr>
          <w:rFonts w:hint="default" w:ascii="Times New Roman" w:hAnsi="Times New Roman" w:eastAsia="宋体" w:cs="Times New Roman"/>
          <w:i/>
          <w:iCs/>
          <w:caps w:val="0"/>
          <w:color w:val="222222"/>
          <w:spacing w:val="0"/>
          <w:sz w:val="18"/>
          <w:szCs w:val="18"/>
          <w:shd w:val="clear" w:fill="FFFFFF"/>
        </w:rPr>
        <w:t>The Journal of Architecture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25</w:t>
      </w:r>
      <w:r>
        <w:rPr>
          <w:rFonts w:hint="default" w:ascii="Times New Roman" w:hAnsi="Times New Roman" w:eastAsia="宋体" w:cs="Times New Roman"/>
          <w:i w:val="0"/>
          <w:iCs w:val="0"/>
          <w:caps w:val="0"/>
          <w:color w:val="222222"/>
          <w:spacing w:val="0"/>
          <w:sz w:val="18"/>
          <w:szCs w:val="18"/>
          <w:shd w:val="clear" w:fill="FFFFFF"/>
        </w:rPr>
        <w:t>(8), pp.1055-1088.</w:t>
      </w:r>
    </w:p>
    <w:p w14:paraId="779652CC">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Giamarelos, S., 2022. </w:t>
      </w:r>
      <w:r>
        <w:rPr>
          <w:rFonts w:hint="default" w:ascii="Times New Roman" w:hAnsi="Times New Roman" w:eastAsia="宋体" w:cs="Times New Roman"/>
          <w:i/>
          <w:iCs/>
          <w:caps w:val="0"/>
          <w:color w:val="222222"/>
          <w:spacing w:val="0"/>
          <w:sz w:val="18"/>
          <w:szCs w:val="18"/>
          <w:shd w:val="clear" w:fill="FFFFFF"/>
        </w:rPr>
        <w:t>Resisting postmodern architecture: Critical regionalism before globalisation</w:t>
      </w:r>
      <w:r>
        <w:rPr>
          <w:rFonts w:hint="default" w:ascii="Times New Roman" w:hAnsi="Times New Roman" w:eastAsia="宋体" w:cs="Times New Roman"/>
          <w:i w:val="0"/>
          <w:iCs w:val="0"/>
          <w:caps w:val="0"/>
          <w:color w:val="222222"/>
          <w:spacing w:val="0"/>
          <w:sz w:val="18"/>
          <w:szCs w:val="18"/>
          <w:shd w:val="clear" w:fill="FFFFFF"/>
        </w:rPr>
        <w:t>. UCL Press.</w:t>
      </w:r>
    </w:p>
    <w:p w14:paraId="64706C0F">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Goulding, C. and Derbaix, M., 2019. Consuming material authenticity in the age of digital reproduction. </w:t>
      </w:r>
      <w:r>
        <w:rPr>
          <w:rFonts w:hint="default" w:ascii="Times New Roman" w:hAnsi="Times New Roman" w:eastAsia="宋体" w:cs="Times New Roman"/>
          <w:i/>
          <w:iCs/>
          <w:caps w:val="0"/>
          <w:color w:val="222222"/>
          <w:spacing w:val="0"/>
          <w:sz w:val="18"/>
          <w:szCs w:val="18"/>
          <w:shd w:val="clear" w:fill="FFFFFF"/>
        </w:rPr>
        <w:t>European Journal of Marketing</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53</w:t>
      </w:r>
      <w:r>
        <w:rPr>
          <w:rFonts w:hint="default" w:ascii="Times New Roman" w:hAnsi="Times New Roman" w:eastAsia="宋体" w:cs="Times New Roman"/>
          <w:i w:val="0"/>
          <w:iCs w:val="0"/>
          <w:caps w:val="0"/>
          <w:color w:val="222222"/>
          <w:spacing w:val="0"/>
          <w:sz w:val="18"/>
          <w:szCs w:val="18"/>
          <w:shd w:val="clear" w:fill="FFFFFF"/>
        </w:rPr>
        <w:t>(3), pp.545-564.</w:t>
      </w:r>
    </w:p>
    <w:p w14:paraId="1773F767">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Guba, E.G. and Lincoln, Y.S., 1994. Competing paradigms in qualitative research. </w:t>
      </w:r>
      <w:r>
        <w:rPr>
          <w:rFonts w:hint="default" w:ascii="Times New Roman" w:hAnsi="Times New Roman" w:eastAsia="宋体" w:cs="Times New Roman"/>
          <w:i/>
          <w:iCs/>
          <w:caps w:val="0"/>
          <w:color w:val="222222"/>
          <w:spacing w:val="0"/>
          <w:sz w:val="18"/>
          <w:szCs w:val="18"/>
          <w:shd w:val="clear" w:fill="FFFFFF"/>
        </w:rPr>
        <w:t>Handbook of qualitative research</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2</w:t>
      </w:r>
      <w:r>
        <w:rPr>
          <w:rFonts w:hint="default" w:ascii="Times New Roman" w:hAnsi="Times New Roman" w:eastAsia="宋体" w:cs="Times New Roman"/>
          <w:i w:val="0"/>
          <w:iCs w:val="0"/>
          <w:caps w:val="0"/>
          <w:color w:val="222222"/>
          <w:spacing w:val="0"/>
          <w:sz w:val="18"/>
          <w:szCs w:val="18"/>
          <w:shd w:val="clear" w:fill="FFFFFF"/>
        </w:rPr>
        <w:t>(163-194), p.105.</w:t>
      </w:r>
    </w:p>
    <w:p w14:paraId="4A8D1A21">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Guo, Y., 2023. The Comeback of the Medium: The History and Contemporary Revival of the Vinyl Record Industry. In </w:t>
      </w:r>
      <w:r>
        <w:rPr>
          <w:rFonts w:hint="default" w:ascii="Times New Roman" w:hAnsi="Times New Roman" w:eastAsia="宋体" w:cs="Times New Roman"/>
          <w:i/>
          <w:iCs/>
          <w:caps w:val="0"/>
          <w:color w:val="222222"/>
          <w:spacing w:val="0"/>
          <w:sz w:val="18"/>
          <w:szCs w:val="18"/>
          <w:shd w:val="clear" w:fill="FFFFFF"/>
        </w:rPr>
        <w:t>SHS Web of Conferences</w:t>
      </w:r>
      <w:r>
        <w:rPr>
          <w:rFonts w:hint="default" w:ascii="Times New Roman" w:hAnsi="Times New Roman" w:eastAsia="宋体" w:cs="Times New Roman"/>
          <w:i w:val="0"/>
          <w:iCs w:val="0"/>
          <w:caps w:val="0"/>
          <w:color w:val="222222"/>
          <w:spacing w:val="0"/>
          <w:sz w:val="18"/>
          <w:szCs w:val="18"/>
          <w:shd w:val="clear" w:fill="FFFFFF"/>
        </w:rPr>
        <w:t> (Vol. 155, p. 02015). EDP Sciences.</w:t>
      </w:r>
    </w:p>
    <w:p w14:paraId="37C6E56A">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Hagen, A.N., 2020. Music in streams: Communicating music in the streaming paradigm. In </w:t>
      </w:r>
      <w:r>
        <w:rPr>
          <w:rFonts w:hint="default" w:ascii="Times New Roman" w:hAnsi="Times New Roman" w:eastAsia="宋体" w:cs="Times New Roman"/>
          <w:i/>
          <w:iCs/>
          <w:caps w:val="0"/>
          <w:color w:val="222222"/>
          <w:spacing w:val="0"/>
          <w:sz w:val="18"/>
          <w:szCs w:val="18"/>
          <w:shd w:val="clear" w:fill="FFFFFF"/>
        </w:rPr>
        <w:t>Reimagining Communication: Mediation</w:t>
      </w:r>
      <w:r>
        <w:rPr>
          <w:rFonts w:hint="default" w:ascii="Times New Roman" w:hAnsi="Times New Roman" w:eastAsia="宋体" w:cs="Times New Roman"/>
          <w:i w:val="0"/>
          <w:iCs w:val="0"/>
          <w:caps w:val="0"/>
          <w:color w:val="222222"/>
          <w:spacing w:val="0"/>
          <w:sz w:val="18"/>
          <w:szCs w:val="18"/>
          <w:shd w:val="clear" w:fill="FFFFFF"/>
        </w:rPr>
        <w:t> (pp. 210-224). Routledge.</w:t>
      </w:r>
    </w:p>
    <w:p w14:paraId="03583809">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Hesmondhalgh, D. and Meier, L.M., 2018. What the digitalisation of music tells us about capitalism, culture and the power of the information technology sector. </w:t>
      </w:r>
      <w:r>
        <w:rPr>
          <w:rFonts w:hint="default" w:ascii="Times New Roman" w:hAnsi="Times New Roman" w:eastAsia="宋体" w:cs="Times New Roman"/>
          <w:i/>
          <w:iCs/>
          <w:caps w:val="0"/>
          <w:color w:val="222222"/>
          <w:spacing w:val="0"/>
          <w:sz w:val="18"/>
          <w:szCs w:val="18"/>
          <w:shd w:val="clear" w:fill="FFFFFF"/>
        </w:rPr>
        <w:t>Information, Communication &amp; Society</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21</w:t>
      </w:r>
      <w:r>
        <w:rPr>
          <w:rFonts w:hint="default" w:ascii="Times New Roman" w:hAnsi="Times New Roman" w:eastAsia="宋体" w:cs="Times New Roman"/>
          <w:i w:val="0"/>
          <w:iCs w:val="0"/>
          <w:caps w:val="0"/>
          <w:color w:val="222222"/>
          <w:spacing w:val="0"/>
          <w:sz w:val="18"/>
          <w:szCs w:val="18"/>
          <w:shd w:val="clear" w:fill="FFFFFF"/>
        </w:rPr>
        <w:t>(11), pp.1555-1570.</w:t>
      </w:r>
    </w:p>
    <w:p w14:paraId="048233CA">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Hesmondhalgh, D., 2022. Streaming’s effects on music culture: Old anxieties and new simplifications. </w:t>
      </w:r>
      <w:r>
        <w:rPr>
          <w:rFonts w:hint="default" w:ascii="Times New Roman" w:hAnsi="Times New Roman" w:eastAsia="宋体" w:cs="Times New Roman"/>
          <w:i/>
          <w:iCs/>
          <w:caps w:val="0"/>
          <w:color w:val="222222"/>
          <w:spacing w:val="0"/>
          <w:sz w:val="18"/>
          <w:szCs w:val="18"/>
          <w:shd w:val="clear" w:fill="FFFFFF"/>
        </w:rPr>
        <w:t>Cultural Sociology</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16</w:t>
      </w:r>
      <w:r>
        <w:rPr>
          <w:rFonts w:hint="default" w:ascii="Times New Roman" w:hAnsi="Times New Roman" w:eastAsia="宋体" w:cs="Times New Roman"/>
          <w:i w:val="0"/>
          <w:iCs w:val="0"/>
          <w:caps w:val="0"/>
          <w:color w:val="222222"/>
          <w:spacing w:val="0"/>
          <w:sz w:val="18"/>
          <w:szCs w:val="18"/>
          <w:shd w:val="clear" w:fill="FFFFFF"/>
        </w:rPr>
        <w:t>(1), pp.3-24.</w:t>
      </w:r>
    </w:p>
    <w:p w14:paraId="2BA8713F">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Hracs, B.J. and Jansson, J., 2020. Death by streaming or vinyl revival? Exploring the spatial dynamics and value-creating strategies of independent record shops in Stockholm. </w:t>
      </w:r>
      <w:r>
        <w:rPr>
          <w:rFonts w:hint="default" w:ascii="Times New Roman" w:hAnsi="Times New Roman" w:eastAsia="宋体" w:cs="Times New Roman"/>
          <w:i/>
          <w:iCs/>
          <w:caps w:val="0"/>
          <w:color w:val="222222"/>
          <w:spacing w:val="0"/>
          <w:sz w:val="18"/>
          <w:szCs w:val="18"/>
          <w:shd w:val="clear" w:fill="FFFFFF"/>
        </w:rPr>
        <w:t>Journal of Consumer Culture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20</w:t>
      </w:r>
      <w:r>
        <w:rPr>
          <w:rFonts w:hint="default" w:ascii="Times New Roman" w:hAnsi="Times New Roman" w:eastAsia="宋体" w:cs="Times New Roman"/>
          <w:i w:val="0"/>
          <w:iCs w:val="0"/>
          <w:caps w:val="0"/>
          <w:color w:val="222222"/>
          <w:spacing w:val="0"/>
          <w:sz w:val="18"/>
          <w:szCs w:val="18"/>
          <w:shd w:val="clear" w:fill="FFFFFF"/>
        </w:rPr>
        <w:t>(4), pp.478-497.</w:t>
      </w:r>
    </w:p>
    <w:p w14:paraId="2C9133C2">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Karana, E. and Hekkert, P., 2010. User-material-product interrelationships in attributing meanings. </w:t>
      </w:r>
      <w:r>
        <w:rPr>
          <w:rFonts w:hint="default" w:ascii="Times New Roman" w:hAnsi="Times New Roman" w:eastAsia="宋体" w:cs="Times New Roman"/>
          <w:i/>
          <w:iCs/>
          <w:caps w:val="0"/>
          <w:color w:val="222222"/>
          <w:spacing w:val="0"/>
          <w:sz w:val="18"/>
          <w:szCs w:val="18"/>
          <w:shd w:val="clear" w:fill="FFFFFF"/>
        </w:rPr>
        <w:t>International Journal of Design</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4</w:t>
      </w:r>
      <w:r>
        <w:rPr>
          <w:rFonts w:hint="default" w:ascii="Times New Roman" w:hAnsi="Times New Roman" w:eastAsia="宋体" w:cs="Times New Roman"/>
          <w:i w:val="0"/>
          <w:iCs w:val="0"/>
          <w:caps w:val="0"/>
          <w:color w:val="222222"/>
          <w:spacing w:val="0"/>
          <w:sz w:val="18"/>
          <w:szCs w:val="18"/>
          <w:shd w:val="clear" w:fill="FFFFFF"/>
        </w:rPr>
        <w:t>(3).</w:t>
      </w:r>
    </w:p>
    <w:p w14:paraId="093DA54D">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Karana, E., Pedgley, O. and Rognoli, V., 2015. On materials experience. </w:t>
      </w:r>
      <w:r>
        <w:rPr>
          <w:rFonts w:hint="default" w:ascii="Times New Roman" w:hAnsi="Times New Roman" w:eastAsia="宋体" w:cs="Times New Roman"/>
          <w:i/>
          <w:iCs/>
          <w:caps w:val="0"/>
          <w:color w:val="222222"/>
          <w:spacing w:val="0"/>
          <w:sz w:val="18"/>
          <w:szCs w:val="18"/>
          <w:shd w:val="clear" w:fill="FFFFFF"/>
        </w:rPr>
        <w:t>Design Issues</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31</w:t>
      </w:r>
      <w:r>
        <w:rPr>
          <w:rFonts w:hint="default" w:ascii="Times New Roman" w:hAnsi="Times New Roman" w:eastAsia="宋体" w:cs="Times New Roman"/>
          <w:i w:val="0"/>
          <w:iCs w:val="0"/>
          <w:caps w:val="0"/>
          <w:color w:val="222222"/>
          <w:spacing w:val="0"/>
          <w:sz w:val="18"/>
          <w:szCs w:val="18"/>
          <w:shd w:val="clear" w:fill="FFFFFF"/>
        </w:rPr>
        <w:t>(3), pp.16-27.</w:t>
      </w:r>
    </w:p>
    <w:p w14:paraId="322D472F">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Kemmis, S. and McTaggart, R., 1988. The action research planner 3rd edition. </w:t>
      </w:r>
      <w:r>
        <w:rPr>
          <w:rFonts w:hint="default" w:ascii="Times New Roman" w:hAnsi="Times New Roman" w:eastAsia="宋体" w:cs="Times New Roman"/>
          <w:i/>
          <w:iCs/>
          <w:caps w:val="0"/>
          <w:color w:val="222222"/>
          <w:spacing w:val="0"/>
          <w:sz w:val="18"/>
          <w:szCs w:val="18"/>
          <w:shd w:val="clear" w:fill="FFFFFF"/>
        </w:rPr>
        <w:t>Geelong. Deakin University</w:t>
      </w:r>
      <w:r>
        <w:rPr>
          <w:rFonts w:hint="default" w:ascii="Times New Roman" w:hAnsi="Times New Roman" w:eastAsia="宋体" w:cs="Times New Roman"/>
          <w:i w:val="0"/>
          <w:iCs w:val="0"/>
          <w:caps w:val="0"/>
          <w:color w:val="222222"/>
          <w:spacing w:val="0"/>
          <w:sz w:val="18"/>
          <w:szCs w:val="18"/>
          <w:shd w:val="clear" w:fill="FFFFFF"/>
        </w:rPr>
        <w:t>.</w:t>
      </w:r>
    </w:p>
    <w:p w14:paraId="55B5C71C">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Koskinen, I., Zimmerman, J., Binder, T., Redstrom, J. and Wensveen, S., 2013. Design research through practice: From the lab, field, and showroom. </w:t>
      </w:r>
      <w:r>
        <w:rPr>
          <w:rFonts w:hint="default" w:ascii="Times New Roman" w:hAnsi="Times New Roman" w:eastAsia="宋体" w:cs="Times New Roman"/>
          <w:i/>
          <w:iCs/>
          <w:caps w:val="0"/>
          <w:color w:val="222222"/>
          <w:spacing w:val="0"/>
          <w:sz w:val="18"/>
          <w:szCs w:val="18"/>
          <w:shd w:val="clear" w:fill="FFFFFF"/>
        </w:rPr>
        <w:t>IEEE Transactions on Professional Communication</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56</w:t>
      </w:r>
      <w:r>
        <w:rPr>
          <w:rFonts w:hint="default" w:ascii="Times New Roman" w:hAnsi="Times New Roman" w:eastAsia="宋体" w:cs="Times New Roman"/>
          <w:i w:val="0"/>
          <w:iCs w:val="0"/>
          <w:caps w:val="0"/>
          <w:color w:val="222222"/>
          <w:spacing w:val="0"/>
          <w:sz w:val="18"/>
          <w:szCs w:val="18"/>
          <w:shd w:val="clear" w:fill="FFFFFF"/>
        </w:rPr>
        <w:t>(3), pp.262-263.</w:t>
      </w:r>
    </w:p>
    <w:p w14:paraId="38433A7F">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Krippendorff, K., 2005. </w:t>
      </w:r>
      <w:r>
        <w:rPr>
          <w:rFonts w:hint="default" w:ascii="Times New Roman" w:hAnsi="Times New Roman" w:eastAsia="宋体" w:cs="Times New Roman"/>
          <w:i/>
          <w:iCs/>
          <w:caps w:val="0"/>
          <w:color w:val="222222"/>
          <w:spacing w:val="0"/>
          <w:sz w:val="18"/>
          <w:szCs w:val="18"/>
          <w:shd w:val="clear" w:fill="FFFFFF"/>
        </w:rPr>
        <w:t>The semantic turn: A new foundation for design</w:t>
      </w:r>
      <w:r>
        <w:rPr>
          <w:rFonts w:hint="default" w:ascii="Times New Roman" w:hAnsi="Times New Roman" w:eastAsia="宋体" w:cs="Times New Roman"/>
          <w:i w:val="0"/>
          <w:iCs w:val="0"/>
          <w:caps w:val="0"/>
          <w:color w:val="222222"/>
          <w:spacing w:val="0"/>
          <w:sz w:val="18"/>
          <w:szCs w:val="18"/>
          <w:shd w:val="clear" w:fill="FFFFFF"/>
        </w:rPr>
        <w:t>. crc Press.</w:t>
      </w:r>
    </w:p>
    <w:p w14:paraId="1823F5FD">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Lefaivre, L. and Tzonis, A., 1981. The grid and the pathway. </w:t>
      </w:r>
      <w:r>
        <w:rPr>
          <w:rFonts w:hint="default" w:ascii="Times New Roman" w:hAnsi="Times New Roman" w:eastAsia="宋体" w:cs="Times New Roman"/>
          <w:i/>
          <w:iCs/>
          <w:caps w:val="0"/>
          <w:color w:val="222222"/>
          <w:spacing w:val="0"/>
          <w:sz w:val="18"/>
          <w:szCs w:val="18"/>
          <w:shd w:val="clear" w:fill="FFFFFF"/>
        </w:rPr>
        <w:t>Architecture in Greece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15</w:t>
      </w:r>
      <w:r>
        <w:rPr>
          <w:rFonts w:hint="default" w:ascii="Times New Roman" w:hAnsi="Times New Roman" w:eastAsia="宋体" w:cs="Times New Roman"/>
          <w:i w:val="0"/>
          <w:iCs w:val="0"/>
          <w:caps w:val="0"/>
          <w:color w:val="222222"/>
          <w:spacing w:val="0"/>
          <w:sz w:val="18"/>
          <w:szCs w:val="18"/>
          <w:shd w:val="clear" w:fill="FFFFFF"/>
        </w:rPr>
        <w:t>, pp.167-178.</w:t>
      </w:r>
    </w:p>
    <w:p w14:paraId="1FB867AB">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Lincoln, Y.S. and Guba, E.G., 1988. Criteria for Assessing Naturalistic Inquiries as Reports.</w:t>
      </w:r>
    </w:p>
    <w:p w14:paraId="15979EAC">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Luo, M., Yang, P. and Xiao, J., 2025. Shaping old media on new media: vinyl revival and its representation on Chinese social media. </w:t>
      </w:r>
      <w:r>
        <w:rPr>
          <w:rFonts w:hint="default" w:ascii="Times New Roman" w:hAnsi="Times New Roman" w:eastAsia="宋体" w:cs="Times New Roman"/>
          <w:i/>
          <w:iCs/>
          <w:caps w:val="0"/>
          <w:color w:val="222222"/>
          <w:spacing w:val="0"/>
          <w:sz w:val="18"/>
          <w:szCs w:val="18"/>
          <w:shd w:val="clear" w:fill="FFFFFF"/>
        </w:rPr>
        <w:t>Continuum</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39</w:t>
      </w:r>
      <w:r>
        <w:rPr>
          <w:rFonts w:hint="default" w:ascii="Times New Roman" w:hAnsi="Times New Roman" w:eastAsia="宋体" w:cs="Times New Roman"/>
          <w:i w:val="0"/>
          <w:iCs w:val="0"/>
          <w:caps w:val="0"/>
          <w:color w:val="222222"/>
          <w:spacing w:val="0"/>
          <w:sz w:val="18"/>
          <w:szCs w:val="18"/>
          <w:shd w:val="clear" w:fill="FFFFFF"/>
        </w:rPr>
        <w:t>(3), pp.486-499.</w:t>
      </w:r>
    </w:p>
    <w:p w14:paraId="54B94F5A">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Maasø, A. and Hagen, A.N., 2020. Metrics and decision-making in music streaming. </w:t>
      </w:r>
      <w:r>
        <w:rPr>
          <w:rFonts w:hint="default" w:ascii="Times New Roman" w:hAnsi="Times New Roman" w:eastAsia="宋体" w:cs="Times New Roman"/>
          <w:i/>
          <w:iCs/>
          <w:caps w:val="0"/>
          <w:color w:val="222222"/>
          <w:spacing w:val="0"/>
          <w:sz w:val="18"/>
          <w:szCs w:val="18"/>
          <w:shd w:val="clear" w:fill="FFFFFF"/>
        </w:rPr>
        <w:t>Popular Communication</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18</w:t>
      </w:r>
      <w:r>
        <w:rPr>
          <w:rFonts w:hint="default" w:ascii="Times New Roman" w:hAnsi="Times New Roman" w:eastAsia="宋体" w:cs="Times New Roman"/>
          <w:i w:val="0"/>
          <w:iCs w:val="0"/>
          <w:caps w:val="0"/>
          <w:color w:val="222222"/>
          <w:spacing w:val="0"/>
          <w:sz w:val="18"/>
          <w:szCs w:val="18"/>
          <w:shd w:val="clear" w:fill="FFFFFF"/>
        </w:rPr>
        <w:t>(1), pp.18-31.</w:t>
      </w:r>
    </w:p>
    <w:p w14:paraId="2299CFEA">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Morris, J.W., 2020. Music platforms and the optimization of culture. </w:t>
      </w:r>
      <w:r>
        <w:rPr>
          <w:rFonts w:hint="default" w:ascii="Times New Roman" w:hAnsi="Times New Roman" w:eastAsia="宋体" w:cs="Times New Roman"/>
          <w:i/>
          <w:iCs/>
          <w:caps w:val="0"/>
          <w:color w:val="222222"/>
          <w:spacing w:val="0"/>
          <w:sz w:val="18"/>
          <w:szCs w:val="18"/>
          <w:shd w:val="clear" w:fill="FFFFFF"/>
        </w:rPr>
        <w:t>Social Media+ Society</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6</w:t>
      </w:r>
      <w:r>
        <w:rPr>
          <w:rFonts w:hint="default" w:ascii="Times New Roman" w:hAnsi="Times New Roman" w:eastAsia="宋体" w:cs="Times New Roman"/>
          <w:i w:val="0"/>
          <w:iCs w:val="0"/>
          <w:caps w:val="0"/>
          <w:color w:val="222222"/>
          <w:spacing w:val="0"/>
          <w:sz w:val="18"/>
          <w:szCs w:val="18"/>
          <w:shd w:val="clear" w:fill="FFFFFF"/>
        </w:rPr>
        <w:t>(3), p.2056305120940690.</w:t>
      </w:r>
    </w:p>
    <w:p w14:paraId="2E01E61C">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Norman, D., 2002. Emotion &amp; design: attractive things work better. </w:t>
      </w:r>
      <w:r>
        <w:rPr>
          <w:rFonts w:hint="default" w:ascii="Times New Roman" w:hAnsi="Times New Roman" w:eastAsia="宋体" w:cs="Times New Roman"/>
          <w:i/>
          <w:iCs/>
          <w:caps w:val="0"/>
          <w:color w:val="222222"/>
          <w:spacing w:val="0"/>
          <w:sz w:val="18"/>
          <w:szCs w:val="18"/>
          <w:shd w:val="clear" w:fill="FFFFFF"/>
        </w:rPr>
        <w:t>interactions</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9</w:t>
      </w:r>
      <w:r>
        <w:rPr>
          <w:rFonts w:hint="default" w:ascii="Times New Roman" w:hAnsi="Times New Roman" w:eastAsia="宋体" w:cs="Times New Roman"/>
          <w:i w:val="0"/>
          <w:iCs w:val="0"/>
          <w:caps w:val="0"/>
          <w:color w:val="222222"/>
          <w:spacing w:val="0"/>
          <w:sz w:val="18"/>
          <w:szCs w:val="18"/>
          <w:shd w:val="clear" w:fill="FFFFFF"/>
        </w:rPr>
        <w:t>(4), pp.36-42.</w:t>
      </w:r>
    </w:p>
    <w:p w14:paraId="27638F96">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Norman, D.A. and Verganti, R., 2014. Incremental and radical innovation: Design research vs. technology and meaning change. </w:t>
      </w:r>
      <w:r>
        <w:rPr>
          <w:rFonts w:hint="default" w:ascii="Times New Roman" w:hAnsi="Times New Roman" w:eastAsia="宋体" w:cs="Times New Roman"/>
          <w:i/>
          <w:iCs/>
          <w:caps w:val="0"/>
          <w:color w:val="222222"/>
          <w:spacing w:val="0"/>
          <w:sz w:val="18"/>
          <w:szCs w:val="18"/>
          <w:shd w:val="clear" w:fill="FFFFFF"/>
        </w:rPr>
        <w:t>Design issues</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30</w:t>
      </w:r>
      <w:r>
        <w:rPr>
          <w:rFonts w:hint="default" w:ascii="Times New Roman" w:hAnsi="Times New Roman" w:eastAsia="宋体" w:cs="Times New Roman"/>
          <w:i w:val="0"/>
          <w:iCs w:val="0"/>
          <w:caps w:val="0"/>
          <w:color w:val="222222"/>
          <w:spacing w:val="0"/>
          <w:sz w:val="18"/>
          <w:szCs w:val="18"/>
          <w:shd w:val="clear" w:fill="FFFFFF"/>
        </w:rPr>
        <w:t>(1), pp.78-96.</w:t>
      </w:r>
    </w:p>
    <w:p w14:paraId="257C4356">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Sarpong, D., Dong, S. and Appiah, G., 2016. ‘Vinyl never say die’: The re-incarnation, adoption and diffusion of retro-technologies. </w:t>
      </w:r>
      <w:r>
        <w:rPr>
          <w:rFonts w:hint="default" w:ascii="Times New Roman" w:hAnsi="Times New Roman" w:eastAsia="宋体" w:cs="Times New Roman"/>
          <w:i/>
          <w:iCs/>
          <w:caps w:val="0"/>
          <w:color w:val="222222"/>
          <w:spacing w:val="0"/>
          <w:sz w:val="18"/>
          <w:szCs w:val="18"/>
          <w:shd w:val="clear" w:fill="FFFFFF"/>
        </w:rPr>
        <w:t>Technological Forecasting and Social Change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103</w:t>
      </w:r>
      <w:r>
        <w:rPr>
          <w:rFonts w:hint="default" w:ascii="Times New Roman" w:hAnsi="Times New Roman" w:eastAsia="宋体" w:cs="Times New Roman"/>
          <w:i w:val="0"/>
          <w:iCs w:val="0"/>
          <w:caps w:val="0"/>
          <w:color w:val="222222"/>
          <w:spacing w:val="0"/>
          <w:sz w:val="18"/>
          <w:szCs w:val="18"/>
          <w:shd w:val="clear" w:fill="FFFFFF"/>
        </w:rPr>
        <w:t>, pp.109-118.</w:t>
      </w:r>
    </w:p>
    <w:p w14:paraId="63B1AA52">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Schwandt, T.A., 1994. Constructivist, interpretivist approaches to human inquiry.</w:t>
      </w:r>
    </w:p>
    <w:p w14:paraId="7D6FE1D0">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Sinclair, G. and Tinson, J., 2017. Psychological ownership and music streaming consumption. </w:t>
      </w:r>
      <w:r>
        <w:rPr>
          <w:rFonts w:hint="default" w:ascii="Times New Roman" w:hAnsi="Times New Roman" w:eastAsia="宋体" w:cs="Times New Roman"/>
          <w:i/>
          <w:iCs/>
          <w:caps w:val="0"/>
          <w:color w:val="222222"/>
          <w:spacing w:val="0"/>
          <w:sz w:val="18"/>
          <w:szCs w:val="18"/>
          <w:shd w:val="clear" w:fill="FFFFFF"/>
        </w:rPr>
        <w:t>Journal of Business Research</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71</w:t>
      </w:r>
      <w:r>
        <w:rPr>
          <w:rFonts w:hint="default" w:ascii="Times New Roman" w:hAnsi="Times New Roman" w:eastAsia="宋体" w:cs="Times New Roman"/>
          <w:i w:val="0"/>
          <w:iCs w:val="0"/>
          <w:caps w:val="0"/>
          <w:color w:val="222222"/>
          <w:spacing w:val="0"/>
          <w:sz w:val="18"/>
          <w:szCs w:val="18"/>
          <w:shd w:val="clear" w:fill="FFFFFF"/>
        </w:rPr>
        <w:t>, pp.1-9.</w:t>
      </w:r>
    </w:p>
    <w:p w14:paraId="1F4633E3">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Stringer, E.T. and Aragón, A.O., 2020. </w:t>
      </w:r>
      <w:r>
        <w:rPr>
          <w:rFonts w:hint="default" w:ascii="Times New Roman" w:hAnsi="Times New Roman" w:eastAsia="宋体" w:cs="Times New Roman"/>
          <w:i/>
          <w:iCs/>
          <w:caps w:val="0"/>
          <w:color w:val="222222"/>
          <w:spacing w:val="0"/>
          <w:sz w:val="18"/>
          <w:szCs w:val="18"/>
          <w:shd w:val="clear" w:fill="FFFFFF"/>
        </w:rPr>
        <w:t>Action research</w:t>
      </w:r>
      <w:r>
        <w:rPr>
          <w:rFonts w:hint="default" w:ascii="Times New Roman" w:hAnsi="Times New Roman" w:eastAsia="宋体" w:cs="Times New Roman"/>
          <w:i w:val="0"/>
          <w:iCs w:val="0"/>
          <w:caps w:val="0"/>
          <w:color w:val="222222"/>
          <w:spacing w:val="0"/>
          <w:sz w:val="18"/>
          <w:szCs w:val="18"/>
          <w:shd w:val="clear" w:fill="FFFFFF"/>
        </w:rPr>
        <w:t>. Sage publications.</w:t>
      </w:r>
    </w:p>
    <w:p w14:paraId="7D762A79">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Verganti, R., 2008. Design, meanings, and radical innovation: A metamodel and a research agenda. </w:t>
      </w:r>
      <w:r>
        <w:rPr>
          <w:rFonts w:hint="default" w:ascii="Times New Roman" w:hAnsi="Times New Roman" w:eastAsia="宋体" w:cs="Times New Roman"/>
          <w:i/>
          <w:iCs/>
          <w:caps w:val="0"/>
          <w:color w:val="222222"/>
          <w:spacing w:val="0"/>
          <w:sz w:val="18"/>
          <w:szCs w:val="18"/>
          <w:shd w:val="clear" w:fill="FFFFFF"/>
        </w:rPr>
        <w:t>Journal of product innovation management</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25</w:t>
      </w:r>
      <w:r>
        <w:rPr>
          <w:rFonts w:hint="default" w:ascii="Times New Roman" w:hAnsi="Times New Roman" w:eastAsia="宋体" w:cs="Times New Roman"/>
          <w:i w:val="0"/>
          <w:iCs w:val="0"/>
          <w:caps w:val="0"/>
          <w:color w:val="222222"/>
          <w:spacing w:val="0"/>
          <w:sz w:val="18"/>
          <w:szCs w:val="18"/>
          <w:shd w:val="clear" w:fill="FFFFFF"/>
        </w:rPr>
        <w:t>(5), pp.436-456.</w:t>
      </w:r>
    </w:p>
    <w:p w14:paraId="5D366B74">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Watson, A. and Leyshon, A., 2022. Negotiating platformisation: MusicTech, intellectual property rights and third wave platform reintermediation in the music industry. </w:t>
      </w:r>
      <w:r>
        <w:rPr>
          <w:rFonts w:hint="default" w:ascii="Times New Roman" w:hAnsi="Times New Roman" w:eastAsia="宋体" w:cs="Times New Roman"/>
          <w:i/>
          <w:iCs/>
          <w:caps w:val="0"/>
          <w:color w:val="222222"/>
          <w:spacing w:val="0"/>
          <w:sz w:val="18"/>
          <w:szCs w:val="18"/>
          <w:shd w:val="clear" w:fill="FFFFFF"/>
        </w:rPr>
        <w:t>Journal of Cultural Economy</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15</w:t>
      </w:r>
      <w:r>
        <w:rPr>
          <w:rFonts w:hint="default" w:ascii="Times New Roman" w:hAnsi="Times New Roman" w:eastAsia="宋体" w:cs="Times New Roman"/>
          <w:i w:val="0"/>
          <w:iCs w:val="0"/>
          <w:caps w:val="0"/>
          <w:color w:val="222222"/>
          <w:spacing w:val="0"/>
          <w:sz w:val="18"/>
          <w:szCs w:val="18"/>
          <w:shd w:val="clear" w:fill="FFFFFF"/>
        </w:rPr>
        <w:t>(3), pp.326-343.</w:t>
      </w:r>
    </w:p>
    <w:p w14:paraId="07FEF873">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Whitehouse, S., 2023. “Taking a chance on a record”: lost vinyl consumption practices in the age of music streaming. </w:t>
      </w:r>
      <w:r>
        <w:rPr>
          <w:rFonts w:hint="default" w:ascii="Times New Roman" w:hAnsi="Times New Roman" w:eastAsia="宋体" w:cs="Times New Roman"/>
          <w:i/>
          <w:iCs/>
          <w:caps w:val="0"/>
          <w:color w:val="222222"/>
          <w:spacing w:val="0"/>
          <w:sz w:val="18"/>
          <w:szCs w:val="18"/>
          <w:shd w:val="clear" w:fill="FFFFFF"/>
        </w:rPr>
        <w:t>Consumption Markets &amp; Culture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26</w:t>
      </w:r>
      <w:r>
        <w:rPr>
          <w:rFonts w:hint="default" w:ascii="Times New Roman" w:hAnsi="Times New Roman" w:eastAsia="宋体" w:cs="Times New Roman"/>
          <w:i w:val="0"/>
          <w:iCs w:val="0"/>
          <w:caps w:val="0"/>
          <w:color w:val="222222"/>
          <w:spacing w:val="0"/>
          <w:sz w:val="18"/>
          <w:szCs w:val="18"/>
          <w:shd w:val="clear" w:fill="FFFFFF"/>
        </w:rPr>
        <w:t>(1), pp.64-80.</w:t>
      </w:r>
    </w:p>
    <w:p w14:paraId="79C8AEBA">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Zahiri, N., Dezhdar, O. and Foroutan, M., 2016. Rethinking of critical regionalism in high-rise buildings. </w:t>
      </w:r>
      <w:r>
        <w:rPr>
          <w:rFonts w:hint="default" w:ascii="Times New Roman" w:hAnsi="Times New Roman" w:eastAsia="宋体" w:cs="Times New Roman"/>
          <w:i/>
          <w:iCs/>
          <w:caps w:val="0"/>
          <w:color w:val="222222"/>
          <w:spacing w:val="0"/>
          <w:sz w:val="18"/>
          <w:szCs w:val="18"/>
          <w:shd w:val="clear" w:fill="FFFFFF"/>
        </w:rPr>
        <w:t>Buildings</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7</w:t>
      </w:r>
      <w:r>
        <w:rPr>
          <w:rFonts w:hint="default" w:ascii="Times New Roman" w:hAnsi="Times New Roman" w:eastAsia="宋体" w:cs="Times New Roman"/>
          <w:i w:val="0"/>
          <w:iCs w:val="0"/>
          <w:caps w:val="0"/>
          <w:color w:val="222222"/>
          <w:spacing w:val="0"/>
          <w:sz w:val="18"/>
          <w:szCs w:val="18"/>
          <w:shd w:val="clear" w:fill="FFFFFF"/>
        </w:rPr>
        <w:t>(1), p.4.</w:t>
      </w:r>
    </w:p>
    <w:p w14:paraId="3FA951DB">
      <w:pPr>
        <w:rPr>
          <w:rFonts w:hint="default" w:ascii="Times New Roman" w:hAnsi="Times New Roman" w:eastAsia="宋体" w:cs="Times New Roman"/>
          <w:i w:val="0"/>
          <w:iCs w:val="0"/>
          <w:caps w:val="0"/>
          <w:color w:val="222222"/>
          <w:spacing w:val="0"/>
          <w:sz w:val="18"/>
          <w:szCs w:val="18"/>
          <w:shd w:val="clear" w:fill="FFFFFF"/>
        </w:rPr>
      </w:pPr>
      <w:r>
        <w:rPr>
          <w:rFonts w:hint="default" w:ascii="Times New Roman" w:hAnsi="Times New Roman" w:eastAsia="宋体" w:cs="Times New Roman"/>
          <w:i w:val="0"/>
          <w:iCs w:val="0"/>
          <w:caps w:val="0"/>
          <w:color w:val="222222"/>
          <w:spacing w:val="0"/>
          <w:sz w:val="18"/>
          <w:szCs w:val="18"/>
          <w:shd w:val="clear" w:fill="FFFFFF"/>
        </w:rPr>
        <w:t>Zheng, Z., Schmidt III, R. and Richards, S., 2023. Re-Interrogating critical regionalism. </w:t>
      </w:r>
      <w:r>
        <w:rPr>
          <w:rFonts w:hint="default" w:ascii="Times New Roman" w:hAnsi="Times New Roman" w:eastAsia="宋体" w:cs="Times New Roman"/>
          <w:i/>
          <w:iCs/>
          <w:caps w:val="0"/>
          <w:color w:val="222222"/>
          <w:spacing w:val="0"/>
          <w:sz w:val="18"/>
          <w:szCs w:val="18"/>
          <w:shd w:val="clear" w:fill="FFFFFF"/>
        </w:rPr>
        <w:t>Architecture and Culture</w:t>
      </w:r>
      <w:r>
        <w:rPr>
          <w:rFonts w:hint="default" w:ascii="Times New Roman" w:hAnsi="Times New Roman" w:eastAsia="宋体" w:cs="Times New Roman"/>
          <w:i w:val="0"/>
          <w:iCs w:val="0"/>
          <w:caps w:val="0"/>
          <w:color w:val="222222"/>
          <w:spacing w:val="0"/>
          <w:sz w:val="18"/>
          <w:szCs w:val="18"/>
          <w:shd w:val="clear" w:fill="FFFFFF"/>
        </w:rPr>
        <w:t>, </w:t>
      </w:r>
      <w:r>
        <w:rPr>
          <w:rFonts w:hint="default" w:ascii="Times New Roman" w:hAnsi="Times New Roman" w:eastAsia="宋体" w:cs="Times New Roman"/>
          <w:i/>
          <w:iCs/>
          <w:caps w:val="0"/>
          <w:color w:val="222222"/>
          <w:spacing w:val="0"/>
          <w:sz w:val="18"/>
          <w:szCs w:val="18"/>
          <w:shd w:val="clear" w:fill="FFFFFF"/>
        </w:rPr>
        <w:t>11</w:t>
      </w:r>
      <w:r>
        <w:rPr>
          <w:rFonts w:hint="default" w:ascii="Times New Roman" w:hAnsi="Times New Roman" w:eastAsia="宋体" w:cs="Times New Roman"/>
          <w:i w:val="0"/>
          <w:iCs w:val="0"/>
          <w:caps w:val="0"/>
          <w:color w:val="222222"/>
          <w:spacing w:val="0"/>
          <w:sz w:val="18"/>
          <w:szCs w:val="18"/>
          <w:shd w:val="clear" w:fill="FFFFFF"/>
        </w:rPr>
        <w:t>(3-4), pp.327-352.</w:t>
      </w:r>
    </w:p>
    <w:p w14:paraId="28220FC4">
      <w:pPr>
        <w:rPr>
          <w:rFonts w:hint="default" w:ascii="Times New Roman" w:hAnsi="Times New Roman" w:cs="Times New Roman"/>
          <w:sz w:val="18"/>
          <w:szCs w:val="18"/>
        </w:rPr>
      </w:pPr>
      <w:r>
        <w:rPr>
          <w:rFonts w:hint="default" w:ascii="Times New Roman" w:hAnsi="Times New Roman" w:eastAsia="宋体" w:cs="Times New Roman"/>
          <w:i w:val="0"/>
          <w:iCs w:val="0"/>
          <w:caps w:val="0"/>
          <w:color w:val="222222"/>
          <w:spacing w:val="0"/>
          <w:sz w:val="18"/>
          <w:szCs w:val="18"/>
          <w:shd w:val="clear" w:fill="FFFFFF"/>
        </w:rPr>
        <w:t>Zimmerman, J., Forlizzi, J. and Evenson, S., 2007, April. Research through design as a method for interaction design research in HCI. In </w:t>
      </w:r>
      <w:r>
        <w:rPr>
          <w:rFonts w:hint="default" w:ascii="Times New Roman" w:hAnsi="Times New Roman" w:eastAsia="宋体" w:cs="Times New Roman"/>
          <w:i/>
          <w:iCs/>
          <w:caps w:val="0"/>
          <w:color w:val="222222"/>
          <w:spacing w:val="0"/>
          <w:sz w:val="18"/>
          <w:szCs w:val="18"/>
          <w:shd w:val="clear" w:fill="FFFFFF"/>
        </w:rPr>
        <w:t>Proceedings of the SIGCHI conference on Human factors in computing systems</w:t>
      </w:r>
      <w:r>
        <w:rPr>
          <w:rFonts w:hint="default" w:ascii="Times New Roman" w:hAnsi="Times New Roman" w:eastAsia="宋体" w:cs="Times New Roman"/>
          <w:i w:val="0"/>
          <w:iCs w:val="0"/>
          <w:caps w:val="0"/>
          <w:color w:val="222222"/>
          <w:spacing w:val="0"/>
          <w:sz w:val="18"/>
          <w:szCs w:val="18"/>
          <w:shd w:val="clear" w:fill="FFFFFF"/>
        </w:rPr>
        <w:t> (pp. 493-502).</w:t>
      </w:r>
    </w:p>
    <w:p w14:paraId="245F31E9">
      <w:pPr>
        <w:keepNext w:val="0"/>
        <w:keepLines w:val="0"/>
        <w:widowControl/>
        <w:suppressLineNumbers w:val="0"/>
        <w:jc w:val="left"/>
        <w:rPr>
          <w:rFonts w:hint="default" w:ascii="Arial" w:hAnsi="Arial" w:eastAsia="宋体" w:cs="Arial"/>
          <w:color w:val="000000"/>
          <w:kern w:val="0"/>
          <w:sz w:val="20"/>
          <w:szCs w:val="20"/>
          <w:lang w:val="en-US" w:eastAsia="zh-CN" w:bidi="ar"/>
        </w:rPr>
      </w:pPr>
    </w:p>
    <w:p w14:paraId="1CBA4206"/>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69E6FB"/>
    <w:multiLevelType w:val="multilevel"/>
    <w:tmpl w:val="AF69E6FB"/>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36F01EE"/>
    <w:rsid w:val="00622738"/>
    <w:rsid w:val="04FF01F2"/>
    <w:rsid w:val="05331B6D"/>
    <w:rsid w:val="0699316E"/>
    <w:rsid w:val="0B33109C"/>
    <w:rsid w:val="100920B1"/>
    <w:rsid w:val="14E828C8"/>
    <w:rsid w:val="17507716"/>
    <w:rsid w:val="1A1C3866"/>
    <w:rsid w:val="1A702985"/>
    <w:rsid w:val="1EF90D9B"/>
    <w:rsid w:val="1F984DD0"/>
    <w:rsid w:val="1FD91AA0"/>
    <w:rsid w:val="223C1E72"/>
    <w:rsid w:val="247D28D2"/>
    <w:rsid w:val="252606BC"/>
    <w:rsid w:val="282C13D7"/>
    <w:rsid w:val="2D3D047B"/>
    <w:rsid w:val="33064E32"/>
    <w:rsid w:val="37531121"/>
    <w:rsid w:val="383A4EDE"/>
    <w:rsid w:val="445F6B4D"/>
    <w:rsid w:val="44777F27"/>
    <w:rsid w:val="46EF15BC"/>
    <w:rsid w:val="4B06733D"/>
    <w:rsid w:val="4BB22E3F"/>
    <w:rsid w:val="4C792233"/>
    <w:rsid w:val="536F01EE"/>
    <w:rsid w:val="53B5139F"/>
    <w:rsid w:val="5B452CE6"/>
    <w:rsid w:val="66C85648"/>
    <w:rsid w:val="700B228A"/>
    <w:rsid w:val="77E95F82"/>
    <w:rsid w:val="78271223"/>
    <w:rsid w:val="7BE116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8636</Words>
  <Characters>50337</Characters>
  <Lines>0</Lines>
  <Paragraphs>0</Paragraphs>
  <TotalTime>6</TotalTime>
  <ScaleCrop>false</ScaleCrop>
  <LinksUpToDate>false</LinksUpToDate>
  <CharactersWithSpaces>58808</CharactersWithSpaces>
  <Application>WPS Office_12.1.0.25865_F1E327BC-269C-435d-A152-05C5408002CA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2026-03-28T09:26:00Z</dcterms:created>
  <dc:creator>陈奕</dc:creator>
  <cp:lastModifiedBy>陈奕</cp:lastModifiedBy>
  <dcterms:modified xsi:type="dcterms:W3CDTF">2026-05-04T19:25:01Z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EADFDBF9532A476B89E313715F56BF78_13</vt:lpwstr>
  </property>
  <property fmtid="{D5CDD505-2E9C-101B-9397-08002B2CF9AE}" pid="4" name="KSOTemplateDocerSaveRecord">
    <vt:lpwstr>eyJoZGlkIjoiODA5ZGM3NmM5MzA1N2Y3YmI4Y2IwMGZmNjhhZjczNjEiLCJ1c2VySWQiOiIyMzk1ODk1MDYifQ==</vt:lpwstr>
  </property>
</Properties>
</file>