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101EA" w14:textId="540EB4E4" w:rsidR="00A825A8" w:rsidRDefault="00917D93">
      <w:pPr>
        <w:rPr>
          <w:b/>
          <w:bCs/>
          <w:u w:val="single"/>
          <w:lang w:val="en-GB"/>
        </w:rPr>
      </w:pPr>
      <w:r>
        <w:rPr>
          <w:b/>
          <w:bCs/>
          <w:u w:val="single"/>
          <w:lang w:val="en-GB"/>
        </w:rPr>
        <w:t>Homework 2</w:t>
      </w:r>
    </w:p>
    <w:p w14:paraId="1EF9DA80" w14:textId="77777777" w:rsidR="00917D93" w:rsidRDefault="00917D93">
      <w:pPr>
        <w:rPr>
          <w:b/>
          <w:bCs/>
          <w:u w:val="single"/>
          <w:lang w:val="en-GB"/>
        </w:rPr>
      </w:pPr>
    </w:p>
    <w:p w14:paraId="1F3FB003" w14:textId="6317E64A" w:rsidR="00917D93" w:rsidRDefault="00917D93">
      <w:pPr>
        <w:rPr>
          <w:b/>
          <w:bCs/>
          <w:u w:val="single"/>
          <w:lang w:val="en-GB"/>
        </w:rPr>
      </w:pPr>
      <w:r>
        <w:rPr>
          <w:b/>
          <w:bCs/>
          <w:u w:val="single"/>
          <w:lang w:val="en-GB"/>
        </w:rPr>
        <w:t xml:space="preserve">Petronius </w:t>
      </w:r>
      <w:r>
        <w:rPr>
          <w:b/>
          <w:bCs/>
          <w:i/>
          <w:iCs/>
          <w:u w:val="single"/>
          <w:lang w:val="en-GB"/>
        </w:rPr>
        <w:t xml:space="preserve">Satyricon </w:t>
      </w:r>
      <w:r>
        <w:rPr>
          <w:b/>
          <w:bCs/>
          <w:u w:val="single"/>
          <w:lang w:val="en-GB"/>
        </w:rPr>
        <w:t>30</w:t>
      </w:r>
      <w:r w:rsidR="008F4F6A">
        <w:rPr>
          <w:b/>
          <w:bCs/>
          <w:u w:val="single"/>
          <w:lang w:val="en-GB"/>
        </w:rPr>
        <w:t xml:space="preserve">.1-3 </w:t>
      </w:r>
      <w:r>
        <w:rPr>
          <w:b/>
          <w:bCs/>
          <w:u w:val="single"/>
          <w:lang w:val="en-GB"/>
        </w:rPr>
        <w:t>– translation</w:t>
      </w:r>
    </w:p>
    <w:p w14:paraId="426728C9" w14:textId="77777777" w:rsidR="00917D93" w:rsidRDefault="00917D93">
      <w:pPr>
        <w:rPr>
          <w:lang w:val="en-GB"/>
        </w:rPr>
      </w:pPr>
    </w:p>
    <w:p w14:paraId="0F485725" w14:textId="46441CC0" w:rsidR="008F4F6A" w:rsidRDefault="008F4F6A">
      <w:pPr>
        <w:rPr>
          <w:lang w:val="en-GB"/>
        </w:rPr>
      </w:pPr>
      <w:r>
        <w:rPr>
          <w:lang w:val="en-GB"/>
        </w:rPr>
        <w:t>Time didn’t permit us to view…</w:t>
      </w:r>
    </w:p>
    <w:p w14:paraId="001BE4DC" w14:textId="77777777" w:rsidR="008F4F6A" w:rsidRDefault="008F4F6A">
      <w:pPr>
        <w:rPr>
          <w:lang w:val="en-GB"/>
        </w:rPr>
      </w:pPr>
    </w:p>
    <w:p w14:paraId="0835E16D" w14:textId="5F4CE802" w:rsidR="008F4F6A" w:rsidRDefault="008F4F6A">
      <w:pPr>
        <w:rPr>
          <w:lang w:val="en-GB"/>
        </w:rPr>
      </w:pPr>
      <w:r>
        <w:rPr>
          <w:lang w:val="en-GB"/>
        </w:rPr>
        <w:t>We now arrived at the dining room, at the front of which an administrator was taking a register. I was particularly amazed at the rods and axes which had been fixed on the doorposts, the bottom part of which ended as though the bronze beak of a ship, on which had been written:</w:t>
      </w:r>
    </w:p>
    <w:p w14:paraId="18569E66" w14:textId="2855AFEF" w:rsidR="008F4F6A" w:rsidRDefault="008F4F6A">
      <w:pPr>
        <w:rPr>
          <w:lang w:val="en-GB"/>
        </w:rPr>
      </w:pPr>
      <w:r>
        <w:rPr>
          <w:lang w:val="en-GB"/>
        </w:rPr>
        <w:t>“To C. Pompeius Trimalchio, Priest of the College of Augustus, from his steward Cinnamus.”</w:t>
      </w:r>
    </w:p>
    <w:p w14:paraId="32F11B49" w14:textId="674B487F" w:rsidR="008F4F6A" w:rsidRDefault="008F4F6A">
      <w:pPr>
        <w:rPr>
          <w:lang w:val="en-GB"/>
        </w:rPr>
      </w:pPr>
      <w:r>
        <w:rPr>
          <w:lang w:val="en-GB"/>
        </w:rPr>
        <w:t xml:space="preserve">Under this label a lamp with two lights was hanging from the vaulted ceiling, and two notices had been fixed on each of the doorposts, on one of which, if I remember rightly, this had been written: </w:t>
      </w:r>
    </w:p>
    <w:p w14:paraId="18CF3DB8" w14:textId="2D15ECEB" w:rsidR="008F4F6A" w:rsidRDefault="008F4F6A">
      <w:pPr>
        <w:rPr>
          <w:lang w:val="en-GB"/>
        </w:rPr>
      </w:pPr>
      <w:r>
        <w:rPr>
          <w:lang w:val="en-GB"/>
        </w:rPr>
        <w:t>“Our C. is dining out on 30</w:t>
      </w:r>
      <w:r w:rsidRPr="008F4F6A">
        <w:rPr>
          <w:vertAlign w:val="superscript"/>
          <w:lang w:val="en-GB"/>
        </w:rPr>
        <w:t>th</w:t>
      </w:r>
      <w:r>
        <w:rPr>
          <w:lang w:val="en-GB"/>
        </w:rPr>
        <w:t xml:space="preserve"> and 31</w:t>
      </w:r>
      <w:r w:rsidRPr="008F4F6A">
        <w:rPr>
          <w:vertAlign w:val="superscript"/>
          <w:lang w:val="en-GB"/>
        </w:rPr>
        <w:t>st</w:t>
      </w:r>
      <w:r>
        <w:rPr>
          <w:lang w:val="en-GB"/>
        </w:rPr>
        <w:t xml:space="preserve"> December.”</w:t>
      </w:r>
    </w:p>
    <w:p w14:paraId="1E5858AD" w14:textId="77777777" w:rsidR="00917D93" w:rsidRDefault="00917D93">
      <w:pPr>
        <w:rPr>
          <w:lang w:val="en-GB"/>
        </w:rPr>
      </w:pPr>
    </w:p>
    <w:p w14:paraId="68E5D1EF" w14:textId="77777777" w:rsidR="00917D93" w:rsidRDefault="00917D93">
      <w:pPr>
        <w:rPr>
          <w:lang w:val="en-GB"/>
        </w:rPr>
      </w:pPr>
    </w:p>
    <w:p w14:paraId="69F52DA4" w14:textId="256D02E9" w:rsidR="00BA1F23" w:rsidRDefault="00917D93">
      <w:pPr>
        <w:rPr>
          <w:b/>
          <w:bCs/>
          <w:u w:val="single"/>
          <w:lang w:val="en-GB"/>
        </w:rPr>
      </w:pPr>
      <w:r>
        <w:rPr>
          <w:b/>
          <w:bCs/>
          <w:u w:val="single"/>
          <w:lang w:val="en-GB"/>
        </w:rPr>
        <w:t xml:space="preserve">Petronius </w:t>
      </w:r>
      <w:r>
        <w:rPr>
          <w:b/>
          <w:bCs/>
          <w:i/>
          <w:iCs/>
          <w:u w:val="single"/>
          <w:lang w:val="en-GB"/>
        </w:rPr>
        <w:t>Satyricon</w:t>
      </w:r>
      <w:r>
        <w:rPr>
          <w:b/>
          <w:bCs/>
          <w:u w:val="single"/>
          <w:lang w:val="en-GB"/>
        </w:rPr>
        <w:t xml:space="preserve"> 34 – commentary </w:t>
      </w:r>
    </w:p>
    <w:p w14:paraId="6B6BE632" w14:textId="77777777" w:rsidR="008422A4" w:rsidRDefault="008422A4">
      <w:pPr>
        <w:rPr>
          <w:b/>
          <w:bCs/>
          <w:u w:val="single"/>
          <w:lang w:val="en-GB"/>
        </w:rPr>
      </w:pPr>
    </w:p>
    <w:p w14:paraId="697ADF0E" w14:textId="0A68CE57" w:rsidR="00B11440" w:rsidRDefault="008422A4">
      <w:pPr>
        <w:rPr>
          <w:lang w:val="en-GB"/>
        </w:rPr>
      </w:pPr>
      <w:r>
        <w:rPr>
          <w:lang w:val="en-GB"/>
        </w:rPr>
        <w:t xml:space="preserve">By this point in the </w:t>
      </w:r>
      <w:r>
        <w:rPr>
          <w:i/>
          <w:iCs/>
          <w:lang w:val="en-GB"/>
        </w:rPr>
        <w:t>Cena</w:t>
      </w:r>
      <w:r>
        <w:rPr>
          <w:lang w:val="en-GB"/>
        </w:rPr>
        <w:t xml:space="preserve">, the guests are seated </w:t>
      </w:r>
      <w:r w:rsidR="000D4638">
        <w:rPr>
          <w:lang w:val="en-GB"/>
        </w:rPr>
        <w:t xml:space="preserve">and have started eating, </w:t>
      </w:r>
      <w:r>
        <w:rPr>
          <w:lang w:val="en-GB"/>
        </w:rPr>
        <w:t xml:space="preserve">and </w:t>
      </w:r>
      <w:proofErr w:type="spellStart"/>
      <w:r>
        <w:rPr>
          <w:lang w:val="en-GB"/>
        </w:rPr>
        <w:t>Trimalchio</w:t>
      </w:r>
      <w:proofErr w:type="spellEnd"/>
      <w:r>
        <w:rPr>
          <w:lang w:val="en-GB"/>
        </w:rPr>
        <w:t xml:space="preserve"> has joined them. </w:t>
      </w:r>
      <w:r w:rsidR="000D4638">
        <w:rPr>
          <w:lang w:val="en-GB"/>
        </w:rPr>
        <w:t>The host had arrived late and playing a board game (</w:t>
      </w:r>
      <w:r w:rsidR="00751C42">
        <w:rPr>
          <w:lang w:val="en-GB"/>
        </w:rPr>
        <w:t xml:space="preserve">33.2). Now </w:t>
      </w:r>
      <w:proofErr w:type="spellStart"/>
      <w:r w:rsidR="00751C42">
        <w:rPr>
          <w:lang w:val="en-GB"/>
        </w:rPr>
        <w:t>Trimalchio</w:t>
      </w:r>
      <w:proofErr w:type="spellEnd"/>
      <w:r w:rsidR="00751C42">
        <w:rPr>
          <w:lang w:val="en-GB"/>
        </w:rPr>
        <w:t xml:space="preserve"> has finished with his game and joined his guests in eating.</w:t>
      </w:r>
      <w:r w:rsidR="00766F8A">
        <w:rPr>
          <w:lang w:val="en-GB"/>
        </w:rPr>
        <w:t xml:space="preserve"> </w:t>
      </w:r>
      <w:r w:rsidR="00403433">
        <w:rPr>
          <w:lang w:val="en-GB"/>
        </w:rPr>
        <w:t xml:space="preserve">It was reported that the emperor Augustus </w:t>
      </w:r>
      <w:r w:rsidR="00351778">
        <w:rPr>
          <w:lang w:val="en-GB"/>
        </w:rPr>
        <w:t>often arrived late at his own dinner parties</w:t>
      </w:r>
      <w:r w:rsidR="00351778">
        <w:rPr>
          <w:rStyle w:val="FootnoteReference"/>
          <w:lang w:val="en-GB"/>
        </w:rPr>
        <w:footnoteReference w:id="1"/>
      </w:r>
      <w:r w:rsidR="00BB6D44">
        <w:rPr>
          <w:lang w:val="en-GB"/>
        </w:rPr>
        <w:t xml:space="preserve">, so perhaps </w:t>
      </w:r>
      <w:proofErr w:type="spellStart"/>
      <w:r w:rsidR="00BB6D44">
        <w:rPr>
          <w:lang w:val="en-GB"/>
        </w:rPr>
        <w:t>Trimalchio</w:t>
      </w:r>
      <w:proofErr w:type="spellEnd"/>
      <w:r w:rsidR="00BB6D44">
        <w:rPr>
          <w:lang w:val="en-GB"/>
        </w:rPr>
        <w:t xml:space="preserve"> is aping imperial behaviour, as he appears to do elsewhere (most commonly</w:t>
      </w:r>
      <w:r w:rsidR="000E164A">
        <w:rPr>
          <w:lang w:val="en-GB"/>
        </w:rPr>
        <w:t xml:space="preserve"> being compared to Nero)</w:t>
      </w:r>
      <w:r w:rsidR="00351778">
        <w:rPr>
          <w:lang w:val="en-GB"/>
        </w:rPr>
        <w:t xml:space="preserve">, but </w:t>
      </w:r>
      <w:r w:rsidR="000E164A">
        <w:rPr>
          <w:lang w:val="en-GB"/>
        </w:rPr>
        <w:t>Augustus’ behaviour</w:t>
      </w:r>
      <w:r w:rsidR="00351778">
        <w:rPr>
          <w:lang w:val="en-GB"/>
        </w:rPr>
        <w:t xml:space="preserve"> was </w:t>
      </w:r>
      <w:r w:rsidR="00A74A18">
        <w:rPr>
          <w:lang w:val="en-GB"/>
        </w:rPr>
        <w:t>ascribed</w:t>
      </w:r>
      <w:r w:rsidR="00351778">
        <w:rPr>
          <w:lang w:val="en-GB"/>
        </w:rPr>
        <w:t xml:space="preserve"> to</w:t>
      </w:r>
      <w:r w:rsidR="000E164A">
        <w:rPr>
          <w:lang w:val="en-GB"/>
        </w:rPr>
        <w:t xml:space="preserve"> his</w:t>
      </w:r>
      <w:r w:rsidR="00351778">
        <w:rPr>
          <w:lang w:val="en-GB"/>
        </w:rPr>
        <w:t xml:space="preserve"> moderation</w:t>
      </w:r>
      <w:r w:rsidR="00A74A18">
        <w:rPr>
          <w:lang w:val="en-GB"/>
        </w:rPr>
        <w:t xml:space="preserve">: his late arrival (and early departure) allowed his guests to eat more than he did. In contrast, </w:t>
      </w:r>
      <w:r w:rsidR="000E164A">
        <w:rPr>
          <w:lang w:val="en-GB"/>
        </w:rPr>
        <w:t xml:space="preserve">here </w:t>
      </w:r>
      <w:proofErr w:type="spellStart"/>
      <w:r w:rsidR="000E164A">
        <w:rPr>
          <w:lang w:val="en-GB"/>
        </w:rPr>
        <w:t>Trimalchio</w:t>
      </w:r>
      <w:proofErr w:type="spellEnd"/>
      <w:r w:rsidR="000E164A">
        <w:rPr>
          <w:lang w:val="en-GB"/>
        </w:rPr>
        <w:t xml:space="preserve"> demands all the same things his guests have just eaten (</w:t>
      </w:r>
      <w:r w:rsidR="00416FC2">
        <w:rPr>
          <w:lang w:val="en-GB"/>
        </w:rPr>
        <w:t>34.1). His late arrival</w:t>
      </w:r>
      <w:r w:rsidR="00E20244">
        <w:rPr>
          <w:lang w:val="en-GB"/>
        </w:rPr>
        <w:t>, and behaviour in continuing to play his game,</w:t>
      </w:r>
      <w:r w:rsidR="00416FC2">
        <w:rPr>
          <w:lang w:val="en-GB"/>
        </w:rPr>
        <w:t xml:space="preserve"> therefore comes across as </w:t>
      </w:r>
      <w:r w:rsidR="00E20244">
        <w:rPr>
          <w:lang w:val="en-GB"/>
        </w:rPr>
        <w:t>nothing more than arrogance.</w:t>
      </w:r>
      <w:r w:rsidR="00E73E89">
        <w:rPr>
          <w:lang w:val="en-GB"/>
        </w:rPr>
        <w:t xml:space="preserve"> </w:t>
      </w:r>
      <w:r w:rsidR="001E5690">
        <w:rPr>
          <w:lang w:val="en-GB"/>
        </w:rPr>
        <w:t xml:space="preserve">The music that is a feature throughout the </w:t>
      </w:r>
      <w:r w:rsidR="001E5690">
        <w:rPr>
          <w:i/>
          <w:iCs/>
          <w:lang w:val="en-GB"/>
        </w:rPr>
        <w:t xml:space="preserve">Cena </w:t>
      </w:r>
      <w:r w:rsidR="005E6EF6">
        <w:rPr>
          <w:lang w:val="en-GB"/>
        </w:rPr>
        <w:t xml:space="preserve">occurs here at 34.1 when the </w:t>
      </w:r>
      <w:r w:rsidR="00970FE3">
        <w:rPr>
          <w:lang w:val="en-GB"/>
        </w:rPr>
        <w:t>musicians sound a signal at which singing</w:t>
      </w:r>
      <w:r w:rsidR="005E6EF6">
        <w:rPr>
          <w:lang w:val="en-GB"/>
        </w:rPr>
        <w:t xml:space="preserve"> slaves carry off the dishes</w:t>
      </w:r>
      <w:r w:rsidR="00970FE3">
        <w:rPr>
          <w:lang w:val="en-GB"/>
        </w:rPr>
        <w:t xml:space="preserve">. Like many of the </w:t>
      </w:r>
      <w:r w:rsidR="00E73E89">
        <w:rPr>
          <w:lang w:val="en-GB"/>
        </w:rPr>
        <w:t xml:space="preserve">aspects of the </w:t>
      </w:r>
      <w:r w:rsidR="00E73E89">
        <w:rPr>
          <w:i/>
          <w:iCs/>
          <w:lang w:val="en-GB"/>
        </w:rPr>
        <w:t xml:space="preserve">Cena </w:t>
      </w:r>
      <w:r w:rsidR="0011521F">
        <w:rPr>
          <w:lang w:val="en-GB"/>
        </w:rPr>
        <w:t>appear</w:t>
      </w:r>
      <w:r w:rsidR="00E73E89">
        <w:rPr>
          <w:lang w:val="en-GB"/>
        </w:rPr>
        <w:t xml:space="preserve"> to have their parallels in </w:t>
      </w:r>
      <w:r w:rsidR="00C149D7">
        <w:rPr>
          <w:lang w:val="en-GB"/>
        </w:rPr>
        <w:t>Roman life. As well as the host’s late arrival, Augustus’ dinners are said to have featured</w:t>
      </w:r>
      <w:r w:rsidR="004F39F3">
        <w:rPr>
          <w:lang w:val="en-GB"/>
        </w:rPr>
        <w:t xml:space="preserve"> strolling musicians, storytellers and even players from the circus</w:t>
      </w:r>
      <w:r w:rsidR="004F39F3">
        <w:rPr>
          <w:rStyle w:val="FootnoteReference"/>
          <w:lang w:val="en-GB"/>
        </w:rPr>
        <w:footnoteReference w:id="2"/>
      </w:r>
      <w:r w:rsidR="004F39F3">
        <w:rPr>
          <w:lang w:val="en-GB"/>
        </w:rPr>
        <w:t xml:space="preserve">. </w:t>
      </w:r>
      <w:r w:rsidR="001135E9">
        <w:rPr>
          <w:lang w:val="en-GB"/>
        </w:rPr>
        <w:t xml:space="preserve">It seems to be less the generality of the </w:t>
      </w:r>
      <w:r w:rsidR="001135E9">
        <w:rPr>
          <w:i/>
          <w:iCs/>
          <w:lang w:val="en-GB"/>
        </w:rPr>
        <w:t xml:space="preserve">Cena </w:t>
      </w:r>
      <w:r w:rsidR="001135E9">
        <w:rPr>
          <w:lang w:val="en-GB"/>
        </w:rPr>
        <w:t xml:space="preserve">that renders it obnoxious, as the </w:t>
      </w:r>
      <w:r w:rsidR="00B11440">
        <w:rPr>
          <w:lang w:val="en-GB"/>
        </w:rPr>
        <w:t xml:space="preserve">way it is carried out and the extremes to which </w:t>
      </w:r>
      <w:proofErr w:type="spellStart"/>
      <w:r w:rsidR="00B11440">
        <w:rPr>
          <w:lang w:val="en-GB"/>
        </w:rPr>
        <w:t>Trimalchio</w:t>
      </w:r>
      <w:proofErr w:type="spellEnd"/>
      <w:r w:rsidR="00B11440">
        <w:rPr>
          <w:lang w:val="en-GB"/>
        </w:rPr>
        <w:t xml:space="preserve"> takes what may be commonplace things.</w:t>
      </w:r>
    </w:p>
    <w:p w14:paraId="03224674" w14:textId="77777777" w:rsidR="00B11440" w:rsidRDefault="00B11440">
      <w:pPr>
        <w:rPr>
          <w:lang w:val="en-GB"/>
        </w:rPr>
      </w:pPr>
    </w:p>
    <w:p w14:paraId="6862A61B" w14:textId="36D5B591" w:rsidR="00B11440" w:rsidRDefault="00472543">
      <w:pPr>
        <w:rPr>
          <w:lang w:val="en-GB"/>
        </w:rPr>
      </w:pPr>
      <w:r>
        <w:rPr>
          <w:lang w:val="en-GB"/>
        </w:rPr>
        <w:lastRenderedPageBreak/>
        <w:t xml:space="preserve">Luxurious tableware was surely also a common feature of the best dinners in Roman society, and </w:t>
      </w:r>
      <w:proofErr w:type="spellStart"/>
      <w:r>
        <w:rPr>
          <w:lang w:val="en-GB"/>
        </w:rPr>
        <w:t>Trimalchio</w:t>
      </w:r>
      <w:proofErr w:type="spellEnd"/>
      <w:r>
        <w:rPr>
          <w:lang w:val="en-GB"/>
        </w:rPr>
        <w:t xml:space="preserve"> has an abundance of silver</w:t>
      </w:r>
      <w:r w:rsidR="00390312">
        <w:rPr>
          <w:lang w:val="en-GB"/>
        </w:rPr>
        <w:t xml:space="preserve"> and other extravagant dishes. However, the way he regards these items and his lack of regard for their worth has been suggested to mark him as vulgar</w:t>
      </w:r>
      <w:r w:rsidR="00390312">
        <w:rPr>
          <w:rStyle w:val="FootnoteReference"/>
          <w:lang w:val="en-GB"/>
        </w:rPr>
        <w:footnoteReference w:id="3"/>
      </w:r>
      <w:r w:rsidR="001A3EAC">
        <w:rPr>
          <w:lang w:val="en-GB"/>
        </w:rPr>
        <w:t xml:space="preserve">. </w:t>
      </w:r>
      <w:r w:rsidR="001204B2">
        <w:rPr>
          <w:lang w:val="en-GB"/>
        </w:rPr>
        <w:t xml:space="preserve">Silver dishes are not just kept for the table </w:t>
      </w:r>
      <w:r w:rsidR="0090091A">
        <w:rPr>
          <w:lang w:val="en-GB"/>
        </w:rPr>
        <w:t xml:space="preserve">but are used in </w:t>
      </w:r>
      <w:proofErr w:type="spellStart"/>
      <w:r w:rsidR="0090091A">
        <w:rPr>
          <w:lang w:val="en-GB"/>
        </w:rPr>
        <w:t>Trimalchio’s</w:t>
      </w:r>
      <w:proofErr w:type="spellEnd"/>
      <w:r w:rsidR="0090091A">
        <w:rPr>
          <w:lang w:val="en-GB"/>
        </w:rPr>
        <w:t xml:space="preserve"> home for the most mundane tasks </w:t>
      </w:r>
      <w:r w:rsidR="001204B2">
        <w:rPr>
          <w:lang w:val="en-GB"/>
        </w:rPr>
        <w:t>(see, for example, 28.8 where a slave is shelling peas into a silver dish</w:t>
      </w:r>
      <w:r w:rsidR="000B5C34">
        <w:rPr>
          <w:lang w:val="en-GB"/>
        </w:rPr>
        <w:t>, and the silver chamber pot at  27.3</w:t>
      </w:r>
      <w:r w:rsidR="001204B2">
        <w:rPr>
          <w:lang w:val="en-GB"/>
        </w:rPr>
        <w:t>)</w:t>
      </w:r>
      <w:r w:rsidR="00370D75">
        <w:rPr>
          <w:lang w:val="en-GB"/>
        </w:rPr>
        <w:t xml:space="preserve">, and here he shows a complete disregard for its worth when it falls onto the floor and he has it swept up with the rubbish (34.3). </w:t>
      </w:r>
      <w:r w:rsidR="000542D5">
        <w:rPr>
          <w:lang w:val="en-GB"/>
        </w:rPr>
        <w:t xml:space="preserve">A similar attitude was demonstrated earlier by </w:t>
      </w:r>
      <w:proofErr w:type="spellStart"/>
      <w:r w:rsidR="000542D5">
        <w:rPr>
          <w:lang w:val="en-GB"/>
        </w:rPr>
        <w:t>Trimalchio</w:t>
      </w:r>
      <w:proofErr w:type="spellEnd"/>
      <w:r w:rsidR="000542D5">
        <w:rPr>
          <w:lang w:val="en-GB"/>
        </w:rPr>
        <w:t xml:space="preserve"> when he discarded any balls that touched the ground when he was exercising in the baths (</w:t>
      </w:r>
      <w:r w:rsidR="00FC29D7">
        <w:rPr>
          <w:lang w:val="en-GB"/>
        </w:rPr>
        <w:t xml:space="preserve">27.2). </w:t>
      </w:r>
    </w:p>
    <w:p w14:paraId="773FC431" w14:textId="77777777" w:rsidR="00FC29D7" w:rsidRDefault="00FC29D7">
      <w:pPr>
        <w:rPr>
          <w:lang w:val="en-GB"/>
        </w:rPr>
      </w:pPr>
    </w:p>
    <w:p w14:paraId="66E9D83F" w14:textId="6767A49A" w:rsidR="00FC29D7" w:rsidRDefault="00FC29D7">
      <w:pPr>
        <w:rPr>
          <w:lang w:val="en-GB"/>
        </w:rPr>
      </w:pPr>
      <w:r>
        <w:rPr>
          <w:lang w:val="en-GB"/>
        </w:rPr>
        <w:t xml:space="preserve">The slave that picks the dish up is </w:t>
      </w:r>
      <w:r w:rsidR="00F93508">
        <w:rPr>
          <w:lang w:val="en-GB"/>
        </w:rPr>
        <w:t xml:space="preserve">punished with a cuff on the ear (34.2), and </w:t>
      </w:r>
      <w:proofErr w:type="spellStart"/>
      <w:r w:rsidR="00F93508">
        <w:rPr>
          <w:lang w:val="en-GB"/>
        </w:rPr>
        <w:t>Trimalchio</w:t>
      </w:r>
      <w:proofErr w:type="spellEnd"/>
      <w:r w:rsidR="00F93508">
        <w:rPr>
          <w:lang w:val="en-GB"/>
        </w:rPr>
        <w:t xml:space="preserve"> instructs that he should be scolded, but no </w:t>
      </w:r>
      <w:r w:rsidR="00CE4486">
        <w:rPr>
          <w:lang w:val="en-GB"/>
        </w:rPr>
        <w:t xml:space="preserve">more dire punishment is suggested for the boy (it’s not clear if it was his fault that the dish fell in the first place or not). </w:t>
      </w:r>
      <w:proofErr w:type="spellStart"/>
      <w:r w:rsidR="00CE4486">
        <w:rPr>
          <w:lang w:val="en-GB"/>
        </w:rPr>
        <w:t>Trimalchio’s</w:t>
      </w:r>
      <w:proofErr w:type="spellEnd"/>
      <w:r w:rsidR="00CE4486">
        <w:rPr>
          <w:lang w:val="en-GB"/>
        </w:rPr>
        <w:t xml:space="preserve"> attitude towards his slaves is inconsistent and capricious, with </w:t>
      </w:r>
      <w:r w:rsidR="00061F65">
        <w:rPr>
          <w:lang w:val="en-GB"/>
        </w:rPr>
        <w:t xml:space="preserve">him referring to them in this chapter as </w:t>
      </w:r>
      <w:proofErr w:type="spellStart"/>
      <w:r w:rsidR="0035508F">
        <w:rPr>
          <w:i/>
          <w:iCs/>
          <w:lang w:val="en-GB"/>
        </w:rPr>
        <w:t>putidissimi</w:t>
      </w:r>
      <w:proofErr w:type="spellEnd"/>
      <w:r w:rsidR="0035508F">
        <w:rPr>
          <w:i/>
          <w:iCs/>
          <w:lang w:val="en-GB"/>
        </w:rPr>
        <w:t xml:space="preserve"> </w:t>
      </w:r>
      <w:r w:rsidR="0035508F">
        <w:rPr>
          <w:lang w:val="en-GB"/>
        </w:rPr>
        <w:t>(34.5) but appearing fond of them elsewhere</w:t>
      </w:r>
      <w:r w:rsidR="005C6AD5">
        <w:rPr>
          <w:lang w:val="en-GB"/>
        </w:rPr>
        <w:t>, and of course he is a former slave himself. Perhaps, as a freedman conscious of his</w:t>
      </w:r>
      <w:r w:rsidR="0010170F">
        <w:rPr>
          <w:lang w:val="en-GB"/>
        </w:rPr>
        <w:t xml:space="preserve"> own</w:t>
      </w:r>
      <w:r w:rsidR="005C6AD5">
        <w:rPr>
          <w:lang w:val="en-GB"/>
        </w:rPr>
        <w:t xml:space="preserve"> history, he struggles with </w:t>
      </w:r>
      <w:r w:rsidR="009315BF">
        <w:rPr>
          <w:lang w:val="en-GB"/>
        </w:rPr>
        <w:t>comradery vs distance</w:t>
      </w:r>
      <w:r w:rsidR="0010170F">
        <w:rPr>
          <w:lang w:val="en-GB"/>
        </w:rPr>
        <w:t xml:space="preserve">. </w:t>
      </w:r>
    </w:p>
    <w:p w14:paraId="4CDE55F3" w14:textId="77777777" w:rsidR="00EE254E" w:rsidRDefault="00EE254E">
      <w:pPr>
        <w:rPr>
          <w:lang w:val="en-GB"/>
        </w:rPr>
      </w:pPr>
    </w:p>
    <w:p w14:paraId="35A8C9D9" w14:textId="66B14D91" w:rsidR="00EE254E" w:rsidRDefault="00EE254E">
      <w:pPr>
        <w:rPr>
          <w:lang w:val="en-GB"/>
        </w:rPr>
      </w:pPr>
      <w:r>
        <w:rPr>
          <w:lang w:val="en-GB"/>
        </w:rPr>
        <w:t xml:space="preserve">The slave who sweeps up the dish is said to be a </w:t>
      </w:r>
      <w:proofErr w:type="spellStart"/>
      <w:r>
        <w:rPr>
          <w:i/>
          <w:iCs/>
          <w:lang w:val="en-GB"/>
        </w:rPr>
        <w:t>lecticarius</w:t>
      </w:r>
      <w:proofErr w:type="spellEnd"/>
      <w:r>
        <w:rPr>
          <w:i/>
          <w:iCs/>
          <w:lang w:val="en-GB"/>
        </w:rPr>
        <w:t xml:space="preserve">, </w:t>
      </w:r>
      <w:r>
        <w:rPr>
          <w:lang w:val="en-GB"/>
        </w:rPr>
        <w:t xml:space="preserve">or litter-bearer. </w:t>
      </w:r>
      <w:r w:rsidR="00957F19">
        <w:rPr>
          <w:lang w:val="en-GB"/>
        </w:rPr>
        <w:t>Smith</w:t>
      </w:r>
      <w:r w:rsidR="00957F19">
        <w:rPr>
          <w:rStyle w:val="FootnoteReference"/>
          <w:lang w:val="en-GB"/>
        </w:rPr>
        <w:footnoteReference w:id="4"/>
      </w:r>
      <w:r w:rsidR="00957F19">
        <w:rPr>
          <w:lang w:val="en-GB"/>
        </w:rPr>
        <w:t xml:space="preserve"> suggests that this term is </w:t>
      </w:r>
      <w:r w:rsidR="00D81D83">
        <w:rPr>
          <w:lang w:val="en-GB"/>
        </w:rPr>
        <w:t xml:space="preserve">doubted in the text since </w:t>
      </w:r>
      <w:proofErr w:type="spellStart"/>
      <w:r w:rsidR="00D81D83">
        <w:rPr>
          <w:lang w:val="en-GB"/>
        </w:rPr>
        <w:t>Trimalchio</w:t>
      </w:r>
      <w:proofErr w:type="spellEnd"/>
      <w:r w:rsidR="00D81D83">
        <w:rPr>
          <w:lang w:val="en-GB"/>
        </w:rPr>
        <w:t xml:space="preserve"> seems to have so many slaves that it seems doubtful that one would be doubling up his duties in this way, although he acknowledges that elsewhere it appears that some did, including perhaps in the households of Atticus and </w:t>
      </w:r>
      <w:r w:rsidR="00F81A43">
        <w:rPr>
          <w:lang w:val="en-GB"/>
        </w:rPr>
        <w:t xml:space="preserve">Piso (at least according to Cicero). Smith </w:t>
      </w:r>
      <w:r w:rsidR="00CE1E2E">
        <w:rPr>
          <w:lang w:val="en-GB"/>
        </w:rPr>
        <w:t>comments that some have pointed out the</w:t>
      </w:r>
      <w:r w:rsidR="00F81A43">
        <w:rPr>
          <w:lang w:val="en-GB"/>
        </w:rPr>
        <w:t xml:space="preserve"> impossibility of </w:t>
      </w:r>
      <w:proofErr w:type="spellStart"/>
      <w:r w:rsidR="00F81A43">
        <w:rPr>
          <w:lang w:val="en-GB"/>
        </w:rPr>
        <w:t>Encolpius</w:t>
      </w:r>
      <w:proofErr w:type="spellEnd"/>
      <w:r w:rsidR="00F81A43">
        <w:rPr>
          <w:lang w:val="en-GB"/>
        </w:rPr>
        <w:t xml:space="preserve"> knowing that the slave was a litter-bearer</w:t>
      </w:r>
      <w:r w:rsidR="00CE1E2E">
        <w:rPr>
          <w:lang w:val="en-GB"/>
        </w:rPr>
        <w:t xml:space="preserve">, but counters that </w:t>
      </w:r>
      <w:r w:rsidR="001338DC">
        <w:rPr>
          <w:lang w:val="en-GB"/>
        </w:rPr>
        <w:t xml:space="preserve">elsewhere </w:t>
      </w:r>
      <w:proofErr w:type="spellStart"/>
      <w:r w:rsidR="001338DC">
        <w:rPr>
          <w:lang w:val="en-GB"/>
        </w:rPr>
        <w:t>Encolpius</w:t>
      </w:r>
      <w:proofErr w:type="spellEnd"/>
      <w:r w:rsidR="001338DC">
        <w:rPr>
          <w:lang w:val="en-GB"/>
        </w:rPr>
        <w:t xml:space="preserve"> identified a fellow-guest as an ‘old hand’ (</w:t>
      </w:r>
      <w:proofErr w:type="spellStart"/>
      <w:r w:rsidR="00261998">
        <w:rPr>
          <w:i/>
          <w:iCs/>
          <w:lang w:val="en-GB"/>
        </w:rPr>
        <w:t>veteram</w:t>
      </w:r>
      <w:proofErr w:type="spellEnd"/>
      <w:r w:rsidR="00261998">
        <w:rPr>
          <w:i/>
          <w:iCs/>
          <w:lang w:val="en-GB"/>
        </w:rPr>
        <w:t xml:space="preserve"> </w:t>
      </w:r>
      <w:proofErr w:type="spellStart"/>
      <w:r w:rsidR="00261998">
        <w:rPr>
          <w:i/>
          <w:iCs/>
          <w:lang w:val="en-GB"/>
        </w:rPr>
        <w:t>conviviam</w:t>
      </w:r>
      <w:proofErr w:type="spellEnd"/>
      <w:r w:rsidR="00261998">
        <w:rPr>
          <w:lang w:val="en-GB"/>
        </w:rPr>
        <w:t>, 33.8</w:t>
      </w:r>
      <w:r w:rsidR="001338DC">
        <w:rPr>
          <w:lang w:val="en-GB"/>
        </w:rPr>
        <w:t>)</w:t>
      </w:r>
      <w:r w:rsidR="00402DC2">
        <w:rPr>
          <w:lang w:val="en-GB"/>
        </w:rPr>
        <w:t xml:space="preserve"> so perhaps this is </w:t>
      </w:r>
      <w:r w:rsidR="00717576">
        <w:rPr>
          <w:lang w:val="en-GB"/>
        </w:rPr>
        <w:t xml:space="preserve">an example of the </w:t>
      </w:r>
      <w:r w:rsidR="00330A4D">
        <w:rPr>
          <w:lang w:val="en-GB"/>
        </w:rPr>
        <w:t>“confusing omniscience”</w:t>
      </w:r>
      <w:r w:rsidR="00330A4D">
        <w:rPr>
          <w:rStyle w:val="FootnoteReference"/>
          <w:lang w:val="en-GB"/>
        </w:rPr>
        <w:footnoteReference w:id="5"/>
      </w:r>
      <w:r w:rsidR="00676EE5">
        <w:rPr>
          <w:lang w:val="en-GB"/>
        </w:rPr>
        <w:t xml:space="preserve"> that some have found in the </w:t>
      </w:r>
      <w:r w:rsidR="00676EE5">
        <w:rPr>
          <w:i/>
          <w:iCs/>
          <w:lang w:val="en-GB"/>
        </w:rPr>
        <w:t>Satyricon</w:t>
      </w:r>
      <w:r w:rsidR="00676EE5">
        <w:rPr>
          <w:lang w:val="en-GB"/>
        </w:rPr>
        <w:t xml:space="preserve">. </w:t>
      </w:r>
      <w:r w:rsidR="00A559C1">
        <w:rPr>
          <w:lang w:val="en-GB"/>
        </w:rPr>
        <w:t xml:space="preserve">However, it does not seem likely that </w:t>
      </w:r>
      <w:proofErr w:type="spellStart"/>
      <w:r w:rsidR="00A559C1">
        <w:rPr>
          <w:lang w:val="en-GB"/>
        </w:rPr>
        <w:t>Encolpius</w:t>
      </w:r>
      <w:proofErr w:type="spellEnd"/>
      <w:r w:rsidR="00A559C1">
        <w:rPr>
          <w:lang w:val="en-GB"/>
        </w:rPr>
        <w:t xml:space="preserve"> has arrived at the dinner, been seated with his fellow guests and has </w:t>
      </w:r>
      <w:r w:rsidR="006F2F67">
        <w:rPr>
          <w:lang w:val="en-GB"/>
        </w:rPr>
        <w:t xml:space="preserve">already consumed some course, all in complete silence, so presumably there has been some discussion between the guests. He might easily have been informed, by the </w:t>
      </w:r>
      <w:proofErr w:type="spellStart"/>
      <w:r w:rsidR="006F2F67">
        <w:rPr>
          <w:i/>
          <w:iCs/>
          <w:lang w:val="en-GB"/>
        </w:rPr>
        <w:t>veteram</w:t>
      </w:r>
      <w:proofErr w:type="spellEnd"/>
      <w:r w:rsidR="006F2F67">
        <w:rPr>
          <w:i/>
          <w:iCs/>
          <w:lang w:val="en-GB"/>
        </w:rPr>
        <w:t xml:space="preserve"> </w:t>
      </w:r>
      <w:proofErr w:type="spellStart"/>
      <w:r w:rsidR="006F2F67">
        <w:rPr>
          <w:i/>
          <w:iCs/>
          <w:lang w:val="en-GB"/>
        </w:rPr>
        <w:t>conviviam</w:t>
      </w:r>
      <w:proofErr w:type="spellEnd"/>
      <w:r w:rsidR="006F2F67">
        <w:rPr>
          <w:lang w:val="en-GB"/>
        </w:rPr>
        <w:t xml:space="preserve"> himself or by another, that he had attended </w:t>
      </w:r>
      <w:r w:rsidR="00476302">
        <w:rPr>
          <w:lang w:val="en-GB"/>
        </w:rPr>
        <w:t xml:space="preserve">meals at </w:t>
      </w:r>
      <w:proofErr w:type="spellStart"/>
      <w:r w:rsidR="00476302">
        <w:rPr>
          <w:lang w:val="en-GB"/>
        </w:rPr>
        <w:t>Trimalchio’s</w:t>
      </w:r>
      <w:proofErr w:type="spellEnd"/>
      <w:r w:rsidR="00476302">
        <w:rPr>
          <w:lang w:val="en-GB"/>
        </w:rPr>
        <w:t xml:space="preserve"> home before, or he may have simply picked it up through observation. </w:t>
      </w:r>
      <w:r w:rsidR="00421434">
        <w:rPr>
          <w:lang w:val="en-GB"/>
        </w:rPr>
        <w:t>His identification of the litter-bearer, however, seems more doubtful, supporting the contention that the term is a corruption in the text.</w:t>
      </w:r>
    </w:p>
    <w:p w14:paraId="1800B5B7" w14:textId="77777777" w:rsidR="00421434" w:rsidRDefault="00421434">
      <w:pPr>
        <w:rPr>
          <w:lang w:val="en-GB"/>
        </w:rPr>
      </w:pPr>
    </w:p>
    <w:p w14:paraId="727C52C8" w14:textId="77777777" w:rsidR="00F968C3" w:rsidRDefault="00AC3A8C">
      <w:pPr>
        <w:rPr>
          <w:lang w:val="en-GB"/>
        </w:rPr>
      </w:pPr>
      <w:r>
        <w:rPr>
          <w:lang w:val="en-GB"/>
        </w:rPr>
        <w:lastRenderedPageBreak/>
        <w:t>During all this</w:t>
      </w:r>
      <w:r w:rsidR="002C7590">
        <w:rPr>
          <w:lang w:val="en-GB"/>
        </w:rPr>
        <w:t xml:space="preserve"> confusion (the term</w:t>
      </w:r>
      <w:r>
        <w:rPr>
          <w:lang w:val="en-GB"/>
        </w:rPr>
        <w:t xml:space="preserve"> </w:t>
      </w:r>
      <w:proofErr w:type="spellStart"/>
      <w:r>
        <w:rPr>
          <w:i/>
          <w:iCs/>
          <w:lang w:val="en-GB"/>
        </w:rPr>
        <w:t>tumultum</w:t>
      </w:r>
      <w:proofErr w:type="spellEnd"/>
      <w:r>
        <w:rPr>
          <w:lang w:val="en-GB"/>
        </w:rPr>
        <w:t xml:space="preserve"> </w:t>
      </w:r>
      <w:r w:rsidR="002C7590">
        <w:rPr>
          <w:lang w:val="en-GB"/>
        </w:rPr>
        <w:t xml:space="preserve">is </w:t>
      </w:r>
      <w:proofErr w:type="gramStart"/>
      <w:r w:rsidR="002C7590">
        <w:rPr>
          <w:lang w:val="en-GB"/>
        </w:rPr>
        <w:t>actually used</w:t>
      </w:r>
      <w:proofErr w:type="gramEnd"/>
      <w:r w:rsidR="002C7590">
        <w:rPr>
          <w:lang w:val="en-GB"/>
        </w:rPr>
        <w:t xml:space="preserve"> by </w:t>
      </w:r>
      <w:proofErr w:type="spellStart"/>
      <w:r w:rsidR="002C7590">
        <w:rPr>
          <w:lang w:val="en-GB"/>
        </w:rPr>
        <w:t>Encolpius</w:t>
      </w:r>
      <w:proofErr w:type="spellEnd"/>
      <w:r w:rsidR="002C7590">
        <w:rPr>
          <w:lang w:val="en-GB"/>
        </w:rPr>
        <w:t xml:space="preserve"> at </w:t>
      </w:r>
      <w:r>
        <w:rPr>
          <w:lang w:val="en-GB"/>
        </w:rPr>
        <w:t>34.2)</w:t>
      </w:r>
      <w:r w:rsidR="002C7590">
        <w:rPr>
          <w:lang w:val="en-GB"/>
        </w:rPr>
        <w:t xml:space="preserve">, </w:t>
      </w:r>
      <w:r w:rsidR="00DF1458">
        <w:rPr>
          <w:lang w:val="en-GB"/>
        </w:rPr>
        <w:t xml:space="preserve">terms such as </w:t>
      </w:r>
      <w:proofErr w:type="spellStart"/>
      <w:r w:rsidR="00DF1458">
        <w:rPr>
          <w:i/>
          <w:iCs/>
          <w:lang w:val="en-GB"/>
        </w:rPr>
        <w:t>subinde</w:t>
      </w:r>
      <w:proofErr w:type="spellEnd"/>
      <w:r w:rsidR="00DF1458">
        <w:rPr>
          <w:i/>
          <w:iCs/>
          <w:lang w:val="en-GB"/>
        </w:rPr>
        <w:t xml:space="preserve"> </w:t>
      </w:r>
      <w:r w:rsidR="00DF1458">
        <w:rPr>
          <w:lang w:val="en-GB"/>
        </w:rPr>
        <w:t>(34.4)</w:t>
      </w:r>
      <w:r w:rsidR="002E359B">
        <w:rPr>
          <w:lang w:val="en-GB"/>
        </w:rPr>
        <w:t xml:space="preserve"> and </w:t>
      </w:r>
      <w:proofErr w:type="spellStart"/>
      <w:r w:rsidR="002E359B">
        <w:rPr>
          <w:i/>
          <w:iCs/>
          <w:lang w:val="en-GB"/>
        </w:rPr>
        <w:t>statim</w:t>
      </w:r>
      <w:proofErr w:type="spellEnd"/>
      <w:r w:rsidR="002E359B">
        <w:rPr>
          <w:i/>
          <w:iCs/>
          <w:lang w:val="en-GB"/>
        </w:rPr>
        <w:t xml:space="preserve"> </w:t>
      </w:r>
      <w:r w:rsidR="002E359B">
        <w:rPr>
          <w:lang w:val="en-GB"/>
        </w:rPr>
        <w:t>(34.6)</w:t>
      </w:r>
      <w:r w:rsidR="00DD432D">
        <w:rPr>
          <w:lang w:val="en-GB"/>
        </w:rPr>
        <w:t xml:space="preserve"> add to the sense of rushing which pervades the </w:t>
      </w:r>
      <w:r w:rsidR="00DD432D">
        <w:rPr>
          <w:i/>
          <w:iCs/>
          <w:lang w:val="en-GB"/>
        </w:rPr>
        <w:t>Cena</w:t>
      </w:r>
      <w:r w:rsidR="00DD432D">
        <w:rPr>
          <w:lang w:val="en-GB"/>
        </w:rPr>
        <w:t xml:space="preserve">, producing feelings more of anxiety than of relaxation. </w:t>
      </w:r>
      <w:r w:rsidR="002539AC">
        <w:rPr>
          <w:lang w:val="en-GB"/>
        </w:rPr>
        <w:t xml:space="preserve">The two long-haired Ethiopian slaves who arrive </w:t>
      </w:r>
      <w:proofErr w:type="spellStart"/>
      <w:r w:rsidR="002539AC">
        <w:rPr>
          <w:i/>
          <w:iCs/>
          <w:lang w:val="en-GB"/>
        </w:rPr>
        <w:t>subinde</w:t>
      </w:r>
      <w:proofErr w:type="spellEnd"/>
      <w:r w:rsidR="002539AC">
        <w:rPr>
          <w:i/>
          <w:iCs/>
          <w:lang w:val="en-GB"/>
        </w:rPr>
        <w:t xml:space="preserve"> </w:t>
      </w:r>
      <w:r w:rsidR="002539AC">
        <w:rPr>
          <w:lang w:val="en-GB"/>
        </w:rPr>
        <w:t xml:space="preserve">are </w:t>
      </w:r>
      <w:r w:rsidR="00C6106F">
        <w:rPr>
          <w:lang w:val="en-GB"/>
        </w:rPr>
        <w:t>suggested by Courtney</w:t>
      </w:r>
      <w:r w:rsidR="00C6106F">
        <w:rPr>
          <w:rStyle w:val="FootnoteReference"/>
          <w:lang w:val="en-GB"/>
        </w:rPr>
        <w:footnoteReference w:id="6"/>
      </w:r>
      <w:r w:rsidR="002C7590">
        <w:rPr>
          <w:lang w:val="en-GB"/>
        </w:rPr>
        <w:t xml:space="preserve"> </w:t>
      </w:r>
      <w:r w:rsidR="00C6106F">
        <w:rPr>
          <w:lang w:val="en-GB"/>
        </w:rPr>
        <w:t xml:space="preserve">to be </w:t>
      </w:r>
      <w:r w:rsidR="005A57C0">
        <w:rPr>
          <w:lang w:val="en-GB"/>
        </w:rPr>
        <w:t xml:space="preserve">another one of the fakes which appear throughout the </w:t>
      </w:r>
      <w:r w:rsidR="005A57C0">
        <w:rPr>
          <w:i/>
          <w:iCs/>
          <w:lang w:val="en-GB"/>
        </w:rPr>
        <w:t>Cena</w:t>
      </w:r>
      <w:r w:rsidR="007C6446">
        <w:rPr>
          <w:lang w:val="en-GB"/>
        </w:rPr>
        <w:t xml:space="preserve">. While Ethiopian slaves were a popular luxury, Courtney sees </w:t>
      </w:r>
      <w:proofErr w:type="spellStart"/>
      <w:r w:rsidR="007C6446">
        <w:rPr>
          <w:i/>
          <w:iCs/>
          <w:lang w:val="en-GB"/>
        </w:rPr>
        <w:t>Aethiopes</w:t>
      </w:r>
      <w:proofErr w:type="spellEnd"/>
      <w:r w:rsidR="007C6446">
        <w:rPr>
          <w:i/>
          <w:iCs/>
          <w:lang w:val="en-GB"/>
        </w:rPr>
        <w:t xml:space="preserve"> </w:t>
      </w:r>
      <w:proofErr w:type="spellStart"/>
      <w:r w:rsidR="007C6446">
        <w:rPr>
          <w:i/>
          <w:iCs/>
          <w:lang w:val="en-GB"/>
        </w:rPr>
        <w:t>capillati</w:t>
      </w:r>
      <w:proofErr w:type="spellEnd"/>
      <w:r w:rsidR="007C6446">
        <w:rPr>
          <w:i/>
          <w:iCs/>
          <w:lang w:val="en-GB"/>
        </w:rPr>
        <w:t xml:space="preserve"> </w:t>
      </w:r>
      <w:r w:rsidR="007C6446">
        <w:rPr>
          <w:lang w:val="en-GB"/>
        </w:rPr>
        <w:t xml:space="preserve">as a contradiction in terms, </w:t>
      </w:r>
      <w:r w:rsidR="00B1751A">
        <w:rPr>
          <w:lang w:val="en-GB"/>
        </w:rPr>
        <w:t xml:space="preserve">those slaves typically having short curly hair. We are reminded of </w:t>
      </w:r>
      <w:proofErr w:type="spellStart"/>
      <w:r w:rsidR="00B1751A">
        <w:rPr>
          <w:lang w:val="en-GB"/>
        </w:rPr>
        <w:t>Encolpius</w:t>
      </w:r>
      <w:proofErr w:type="spellEnd"/>
      <w:r w:rsidR="00B1751A">
        <w:rPr>
          <w:lang w:val="en-GB"/>
        </w:rPr>
        <w:t xml:space="preserve"> himself later </w:t>
      </w:r>
      <w:r w:rsidR="00FE149D">
        <w:rPr>
          <w:lang w:val="en-GB"/>
        </w:rPr>
        <w:t>planning to</w:t>
      </w:r>
      <w:r w:rsidR="00B1751A">
        <w:rPr>
          <w:lang w:val="en-GB"/>
        </w:rPr>
        <w:t xml:space="preserve"> blacken his face to masquerade as a </w:t>
      </w:r>
      <w:proofErr w:type="gramStart"/>
      <w:r w:rsidR="00B1751A">
        <w:rPr>
          <w:lang w:val="en-GB"/>
        </w:rPr>
        <w:t>dark skinned</w:t>
      </w:r>
      <w:proofErr w:type="gramEnd"/>
      <w:r w:rsidR="00B1751A">
        <w:rPr>
          <w:lang w:val="en-GB"/>
        </w:rPr>
        <w:t xml:space="preserve"> slave</w:t>
      </w:r>
      <w:r w:rsidR="00FE149D">
        <w:rPr>
          <w:lang w:val="en-GB"/>
        </w:rPr>
        <w:t xml:space="preserve"> and thus hide his identity</w:t>
      </w:r>
      <w:r w:rsidR="00B1751A">
        <w:rPr>
          <w:lang w:val="en-GB"/>
        </w:rPr>
        <w:t xml:space="preserve"> (</w:t>
      </w:r>
      <w:r w:rsidR="00EF7175">
        <w:rPr>
          <w:lang w:val="en-GB"/>
        </w:rPr>
        <w:t xml:space="preserve">102.13). </w:t>
      </w:r>
      <w:r w:rsidR="00FE149D">
        <w:rPr>
          <w:lang w:val="en-GB"/>
        </w:rPr>
        <w:t>However, there are references to straight-haired Ethiopians in Herodotus</w:t>
      </w:r>
      <w:r w:rsidR="00FE149D">
        <w:rPr>
          <w:rStyle w:val="FootnoteReference"/>
          <w:lang w:val="en-GB"/>
        </w:rPr>
        <w:footnoteReference w:id="7"/>
      </w:r>
      <w:r w:rsidR="00FE149D">
        <w:rPr>
          <w:lang w:val="en-GB"/>
        </w:rPr>
        <w:t xml:space="preserve">, so perhaps </w:t>
      </w:r>
      <w:r w:rsidR="00A74093">
        <w:rPr>
          <w:lang w:val="en-GB"/>
        </w:rPr>
        <w:t>it is at least possible that these are the real thing</w:t>
      </w:r>
      <w:r w:rsidR="00BC49BF">
        <w:rPr>
          <w:lang w:val="en-GB"/>
        </w:rPr>
        <w:t xml:space="preserve">. In conjunction with all the other fakes throughout the </w:t>
      </w:r>
      <w:r w:rsidR="00BC49BF">
        <w:rPr>
          <w:i/>
          <w:iCs/>
          <w:lang w:val="en-GB"/>
        </w:rPr>
        <w:t>Cena,</w:t>
      </w:r>
      <w:r w:rsidR="00BC49BF">
        <w:rPr>
          <w:lang w:val="en-GB"/>
        </w:rPr>
        <w:t xml:space="preserve"> however, the question of whether these are real long-haired Ethiopian boys, or </w:t>
      </w:r>
      <w:proofErr w:type="spellStart"/>
      <w:r w:rsidR="0075678C">
        <w:rPr>
          <w:i/>
          <w:iCs/>
          <w:lang w:val="en-GB"/>
        </w:rPr>
        <w:t>capillati</w:t>
      </w:r>
      <w:proofErr w:type="spellEnd"/>
      <w:r w:rsidR="0075678C">
        <w:rPr>
          <w:i/>
          <w:iCs/>
          <w:lang w:val="en-GB"/>
        </w:rPr>
        <w:t xml:space="preserve"> </w:t>
      </w:r>
      <w:r w:rsidR="0075678C">
        <w:rPr>
          <w:lang w:val="en-GB"/>
        </w:rPr>
        <w:t>who have artificially darkened their skin, or indeed Ethiopian slaves wearing wigs, merely adds to the sense of uncertainty</w:t>
      </w:r>
      <w:r w:rsidR="00F968C3">
        <w:rPr>
          <w:lang w:val="en-GB"/>
        </w:rPr>
        <w:t xml:space="preserve"> where nothing can be trusted.</w:t>
      </w:r>
    </w:p>
    <w:p w14:paraId="33395542" w14:textId="77777777" w:rsidR="00F968C3" w:rsidRDefault="00F968C3">
      <w:pPr>
        <w:rPr>
          <w:lang w:val="en-GB"/>
        </w:rPr>
      </w:pPr>
    </w:p>
    <w:p w14:paraId="58CFAEAE" w14:textId="2E4723BE" w:rsidR="00421434" w:rsidRDefault="00F968C3">
      <w:pPr>
        <w:rPr>
          <w:lang w:val="en-GB"/>
        </w:rPr>
      </w:pPr>
      <w:r>
        <w:rPr>
          <w:lang w:val="en-GB"/>
        </w:rPr>
        <w:t xml:space="preserve">The wineskins the slaves carry are likened by </w:t>
      </w:r>
      <w:proofErr w:type="spellStart"/>
      <w:r>
        <w:rPr>
          <w:lang w:val="en-GB"/>
        </w:rPr>
        <w:t>Encolpius</w:t>
      </w:r>
      <w:proofErr w:type="spellEnd"/>
      <w:r>
        <w:rPr>
          <w:lang w:val="en-GB"/>
        </w:rPr>
        <w:t xml:space="preserve"> to those used to sprinkle the sand in the amphitheatre</w:t>
      </w:r>
      <w:r>
        <w:rPr>
          <w:rStyle w:val="FootnoteReference"/>
          <w:lang w:val="en-GB"/>
        </w:rPr>
        <w:footnoteReference w:id="8"/>
      </w:r>
      <w:r w:rsidR="00164D07">
        <w:rPr>
          <w:lang w:val="en-GB"/>
        </w:rPr>
        <w:t>: a reference to a different type of spectacle</w:t>
      </w:r>
      <w:r w:rsidR="00A03FAE">
        <w:rPr>
          <w:lang w:val="en-GB"/>
        </w:rPr>
        <w:t xml:space="preserve">, but another example of the language of spectacle such as that at 33.5 when </w:t>
      </w:r>
      <w:proofErr w:type="spellStart"/>
      <w:r w:rsidR="00A03FAE">
        <w:rPr>
          <w:lang w:val="en-GB"/>
        </w:rPr>
        <w:t>Trimalchio</w:t>
      </w:r>
      <w:proofErr w:type="spellEnd"/>
      <w:r w:rsidR="00A03FAE">
        <w:rPr>
          <w:lang w:val="en-GB"/>
        </w:rPr>
        <w:t xml:space="preserve"> </w:t>
      </w:r>
      <w:r w:rsidR="0034674D">
        <w:rPr>
          <w:lang w:val="en-GB"/>
        </w:rPr>
        <w:t xml:space="preserve">arrives </w:t>
      </w:r>
      <w:r w:rsidR="0034674D">
        <w:rPr>
          <w:i/>
          <w:iCs/>
          <w:lang w:val="en-GB"/>
        </w:rPr>
        <w:t xml:space="preserve">ad </w:t>
      </w:r>
      <w:proofErr w:type="spellStart"/>
      <w:r w:rsidR="0034674D">
        <w:rPr>
          <w:i/>
          <w:iCs/>
          <w:lang w:val="en-GB"/>
        </w:rPr>
        <w:t>scaenam</w:t>
      </w:r>
      <w:proofErr w:type="spellEnd"/>
      <w:r w:rsidR="0034674D">
        <w:rPr>
          <w:lang w:val="en-GB"/>
        </w:rPr>
        <w:t xml:space="preserve">. </w:t>
      </w:r>
      <w:r w:rsidR="00EF33CF">
        <w:rPr>
          <w:lang w:val="en-GB"/>
        </w:rPr>
        <w:t xml:space="preserve">Their use of wine to pour over the guests’ hands instead of water (34.4) is another example of </w:t>
      </w:r>
      <w:proofErr w:type="spellStart"/>
      <w:r w:rsidR="00EF33CF">
        <w:rPr>
          <w:lang w:val="en-GB"/>
        </w:rPr>
        <w:t>Trimalchio’s</w:t>
      </w:r>
      <w:proofErr w:type="spellEnd"/>
      <w:r w:rsidR="00EF33CF">
        <w:rPr>
          <w:lang w:val="en-GB"/>
        </w:rPr>
        <w:t xml:space="preserve"> </w:t>
      </w:r>
      <w:r w:rsidR="00B44CA6">
        <w:rPr>
          <w:lang w:val="en-GB"/>
        </w:rPr>
        <w:t xml:space="preserve">prioritisation of luxury over everything else, even practicality. </w:t>
      </w:r>
      <w:proofErr w:type="spellStart"/>
      <w:r w:rsidR="00B44CA6">
        <w:rPr>
          <w:lang w:val="en-GB"/>
        </w:rPr>
        <w:t>Encolpius</w:t>
      </w:r>
      <w:proofErr w:type="spellEnd"/>
      <w:r w:rsidR="00B44CA6">
        <w:rPr>
          <w:lang w:val="en-GB"/>
        </w:rPr>
        <w:t xml:space="preserve"> notes that </w:t>
      </w:r>
      <w:proofErr w:type="spellStart"/>
      <w:r w:rsidR="00BF6A39">
        <w:rPr>
          <w:i/>
          <w:iCs/>
          <w:lang w:val="en-GB"/>
        </w:rPr>
        <w:t>aquam</w:t>
      </w:r>
      <w:proofErr w:type="spellEnd"/>
      <w:r w:rsidR="00BF6A39">
        <w:rPr>
          <w:i/>
          <w:iCs/>
          <w:lang w:val="en-GB"/>
        </w:rPr>
        <w:t xml:space="preserve"> nemo </w:t>
      </w:r>
      <w:proofErr w:type="spellStart"/>
      <w:r w:rsidR="00BF6A39">
        <w:rPr>
          <w:i/>
          <w:iCs/>
          <w:lang w:val="en-GB"/>
        </w:rPr>
        <w:t>porrexit</w:t>
      </w:r>
      <w:proofErr w:type="spellEnd"/>
      <w:r w:rsidR="00BF6A39">
        <w:rPr>
          <w:lang w:val="en-GB"/>
        </w:rPr>
        <w:t xml:space="preserve">, suggesting that he would have (understandably) preferred water to wine. </w:t>
      </w:r>
      <w:r w:rsidR="0029359D">
        <w:rPr>
          <w:lang w:val="en-GB"/>
        </w:rPr>
        <w:t xml:space="preserve">This is another feature of the </w:t>
      </w:r>
      <w:r w:rsidR="0029359D">
        <w:rPr>
          <w:i/>
          <w:iCs/>
          <w:lang w:val="en-GB"/>
        </w:rPr>
        <w:t xml:space="preserve">Cena </w:t>
      </w:r>
      <w:r w:rsidR="0029359D">
        <w:rPr>
          <w:lang w:val="en-GB"/>
        </w:rPr>
        <w:t xml:space="preserve">which </w:t>
      </w:r>
      <w:r w:rsidR="00AC7062">
        <w:rPr>
          <w:lang w:val="en-GB"/>
        </w:rPr>
        <w:t xml:space="preserve">may be more realistic than it appears to the modern reader, with </w:t>
      </w:r>
      <w:r w:rsidR="00DE49E1">
        <w:rPr>
          <w:lang w:val="en-GB"/>
        </w:rPr>
        <w:t>Plutarch referring to a host whose guests’ feet were washed with water mixed with wine and spices</w:t>
      </w:r>
      <w:r w:rsidR="00DE49E1">
        <w:rPr>
          <w:rStyle w:val="FootnoteReference"/>
          <w:lang w:val="en-GB"/>
        </w:rPr>
        <w:footnoteReference w:id="9"/>
      </w:r>
      <w:r w:rsidR="00DE49E1">
        <w:rPr>
          <w:lang w:val="en-GB"/>
        </w:rPr>
        <w:t>.</w:t>
      </w:r>
    </w:p>
    <w:p w14:paraId="3BF8D20B" w14:textId="77777777" w:rsidR="00247B7D" w:rsidRDefault="00247B7D">
      <w:pPr>
        <w:rPr>
          <w:lang w:val="en-GB"/>
        </w:rPr>
      </w:pPr>
    </w:p>
    <w:p w14:paraId="0EC2FC22" w14:textId="47127564" w:rsidR="00247B7D" w:rsidRPr="00F27BD6" w:rsidRDefault="00514B15">
      <w:pPr>
        <w:rPr>
          <w:lang w:val="en-GB"/>
        </w:rPr>
      </w:pPr>
      <w:r>
        <w:rPr>
          <w:lang w:val="en-GB"/>
        </w:rPr>
        <w:t xml:space="preserve">The guests praise </w:t>
      </w:r>
      <w:proofErr w:type="spellStart"/>
      <w:r>
        <w:rPr>
          <w:lang w:val="en-GB"/>
        </w:rPr>
        <w:t>Trimalchio’s</w:t>
      </w:r>
      <w:proofErr w:type="spellEnd"/>
      <w:r>
        <w:rPr>
          <w:lang w:val="en-GB"/>
        </w:rPr>
        <w:t xml:space="preserve"> taste (</w:t>
      </w:r>
      <w:proofErr w:type="spellStart"/>
      <w:r>
        <w:rPr>
          <w:i/>
          <w:iCs/>
          <w:lang w:val="en-GB"/>
        </w:rPr>
        <w:t>laudatus</w:t>
      </w:r>
      <w:proofErr w:type="spellEnd"/>
      <w:r>
        <w:rPr>
          <w:i/>
          <w:iCs/>
          <w:lang w:val="en-GB"/>
        </w:rPr>
        <w:t xml:space="preserve"> proper </w:t>
      </w:r>
      <w:proofErr w:type="spellStart"/>
      <w:r>
        <w:rPr>
          <w:i/>
          <w:iCs/>
          <w:lang w:val="en-GB"/>
        </w:rPr>
        <w:t>elegantias</w:t>
      </w:r>
      <w:proofErr w:type="spellEnd"/>
      <w:r>
        <w:rPr>
          <w:lang w:val="en-GB"/>
        </w:rPr>
        <w:t>, 34.5), and Beck</w:t>
      </w:r>
      <w:r>
        <w:rPr>
          <w:rStyle w:val="FootnoteReference"/>
          <w:lang w:val="en-GB"/>
        </w:rPr>
        <w:footnoteReference w:id="10"/>
      </w:r>
      <w:r>
        <w:rPr>
          <w:lang w:val="en-GB"/>
        </w:rPr>
        <w:t xml:space="preserve"> sees this as </w:t>
      </w:r>
      <w:r w:rsidR="005A4498">
        <w:rPr>
          <w:lang w:val="en-GB"/>
        </w:rPr>
        <w:t xml:space="preserve">an example of </w:t>
      </w:r>
      <w:proofErr w:type="spellStart"/>
      <w:r w:rsidR="005A4498">
        <w:rPr>
          <w:lang w:val="en-GB"/>
        </w:rPr>
        <w:t>Encolpius</w:t>
      </w:r>
      <w:proofErr w:type="spellEnd"/>
      <w:r w:rsidR="005A4498">
        <w:rPr>
          <w:lang w:val="en-GB"/>
        </w:rPr>
        <w:t xml:space="preserve"> displaying an insincere sycophancy. However, there is no conclusive evidence to this point that the young </w:t>
      </w:r>
      <w:proofErr w:type="spellStart"/>
      <w:r w:rsidR="005A4498">
        <w:rPr>
          <w:lang w:val="en-GB"/>
        </w:rPr>
        <w:t>Encolpius</w:t>
      </w:r>
      <w:proofErr w:type="spellEnd"/>
      <w:r w:rsidR="005A4498">
        <w:rPr>
          <w:lang w:val="en-GB"/>
        </w:rPr>
        <w:t xml:space="preserve"> </w:t>
      </w:r>
      <w:r w:rsidR="006762EF">
        <w:rPr>
          <w:lang w:val="en-GB"/>
        </w:rPr>
        <w:t>finds his host distasteful. Perhaps any praise he offers at this point is genuine</w:t>
      </w:r>
      <w:r w:rsidR="00212F8A">
        <w:rPr>
          <w:lang w:val="en-GB"/>
        </w:rPr>
        <w:t xml:space="preserve">, but in fact </w:t>
      </w:r>
      <w:proofErr w:type="spellStart"/>
      <w:r w:rsidR="00212F8A">
        <w:rPr>
          <w:lang w:val="en-GB"/>
        </w:rPr>
        <w:t>Encolpius</w:t>
      </w:r>
      <w:proofErr w:type="spellEnd"/>
      <w:r w:rsidR="00212F8A">
        <w:rPr>
          <w:lang w:val="en-GB"/>
        </w:rPr>
        <w:t xml:space="preserve"> doesn’t state that he himself praises Trimalchio; rather, </w:t>
      </w:r>
      <w:proofErr w:type="spellStart"/>
      <w:r w:rsidR="00212F8A">
        <w:rPr>
          <w:lang w:val="en-GB"/>
        </w:rPr>
        <w:t>Trimalchio</w:t>
      </w:r>
      <w:proofErr w:type="spellEnd"/>
      <w:r w:rsidR="00212F8A">
        <w:rPr>
          <w:lang w:val="en-GB"/>
        </w:rPr>
        <w:t xml:space="preserve"> </w:t>
      </w:r>
      <w:proofErr w:type="spellStart"/>
      <w:r w:rsidR="00212F8A">
        <w:rPr>
          <w:i/>
          <w:iCs/>
          <w:lang w:val="en-GB"/>
        </w:rPr>
        <w:t>laudatus</w:t>
      </w:r>
      <w:proofErr w:type="spellEnd"/>
      <w:r w:rsidR="00212F8A">
        <w:rPr>
          <w:lang w:val="en-GB"/>
        </w:rPr>
        <w:t xml:space="preserve">. </w:t>
      </w:r>
      <w:r w:rsidR="008606E8">
        <w:rPr>
          <w:lang w:val="en-GB"/>
        </w:rPr>
        <w:t xml:space="preserve">For either reason, or both, we therefore need not see this as an example of </w:t>
      </w:r>
      <w:proofErr w:type="spellStart"/>
      <w:r w:rsidR="008606E8">
        <w:rPr>
          <w:lang w:val="en-GB"/>
        </w:rPr>
        <w:t>Encolpius</w:t>
      </w:r>
      <w:proofErr w:type="spellEnd"/>
      <w:r w:rsidR="008606E8">
        <w:rPr>
          <w:lang w:val="en-GB"/>
        </w:rPr>
        <w:t xml:space="preserve">’ insincerity. </w:t>
      </w:r>
      <w:r w:rsidR="00D36DB6">
        <w:rPr>
          <w:lang w:val="en-GB"/>
        </w:rPr>
        <w:t xml:space="preserve">At 34.8 </w:t>
      </w:r>
      <w:proofErr w:type="spellStart"/>
      <w:r w:rsidR="00D36DB6">
        <w:rPr>
          <w:lang w:val="en-GB"/>
        </w:rPr>
        <w:t>Encolpius</w:t>
      </w:r>
      <w:proofErr w:type="spellEnd"/>
      <w:r w:rsidR="00D36DB6">
        <w:rPr>
          <w:lang w:val="en-GB"/>
        </w:rPr>
        <w:t xml:space="preserve"> notes that the guests </w:t>
      </w:r>
      <w:r w:rsidR="00F27BD6">
        <w:rPr>
          <w:lang w:val="en-GB"/>
        </w:rPr>
        <w:t>conscientiously wondered (</w:t>
      </w:r>
      <w:proofErr w:type="spellStart"/>
      <w:r w:rsidR="00F27BD6">
        <w:rPr>
          <w:i/>
          <w:iCs/>
          <w:lang w:val="en-GB"/>
        </w:rPr>
        <w:t>accuratissime</w:t>
      </w:r>
      <w:proofErr w:type="spellEnd"/>
      <w:r w:rsidR="00F27BD6">
        <w:rPr>
          <w:i/>
          <w:iCs/>
          <w:lang w:val="en-GB"/>
        </w:rPr>
        <w:t xml:space="preserve"> </w:t>
      </w:r>
      <w:proofErr w:type="spellStart"/>
      <w:r w:rsidR="00F27BD6">
        <w:rPr>
          <w:i/>
          <w:iCs/>
          <w:lang w:val="en-GB"/>
        </w:rPr>
        <w:t>mirantibus</w:t>
      </w:r>
      <w:proofErr w:type="spellEnd"/>
      <w:r w:rsidR="00F27BD6">
        <w:rPr>
          <w:lang w:val="en-GB"/>
        </w:rPr>
        <w:t>) the</w:t>
      </w:r>
      <w:r w:rsidR="00BA3825">
        <w:rPr>
          <w:lang w:val="en-GB"/>
        </w:rPr>
        <w:t xml:space="preserve"> magnificence, but again there is no firm footing for convicting him of insincerity.</w:t>
      </w:r>
      <w:r w:rsidR="00F27BD6">
        <w:rPr>
          <w:lang w:val="en-GB"/>
        </w:rPr>
        <w:t xml:space="preserve"> </w:t>
      </w:r>
    </w:p>
    <w:p w14:paraId="241E3188" w14:textId="77777777" w:rsidR="00F54C62" w:rsidRDefault="00F54C62">
      <w:pPr>
        <w:rPr>
          <w:lang w:val="en-GB"/>
        </w:rPr>
      </w:pPr>
    </w:p>
    <w:p w14:paraId="15B5D9A3" w14:textId="255B117A" w:rsidR="00F54C62" w:rsidRDefault="00F54C62">
      <w:pPr>
        <w:rPr>
          <w:lang w:val="en-GB"/>
        </w:rPr>
      </w:pPr>
      <w:proofErr w:type="spellStart"/>
      <w:r>
        <w:rPr>
          <w:lang w:val="en-GB"/>
        </w:rPr>
        <w:lastRenderedPageBreak/>
        <w:t>Trimalchio’s</w:t>
      </w:r>
      <w:proofErr w:type="spellEnd"/>
      <w:r>
        <w:rPr>
          <w:lang w:val="en-GB"/>
        </w:rPr>
        <w:t xml:space="preserve"> </w:t>
      </w:r>
      <w:r w:rsidR="00600342">
        <w:rPr>
          <w:lang w:val="en-GB"/>
        </w:rPr>
        <w:t>dismissive language towards his slaves (</w:t>
      </w:r>
      <w:proofErr w:type="spellStart"/>
      <w:r w:rsidR="00600342">
        <w:rPr>
          <w:i/>
          <w:iCs/>
          <w:lang w:val="en-GB"/>
        </w:rPr>
        <w:t>putidissimi</w:t>
      </w:r>
      <w:proofErr w:type="spellEnd"/>
      <w:r w:rsidR="00600342">
        <w:rPr>
          <w:i/>
          <w:iCs/>
          <w:lang w:val="en-GB"/>
        </w:rPr>
        <w:t xml:space="preserve"> </w:t>
      </w:r>
      <w:proofErr w:type="spellStart"/>
      <w:r w:rsidR="00600342">
        <w:rPr>
          <w:i/>
          <w:iCs/>
          <w:lang w:val="en-GB"/>
        </w:rPr>
        <w:t>servi</w:t>
      </w:r>
      <w:proofErr w:type="spellEnd"/>
      <w:r w:rsidR="00600342">
        <w:rPr>
          <w:lang w:val="en-GB"/>
        </w:rPr>
        <w:t xml:space="preserve">, 34.5) is echoed by his steward </w:t>
      </w:r>
      <w:r w:rsidR="005300F2">
        <w:rPr>
          <w:lang w:val="en-GB"/>
        </w:rPr>
        <w:t>(</w:t>
      </w:r>
      <w:proofErr w:type="spellStart"/>
      <w:r w:rsidR="005300F2">
        <w:rPr>
          <w:i/>
          <w:iCs/>
          <w:lang w:val="en-GB"/>
        </w:rPr>
        <w:t>nequissimi</w:t>
      </w:r>
      <w:proofErr w:type="spellEnd"/>
      <w:r w:rsidR="005300F2">
        <w:rPr>
          <w:i/>
          <w:iCs/>
          <w:lang w:val="en-GB"/>
        </w:rPr>
        <w:t xml:space="preserve"> </w:t>
      </w:r>
      <w:proofErr w:type="spellStart"/>
      <w:r w:rsidR="005300F2">
        <w:rPr>
          <w:i/>
          <w:iCs/>
          <w:lang w:val="en-GB"/>
        </w:rPr>
        <w:t>servi</w:t>
      </w:r>
      <w:proofErr w:type="spellEnd"/>
      <w:r w:rsidR="005300F2">
        <w:rPr>
          <w:lang w:val="en-GB"/>
        </w:rPr>
        <w:t>, 30.10)</w:t>
      </w:r>
      <w:r w:rsidR="004E3170">
        <w:rPr>
          <w:lang w:val="en-GB"/>
        </w:rPr>
        <w:t>, but contrasts with his actions later at 70.11 when he invites his slaves to join his guests</w:t>
      </w:r>
      <w:r w:rsidR="00A942BD">
        <w:rPr>
          <w:lang w:val="en-GB"/>
        </w:rPr>
        <w:t xml:space="preserve"> and </w:t>
      </w:r>
      <w:proofErr w:type="spellStart"/>
      <w:r w:rsidR="00A942BD">
        <w:rPr>
          <w:lang w:val="en-GB"/>
        </w:rPr>
        <w:t>Encolpius</w:t>
      </w:r>
      <w:proofErr w:type="spellEnd"/>
      <w:r w:rsidR="00A942BD">
        <w:rPr>
          <w:lang w:val="en-GB"/>
        </w:rPr>
        <w:t xml:space="preserve"> comments that they were almost thrown from their places by the crowd</w:t>
      </w:r>
      <w:r w:rsidR="006C1C49">
        <w:rPr>
          <w:lang w:val="en-GB"/>
        </w:rPr>
        <w:t xml:space="preserve">, another example of </w:t>
      </w:r>
      <w:proofErr w:type="spellStart"/>
      <w:r w:rsidR="006C1C49">
        <w:rPr>
          <w:lang w:val="en-GB"/>
        </w:rPr>
        <w:t>Trimalchio’s</w:t>
      </w:r>
      <w:proofErr w:type="spellEnd"/>
      <w:r w:rsidR="006C1C49">
        <w:rPr>
          <w:lang w:val="en-GB"/>
        </w:rPr>
        <w:t xml:space="preserve"> capriciousness when it comes to dealing with his slaves.</w:t>
      </w:r>
    </w:p>
    <w:p w14:paraId="4EB8E066" w14:textId="77777777" w:rsidR="006C1C49" w:rsidRDefault="006C1C49">
      <w:pPr>
        <w:rPr>
          <w:lang w:val="en-GB"/>
        </w:rPr>
      </w:pPr>
    </w:p>
    <w:p w14:paraId="110EF96E" w14:textId="3A534B55" w:rsidR="006C1C49" w:rsidRDefault="00E503F2">
      <w:pPr>
        <w:rPr>
          <w:lang w:val="en-GB"/>
        </w:rPr>
      </w:pPr>
      <w:r>
        <w:rPr>
          <w:lang w:val="en-GB"/>
        </w:rPr>
        <w:t>The Falernian wine which is served at this point has received much scholarly attention.</w:t>
      </w:r>
      <w:r w:rsidR="003A504C">
        <w:rPr>
          <w:lang w:val="en-GB"/>
        </w:rPr>
        <w:t xml:space="preserve"> While wine of this age may have been available, it was apparently only good for adding sparingly to younger wine to enhance its flavour</w:t>
      </w:r>
      <w:r w:rsidR="003A504C">
        <w:rPr>
          <w:rStyle w:val="FootnoteReference"/>
          <w:lang w:val="en-GB"/>
        </w:rPr>
        <w:footnoteReference w:id="11"/>
      </w:r>
      <w:r w:rsidR="00EA6A3B">
        <w:rPr>
          <w:lang w:val="en-GB"/>
        </w:rPr>
        <w:t xml:space="preserve"> </w:t>
      </w:r>
      <w:r w:rsidR="0021541C">
        <w:rPr>
          <w:lang w:val="en-GB"/>
        </w:rPr>
        <w:t xml:space="preserve">and was not to be drunk neat. </w:t>
      </w:r>
      <w:r w:rsidR="00F66F93">
        <w:rPr>
          <w:lang w:val="en-GB"/>
        </w:rPr>
        <w:t>As Courtney</w:t>
      </w:r>
      <w:r w:rsidR="00F66F93">
        <w:rPr>
          <w:rStyle w:val="FootnoteReference"/>
          <w:lang w:val="en-GB"/>
        </w:rPr>
        <w:footnoteReference w:id="12"/>
      </w:r>
      <w:r w:rsidR="00F66F93">
        <w:rPr>
          <w:lang w:val="en-GB"/>
        </w:rPr>
        <w:t xml:space="preserve"> points out, the fact that the guests were apparently able to drink the wine </w:t>
      </w:r>
      <w:r w:rsidR="00655059">
        <w:rPr>
          <w:lang w:val="en-GB"/>
        </w:rPr>
        <w:t>suggests that it was not the genuine article.</w:t>
      </w:r>
      <w:r w:rsidR="00CF137A">
        <w:rPr>
          <w:lang w:val="en-GB"/>
        </w:rPr>
        <w:t xml:space="preserve"> The way it is served, in glass </w:t>
      </w:r>
      <w:r w:rsidR="00A83694">
        <w:rPr>
          <w:lang w:val="en-GB"/>
        </w:rPr>
        <w:t>vessels which would not have been used commercially</w:t>
      </w:r>
      <w:r w:rsidR="0060512F">
        <w:rPr>
          <w:rStyle w:val="FootnoteReference"/>
          <w:lang w:val="en-GB"/>
        </w:rPr>
        <w:footnoteReference w:id="13"/>
      </w:r>
      <w:r w:rsidR="00A83694">
        <w:rPr>
          <w:lang w:val="en-GB"/>
        </w:rPr>
        <w:t xml:space="preserve"> at the time it is purported to have been bottled (21 BC, when it was already 100 years old, </w:t>
      </w:r>
      <w:r w:rsidR="0060512F">
        <w:rPr>
          <w:lang w:val="en-GB"/>
        </w:rPr>
        <w:t xml:space="preserve">100 years after the consulship of </w:t>
      </w:r>
      <w:proofErr w:type="spellStart"/>
      <w:r w:rsidR="0060512F">
        <w:rPr>
          <w:lang w:val="en-GB"/>
        </w:rPr>
        <w:t>Opimus</w:t>
      </w:r>
      <w:proofErr w:type="spellEnd"/>
      <w:r w:rsidR="0060512F">
        <w:rPr>
          <w:lang w:val="en-GB"/>
        </w:rPr>
        <w:t>)</w:t>
      </w:r>
      <w:r w:rsidR="00C826FF">
        <w:rPr>
          <w:lang w:val="en-GB"/>
        </w:rPr>
        <w:t>, and further, in 21 BC the local designation of Falernian would not have been applied</w:t>
      </w:r>
      <w:r w:rsidR="00C826FF">
        <w:rPr>
          <w:rStyle w:val="FootnoteReference"/>
          <w:lang w:val="en-GB"/>
        </w:rPr>
        <w:footnoteReference w:id="14"/>
      </w:r>
      <w:r w:rsidR="00C826FF">
        <w:rPr>
          <w:lang w:val="en-GB"/>
        </w:rPr>
        <w:t xml:space="preserve">. </w:t>
      </w:r>
      <w:r w:rsidR="00BC295F">
        <w:rPr>
          <w:lang w:val="en-GB"/>
        </w:rPr>
        <w:t xml:space="preserve">All the indications are, then, that the wine is not what it purports to be. </w:t>
      </w:r>
      <w:proofErr w:type="spellStart"/>
      <w:r w:rsidR="00BC295F">
        <w:rPr>
          <w:lang w:val="en-GB"/>
        </w:rPr>
        <w:t>Encolpius</w:t>
      </w:r>
      <w:proofErr w:type="spellEnd"/>
      <w:r w:rsidR="00BC295F">
        <w:rPr>
          <w:lang w:val="en-GB"/>
        </w:rPr>
        <w:t xml:space="preserve">’ </w:t>
      </w:r>
      <w:r w:rsidR="004344F1">
        <w:rPr>
          <w:lang w:val="en-GB"/>
        </w:rPr>
        <w:t>careful reading (</w:t>
      </w:r>
      <w:proofErr w:type="spellStart"/>
      <w:r w:rsidR="00BC295F">
        <w:rPr>
          <w:i/>
          <w:iCs/>
          <w:lang w:val="en-GB"/>
        </w:rPr>
        <w:t>perlegimus</w:t>
      </w:r>
      <w:proofErr w:type="spellEnd"/>
      <w:r w:rsidR="004344F1">
        <w:rPr>
          <w:i/>
          <w:iCs/>
          <w:lang w:val="en-GB"/>
        </w:rPr>
        <w:t xml:space="preserve">, </w:t>
      </w:r>
      <w:r w:rsidR="004344F1">
        <w:rPr>
          <w:lang w:val="en-GB"/>
        </w:rPr>
        <w:t>34.7) of the labels suggests he may suspect as much.</w:t>
      </w:r>
      <w:r w:rsidR="00655059">
        <w:rPr>
          <w:lang w:val="en-GB"/>
        </w:rPr>
        <w:t xml:space="preserve"> The question then becomes whether </w:t>
      </w:r>
      <w:proofErr w:type="spellStart"/>
      <w:r w:rsidR="00655059">
        <w:rPr>
          <w:lang w:val="en-GB"/>
        </w:rPr>
        <w:t>Trimalchio</w:t>
      </w:r>
      <w:proofErr w:type="spellEnd"/>
      <w:r w:rsidR="00655059">
        <w:rPr>
          <w:lang w:val="en-GB"/>
        </w:rPr>
        <w:t xml:space="preserve"> himself is aware of the deception and is </w:t>
      </w:r>
      <w:r w:rsidR="00AD643D">
        <w:rPr>
          <w:lang w:val="en-GB"/>
        </w:rPr>
        <w:t xml:space="preserve">unconvincingly pretending to </w:t>
      </w:r>
      <w:r w:rsidR="004344F1">
        <w:rPr>
          <w:lang w:val="en-GB"/>
        </w:rPr>
        <w:t>greater extravagance</w:t>
      </w:r>
      <w:r w:rsidR="00AD643D">
        <w:rPr>
          <w:lang w:val="en-GB"/>
        </w:rPr>
        <w:t xml:space="preserve"> than </w:t>
      </w:r>
      <w:r w:rsidR="00190E02">
        <w:rPr>
          <w:lang w:val="en-GB"/>
        </w:rPr>
        <w:t>he already displays</w:t>
      </w:r>
      <w:r w:rsidR="00AD643D">
        <w:rPr>
          <w:lang w:val="en-GB"/>
        </w:rPr>
        <w:t>, or whether he has been fooled by a wine merchant. There is no way to be sure</w:t>
      </w:r>
      <w:r w:rsidR="00E7674D">
        <w:rPr>
          <w:lang w:val="en-GB"/>
        </w:rPr>
        <w:t xml:space="preserve">, but perhaps Petronius intended the question to remain unanswered. </w:t>
      </w:r>
    </w:p>
    <w:p w14:paraId="12AF4FA1" w14:textId="77777777" w:rsidR="00F17360" w:rsidRDefault="00F17360">
      <w:pPr>
        <w:rPr>
          <w:lang w:val="en-GB"/>
        </w:rPr>
      </w:pPr>
    </w:p>
    <w:p w14:paraId="796F1CCE" w14:textId="140EE0A7" w:rsidR="00F17360" w:rsidRDefault="00F17360">
      <w:pPr>
        <w:rPr>
          <w:lang w:val="en-GB"/>
        </w:rPr>
      </w:pPr>
      <w:proofErr w:type="spellStart"/>
      <w:r>
        <w:rPr>
          <w:lang w:val="en-GB"/>
        </w:rPr>
        <w:t>Trimalchio</w:t>
      </w:r>
      <w:proofErr w:type="spellEnd"/>
      <w:r>
        <w:rPr>
          <w:lang w:val="en-GB"/>
        </w:rPr>
        <w:t xml:space="preserve"> at this point makes a comment that the day before, he had had more illustrious guests </w:t>
      </w:r>
      <w:r w:rsidR="00A97CC3">
        <w:rPr>
          <w:lang w:val="en-GB"/>
        </w:rPr>
        <w:t>(</w:t>
      </w:r>
      <w:proofErr w:type="spellStart"/>
      <w:r w:rsidR="00A97CC3">
        <w:rPr>
          <w:i/>
          <w:iCs/>
          <w:lang w:val="en-GB"/>
        </w:rPr>
        <w:t>multo</w:t>
      </w:r>
      <w:proofErr w:type="spellEnd"/>
      <w:r w:rsidR="00A97CC3">
        <w:rPr>
          <w:i/>
          <w:iCs/>
          <w:lang w:val="en-GB"/>
        </w:rPr>
        <w:t xml:space="preserve"> </w:t>
      </w:r>
      <w:proofErr w:type="spellStart"/>
      <w:r w:rsidR="00A97CC3">
        <w:rPr>
          <w:i/>
          <w:iCs/>
          <w:lang w:val="en-GB"/>
        </w:rPr>
        <w:t>honestiores</w:t>
      </w:r>
      <w:proofErr w:type="spellEnd"/>
      <w:r w:rsidR="00A97CC3">
        <w:rPr>
          <w:lang w:val="en-GB"/>
        </w:rPr>
        <w:t xml:space="preserve">, 34.7) at his </w:t>
      </w:r>
      <w:proofErr w:type="gramStart"/>
      <w:r w:rsidR="00A97CC3">
        <w:rPr>
          <w:lang w:val="en-GB"/>
        </w:rPr>
        <w:t>table, but</w:t>
      </w:r>
      <w:proofErr w:type="gramEnd"/>
      <w:r w:rsidR="00A97CC3">
        <w:rPr>
          <w:lang w:val="en-GB"/>
        </w:rPr>
        <w:t xml:space="preserve"> had served worse wine. Such a tactless comment </w:t>
      </w:r>
      <w:r w:rsidR="00A70387">
        <w:rPr>
          <w:lang w:val="en-GB"/>
        </w:rPr>
        <w:t xml:space="preserve">insults both his present guests and his previous </w:t>
      </w:r>
      <w:proofErr w:type="gramStart"/>
      <w:r w:rsidR="00A70387">
        <w:rPr>
          <w:lang w:val="en-GB"/>
        </w:rPr>
        <w:t>guests, and</w:t>
      </w:r>
      <w:proofErr w:type="gramEnd"/>
      <w:r w:rsidR="00A70387">
        <w:rPr>
          <w:lang w:val="en-GB"/>
        </w:rPr>
        <w:t xml:space="preserve"> is an example of him trumpeting his generosity towards those at </w:t>
      </w:r>
      <w:r w:rsidR="00EF33CB">
        <w:rPr>
          <w:lang w:val="en-GB"/>
        </w:rPr>
        <w:t xml:space="preserve">the dinner. They should feel themselves blessed to be treated with such </w:t>
      </w:r>
      <w:r w:rsidR="00B32447">
        <w:rPr>
          <w:lang w:val="en-GB"/>
        </w:rPr>
        <w:t>condescension</w:t>
      </w:r>
      <w:r w:rsidR="00BA1DE0">
        <w:rPr>
          <w:lang w:val="en-GB"/>
        </w:rPr>
        <w:t xml:space="preserve">. </w:t>
      </w:r>
      <w:proofErr w:type="spellStart"/>
      <w:r w:rsidR="00BA1DE0">
        <w:rPr>
          <w:lang w:val="en-GB"/>
        </w:rPr>
        <w:t>Trimalchio’s</w:t>
      </w:r>
      <w:proofErr w:type="spellEnd"/>
      <w:r w:rsidR="00BA1DE0">
        <w:rPr>
          <w:lang w:val="en-GB"/>
        </w:rPr>
        <w:t xml:space="preserve"> bragging about the </w:t>
      </w:r>
      <w:proofErr w:type="spellStart"/>
      <w:r w:rsidR="00BA1DE0">
        <w:rPr>
          <w:i/>
          <w:iCs/>
          <w:lang w:val="en-GB"/>
        </w:rPr>
        <w:t>honestiores</w:t>
      </w:r>
      <w:proofErr w:type="spellEnd"/>
      <w:r w:rsidR="00BA1DE0">
        <w:rPr>
          <w:i/>
          <w:iCs/>
          <w:lang w:val="en-GB"/>
        </w:rPr>
        <w:t xml:space="preserve"> </w:t>
      </w:r>
      <w:r w:rsidR="00BA1DE0">
        <w:rPr>
          <w:lang w:val="en-GB"/>
        </w:rPr>
        <w:t xml:space="preserve">guests he had </w:t>
      </w:r>
      <w:r w:rsidR="00160DA6">
        <w:rPr>
          <w:lang w:val="en-GB"/>
        </w:rPr>
        <w:t xml:space="preserve">illustrates another feature of his character. </w:t>
      </w:r>
      <w:proofErr w:type="spellStart"/>
      <w:r w:rsidR="00160DA6">
        <w:rPr>
          <w:lang w:val="en-GB"/>
        </w:rPr>
        <w:t>Encolpius</w:t>
      </w:r>
      <w:proofErr w:type="spellEnd"/>
      <w:r w:rsidR="00160DA6">
        <w:rPr>
          <w:lang w:val="en-GB"/>
        </w:rPr>
        <w:t xml:space="preserve"> and </w:t>
      </w:r>
      <w:proofErr w:type="spellStart"/>
      <w:r w:rsidR="00160DA6">
        <w:rPr>
          <w:lang w:val="en-GB"/>
        </w:rPr>
        <w:t>Asc</w:t>
      </w:r>
      <w:r w:rsidR="00753BB6">
        <w:rPr>
          <w:lang w:val="en-GB"/>
        </w:rPr>
        <w:t>yltus</w:t>
      </w:r>
      <w:proofErr w:type="spellEnd"/>
      <w:r w:rsidR="00753BB6">
        <w:rPr>
          <w:lang w:val="en-GB"/>
        </w:rPr>
        <w:t xml:space="preserve"> were invited as </w:t>
      </w:r>
      <w:proofErr w:type="spellStart"/>
      <w:r w:rsidR="00753BB6">
        <w:rPr>
          <w:i/>
          <w:iCs/>
          <w:lang w:val="en-GB"/>
        </w:rPr>
        <w:t>scholasti</w:t>
      </w:r>
      <w:proofErr w:type="spellEnd"/>
      <w:r w:rsidR="00753BB6">
        <w:rPr>
          <w:rStyle w:val="FootnoteReference"/>
          <w:i/>
          <w:iCs/>
          <w:lang w:val="en-GB"/>
        </w:rPr>
        <w:footnoteReference w:id="15"/>
      </w:r>
      <w:r w:rsidR="00753BB6">
        <w:rPr>
          <w:lang w:val="en-GB"/>
        </w:rPr>
        <w:t xml:space="preserve">: by adding a veneer of learning to the dinner, </w:t>
      </w:r>
      <w:r w:rsidR="00FA391B">
        <w:rPr>
          <w:lang w:val="en-GB"/>
        </w:rPr>
        <w:t xml:space="preserve">they become both part of the spectacle themselves (allowing </w:t>
      </w:r>
      <w:proofErr w:type="spellStart"/>
      <w:r w:rsidR="00FA391B">
        <w:rPr>
          <w:lang w:val="en-GB"/>
        </w:rPr>
        <w:t>Trimalchio</w:t>
      </w:r>
      <w:proofErr w:type="spellEnd"/>
      <w:r w:rsidR="00FA391B">
        <w:rPr>
          <w:lang w:val="en-GB"/>
        </w:rPr>
        <w:t xml:space="preserve"> to parade them to his other guests</w:t>
      </w:r>
      <w:r w:rsidR="00BB5D91">
        <w:rPr>
          <w:rStyle w:val="FootnoteReference"/>
          <w:lang w:val="en-GB"/>
        </w:rPr>
        <w:footnoteReference w:id="16"/>
      </w:r>
      <w:proofErr w:type="gramStart"/>
      <w:r w:rsidR="00FA391B">
        <w:rPr>
          <w:lang w:val="en-GB"/>
        </w:rPr>
        <w:t>), and</w:t>
      </w:r>
      <w:proofErr w:type="gramEnd"/>
      <w:r w:rsidR="00FA391B">
        <w:rPr>
          <w:lang w:val="en-GB"/>
        </w:rPr>
        <w:t xml:space="preserve"> </w:t>
      </w:r>
      <w:r w:rsidR="00983908">
        <w:rPr>
          <w:lang w:val="en-GB"/>
        </w:rPr>
        <w:t xml:space="preserve">perhaps fodder for future comments of such supposedly learned men having attended a dinner at </w:t>
      </w:r>
      <w:proofErr w:type="spellStart"/>
      <w:r w:rsidR="00983908">
        <w:rPr>
          <w:lang w:val="en-GB"/>
        </w:rPr>
        <w:t>Trimalchio’s</w:t>
      </w:r>
      <w:proofErr w:type="spellEnd"/>
      <w:r w:rsidR="00983908">
        <w:rPr>
          <w:lang w:val="en-GB"/>
        </w:rPr>
        <w:t xml:space="preserve"> table. </w:t>
      </w:r>
    </w:p>
    <w:p w14:paraId="51A73DB4" w14:textId="77777777" w:rsidR="00BA3825" w:rsidRDefault="00BA3825">
      <w:pPr>
        <w:rPr>
          <w:lang w:val="en-GB"/>
        </w:rPr>
      </w:pPr>
    </w:p>
    <w:p w14:paraId="78BE7A89" w14:textId="59EBE4D9" w:rsidR="00BA3825" w:rsidRPr="000F172B" w:rsidRDefault="003A0720">
      <w:pPr>
        <w:rPr>
          <w:lang w:val="en-GB"/>
        </w:rPr>
      </w:pPr>
      <w:r>
        <w:rPr>
          <w:lang w:val="en-GB"/>
        </w:rPr>
        <w:lastRenderedPageBreak/>
        <w:t>The silver skeleton that arrives at the table next</w:t>
      </w:r>
      <w:r w:rsidR="00167C7B">
        <w:rPr>
          <w:lang w:val="en-GB"/>
        </w:rPr>
        <w:t xml:space="preserve"> (34.8)</w:t>
      </w:r>
      <w:r>
        <w:rPr>
          <w:lang w:val="en-GB"/>
        </w:rPr>
        <w:t xml:space="preserve"> is noted by many as continuing the funerary and death imagery prevalent in the </w:t>
      </w:r>
      <w:r>
        <w:rPr>
          <w:i/>
          <w:iCs/>
          <w:lang w:val="en-GB"/>
        </w:rPr>
        <w:t>Cena</w:t>
      </w:r>
      <w:r>
        <w:rPr>
          <w:rStyle w:val="FootnoteReference"/>
          <w:i/>
          <w:iCs/>
          <w:lang w:val="en-GB"/>
        </w:rPr>
        <w:footnoteReference w:id="17"/>
      </w:r>
      <w:r w:rsidR="000F172B">
        <w:rPr>
          <w:lang w:val="en-GB"/>
        </w:rPr>
        <w:t>,</w:t>
      </w:r>
      <w:r w:rsidR="00163824">
        <w:rPr>
          <w:lang w:val="en-GB"/>
        </w:rPr>
        <w:t xml:space="preserve"> and the poem</w:t>
      </w:r>
      <w:r w:rsidR="00613411">
        <w:rPr>
          <w:lang w:val="en-GB"/>
        </w:rPr>
        <w:t xml:space="preserve"> </w:t>
      </w:r>
      <w:proofErr w:type="spellStart"/>
      <w:r w:rsidR="00613411">
        <w:rPr>
          <w:lang w:val="en-GB"/>
        </w:rPr>
        <w:t>Trimalchio</w:t>
      </w:r>
      <w:proofErr w:type="spellEnd"/>
      <w:r w:rsidR="00613411">
        <w:rPr>
          <w:lang w:val="en-GB"/>
        </w:rPr>
        <w:t xml:space="preserve"> reads to accompany it echoes the theme</w:t>
      </w:r>
      <w:r w:rsidR="0031482E">
        <w:rPr>
          <w:rStyle w:val="FootnoteReference"/>
          <w:lang w:val="en-GB"/>
        </w:rPr>
        <w:footnoteReference w:id="18"/>
      </w:r>
      <w:r w:rsidR="00613411">
        <w:rPr>
          <w:lang w:val="en-GB"/>
        </w:rPr>
        <w:t>,</w:t>
      </w:r>
      <w:r w:rsidR="000F172B">
        <w:rPr>
          <w:lang w:val="en-GB"/>
        </w:rPr>
        <w:t xml:space="preserve"> however once again this may not be an unusual feature of Roman dinner parties. </w:t>
      </w:r>
      <w:r w:rsidR="0034520D">
        <w:rPr>
          <w:lang w:val="en-GB"/>
        </w:rPr>
        <w:t>Smith</w:t>
      </w:r>
      <w:r w:rsidR="0034520D">
        <w:rPr>
          <w:rStyle w:val="FootnoteReference"/>
          <w:lang w:val="en-GB"/>
        </w:rPr>
        <w:footnoteReference w:id="19"/>
      </w:r>
      <w:r w:rsidR="0034520D">
        <w:rPr>
          <w:lang w:val="en-GB"/>
        </w:rPr>
        <w:t xml:space="preserve"> notes a Pompeiian cup painted with skeletons and an inscription </w:t>
      </w:r>
      <w:r w:rsidR="00B770EE">
        <w:rPr>
          <w:lang w:val="en-GB"/>
        </w:rPr>
        <w:t xml:space="preserve">reminding drinkers that “tomorrow is uncertain”. </w:t>
      </w:r>
      <w:r w:rsidR="00167C7B">
        <w:rPr>
          <w:lang w:val="en-GB"/>
        </w:rPr>
        <w:t xml:space="preserve">What is notable here is the way </w:t>
      </w:r>
      <w:proofErr w:type="spellStart"/>
      <w:r w:rsidR="00167C7B">
        <w:rPr>
          <w:lang w:val="en-GB"/>
        </w:rPr>
        <w:t>Trimalchio</w:t>
      </w:r>
      <w:proofErr w:type="spellEnd"/>
      <w:r w:rsidR="00167C7B">
        <w:rPr>
          <w:lang w:val="en-GB"/>
        </w:rPr>
        <w:t xml:space="preserve"> appears more </w:t>
      </w:r>
      <w:r w:rsidR="003912AF">
        <w:rPr>
          <w:lang w:val="en-GB"/>
        </w:rPr>
        <w:t>preoccupied by the clever and expensive trinket (repeatedly throwing it down to demonstrate how its joints move)</w:t>
      </w:r>
      <w:r w:rsidR="00744BF0">
        <w:rPr>
          <w:lang w:val="en-GB"/>
        </w:rPr>
        <w:t xml:space="preserve"> than the message it represents. </w:t>
      </w:r>
    </w:p>
    <w:p w14:paraId="523873ED" w14:textId="77777777" w:rsidR="0002415E" w:rsidRDefault="0002415E">
      <w:pPr>
        <w:rPr>
          <w:lang w:val="en-GB"/>
        </w:rPr>
      </w:pPr>
    </w:p>
    <w:p w14:paraId="3276551A" w14:textId="77777777" w:rsidR="0002415E" w:rsidRDefault="0002415E">
      <w:pPr>
        <w:rPr>
          <w:lang w:val="en-GB"/>
        </w:rPr>
      </w:pPr>
    </w:p>
    <w:p w14:paraId="50904074" w14:textId="77777777" w:rsidR="0002415E" w:rsidRDefault="0002415E">
      <w:pPr>
        <w:rPr>
          <w:lang w:val="en-GB"/>
        </w:rPr>
      </w:pPr>
    </w:p>
    <w:p w14:paraId="732A210A" w14:textId="2A10E157" w:rsidR="0002415E" w:rsidRDefault="0002415E">
      <w:pPr>
        <w:rPr>
          <w:b/>
          <w:bCs/>
          <w:u w:val="single"/>
          <w:lang w:val="en-GB"/>
        </w:rPr>
      </w:pPr>
      <w:r>
        <w:rPr>
          <w:b/>
          <w:bCs/>
          <w:u w:val="single"/>
          <w:lang w:val="en-GB"/>
        </w:rPr>
        <w:t>References</w:t>
      </w:r>
    </w:p>
    <w:p w14:paraId="7DE0311F" w14:textId="77777777" w:rsidR="0002415E" w:rsidRDefault="0002415E">
      <w:pPr>
        <w:rPr>
          <w:b/>
          <w:bCs/>
          <w:u w:val="single"/>
          <w:lang w:val="en-GB"/>
        </w:rPr>
      </w:pPr>
    </w:p>
    <w:p w14:paraId="26A391F3" w14:textId="799BCFB3" w:rsidR="0002415E" w:rsidRDefault="0002415E">
      <w:pPr>
        <w:rPr>
          <w:b/>
          <w:bCs/>
          <w:u w:val="single"/>
          <w:lang w:val="en-GB"/>
        </w:rPr>
      </w:pPr>
      <w:r>
        <w:rPr>
          <w:b/>
          <w:bCs/>
          <w:u w:val="single"/>
          <w:lang w:val="en-GB"/>
        </w:rPr>
        <w:t>Primary Sources</w:t>
      </w:r>
    </w:p>
    <w:p w14:paraId="3632A1CD" w14:textId="77777777" w:rsidR="0002415E" w:rsidRDefault="0002415E">
      <w:pPr>
        <w:rPr>
          <w:b/>
          <w:bCs/>
          <w:u w:val="single"/>
          <w:lang w:val="en-GB"/>
        </w:rPr>
      </w:pPr>
    </w:p>
    <w:p w14:paraId="58CEA033" w14:textId="77777777" w:rsidR="003D1C0E" w:rsidRPr="0031558F" w:rsidRDefault="003D1C0E" w:rsidP="003D1C0E">
      <w:pPr>
        <w:rPr>
          <w:rFonts w:ascii="Calibri" w:hAnsi="Calibri" w:cs="Calibri"/>
          <w:sz w:val="24"/>
          <w:szCs w:val="24"/>
        </w:rPr>
      </w:pPr>
      <w:r w:rsidRPr="0031558F">
        <w:rPr>
          <w:rFonts w:ascii="Calibri" w:hAnsi="Calibri" w:cs="Calibri"/>
          <w:sz w:val="24"/>
          <w:szCs w:val="24"/>
        </w:rPr>
        <w:t xml:space="preserve">Petronius, Seneca (2020) </w:t>
      </w:r>
      <w:r w:rsidRPr="0031558F">
        <w:rPr>
          <w:rFonts w:ascii="Calibri" w:hAnsi="Calibri" w:cs="Calibri"/>
          <w:i/>
          <w:iCs/>
          <w:sz w:val="24"/>
          <w:szCs w:val="24"/>
        </w:rPr>
        <w:t xml:space="preserve">Satyricon. </w:t>
      </w:r>
      <w:proofErr w:type="spellStart"/>
      <w:r w:rsidRPr="0031558F">
        <w:rPr>
          <w:rFonts w:ascii="Calibri" w:hAnsi="Calibri" w:cs="Calibri"/>
          <w:i/>
          <w:iCs/>
          <w:sz w:val="24"/>
          <w:szCs w:val="24"/>
        </w:rPr>
        <w:t>Apocolocyntosis</w:t>
      </w:r>
      <w:proofErr w:type="spellEnd"/>
      <w:r w:rsidRPr="0031558F">
        <w:rPr>
          <w:rFonts w:ascii="Calibri" w:hAnsi="Calibri" w:cs="Calibri"/>
          <w:i/>
          <w:iCs/>
          <w:sz w:val="24"/>
          <w:szCs w:val="24"/>
        </w:rPr>
        <w:t>. </w:t>
      </w:r>
      <w:r w:rsidRPr="0031558F">
        <w:rPr>
          <w:rFonts w:ascii="Calibri" w:hAnsi="Calibri" w:cs="Calibri"/>
          <w:sz w:val="24"/>
          <w:szCs w:val="24"/>
        </w:rPr>
        <w:t>Edited and translated by G. Schmeling. Loeb Classical Library 15. Cambridge, MA: Harvard University Press.</w:t>
      </w:r>
    </w:p>
    <w:p w14:paraId="2DBA229D" w14:textId="77777777" w:rsidR="003D1C0E" w:rsidRDefault="003D1C0E" w:rsidP="0002415E">
      <w:pPr>
        <w:jc w:val="left"/>
      </w:pPr>
    </w:p>
    <w:p w14:paraId="4FE205E7" w14:textId="1A861FAE" w:rsidR="005C725C" w:rsidRPr="0031558F" w:rsidRDefault="005C725C" w:rsidP="005C725C">
      <w:pPr>
        <w:rPr>
          <w:rFonts w:ascii="Calibri" w:hAnsi="Calibri" w:cs="Calibri"/>
          <w:sz w:val="24"/>
          <w:szCs w:val="24"/>
        </w:rPr>
      </w:pPr>
      <w:r w:rsidRPr="0031558F">
        <w:rPr>
          <w:rFonts w:ascii="Calibri" w:hAnsi="Calibri" w:cs="Calibri"/>
          <w:sz w:val="24"/>
          <w:szCs w:val="24"/>
        </w:rPr>
        <w:t>Pliny (19</w:t>
      </w:r>
      <w:r w:rsidR="00D30CC8">
        <w:rPr>
          <w:rFonts w:ascii="Calibri" w:hAnsi="Calibri" w:cs="Calibri"/>
          <w:sz w:val="24"/>
          <w:szCs w:val="24"/>
        </w:rPr>
        <w:t>45</w:t>
      </w:r>
      <w:r w:rsidRPr="0031558F">
        <w:rPr>
          <w:rFonts w:ascii="Calibri" w:hAnsi="Calibri" w:cs="Calibri"/>
          <w:sz w:val="24"/>
          <w:szCs w:val="24"/>
        </w:rPr>
        <w:t>) </w:t>
      </w:r>
      <w:r w:rsidRPr="0031558F">
        <w:rPr>
          <w:rFonts w:ascii="Calibri" w:hAnsi="Calibri" w:cs="Calibri"/>
          <w:i/>
          <w:iCs/>
          <w:sz w:val="24"/>
          <w:szCs w:val="24"/>
        </w:rPr>
        <w:t>Natural History, Volume I</w:t>
      </w:r>
      <w:r w:rsidR="00D30CC8">
        <w:rPr>
          <w:rFonts w:ascii="Calibri" w:hAnsi="Calibri" w:cs="Calibri"/>
          <w:i/>
          <w:iCs/>
          <w:sz w:val="24"/>
          <w:szCs w:val="24"/>
        </w:rPr>
        <w:t>V</w:t>
      </w:r>
      <w:r w:rsidRPr="0031558F">
        <w:rPr>
          <w:rFonts w:ascii="Calibri" w:hAnsi="Calibri" w:cs="Calibri"/>
          <w:i/>
          <w:iCs/>
          <w:sz w:val="24"/>
          <w:szCs w:val="24"/>
        </w:rPr>
        <w:t>: Books 1</w:t>
      </w:r>
      <w:r w:rsidR="00D30CC8">
        <w:rPr>
          <w:rFonts w:ascii="Calibri" w:hAnsi="Calibri" w:cs="Calibri"/>
          <w:i/>
          <w:iCs/>
          <w:sz w:val="24"/>
          <w:szCs w:val="24"/>
        </w:rPr>
        <w:t>2</w:t>
      </w:r>
      <w:r w:rsidRPr="0031558F">
        <w:rPr>
          <w:rFonts w:ascii="Calibri" w:hAnsi="Calibri" w:cs="Calibri"/>
          <w:i/>
          <w:iCs/>
          <w:sz w:val="24"/>
          <w:szCs w:val="24"/>
        </w:rPr>
        <w:t>-</w:t>
      </w:r>
      <w:r w:rsidR="00D30CC8">
        <w:rPr>
          <w:rFonts w:ascii="Calibri" w:hAnsi="Calibri" w:cs="Calibri"/>
          <w:i/>
          <w:iCs/>
          <w:sz w:val="24"/>
          <w:szCs w:val="24"/>
        </w:rPr>
        <w:t>16</w:t>
      </w:r>
      <w:r w:rsidRPr="0031558F">
        <w:rPr>
          <w:rFonts w:ascii="Calibri" w:hAnsi="Calibri" w:cs="Calibri"/>
          <w:i/>
          <w:iCs/>
          <w:sz w:val="24"/>
          <w:szCs w:val="24"/>
        </w:rPr>
        <w:t>. </w:t>
      </w:r>
      <w:r w:rsidRPr="0031558F">
        <w:rPr>
          <w:rFonts w:ascii="Calibri" w:hAnsi="Calibri" w:cs="Calibri"/>
          <w:sz w:val="24"/>
          <w:szCs w:val="24"/>
        </w:rPr>
        <w:t>Translated by H. Rackham. Loeb Classical Library 3</w:t>
      </w:r>
      <w:r w:rsidR="00D30CC8">
        <w:rPr>
          <w:rFonts w:ascii="Calibri" w:hAnsi="Calibri" w:cs="Calibri"/>
          <w:sz w:val="24"/>
          <w:szCs w:val="24"/>
        </w:rPr>
        <w:t>7</w:t>
      </w:r>
      <w:r w:rsidRPr="0031558F">
        <w:rPr>
          <w:rFonts w:ascii="Calibri" w:hAnsi="Calibri" w:cs="Calibri"/>
          <w:sz w:val="24"/>
          <w:szCs w:val="24"/>
        </w:rPr>
        <w:t>0. Cambridge, MA: Harvard University Press.</w:t>
      </w:r>
    </w:p>
    <w:p w14:paraId="64EE57C7" w14:textId="77777777" w:rsidR="00D30CC8" w:rsidRDefault="00D30CC8" w:rsidP="0002415E">
      <w:pPr>
        <w:jc w:val="left"/>
      </w:pPr>
    </w:p>
    <w:p w14:paraId="53E2CFCE" w14:textId="4356685C" w:rsidR="0002415E" w:rsidRPr="0002415E" w:rsidRDefault="0002415E" w:rsidP="0002415E">
      <w:pPr>
        <w:jc w:val="left"/>
        <w:rPr>
          <w:lang w:val="en-GB"/>
        </w:rPr>
      </w:pPr>
      <w:r w:rsidRPr="0002415E">
        <w:t>Suetonius</w:t>
      </w:r>
      <w:r>
        <w:t xml:space="preserve"> (1914)</w:t>
      </w:r>
      <w:r w:rsidRPr="0002415E">
        <w:t> </w:t>
      </w:r>
      <w:r w:rsidRPr="0002415E">
        <w:rPr>
          <w:i/>
          <w:iCs/>
        </w:rPr>
        <w:t>Lives of the Caesars, Volume I: Julius. Augustus. Tiberius. Gaius Caligula. </w:t>
      </w:r>
      <w:r w:rsidRPr="0002415E">
        <w:t>Translated by J. C. Rolfe. Introduction by K. R. Bradley. Loeb Classical Library 31. Cambridge, MA: Harvard University Press.</w:t>
      </w:r>
    </w:p>
    <w:p w14:paraId="3B289C06" w14:textId="77777777" w:rsidR="0002415E" w:rsidRDefault="0002415E">
      <w:pPr>
        <w:rPr>
          <w:b/>
          <w:bCs/>
          <w:u w:val="single"/>
          <w:lang w:val="en-GB"/>
        </w:rPr>
      </w:pPr>
    </w:p>
    <w:p w14:paraId="4C8F227F" w14:textId="54924955" w:rsidR="0002415E" w:rsidRDefault="0002415E">
      <w:pPr>
        <w:rPr>
          <w:b/>
          <w:bCs/>
          <w:u w:val="single"/>
          <w:lang w:val="en-GB"/>
        </w:rPr>
      </w:pPr>
      <w:r>
        <w:rPr>
          <w:b/>
          <w:bCs/>
          <w:u w:val="single"/>
          <w:lang w:val="en-GB"/>
        </w:rPr>
        <w:t xml:space="preserve">Secondary sources </w:t>
      </w:r>
    </w:p>
    <w:p w14:paraId="202CF45A" w14:textId="77777777" w:rsidR="0002415E" w:rsidRDefault="0002415E">
      <w:pPr>
        <w:rPr>
          <w:lang w:val="en-GB"/>
        </w:rPr>
      </w:pPr>
    </w:p>
    <w:p w14:paraId="6603A276" w14:textId="5429B6EA" w:rsidR="00676EE5" w:rsidRPr="00F20B64" w:rsidRDefault="00676EE5">
      <w:pPr>
        <w:rPr>
          <w:lang w:val="en-GB"/>
        </w:rPr>
      </w:pPr>
      <w:r>
        <w:rPr>
          <w:lang w:val="en-GB"/>
        </w:rPr>
        <w:t>Bartsch</w:t>
      </w:r>
      <w:r w:rsidR="00F55032">
        <w:rPr>
          <w:lang w:val="en-GB"/>
        </w:rPr>
        <w:t>, S.</w:t>
      </w:r>
      <w:r>
        <w:rPr>
          <w:lang w:val="en-GB"/>
        </w:rPr>
        <w:t xml:space="preserve"> (2008)</w:t>
      </w:r>
      <w:r w:rsidR="00F55032">
        <w:rPr>
          <w:lang w:val="en-GB"/>
        </w:rPr>
        <w:t xml:space="preserve"> ‘The Roman novel’, in T. Whitmarsh and S. Bartsch ‘Narrative’</w:t>
      </w:r>
      <w:r w:rsidR="00F20B64">
        <w:rPr>
          <w:lang w:val="en-GB"/>
        </w:rPr>
        <w:t xml:space="preserve">, in </w:t>
      </w:r>
      <w:r w:rsidR="00491258">
        <w:rPr>
          <w:lang w:val="en-GB"/>
        </w:rPr>
        <w:t xml:space="preserve">T. Whitmarsh (ed.) </w:t>
      </w:r>
      <w:r w:rsidR="00F20B64">
        <w:rPr>
          <w:i/>
          <w:iCs/>
          <w:lang w:val="en-GB"/>
        </w:rPr>
        <w:t>The Cambridge companion to the Greek and Roman novel.</w:t>
      </w:r>
      <w:r w:rsidR="00F20B64">
        <w:rPr>
          <w:lang w:val="en-GB"/>
        </w:rPr>
        <w:t xml:space="preserve"> </w:t>
      </w:r>
      <w:r w:rsidR="00D31DF0">
        <w:rPr>
          <w:lang w:val="en-GB"/>
        </w:rPr>
        <w:t xml:space="preserve">Cambridge: Cambridge University Press, </w:t>
      </w:r>
      <w:r w:rsidR="00F20B64">
        <w:rPr>
          <w:lang w:val="en-GB"/>
        </w:rPr>
        <w:t>pp. 245-56.</w:t>
      </w:r>
    </w:p>
    <w:p w14:paraId="0A825558" w14:textId="77777777" w:rsidR="00E3655C" w:rsidRDefault="00E3655C">
      <w:pPr>
        <w:rPr>
          <w:lang w:val="en-GB"/>
        </w:rPr>
      </w:pPr>
    </w:p>
    <w:p w14:paraId="57F73428" w14:textId="77777777" w:rsidR="00AE6D51" w:rsidRDefault="00AE6D51" w:rsidP="00AE6D51">
      <w:pPr>
        <w:rPr>
          <w:rFonts w:ascii="Calibri" w:hAnsi="Calibri" w:cs="Calibri"/>
          <w:sz w:val="24"/>
          <w:szCs w:val="24"/>
          <w:lang w:val="en-GB"/>
        </w:rPr>
      </w:pPr>
      <w:r w:rsidRPr="0031558F">
        <w:rPr>
          <w:rFonts w:ascii="Calibri" w:hAnsi="Calibri" w:cs="Calibri"/>
          <w:sz w:val="24"/>
          <w:szCs w:val="24"/>
          <w:lang w:val="en-GB"/>
        </w:rPr>
        <w:t xml:space="preserve">Courtney, E. (2001) </w:t>
      </w:r>
      <w:r w:rsidRPr="0031558F">
        <w:rPr>
          <w:rFonts w:ascii="Calibri" w:hAnsi="Calibri" w:cs="Calibri"/>
          <w:i/>
          <w:iCs/>
          <w:sz w:val="24"/>
          <w:szCs w:val="24"/>
          <w:lang w:val="en-GB"/>
        </w:rPr>
        <w:t>A companion to Petronius</w:t>
      </w:r>
      <w:r w:rsidRPr="0031558F">
        <w:rPr>
          <w:rFonts w:ascii="Calibri" w:hAnsi="Calibri" w:cs="Calibri"/>
          <w:sz w:val="24"/>
          <w:szCs w:val="24"/>
          <w:lang w:val="en-GB"/>
        </w:rPr>
        <w:t>. Oxford: Oxford University Press.</w:t>
      </w:r>
    </w:p>
    <w:p w14:paraId="008D6519" w14:textId="77777777" w:rsidR="000A6FC0" w:rsidRPr="0031558F" w:rsidRDefault="000A6FC0" w:rsidP="00AE6D51">
      <w:pPr>
        <w:rPr>
          <w:rFonts w:ascii="Calibri" w:hAnsi="Calibri" w:cs="Calibri"/>
          <w:sz w:val="24"/>
          <w:szCs w:val="24"/>
          <w:lang w:val="en-GB"/>
        </w:rPr>
      </w:pPr>
    </w:p>
    <w:p w14:paraId="5CAD90E7" w14:textId="4949E2A6" w:rsidR="000A6FC0" w:rsidRPr="0031558F" w:rsidRDefault="000A6FC0" w:rsidP="000A6FC0">
      <w:pPr>
        <w:rPr>
          <w:rFonts w:ascii="Calibri" w:hAnsi="Calibri" w:cs="Calibri"/>
          <w:sz w:val="24"/>
          <w:szCs w:val="24"/>
          <w:lang w:val="en-GB"/>
        </w:rPr>
      </w:pPr>
      <w:r w:rsidRPr="0031558F">
        <w:rPr>
          <w:rFonts w:ascii="Calibri" w:hAnsi="Calibri" w:cs="Calibri"/>
          <w:sz w:val="24"/>
          <w:szCs w:val="24"/>
          <w:lang w:val="en-GB"/>
        </w:rPr>
        <w:lastRenderedPageBreak/>
        <w:t>Morales, H. (2011) ‘</w:t>
      </w:r>
      <w:r w:rsidR="003A1151">
        <w:rPr>
          <w:rFonts w:ascii="Calibri" w:hAnsi="Calibri" w:cs="Calibri"/>
          <w:sz w:val="24"/>
          <w:szCs w:val="24"/>
          <w:lang w:val="en-GB"/>
        </w:rPr>
        <w:t>Note</w:t>
      </w:r>
      <w:r w:rsidR="00DD1351">
        <w:rPr>
          <w:rFonts w:ascii="Calibri" w:hAnsi="Calibri" w:cs="Calibri"/>
          <w:sz w:val="24"/>
          <w:szCs w:val="24"/>
          <w:lang w:val="en-GB"/>
        </w:rPr>
        <w:t>s’</w:t>
      </w:r>
      <w:r w:rsidRPr="0031558F">
        <w:rPr>
          <w:rFonts w:ascii="Calibri" w:hAnsi="Calibri" w:cs="Calibri"/>
          <w:sz w:val="24"/>
          <w:szCs w:val="24"/>
          <w:lang w:val="en-GB"/>
        </w:rPr>
        <w:t xml:space="preserve">, in Petronius and J. P. Sullivan, </w:t>
      </w:r>
      <w:r w:rsidRPr="0031558F">
        <w:rPr>
          <w:rFonts w:ascii="Calibri" w:hAnsi="Calibri" w:cs="Calibri"/>
          <w:i/>
          <w:iCs/>
          <w:sz w:val="24"/>
          <w:szCs w:val="24"/>
          <w:lang w:val="en-GB"/>
        </w:rPr>
        <w:t xml:space="preserve">Satyricon </w:t>
      </w:r>
      <w:r w:rsidRPr="0031558F">
        <w:rPr>
          <w:rFonts w:ascii="Calibri" w:hAnsi="Calibri" w:cs="Calibri"/>
          <w:sz w:val="24"/>
          <w:szCs w:val="24"/>
          <w:lang w:val="en-GB"/>
        </w:rPr>
        <w:t xml:space="preserve">(revised edition). London: Penguin Books Limited, pp. </w:t>
      </w:r>
      <w:r w:rsidR="00212867">
        <w:rPr>
          <w:rFonts w:ascii="Calibri" w:hAnsi="Calibri" w:cs="Calibri"/>
          <w:sz w:val="24"/>
          <w:szCs w:val="24"/>
          <w:lang w:val="en-GB"/>
        </w:rPr>
        <w:t>171-94</w:t>
      </w:r>
      <w:r w:rsidRPr="0031558F">
        <w:rPr>
          <w:rFonts w:ascii="Calibri" w:hAnsi="Calibri" w:cs="Calibri"/>
          <w:sz w:val="24"/>
          <w:szCs w:val="24"/>
          <w:lang w:val="en-GB"/>
        </w:rPr>
        <w:t>.</w:t>
      </w:r>
    </w:p>
    <w:p w14:paraId="2EC1533A" w14:textId="77777777" w:rsidR="00E7676B" w:rsidRPr="0031558F" w:rsidRDefault="00E7676B" w:rsidP="00E7676B">
      <w:pPr>
        <w:rPr>
          <w:rFonts w:ascii="Calibri" w:hAnsi="Calibri" w:cs="Calibri"/>
          <w:sz w:val="24"/>
          <w:szCs w:val="24"/>
          <w:lang w:val="en-GB"/>
        </w:rPr>
      </w:pPr>
    </w:p>
    <w:p w14:paraId="49A29E34" w14:textId="77777777" w:rsidR="00E7676B" w:rsidRDefault="00E7676B" w:rsidP="00E7676B">
      <w:pPr>
        <w:rPr>
          <w:rFonts w:ascii="Calibri" w:hAnsi="Calibri" w:cs="Calibri"/>
          <w:sz w:val="24"/>
          <w:szCs w:val="24"/>
          <w:lang w:val="en-GB"/>
        </w:rPr>
      </w:pPr>
      <w:r w:rsidRPr="0031558F">
        <w:rPr>
          <w:rFonts w:ascii="Calibri" w:hAnsi="Calibri" w:cs="Calibri"/>
          <w:sz w:val="24"/>
          <w:szCs w:val="24"/>
          <w:lang w:val="en-GB"/>
        </w:rPr>
        <w:t xml:space="preserve">Smith, M. S. (1975) ‘Introduction’, in Petronius Arbiter and M. S. Smith, </w:t>
      </w:r>
      <w:r w:rsidRPr="0031558F">
        <w:rPr>
          <w:rFonts w:ascii="Calibri" w:hAnsi="Calibri" w:cs="Calibri"/>
          <w:i/>
          <w:iCs/>
          <w:sz w:val="24"/>
          <w:szCs w:val="24"/>
          <w:lang w:val="en-GB"/>
        </w:rPr>
        <w:t xml:space="preserve">Cena </w:t>
      </w:r>
      <w:proofErr w:type="spellStart"/>
      <w:r w:rsidRPr="0031558F">
        <w:rPr>
          <w:rFonts w:ascii="Calibri" w:hAnsi="Calibri" w:cs="Calibri"/>
          <w:i/>
          <w:iCs/>
          <w:sz w:val="24"/>
          <w:szCs w:val="24"/>
          <w:lang w:val="en-GB"/>
        </w:rPr>
        <w:t>Trimalchionis</w:t>
      </w:r>
      <w:proofErr w:type="spellEnd"/>
      <w:r w:rsidRPr="0031558F">
        <w:rPr>
          <w:rFonts w:ascii="Calibri" w:hAnsi="Calibri" w:cs="Calibri"/>
          <w:sz w:val="24"/>
          <w:szCs w:val="24"/>
          <w:lang w:val="en-GB"/>
        </w:rPr>
        <w:t xml:space="preserve">. Oxford: Clarendon Press. </w:t>
      </w:r>
    </w:p>
    <w:p w14:paraId="0C1D1AD6" w14:textId="77777777" w:rsidR="00E7676B" w:rsidRPr="0031558F" w:rsidRDefault="00E7676B" w:rsidP="00E7676B">
      <w:pPr>
        <w:rPr>
          <w:rFonts w:ascii="Calibri" w:hAnsi="Calibri" w:cs="Calibri"/>
          <w:sz w:val="24"/>
          <w:szCs w:val="24"/>
          <w:lang w:val="en-GB"/>
        </w:rPr>
      </w:pPr>
    </w:p>
    <w:p w14:paraId="32D3D7EB" w14:textId="5C97FB54" w:rsidR="001A3EAC" w:rsidRPr="00E7676B" w:rsidRDefault="001A3EAC">
      <w:pPr>
        <w:rPr>
          <w:lang w:val="en-GB"/>
        </w:rPr>
      </w:pPr>
      <w:r>
        <w:rPr>
          <w:lang w:val="en-GB"/>
        </w:rPr>
        <w:t>Walsh</w:t>
      </w:r>
      <w:r w:rsidR="00E7676B">
        <w:rPr>
          <w:lang w:val="en-GB"/>
        </w:rPr>
        <w:t>, P. G.</w:t>
      </w:r>
      <w:r>
        <w:rPr>
          <w:lang w:val="en-GB"/>
        </w:rPr>
        <w:t xml:space="preserve"> (1970)</w:t>
      </w:r>
      <w:r w:rsidR="00E7676B">
        <w:rPr>
          <w:lang w:val="en-GB"/>
        </w:rPr>
        <w:t xml:space="preserve"> </w:t>
      </w:r>
      <w:r w:rsidR="00E7676B">
        <w:rPr>
          <w:i/>
          <w:iCs/>
          <w:lang w:val="en-GB"/>
        </w:rPr>
        <w:t xml:space="preserve">The Roman novel. </w:t>
      </w:r>
      <w:r w:rsidR="00E7676B">
        <w:rPr>
          <w:lang w:val="en-GB"/>
        </w:rPr>
        <w:t>Cambridge: Cambridge University Press.</w:t>
      </w:r>
    </w:p>
    <w:sectPr w:rsidR="001A3EAC" w:rsidRPr="00E767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E03C5" w14:textId="77777777" w:rsidR="00B1465A" w:rsidRDefault="00B1465A" w:rsidP="00351778">
      <w:pPr>
        <w:spacing w:line="240" w:lineRule="auto"/>
      </w:pPr>
      <w:r>
        <w:separator/>
      </w:r>
    </w:p>
  </w:endnote>
  <w:endnote w:type="continuationSeparator" w:id="0">
    <w:p w14:paraId="36B26069" w14:textId="77777777" w:rsidR="00B1465A" w:rsidRDefault="00B1465A" w:rsidP="003517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8C33" w14:textId="77777777" w:rsidR="00B1465A" w:rsidRDefault="00B1465A" w:rsidP="00351778">
      <w:pPr>
        <w:spacing w:line="240" w:lineRule="auto"/>
      </w:pPr>
      <w:r>
        <w:separator/>
      </w:r>
    </w:p>
  </w:footnote>
  <w:footnote w:type="continuationSeparator" w:id="0">
    <w:p w14:paraId="71939FF8" w14:textId="77777777" w:rsidR="00B1465A" w:rsidRDefault="00B1465A" w:rsidP="00351778">
      <w:pPr>
        <w:spacing w:line="240" w:lineRule="auto"/>
      </w:pPr>
      <w:r>
        <w:continuationSeparator/>
      </w:r>
    </w:p>
  </w:footnote>
  <w:footnote w:id="1">
    <w:p w14:paraId="4774B202" w14:textId="5A03283C" w:rsidR="00351778" w:rsidRPr="00351778" w:rsidRDefault="00351778">
      <w:pPr>
        <w:pStyle w:val="FootnoteText"/>
        <w:rPr>
          <w:lang w:val="en-GB"/>
        </w:rPr>
      </w:pPr>
      <w:r>
        <w:rPr>
          <w:rStyle w:val="FootnoteReference"/>
        </w:rPr>
        <w:footnoteRef/>
      </w:r>
      <w:r>
        <w:t xml:space="preserve"> </w:t>
      </w:r>
      <w:r>
        <w:rPr>
          <w:lang w:val="en-GB"/>
        </w:rPr>
        <w:t xml:space="preserve">Suet. </w:t>
      </w:r>
      <w:r>
        <w:rPr>
          <w:i/>
          <w:iCs/>
          <w:lang w:val="en-GB"/>
        </w:rPr>
        <w:t xml:space="preserve">Aug. </w:t>
      </w:r>
      <w:r>
        <w:rPr>
          <w:lang w:val="en-GB"/>
        </w:rPr>
        <w:t>74</w:t>
      </w:r>
    </w:p>
  </w:footnote>
  <w:footnote w:id="2">
    <w:p w14:paraId="100553CC" w14:textId="745623C5" w:rsidR="004F39F3" w:rsidRPr="004F39F3" w:rsidRDefault="004F39F3">
      <w:pPr>
        <w:pStyle w:val="FootnoteText"/>
        <w:rPr>
          <w:lang w:val="en-GB"/>
        </w:rPr>
      </w:pPr>
      <w:r>
        <w:rPr>
          <w:rStyle w:val="FootnoteReference"/>
        </w:rPr>
        <w:footnoteRef/>
      </w:r>
      <w:r>
        <w:t xml:space="preserve"> </w:t>
      </w:r>
      <w:r>
        <w:rPr>
          <w:lang w:val="en-GB"/>
        </w:rPr>
        <w:t xml:space="preserve">Suet. </w:t>
      </w:r>
      <w:r>
        <w:rPr>
          <w:i/>
          <w:iCs/>
          <w:lang w:val="en-GB"/>
        </w:rPr>
        <w:t xml:space="preserve">Aug. </w:t>
      </w:r>
      <w:r>
        <w:rPr>
          <w:lang w:val="en-GB"/>
        </w:rPr>
        <w:t>74</w:t>
      </w:r>
    </w:p>
  </w:footnote>
  <w:footnote w:id="3">
    <w:p w14:paraId="33A2A382" w14:textId="1359C9DC" w:rsidR="00390312" w:rsidRPr="00390312" w:rsidRDefault="00390312">
      <w:pPr>
        <w:pStyle w:val="FootnoteText"/>
        <w:rPr>
          <w:lang w:val="en-GB"/>
        </w:rPr>
      </w:pPr>
      <w:r>
        <w:rPr>
          <w:rStyle w:val="FootnoteReference"/>
        </w:rPr>
        <w:footnoteRef/>
      </w:r>
      <w:r>
        <w:t xml:space="preserve"> </w:t>
      </w:r>
      <w:r>
        <w:rPr>
          <w:lang w:val="en-GB"/>
        </w:rPr>
        <w:t xml:space="preserve">Walsh, </w:t>
      </w:r>
      <w:r w:rsidR="001A3EAC">
        <w:rPr>
          <w:lang w:val="en-GB"/>
        </w:rPr>
        <w:t>1970, p.119</w:t>
      </w:r>
    </w:p>
  </w:footnote>
  <w:footnote w:id="4">
    <w:p w14:paraId="257EEC15" w14:textId="1C5D917E" w:rsidR="00957F19" w:rsidRPr="00957F19" w:rsidRDefault="00957F19">
      <w:pPr>
        <w:pStyle w:val="FootnoteText"/>
        <w:rPr>
          <w:lang w:val="en-GB"/>
        </w:rPr>
      </w:pPr>
      <w:r>
        <w:rPr>
          <w:rStyle w:val="FootnoteReference"/>
        </w:rPr>
        <w:footnoteRef/>
      </w:r>
      <w:r>
        <w:t xml:space="preserve"> </w:t>
      </w:r>
      <w:r>
        <w:rPr>
          <w:lang w:val="en-GB"/>
        </w:rPr>
        <w:t>1975, p.72</w:t>
      </w:r>
    </w:p>
  </w:footnote>
  <w:footnote w:id="5">
    <w:p w14:paraId="698582DD" w14:textId="4A62411C" w:rsidR="00330A4D" w:rsidRPr="00330A4D" w:rsidRDefault="00330A4D">
      <w:pPr>
        <w:pStyle w:val="FootnoteText"/>
        <w:rPr>
          <w:lang w:val="en-GB"/>
        </w:rPr>
      </w:pPr>
      <w:r>
        <w:rPr>
          <w:rStyle w:val="FootnoteReference"/>
        </w:rPr>
        <w:footnoteRef/>
      </w:r>
      <w:r>
        <w:t xml:space="preserve"> </w:t>
      </w:r>
      <w:r w:rsidR="00676EE5">
        <w:rPr>
          <w:lang w:val="en-GB"/>
        </w:rPr>
        <w:t>Bartsch, 2008, p.248</w:t>
      </w:r>
    </w:p>
  </w:footnote>
  <w:footnote w:id="6">
    <w:p w14:paraId="77F1A13A" w14:textId="7E45C2B2" w:rsidR="00C6106F" w:rsidRPr="00C6106F" w:rsidRDefault="00C6106F">
      <w:pPr>
        <w:pStyle w:val="FootnoteText"/>
        <w:rPr>
          <w:lang w:val="en-GB"/>
        </w:rPr>
      </w:pPr>
      <w:r>
        <w:rPr>
          <w:rStyle w:val="FootnoteReference"/>
        </w:rPr>
        <w:footnoteRef/>
      </w:r>
      <w:r>
        <w:t xml:space="preserve"> </w:t>
      </w:r>
      <w:r>
        <w:rPr>
          <w:lang w:val="en-GB"/>
        </w:rPr>
        <w:t>2001, p.84</w:t>
      </w:r>
    </w:p>
  </w:footnote>
  <w:footnote w:id="7">
    <w:p w14:paraId="0ED2E8D1" w14:textId="714409C0" w:rsidR="00FE149D" w:rsidRPr="00FE149D" w:rsidRDefault="00FE149D">
      <w:pPr>
        <w:pStyle w:val="FootnoteText"/>
        <w:rPr>
          <w:lang w:val="en-GB"/>
        </w:rPr>
      </w:pPr>
      <w:r>
        <w:rPr>
          <w:rStyle w:val="FootnoteReference"/>
        </w:rPr>
        <w:footnoteRef/>
      </w:r>
      <w:r>
        <w:t xml:space="preserve"> </w:t>
      </w:r>
      <w:r>
        <w:rPr>
          <w:lang w:val="en-GB"/>
        </w:rPr>
        <w:t>Smith, 1975, p.73</w:t>
      </w:r>
    </w:p>
  </w:footnote>
  <w:footnote w:id="8">
    <w:p w14:paraId="07D0EEA6" w14:textId="685A8005" w:rsidR="00F968C3" w:rsidRPr="00F968C3" w:rsidRDefault="00F968C3">
      <w:pPr>
        <w:pStyle w:val="FootnoteText"/>
        <w:rPr>
          <w:lang w:val="en-GB"/>
        </w:rPr>
      </w:pPr>
      <w:r>
        <w:rPr>
          <w:rStyle w:val="FootnoteReference"/>
        </w:rPr>
        <w:footnoteRef/>
      </w:r>
      <w:r>
        <w:t xml:space="preserve"> </w:t>
      </w:r>
      <w:r w:rsidR="005C2480">
        <w:rPr>
          <w:lang w:val="en-GB"/>
        </w:rPr>
        <w:t>Smith notes that this was to cut down on the dust in the air by dampening the sand (1975, p.73)</w:t>
      </w:r>
    </w:p>
  </w:footnote>
  <w:footnote w:id="9">
    <w:p w14:paraId="7A32F3D5" w14:textId="0F14A981" w:rsidR="00DE49E1" w:rsidRPr="00DE49E1" w:rsidRDefault="00DE49E1">
      <w:pPr>
        <w:pStyle w:val="FootnoteText"/>
        <w:rPr>
          <w:lang w:val="en-GB"/>
        </w:rPr>
      </w:pPr>
      <w:r>
        <w:rPr>
          <w:rStyle w:val="FootnoteReference"/>
        </w:rPr>
        <w:footnoteRef/>
      </w:r>
      <w:r>
        <w:t xml:space="preserve"> </w:t>
      </w:r>
      <w:r>
        <w:rPr>
          <w:lang w:val="en-GB"/>
        </w:rPr>
        <w:t>Smith, 1975, p.73</w:t>
      </w:r>
    </w:p>
  </w:footnote>
  <w:footnote w:id="10">
    <w:p w14:paraId="1BFC7E36" w14:textId="6535EFE0" w:rsidR="00514B15" w:rsidRPr="00514B15" w:rsidRDefault="00514B15">
      <w:pPr>
        <w:pStyle w:val="FootnoteText"/>
        <w:rPr>
          <w:lang w:val="en-GB"/>
        </w:rPr>
      </w:pPr>
      <w:r>
        <w:rPr>
          <w:rStyle w:val="FootnoteReference"/>
        </w:rPr>
        <w:footnoteRef/>
      </w:r>
      <w:r>
        <w:t xml:space="preserve"> </w:t>
      </w:r>
      <w:r>
        <w:rPr>
          <w:lang w:val="en-GB"/>
        </w:rPr>
        <w:t>1975, p.277</w:t>
      </w:r>
    </w:p>
  </w:footnote>
  <w:footnote w:id="11">
    <w:p w14:paraId="042573D5" w14:textId="36E12A07" w:rsidR="003A504C" w:rsidRPr="003A504C" w:rsidRDefault="003A504C">
      <w:pPr>
        <w:pStyle w:val="FootnoteText"/>
        <w:rPr>
          <w:lang w:val="en-GB"/>
        </w:rPr>
      </w:pPr>
      <w:r>
        <w:rPr>
          <w:rStyle w:val="FootnoteReference"/>
        </w:rPr>
        <w:footnoteRef/>
      </w:r>
      <w:r>
        <w:t xml:space="preserve"> </w:t>
      </w:r>
      <w:proofErr w:type="spellStart"/>
      <w:r>
        <w:rPr>
          <w:lang w:val="en-GB"/>
        </w:rPr>
        <w:t>Plin</w:t>
      </w:r>
      <w:proofErr w:type="spellEnd"/>
      <w:r>
        <w:rPr>
          <w:lang w:val="en-GB"/>
        </w:rPr>
        <w:t xml:space="preserve">. </w:t>
      </w:r>
      <w:r>
        <w:rPr>
          <w:i/>
          <w:iCs/>
          <w:lang w:val="en-GB"/>
        </w:rPr>
        <w:t xml:space="preserve">NH </w:t>
      </w:r>
      <w:r w:rsidR="0021541C">
        <w:rPr>
          <w:lang w:val="en-GB"/>
        </w:rPr>
        <w:t>14.55</w:t>
      </w:r>
    </w:p>
  </w:footnote>
  <w:footnote w:id="12">
    <w:p w14:paraId="179E3DD6" w14:textId="4099187C" w:rsidR="00F66F93" w:rsidRPr="00F66F93" w:rsidRDefault="00F66F93">
      <w:pPr>
        <w:pStyle w:val="FootnoteText"/>
        <w:rPr>
          <w:lang w:val="en-GB"/>
        </w:rPr>
      </w:pPr>
      <w:r>
        <w:rPr>
          <w:rStyle w:val="FootnoteReference"/>
        </w:rPr>
        <w:footnoteRef/>
      </w:r>
      <w:r>
        <w:t xml:space="preserve"> </w:t>
      </w:r>
      <w:r>
        <w:rPr>
          <w:lang w:val="en-GB"/>
        </w:rPr>
        <w:t>2001, p.84</w:t>
      </w:r>
    </w:p>
  </w:footnote>
  <w:footnote w:id="13">
    <w:p w14:paraId="11F9D37E" w14:textId="4D9B0B1A" w:rsidR="0060512F" w:rsidRPr="0060512F" w:rsidRDefault="0060512F">
      <w:pPr>
        <w:pStyle w:val="FootnoteText"/>
        <w:rPr>
          <w:lang w:val="en-GB"/>
        </w:rPr>
      </w:pPr>
      <w:r>
        <w:rPr>
          <w:rStyle w:val="FootnoteReference"/>
        </w:rPr>
        <w:footnoteRef/>
      </w:r>
      <w:r>
        <w:t xml:space="preserve"> </w:t>
      </w:r>
      <w:r w:rsidR="00C826FF">
        <w:rPr>
          <w:lang w:val="en-GB"/>
        </w:rPr>
        <w:t>Morales, 2011, p.177</w:t>
      </w:r>
    </w:p>
  </w:footnote>
  <w:footnote w:id="14">
    <w:p w14:paraId="5C4A5072" w14:textId="2DA01723" w:rsidR="00C826FF" w:rsidRPr="00C826FF" w:rsidRDefault="00C826FF">
      <w:pPr>
        <w:pStyle w:val="FootnoteText"/>
        <w:rPr>
          <w:lang w:val="en-GB"/>
        </w:rPr>
      </w:pPr>
      <w:r>
        <w:rPr>
          <w:rStyle w:val="FootnoteReference"/>
        </w:rPr>
        <w:footnoteRef/>
      </w:r>
      <w:r>
        <w:t xml:space="preserve"> </w:t>
      </w:r>
      <w:r>
        <w:rPr>
          <w:lang w:val="en-GB"/>
        </w:rPr>
        <w:t>Courtney, 2001, p.84</w:t>
      </w:r>
    </w:p>
  </w:footnote>
  <w:footnote w:id="15">
    <w:p w14:paraId="61B61877" w14:textId="2F00B3F7" w:rsidR="00753BB6" w:rsidRPr="00753BB6" w:rsidRDefault="00753BB6">
      <w:pPr>
        <w:pStyle w:val="FootnoteText"/>
        <w:rPr>
          <w:lang w:val="en-GB"/>
        </w:rPr>
      </w:pPr>
      <w:r>
        <w:rPr>
          <w:rStyle w:val="FootnoteReference"/>
        </w:rPr>
        <w:footnoteRef/>
      </w:r>
      <w:r>
        <w:t xml:space="preserve"> </w:t>
      </w:r>
      <w:r>
        <w:rPr>
          <w:lang w:val="en-GB"/>
        </w:rPr>
        <w:t>Murgatroyd, 2013, p.248</w:t>
      </w:r>
    </w:p>
  </w:footnote>
  <w:footnote w:id="16">
    <w:p w14:paraId="11704EC5" w14:textId="5F9A5F5B" w:rsidR="00BB5D91" w:rsidRPr="00BB5D91" w:rsidRDefault="00BB5D91">
      <w:pPr>
        <w:pStyle w:val="FootnoteText"/>
        <w:rPr>
          <w:lang w:val="en-GB"/>
        </w:rPr>
      </w:pPr>
      <w:r>
        <w:rPr>
          <w:rStyle w:val="FootnoteReference"/>
        </w:rPr>
        <w:footnoteRef/>
      </w:r>
      <w:r>
        <w:t xml:space="preserve"> </w:t>
      </w:r>
      <w:r>
        <w:rPr>
          <w:lang w:val="en-GB"/>
        </w:rPr>
        <w:t xml:space="preserve">And </w:t>
      </w:r>
      <w:proofErr w:type="spellStart"/>
      <w:r>
        <w:rPr>
          <w:lang w:val="en-GB"/>
        </w:rPr>
        <w:t>Herm</w:t>
      </w:r>
      <w:r w:rsidR="00E5030D">
        <w:rPr>
          <w:lang w:val="en-GB"/>
        </w:rPr>
        <w:t>eros</w:t>
      </w:r>
      <w:proofErr w:type="spellEnd"/>
      <w:r w:rsidR="00E5030D">
        <w:rPr>
          <w:lang w:val="en-GB"/>
        </w:rPr>
        <w:t>’ outburst later (</w:t>
      </w:r>
      <w:r w:rsidR="00134545">
        <w:rPr>
          <w:lang w:val="en-GB"/>
        </w:rPr>
        <w:t>58</w:t>
      </w:r>
      <w:r w:rsidR="00E5030D">
        <w:rPr>
          <w:lang w:val="en-GB"/>
        </w:rPr>
        <w:t>) suggests the other guests did feel the difference in their status.</w:t>
      </w:r>
    </w:p>
  </w:footnote>
  <w:footnote w:id="17">
    <w:p w14:paraId="40DFEBC2" w14:textId="59582BE0" w:rsidR="003A0720" w:rsidRPr="003A0720" w:rsidRDefault="003A0720">
      <w:pPr>
        <w:pStyle w:val="FootnoteText"/>
        <w:rPr>
          <w:lang w:val="en-GB"/>
        </w:rPr>
      </w:pPr>
      <w:r>
        <w:rPr>
          <w:rStyle w:val="FootnoteReference"/>
        </w:rPr>
        <w:footnoteRef/>
      </w:r>
      <w:r>
        <w:t xml:space="preserve"> </w:t>
      </w:r>
      <w:r>
        <w:rPr>
          <w:lang w:val="en-GB"/>
        </w:rPr>
        <w:t>e.g. Morales</w:t>
      </w:r>
      <w:r w:rsidR="000F172B">
        <w:rPr>
          <w:lang w:val="en-GB"/>
        </w:rPr>
        <w:t>, 2011</w:t>
      </w:r>
      <w:r w:rsidR="00B770EE">
        <w:rPr>
          <w:lang w:val="en-GB"/>
        </w:rPr>
        <w:t>, p.177</w:t>
      </w:r>
      <w:r w:rsidR="000F172B">
        <w:rPr>
          <w:lang w:val="en-GB"/>
        </w:rPr>
        <w:t>; Courtney, 2001, p.228</w:t>
      </w:r>
    </w:p>
  </w:footnote>
  <w:footnote w:id="18">
    <w:p w14:paraId="49B74A46" w14:textId="6F74A9A0" w:rsidR="0031482E" w:rsidRPr="0031482E" w:rsidRDefault="0031482E">
      <w:pPr>
        <w:pStyle w:val="FootnoteText"/>
        <w:rPr>
          <w:lang w:val="en-GB"/>
        </w:rPr>
      </w:pPr>
      <w:r>
        <w:rPr>
          <w:rStyle w:val="FootnoteReference"/>
        </w:rPr>
        <w:footnoteRef/>
      </w:r>
      <w:r>
        <w:t xml:space="preserve"> </w:t>
      </w:r>
      <w:r>
        <w:rPr>
          <w:lang w:val="en-GB"/>
        </w:rPr>
        <w:t xml:space="preserve">Courtney (2001, p.85) notes </w:t>
      </w:r>
      <w:r w:rsidR="004E612E">
        <w:rPr>
          <w:lang w:val="en-GB"/>
        </w:rPr>
        <w:t>a similar tomb inscription.</w:t>
      </w:r>
    </w:p>
  </w:footnote>
  <w:footnote w:id="19">
    <w:p w14:paraId="2B41E814" w14:textId="3EF54B2E" w:rsidR="0034520D" w:rsidRPr="0034520D" w:rsidRDefault="0034520D">
      <w:pPr>
        <w:pStyle w:val="FootnoteText"/>
        <w:rPr>
          <w:lang w:val="en-GB"/>
        </w:rPr>
      </w:pPr>
      <w:r>
        <w:rPr>
          <w:rStyle w:val="FootnoteReference"/>
        </w:rPr>
        <w:footnoteRef/>
      </w:r>
      <w:r>
        <w:t xml:space="preserve"> </w:t>
      </w:r>
      <w:r>
        <w:rPr>
          <w:lang w:val="en-GB"/>
        </w:rPr>
        <w:t>1975, p.74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D93"/>
    <w:rsid w:val="0002415E"/>
    <w:rsid w:val="000542D5"/>
    <w:rsid w:val="00061F65"/>
    <w:rsid w:val="000A6FC0"/>
    <w:rsid w:val="000B5C34"/>
    <w:rsid w:val="000D4638"/>
    <w:rsid w:val="000E164A"/>
    <w:rsid w:val="000F172B"/>
    <w:rsid w:val="0010170F"/>
    <w:rsid w:val="001135E9"/>
    <w:rsid w:val="0011521F"/>
    <w:rsid w:val="001204B2"/>
    <w:rsid w:val="001338DC"/>
    <w:rsid w:val="00134545"/>
    <w:rsid w:val="00160DA6"/>
    <w:rsid w:val="00163824"/>
    <w:rsid w:val="00164D07"/>
    <w:rsid w:val="00167C7B"/>
    <w:rsid w:val="00190E02"/>
    <w:rsid w:val="001A10A6"/>
    <w:rsid w:val="001A3EAC"/>
    <w:rsid w:val="001C5C48"/>
    <w:rsid w:val="001E5690"/>
    <w:rsid w:val="00212867"/>
    <w:rsid w:val="00212F8A"/>
    <w:rsid w:val="0021541C"/>
    <w:rsid w:val="00247B7D"/>
    <w:rsid w:val="002539AC"/>
    <w:rsid w:val="00261998"/>
    <w:rsid w:val="00275C29"/>
    <w:rsid w:val="0029359D"/>
    <w:rsid w:val="002C0B7A"/>
    <w:rsid w:val="002C7590"/>
    <w:rsid w:val="002E359B"/>
    <w:rsid w:val="0031482E"/>
    <w:rsid w:val="00330A4D"/>
    <w:rsid w:val="0034520D"/>
    <w:rsid w:val="0034674D"/>
    <w:rsid w:val="00351778"/>
    <w:rsid w:val="00351866"/>
    <w:rsid w:val="0035508F"/>
    <w:rsid w:val="00370D75"/>
    <w:rsid w:val="00390312"/>
    <w:rsid w:val="003912AF"/>
    <w:rsid w:val="003A0720"/>
    <w:rsid w:val="003A1151"/>
    <w:rsid w:val="003A504C"/>
    <w:rsid w:val="003D1C0E"/>
    <w:rsid w:val="00402DC2"/>
    <w:rsid w:val="00403433"/>
    <w:rsid w:val="00416FC2"/>
    <w:rsid w:val="00421434"/>
    <w:rsid w:val="004344F1"/>
    <w:rsid w:val="00472543"/>
    <w:rsid w:val="00476302"/>
    <w:rsid w:val="00491258"/>
    <w:rsid w:val="004B5462"/>
    <w:rsid w:val="004E3170"/>
    <w:rsid w:val="004E612E"/>
    <w:rsid w:val="004F39F3"/>
    <w:rsid w:val="00514B15"/>
    <w:rsid w:val="005300F2"/>
    <w:rsid w:val="00584EF5"/>
    <w:rsid w:val="005A4498"/>
    <w:rsid w:val="005A57C0"/>
    <w:rsid w:val="005C2480"/>
    <w:rsid w:val="005C6AD5"/>
    <w:rsid w:val="005C725C"/>
    <w:rsid w:val="005E6EF6"/>
    <w:rsid w:val="00600342"/>
    <w:rsid w:val="0060512F"/>
    <w:rsid w:val="00613411"/>
    <w:rsid w:val="00655059"/>
    <w:rsid w:val="006762EF"/>
    <w:rsid w:val="00676EE5"/>
    <w:rsid w:val="006C1C49"/>
    <w:rsid w:val="006F2F67"/>
    <w:rsid w:val="00717576"/>
    <w:rsid w:val="00744BF0"/>
    <w:rsid w:val="00751C42"/>
    <w:rsid w:val="00753BB6"/>
    <w:rsid w:val="0075678C"/>
    <w:rsid w:val="00766F8A"/>
    <w:rsid w:val="007C6446"/>
    <w:rsid w:val="008422A4"/>
    <w:rsid w:val="008439A0"/>
    <w:rsid w:val="008606E8"/>
    <w:rsid w:val="008F4F6A"/>
    <w:rsid w:val="0090091A"/>
    <w:rsid w:val="00917D93"/>
    <w:rsid w:val="009315BF"/>
    <w:rsid w:val="00957F19"/>
    <w:rsid w:val="00970FE3"/>
    <w:rsid w:val="00983908"/>
    <w:rsid w:val="00A03FAE"/>
    <w:rsid w:val="00A559C1"/>
    <w:rsid w:val="00A70387"/>
    <w:rsid w:val="00A74093"/>
    <w:rsid w:val="00A74A18"/>
    <w:rsid w:val="00A825A8"/>
    <w:rsid w:val="00A83694"/>
    <w:rsid w:val="00A942BD"/>
    <w:rsid w:val="00A97CC3"/>
    <w:rsid w:val="00AB036E"/>
    <w:rsid w:val="00AC3A8C"/>
    <w:rsid w:val="00AC7062"/>
    <w:rsid w:val="00AD643D"/>
    <w:rsid w:val="00AE6D51"/>
    <w:rsid w:val="00B11440"/>
    <w:rsid w:val="00B1465A"/>
    <w:rsid w:val="00B1751A"/>
    <w:rsid w:val="00B32447"/>
    <w:rsid w:val="00B44CA6"/>
    <w:rsid w:val="00B770EE"/>
    <w:rsid w:val="00BA1DE0"/>
    <w:rsid w:val="00BA1F23"/>
    <w:rsid w:val="00BA3825"/>
    <w:rsid w:val="00BB5D91"/>
    <w:rsid w:val="00BB6D44"/>
    <w:rsid w:val="00BC1B69"/>
    <w:rsid w:val="00BC295F"/>
    <w:rsid w:val="00BC49BF"/>
    <w:rsid w:val="00BF6A39"/>
    <w:rsid w:val="00C149D7"/>
    <w:rsid w:val="00C6106F"/>
    <w:rsid w:val="00C826FF"/>
    <w:rsid w:val="00CE1E2E"/>
    <w:rsid w:val="00CE4486"/>
    <w:rsid w:val="00CF137A"/>
    <w:rsid w:val="00D30CC8"/>
    <w:rsid w:val="00D31DF0"/>
    <w:rsid w:val="00D33D6E"/>
    <w:rsid w:val="00D36DB6"/>
    <w:rsid w:val="00D81D83"/>
    <w:rsid w:val="00DD1351"/>
    <w:rsid w:val="00DD432D"/>
    <w:rsid w:val="00DE49E1"/>
    <w:rsid w:val="00DF1458"/>
    <w:rsid w:val="00E20244"/>
    <w:rsid w:val="00E24BB5"/>
    <w:rsid w:val="00E3655C"/>
    <w:rsid w:val="00E5030D"/>
    <w:rsid w:val="00E503F2"/>
    <w:rsid w:val="00E73E89"/>
    <w:rsid w:val="00E7674D"/>
    <w:rsid w:val="00E7676B"/>
    <w:rsid w:val="00E9258C"/>
    <w:rsid w:val="00EA6A3B"/>
    <w:rsid w:val="00EE254E"/>
    <w:rsid w:val="00EF33CB"/>
    <w:rsid w:val="00EF33CF"/>
    <w:rsid w:val="00EF7175"/>
    <w:rsid w:val="00F17360"/>
    <w:rsid w:val="00F20B64"/>
    <w:rsid w:val="00F27BD6"/>
    <w:rsid w:val="00F54C62"/>
    <w:rsid w:val="00F55032"/>
    <w:rsid w:val="00F66F93"/>
    <w:rsid w:val="00F81A43"/>
    <w:rsid w:val="00F93508"/>
    <w:rsid w:val="00F968C3"/>
    <w:rsid w:val="00FA391B"/>
    <w:rsid w:val="00FC29D7"/>
    <w:rsid w:val="00FE149D"/>
    <w:rsid w:val="00FE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42AC4"/>
  <w15:chartTrackingRefBased/>
  <w15:docId w15:val="{67769799-4FA1-43B5-8584-12E213B8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36E"/>
    <w:pPr>
      <w:spacing w:after="0" w:line="360" w:lineRule="auto"/>
      <w:jc w:val="both"/>
    </w:pPr>
    <w:rPr>
      <w:lang w:val="en-US"/>
    </w:rPr>
  </w:style>
  <w:style w:type="paragraph" w:styleId="Heading1">
    <w:name w:val="heading 1"/>
    <w:next w:val="Normal"/>
    <w:link w:val="Heading1Char"/>
    <w:uiPriority w:val="9"/>
    <w:qFormat/>
    <w:rsid w:val="00AB036E"/>
    <w:pPr>
      <w:keepNext/>
      <w:keepLines/>
      <w:spacing w:before="120" w:after="40" w:line="360" w:lineRule="auto"/>
      <w:jc w:val="both"/>
      <w:outlineLvl w:val="0"/>
    </w:pPr>
    <w:rPr>
      <w:rFonts w:ascii="Times New Roman" w:eastAsiaTheme="majorEastAsia" w:hAnsi="Times New Roman" w:cstheme="majorBidi"/>
      <w:b/>
      <w:color w:val="993366"/>
      <w:sz w:val="32"/>
      <w:szCs w:val="32"/>
    </w:rPr>
  </w:style>
  <w:style w:type="paragraph" w:styleId="Heading2">
    <w:name w:val="heading 2"/>
    <w:basedOn w:val="Normal"/>
    <w:next w:val="Normal"/>
    <w:link w:val="Heading2Char"/>
    <w:uiPriority w:val="9"/>
    <w:semiHidden/>
    <w:unhideWhenUsed/>
    <w:qFormat/>
    <w:rsid w:val="00917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D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D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D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D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36E"/>
    <w:rPr>
      <w:rFonts w:ascii="Times New Roman" w:eastAsiaTheme="majorEastAsia" w:hAnsi="Times New Roman" w:cstheme="majorBidi"/>
      <w:b/>
      <w:color w:val="993366"/>
      <w:sz w:val="32"/>
      <w:szCs w:val="32"/>
    </w:rPr>
  </w:style>
  <w:style w:type="paragraph" w:styleId="Subtitle">
    <w:name w:val="Subtitle"/>
    <w:basedOn w:val="Heading1"/>
    <w:next w:val="Normal"/>
    <w:link w:val="SubtitleChar"/>
    <w:uiPriority w:val="11"/>
    <w:qFormat/>
    <w:rsid w:val="00AB036E"/>
    <w:pPr>
      <w:numPr>
        <w:ilvl w:val="1"/>
      </w:numPr>
      <w:spacing w:before="0" w:after="0"/>
    </w:pPr>
    <w:rPr>
      <w:rFonts w:eastAsiaTheme="minorEastAsia"/>
      <w:b w:val="0"/>
      <w:i/>
      <w:color w:val="auto"/>
      <w:spacing w:val="15"/>
      <w:sz w:val="28"/>
    </w:rPr>
  </w:style>
  <w:style w:type="character" w:customStyle="1" w:styleId="SubtitleChar">
    <w:name w:val="Subtitle Char"/>
    <w:basedOn w:val="DefaultParagraphFont"/>
    <w:link w:val="Subtitle"/>
    <w:uiPriority w:val="11"/>
    <w:rsid w:val="00AB036E"/>
    <w:rPr>
      <w:rFonts w:ascii="Times New Roman" w:eastAsiaTheme="minorEastAsia" w:hAnsi="Times New Roman" w:cstheme="majorBidi"/>
      <w:i/>
      <w:spacing w:val="15"/>
      <w:sz w:val="28"/>
      <w:szCs w:val="32"/>
    </w:rPr>
  </w:style>
  <w:style w:type="character" w:styleId="Emphasis">
    <w:name w:val="Emphasis"/>
    <w:uiPriority w:val="20"/>
    <w:qFormat/>
    <w:rsid w:val="00AB036E"/>
    <w:rPr>
      <w:rFonts w:asciiTheme="minorHAnsi" w:hAnsiTheme="minorHAnsi"/>
      <w:b/>
      <w:i w:val="0"/>
      <w:iCs/>
      <w:color w:val="993366"/>
      <w:sz w:val="22"/>
    </w:rPr>
  </w:style>
  <w:style w:type="paragraph" w:styleId="Quote">
    <w:name w:val="Quote"/>
    <w:basedOn w:val="Normal"/>
    <w:next w:val="Normal"/>
    <w:link w:val="QuoteChar"/>
    <w:uiPriority w:val="29"/>
    <w:qFormat/>
    <w:rsid w:val="00AB036E"/>
    <w:pPr>
      <w:spacing w:before="80" w:after="40"/>
      <w:ind w:left="720" w:right="864"/>
    </w:pPr>
    <w:rPr>
      <w:i/>
      <w:iCs/>
      <w:color w:val="404040" w:themeColor="text1" w:themeTint="BF"/>
      <w:lang w:val="en-GB"/>
    </w:rPr>
  </w:style>
  <w:style w:type="character" w:customStyle="1" w:styleId="QuoteChar">
    <w:name w:val="Quote Char"/>
    <w:basedOn w:val="DefaultParagraphFont"/>
    <w:link w:val="Quote"/>
    <w:uiPriority w:val="29"/>
    <w:rsid w:val="00AB036E"/>
    <w:rPr>
      <w:i/>
      <w:iCs/>
      <w:color w:val="404040" w:themeColor="text1" w:themeTint="BF"/>
    </w:rPr>
  </w:style>
  <w:style w:type="character" w:customStyle="1" w:styleId="Heading2Char">
    <w:name w:val="Heading 2 Char"/>
    <w:basedOn w:val="DefaultParagraphFont"/>
    <w:link w:val="Heading2"/>
    <w:uiPriority w:val="9"/>
    <w:semiHidden/>
    <w:rsid w:val="00917D93"/>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917D93"/>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917D93"/>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917D93"/>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917D93"/>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917D93"/>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917D93"/>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917D93"/>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917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D93"/>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917D93"/>
    <w:pPr>
      <w:ind w:left="720"/>
      <w:contextualSpacing/>
    </w:pPr>
  </w:style>
  <w:style w:type="character" w:styleId="IntenseEmphasis">
    <w:name w:val="Intense Emphasis"/>
    <w:basedOn w:val="DefaultParagraphFont"/>
    <w:uiPriority w:val="21"/>
    <w:qFormat/>
    <w:rsid w:val="00917D93"/>
    <w:rPr>
      <w:i/>
      <w:iCs/>
      <w:color w:val="0F4761" w:themeColor="accent1" w:themeShade="BF"/>
    </w:rPr>
  </w:style>
  <w:style w:type="paragraph" w:styleId="IntenseQuote">
    <w:name w:val="Intense Quote"/>
    <w:basedOn w:val="Normal"/>
    <w:next w:val="Normal"/>
    <w:link w:val="IntenseQuoteChar"/>
    <w:uiPriority w:val="30"/>
    <w:qFormat/>
    <w:rsid w:val="00917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D93"/>
    <w:rPr>
      <w:i/>
      <w:iCs/>
      <w:color w:val="0F4761" w:themeColor="accent1" w:themeShade="BF"/>
      <w:lang w:val="en-US"/>
    </w:rPr>
  </w:style>
  <w:style w:type="character" w:styleId="IntenseReference">
    <w:name w:val="Intense Reference"/>
    <w:basedOn w:val="DefaultParagraphFont"/>
    <w:uiPriority w:val="32"/>
    <w:qFormat/>
    <w:rsid w:val="00917D93"/>
    <w:rPr>
      <w:b/>
      <w:bCs/>
      <w:smallCaps/>
      <w:color w:val="0F4761" w:themeColor="accent1" w:themeShade="BF"/>
      <w:spacing w:val="5"/>
    </w:rPr>
  </w:style>
  <w:style w:type="paragraph" w:styleId="FootnoteText">
    <w:name w:val="footnote text"/>
    <w:basedOn w:val="Normal"/>
    <w:link w:val="FootnoteTextChar"/>
    <w:uiPriority w:val="99"/>
    <w:semiHidden/>
    <w:unhideWhenUsed/>
    <w:rsid w:val="00351778"/>
    <w:pPr>
      <w:spacing w:line="240" w:lineRule="auto"/>
    </w:pPr>
    <w:rPr>
      <w:sz w:val="20"/>
      <w:szCs w:val="20"/>
    </w:rPr>
  </w:style>
  <w:style w:type="character" w:customStyle="1" w:styleId="FootnoteTextChar">
    <w:name w:val="Footnote Text Char"/>
    <w:basedOn w:val="DefaultParagraphFont"/>
    <w:link w:val="FootnoteText"/>
    <w:uiPriority w:val="99"/>
    <w:semiHidden/>
    <w:rsid w:val="00351778"/>
    <w:rPr>
      <w:sz w:val="20"/>
      <w:szCs w:val="20"/>
      <w:lang w:val="en-US"/>
    </w:rPr>
  </w:style>
  <w:style w:type="character" w:styleId="FootnoteReference">
    <w:name w:val="footnote reference"/>
    <w:basedOn w:val="DefaultParagraphFont"/>
    <w:uiPriority w:val="99"/>
    <w:semiHidden/>
    <w:unhideWhenUsed/>
    <w:rsid w:val="003517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BF08D-AD5E-4502-9DE5-76F6FD556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1731</Words>
  <Characters>9868</Characters>
  <Application>Microsoft Office Word</Application>
  <DocSecurity>0</DocSecurity>
  <Lines>82</Lines>
  <Paragraphs>23</Paragraphs>
  <ScaleCrop>false</ScaleCrop>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BOYD</dc:creator>
  <cp:keywords/>
  <dc:description/>
  <cp:lastModifiedBy>JANE BOYD</cp:lastModifiedBy>
  <cp:revision>157</cp:revision>
  <dcterms:created xsi:type="dcterms:W3CDTF">2026-02-04T16:47:00Z</dcterms:created>
  <dcterms:modified xsi:type="dcterms:W3CDTF">2026-02-07T20:48:00Z</dcterms:modified>
</cp:coreProperties>
</file>