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11E73" w:rsidRDefault="00411E73" w:rsidP="00411E73">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1</w:t>
      </w:r>
    </w:p>
    <w:p w:rsidR="00411E73" w:rsidRDefault="00411E73" w:rsidP="00411E73">
      <w:pPr>
        <w:pStyle w:val="NormalWeb"/>
        <w:spacing w:before="0" w:beforeAutospacing="0" w:after="0" w:afterAutospacing="0"/>
      </w:pPr>
      <w:r>
        <w:rPr>
          <w:rFonts w:asciiTheme="minorHAnsi" w:eastAsiaTheme="minorEastAsia" w:hAnsi="Calibri" w:cstheme="minorBidi"/>
          <w:color w:val="000000" w:themeColor="text1"/>
          <w:kern w:val="24"/>
        </w:rPr>
        <w:t xml:space="preserve">This presentation aims to consider the case study of a </w:t>
      </w:r>
      <w:proofErr w:type="gramStart"/>
      <w:r>
        <w:rPr>
          <w:rFonts w:asciiTheme="minorHAnsi" w:eastAsiaTheme="minorEastAsia" w:hAnsi="Calibri" w:cstheme="minorBidi"/>
          <w:color w:val="000000" w:themeColor="text1"/>
          <w:kern w:val="24"/>
        </w:rPr>
        <w:t>35 year old</w:t>
      </w:r>
      <w:proofErr w:type="gramEnd"/>
      <w:r>
        <w:rPr>
          <w:rFonts w:asciiTheme="minorHAnsi" w:eastAsiaTheme="minorEastAsia" w:hAnsi="Calibri" w:cstheme="minorBidi"/>
          <w:color w:val="000000" w:themeColor="text1"/>
          <w:kern w:val="24"/>
        </w:rPr>
        <w:t xml:space="preserve"> woman, Ms A, moving from a mental health placement and to outline the risks and ethical considerations and how these could be overcome.  The presentation plans to highlight how the local authorities dealt with this case.     </w:t>
      </w:r>
    </w:p>
    <w:p w:rsidR="00F608DE" w:rsidRDefault="00F608DE"/>
    <w:p w:rsidR="00411E73" w:rsidRDefault="00411E73" w:rsidP="00411E73">
      <w:pPr>
        <w:pStyle w:val="NormalWeb"/>
        <w:spacing w:before="0" w:beforeAutospacing="0" w:after="0" w:afterAutospacing="0"/>
      </w:pPr>
      <w:r>
        <w:t>2</w:t>
      </w:r>
      <w:r>
        <w:rPr>
          <w:rFonts w:asciiTheme="minorHAnsi" w:eastAsiaTheme="minorEastAsia" w:hAnsi="Calibri" w:cstheme="minorBidi"/>
          <w:color w:val="000000" w:themeColor="text1"/>
          <w:kern w:val="24"/>
        </w:rPr>
        <w:t xml:space="preserve">The case study is concerned with a </w:t>
      </w:r>
      <w:proofErr w:type="gramStart"/>
      <w:r>
        <w:rPr>
          <w:rFonts w:asciiTheme="minorHAnsi" w:eastAsiaTheme="minorEastAsia" w:hAnsi="Calibri" w:cstheme="minorBidi"/>
          <w:color w:val="000000" w:themeColor="text1"/>
          <w:kern w:val="24"/>
        </w:rPr>
        <w:t>35 year old</w:t>
      </w:r>
      <w:proofErr w:type="gramEnd"/>
      <w:r>
        <w:rPr>
          <w:rFonts w:asciiTheme="minorHAnsi" w:eastAsiaTheme="minorEastAsia" w:hAnsi="Calibri" w:cstheme="minorBidi"/>
          <w:color w:val="000000" w:themeColor="text1"/>
          <w:kern w:val="24"/>
        </w:rPr>
        <w:t xml:space="preserve"> female (Ms A) with various medical conditions including an emotionally unstable personality disorder.  She has been allocated to a social worker for the purpose of assessing her needs as she was transitioning from a mental health placement to return to her family home. Ms A wished to pursue independent living by moving to a council property but became frustrated with her application and there was a decline in her mental health.  She presented with some safeguarding issues and challenging behaviour which led to various referrals with different agencies.  A multi-disciplinary approach was explored but there was a conflict of interest between professionals.  Ms A was finally referred and secured a placement through a Community Mental Health Team.  </w:t>
      </w:r>
    </w:p>
    <w:p w:rsidR="00411E73" w:rsidRDefault="00411E73"/>
    <w:p w:rsidR="00411E73" w:rsidRDefault="00411E73" w:rsidP="00411E73">
      <w:pPr>
        <w:pStyle w:val="NormalWeb"/>
        <w:spacing w:before="0" w:beforeAutospacing="0" w:after="0" w:afterAutospacing="0"/>
      </w:pPr>
      <w:r>
        <w:t>3</w:t>
      </w:r>
      <w:r>
        <w:rPr>
          <w:rFonts w:asciiTheme="minorHAnsi" w:eastAsiaTheme="minorEastAsia" w:hAnsi="Calibri" w:cstheme="minorBidi"/>
          <w:color w:val="000000" w:themeColor="text1"/>
          <w:kern w:val="24"/>
        </w:rPr>
        <w:t xml:space="preserve">The case study is presented in such a way that it would be difficult for one to arrive at definitive resolutions for the individual unless more detailed information was given.  However, this presentation is based on what has been provided. </w:t>
      </w:r>
    </w:p>
    <w:p w:rsidR="00411E73" w:rsidRDefault="00411E73"/>
    <w:p w:rsidR="00411E73" w:rsidRDefault="00411E73" w:rsidP="00411E73">
      <w:pPr>
        <w:pStyle w:val="NormalWeb"/>
        <w:spacing w:before="0" w:beforeAutospacing="0" w:after="0" w:afterAutospacing="0"/>
      </w:pPr>
      <w:r>
        <w:t>4</w:t>
      </w:r>
      <w:r>
        <w:rPr>
          <w:rFonts w:asciiTheme="minorHAnsi" w:eastAsiaTheme="minorEastAsia" w:hAnsi="Calibri" w:cstheme="minorBidi"/>
          <w:color w:val="000000" w:themeColor="text1"/>
          <w:kern w:val="24"/>
        </w:rPr>
        <w:t>The social worker role.  Why this is important is because in this case study there is an assumption that the social worker is the lead professional and according to Department of Health 2015, social workers are placed at the heart of adult social care and it is clear …</w:t>
      </w:r>
    </w:p>
    <w:p w:rsidR="00411E73" w:rsidRDefault="00411E73" w:rsidP="00411E73">
      <w:pPr>
        <w:pStyle w:val="NormalWeb"/>
        <w:spacing w:before="0" w:beforeAutospacing="0" w:after="0" w:afterAutospacing="0"/>
      </w:pPr>
      <w:r>
        <w:rPr>
          <w:rFonts w:asciiTheme="minorHAnsi" w:eastAsiaTheme="minorEastAsia" w:hAnsi="Calibri" w:cstheme="minorBidi"/>
          <w:color w:val="000000" w:themeColor="text1"/>
          <w:kern w:val="24"/>
        </w:rPr>
        <w:t>The six principles of the Care Act 2014 are …</w:t>
      </w:r>
    </w:p>
    <w:p w:rsidR="00411E73" w:rsidRDefault="00411E73" w:rsidP="00411E73">
      <w:pPr>
        <w:pStyle w:val="NormalWeb"/>
        <w:spacing w:before="0" w:beforeAutospacing="0" w:after="0" w:afterAutospacing="0"/>
      </w:pPr>
    </w:p>
    <w:p w:rsidR="00411E73" w:rsidRDefault="00411E73" w:rsidP="00411E73">
      <w:pPr>
        <w:pStyle w:val="NormalWeb"/>
        <w:spacing w:before="0" w:beforeAutospacing="0" w:after="0" w:afterAutospacing="0"/>
        <w:rPr>
          <w:rFonts w:asciiTheme="minorHAnsi" w:eastAsiaTheme="minorEastAsia" w:hAnsi="Calibri" w:cstheme="minorBidi"/>
          <w:color w:val="000000" w:themeColor="text1"/>
          <w:kern w:val="24"/>
        </w:rPr>
      </w:pPr>
      <w:r>
        <w:t>5</w:t>
      </w:r>
      <w:r>
        <w:rPr>
          <w:rFonts w:asciiTheme="minorHAnsi" w:eastAsiaTheme="minorEastAsia" w:hAnsi="Calibri" w:cstheme="minorBidi"/>
          <w:color w:val="000000" w:themeColor="text1"/>
          <w:kern w:val="24"/>
        </w:rPr>
        <w:t xml:space="preserve">Here are some of the skills and knowledge required of a social worker which one could suggest are particularly relevant to this case study.  Some other considerations are to adopt person-centred </w:t>
      </w:r>
      <w:proofErr w:type="gramStart"/>
      <w:r>
        <w:rPr>
          <w:rFonts w:asciiTheme="minorHAnsi" w:eastAsiaTheme="minorEastAsia" w:hAnsi="Calibri" w:cstheme="minorBidi"/>
          <w:color w:val="000000" w:themeColor="text1"/>
          <w:kern w:val="24"/>
        </w:rPr>
        <w:t>approaches ,</w:t>
      </w:r>
      <w:proofErr w:type="gramEnd"/>
      <w:r>
        <w:rPr>
          <w:rFonts w:asciiTheme="minorHAnsi" w:eastAsiaTheme="minorEastAsia" w:hAnsi="Calibri" w:cstheme="minorBidi"/>
          <w:color w:val="000000" w:themeColor="text1"/>
          <w:kern w:val="24"/>
        </w:rPr>
        <w:t xml:space="preserve"> recognise support networks and involve carers which in this case could be members of Ms A’s family.  Safeguarding Adult Boards are concerned with a range of issues including the safety of people who use services in local health settings, including mental health and effective interventions with adults who self-neglect.  Ms A presented </w:t>
      </w:r>
      <w:proofErr w:type="gramStart"/>
      <w:r>
        <w:rPr>
          <w:rFonts w:asciiTheme="minorHAnsi" w:eastAsiaTheme="minorEastAsia" w:hAnsi="Calibri" w:cstheme="minorBidi"/>
          <w:color w:val="000000" w:themeColor="text1"/>
          <w:kern w:val="24"/>
        </w:rPr>
        <w:t>issues</w:t>
      </w:r>
      <w:proofErr w:type="gramEnd"/>
      <w:r>
        <w:rPr>
          <w:rFonts w:asciiTheme="minorHAnsi" w:eastAsiaTheme="minorEastAsia" w:hAnsi="Calibri" w:cstheme="minorBidi"/>
          <w:color w:val="000000" w:themeColor="text1"/>
          <w:kern w:val="24"/>
        </w:rPr>
        <w:t xml:space="preserve"> such as intentional homelessness and non-compliance with her medical regime which one could suggest would have warranted the involvement of a safeguarding adult board (SAB).  </w:t>
      </w:r>
      <w:proofErr w:type="gramStart"/>
      <w:r>
        <w:rPr>
          <w:rFonts w:asciiTheme="minorHAnsi" w:eastAsiaTheme="minorEastAsia" w:hAnsi="Calibri" w:cstheme="minorBidi"/>
          <w:color w:val="000000" w:themeColor="text1"/>
          <w:kern w:val="24"/>
        </w:rPr>
        <w:t>Additionally</w:t>
      </w:r>
      <w:proofErr w:type="gramEnd"/>
      <w:r>
        <w:rPr>
          <w:rFonts w:asciiTheme="minorHAnsi" w:eastAsiaTheme="minorEastAsia" w:hAnsi="Calibri" w:cstheme="minorBidi"/>
          <w:color w:val="000000" w:themeColor="text1"/>
          <w:kern w:val="24"/>
        </w:rPr>
        <w:t xml:space="preserve"> perhaps the involvement of a SAB would have been pertinent when Ms A decided that she wanted to move to a council property as a SAB would have assessed the risks to Ms A living independently.   </w:t>
      </w:r>
    </w:p>
    <w:p w:rsidR="00411E73" w:rsidRDefault="00411E73" w:rsidP="00411E73">
      <w:pPr>
        <w:pStyle w:val="NormalWeb"/>
        <w:spacing w:before="0" w:beforeAutospacing="0" w:after="0" w:afterAutospacing="0"/>
        <w:rPr>
          <w:rFonts w:asciiTheme="minorHAnsi" w:eastAsiaTheme="minorEastAsia" w:hAnsi="Calibri" w:cstheme="minorBidi"/>
          <w:color w:val="000000" w:themeColor="text1"/>
          <w:kern w:val="24"/>
        </w:rPr>
      </w:pPr>
    </w:p>
    <w:p w:rsidR="00411E73" w:rsidRDefault="00411E73" w:rsidP="00411E73">
      <w:pPr>
        <w:pStyle w:val="NormalWeb"/>
        <w:spacing w:before="0" w:beforeAutospacing="0" w:after="0" w:afterAutospacing="0"/>
      </w:pPr>
      <w:r>
        <w:rPr>
          <w:rFonts w:asciiTheme="minorHAnsi" w:eastAsiaTheme="minorEastAsia" w:hAnsi="Calibri" w:cstheme="minorBidi"/>
          <w:color w:val="000000" w:themeColor="text1"/>
          <w:kern w:val="24"/>
        </w:rPr>
        <w:t>6</w:t>
      </w:r>
      <w:r>
        <w:rPr>
          <w:rFonts w:asciiTheme="minorHAnsi" w:eastAsiaTheme="minorEastAsia" w:hAnsi="Calibri" w:cstheme="minorBidi"/>
          <w:color w:val="000000" w:themeColor="text1"/>
          <w:kern w:val="24"/>
        </w:rPr>
        <w:t xml:space="preserve">Social workers according to the Department of Health (2015) and Lamb (2014) demonstrate the values that underpin the Care Act principles and by using their knowledge and skills make judgements under the Care Act in situations of increasing complexity, risk, uncertainty and challenge.  These areas are particularly important in relation to working with people who may lack capacity.  As soon as Ms A expressed a wish to move from the family home this appears to have been an appropriate time to have advocacy services in place because Ms A’s views could have been better considered against those of the professionals, and in line with the Care Act 2014.  There is very little mention of any family </w:t>
      </w:r>
      <w:r>
        <w:rPr>
          <w:rFonts w:asciiTheme="minorHAnsi" w:eastAsiaTheme="minorEastAsia" w:hAnsi="Calibri" w:cstheme="minorBidi"/>
          <w:color w:val="000000" w:themeColor="text1"/>
          <w:kern w:val="24"/>
        </w:rPr>
        <w:lastRenderedPageBreak/>
        <w:t xml:space="preserve">involvement which suggests that there was a breakdown in relationships.  If an advocate had been in place at this </w:t>
      </w:r>
      <w:proofErr w:type="gramStart"/>
      <w:r>
        <w:rPr>
          <w:rFonts w:asciiTheme="minorHAnsi" w:eastAsiaTheme="minorEastAsia" w:hAnsi="Calibri" w:cstheme="minorBidi"/>
          <w:color w:val="000000" w:themeColor="text1"/>
          <w:kern w:val="24"/>
        </w:rPr>
        <w:t>juncture</w:t>
      </w:r>
      <w:proofErr w:type="gramEnd"/>
      <w:r>
        <w:rPr>
          <w:rFonts w:asciiTheme="minorHAnsi" w:eastAsiaTheme="minorEastAsia" w:hAnsi="Calibri" w:cstheme="minorBidi"/>
          <w:color w:val="000000" w:themeColor="text1"/>
          <w:kern w:val="24"/>
        </w:rPr>
        <w:t xml:space="preserve"> then perhaps Ms A would not have exhibited challenging behaviour or a decline in her mental health.    </w:t>
      </w:r>
    </w:p>
    <w:p w:rsidR="00411E73" w:rsidRDefault="00411E73" w:rsidP="00411E73">
      <w:pPr>
        <w:pStyle w:val="NormalWeb"/>
        <w:spacing w:before="0" w:beforeAutospacing="0" w:after="0" w:afterAutospacing="0"/>
      </w:pPr>
    </w:p>
    <w:p w:rsidR="00411E73" w:rsidRDefault="00411E73" w:rsidP="00411E73">
      <w:pPr>
        <w:pStyle w:val="NormalWeb"/>
        <w:spacing w:before="0" w:beforeAutospacing="0" w:after="0" w:afterAutospacing="0"/>
      </w:pPr>
      <w:r>
        <w:t>7</w:t>
      </w:r>
    </w:p>
    <w:p w:rsidR="00411E73" w:rsidRDefault="00411E73" w:rsidP="00411E73">
      <w:pPr>
        <w:pStyle w:val="NormalWeb"/>
        <w:spacing w:before="0" w:beforeAutospacing="0" w:after="0" w:afterAutospacing="0"/>
      </w:pPr>
      <w:r>
        <w:rPr>
          <w:rFonts w:asciiTheme="minorHAnsi" w:eastAsiaTheme="minorEastAsia" w:hAnsi="Calibri" w:cstheme="minorBidi"/>
          <w:color w:val="000000" w:themeColor="text1"/>
          <w:kern w:val="24"/>
        </w:rPr>
        <w:t>Each of the principles of the Mental Capacity Act is relevant in making correct judgements on Ms A in this case study especially when considered alongside the Care Act 2014 as her mental health is an important element to consider.</w:t>
      </w:r>
    </w:p>
    <w:p w:rsidR="00411E73" w:rsidRDefault="00411E73"/>
    <w:p w:rsidR="00411E73" w:rsidRDefault="00411E73" w:rsidP="00411E73">
      <w:pPr>
        <w:pStyle w:val="NormalWeb"/>
        <w:spacing w:before="0" w:beforeAutospacing="0" w:after="0" w:afterAutospacing="0"/>
      </w:pPr>
      <w:r>
        <w:t>8</w:t>
      </w:r>
      <w:r>
        <w:rPr>
          <w:rFonts w:asciiTheme="minorHAnsi" w:eastAsiaTheme="minorEastAsia" w:hAnsi="Calibri" w:cstheme="minorBidi"/>
          <w:color w:val="000000" w:themeColor="text1"/>
          <w:kern w:val="24"/>
        </w:rPr>
        <w:t xml:space="preserve">This presentation makes the assumption in the first instance that the social worker was assessing Ms A to move from the residential placement back to the family home.   However, in the third paragraph of the case study Ms A expressed a wish to live in a council property which led to her frustration on the realisation that her application would not be fast tracked or prioritised which resulted in a decline in her mental health.   </w:t>
      </w:r>
    </w:p>
    <w:p w:rsidR="00411E73" w:rsidRDefault="00411E73"/>
    <w:p w:rsidR="00411E73" w:rsidRDefault="00411E73" w:rsidP="00411E73">
      <w:pPr>
        <w:pStyle w:val="NormalWeb"/>
        <w:spacing w:before="0" w:beforeAutospacing="0" w:after="0" w:afterAutospacing="0"/>
      </w:pPr>
      <w:r>
        <w:t>9</w:t>
      </w:r>
      <w:r>
        <w:rPr>
          <w:rFonts w:asciiTheme="minorHAnsi" w:eastAsiaTheme="minorEastAsia" w:hAnsi="Calibri" w:cstheme="minorBidi"/>
          <w:color w:val="000000" w:themeColor="text1"/>
          <w:kern w:val="24"/>
        </w:rPr>
        <w:t>In line with the Care Act 2014 and Mental Capacity Act 2005 there are some key issues that require closer scrutiny in terms of how the case was dealt with.</w:t>
      </w:r>
    </w:p>
    <w:p w:rsidR="00411E73" w:rsidRDefault="00411E73"/>
    <w:p w:rsidR="00411E73" w:rsidRDefault="00411E73">
      <w:r>
        <w:t>10</w:t>
      </w:r>
    </w:p>
    <w:p w:rsidR="00411E73" w:rsidRDefault="00411E73" w:rsidP="00411E73">
      <w:pPr>
        <w:pStyle w:val="NormalWeb"/>
        <w:spacing w:before="0" w:beforeAutospacing="0" w:after="0" w:afterAutospacing="0"/>
      </w:pPr>
      <w:r>
        <w:rPr>
          <w:rFonts w:asciiTheme="minorHAnsi" w:eastAsiaTheme="minorEastAsia" w:hAnsi="Calibri" w:cstheme="minorBidi"/>
          <w:color w:val="000000" w:themeColor="text1"/>
          <w:kern w:val="24"/>
        </w:rPr>
        <w:t xml:space="preserve">According to ENA Care Group the Care Act states that a service user </w:t>
      </w:r>
      <w:proofErr w:type="gramStart"/>
      <w:r>
        <w:rPr>
          <w:rFonts w:asciiTheme="minorHAnsi" w:eastAsiaTheme="minorEastAsia" w:hAnsi="Calibri" w:cstheme="minorBidi"/>
          <w:color w:val="000000" w:themeColor="text1"/>
          <w:kern w:val="24"/>
        </w:rPr>
        <w:t>should :</w:t>
      </w:r>
      <w:proofErr w:type="gramEnd"/>
    </w:p>
    <w:p w:rsidR="00411E73" w:rsidRDefault="00411E73" w:rsidP="00411E73">
      <w:pPr>
        <w:pStyle w:val="NormalWeb"/>
        <w:spacing w:before="0" w:beforeAutospacing="0" w:after="0" w:afterAutospacing="0"/>
      </w:pPr>
      <w:r>
        <w:rPr>
          <w:rFonts w:asciiTheme="minorHAnsi" w:eastAsiaTheme="minorEastAsia" w:hAnsi="Calibri" w:cstheme="minorBidi"/>
          <w:color w:val="000000" w:themeColor="text1"/>
          <w:kern w:val="24"/>
        </w:rPr>
        <w:t>Be able to take part as fully as possible in any discussion in which decisions are being made about their social care</w:t>
      </w:r>
    </w:p>
    <w:p w:rsidR="00411E73" w:rsidRDefault="00411E73" w:rsidP="00411E73">
      <w:pPr>
        <w:pStyle w:val="NormalWeb"/>
        <w:spacing w:before="0" w:beforeAutospacing="0" w:after="0" w:afterAutospacing="0"/>
      </w:pPr>
      <w:r>
        <w:rPr>
          <w:rFonts w:asciiTheme="minorHAnsi" w:eastAsiaTheme="minorEastAsia" w:hAnsi="Calibri" w:cstheme="minorBidi"/>
          <w:color w:val="000000" w:themeColor="text1"/>
          <w:kern w:val="24"/>
        </w:rPr>
        <w:t>Have the individual’s views, wishes, feelings and beliefs considered and respected</w:t>
      </w:r>
    </w:p>
    <w:p w:rsidR="00411E73" w:rsidRDefault="00411E73" w:rsidP="00411E73">
      <w:pPr>
        <w:pStyle w:val="NormalWeb"/>
        <w:spacing w:before="0" w:beforeAutospacing="0" w:after="0" w:afterAutospacing="0"/>
      </w:pPr>
      <w:r>
        <w:rPr>
          <w:rFonts w:asciiTheme="minorHAnsi" w:eastAsiaTheme="minorEastAsia" w:hAnsi="Calibri" w:cstheme="minorBidi"/>
          <w:color w:val="000000" w:themeColor="text1"/>
          <w:kern w:val="24"/>
        </w:rPr>
        <w:t>Have all their relevant circumstances taken into consideration and therefore …</w:t>
      </w:r>
    </w:p>
    <w:p w:rsidR="00411E73" w:rsidRDefault="00411E73" w:rsidP="00411E73">
      <w:pPr>
        <w:pStyle w:val="NormalWeb"/>
        <w:spacing w:before="0" w:beforeAutospacing="0" w:after="0" w:afterAutospacing="0"/>
      </w:pPr>
      <w:r>
        <w:rPr>
          <w:rFonts w:asciiTheme="minorHAnsi" w:eastAsiaTheme="minorEastAsia" w:hAnsi="Calibri" w:cstheme="minorBidi"/>
          <w:color w:val="000000" w:themeColor="text1"/>
          <w:kern w:val="24"/>
        </w:rPr>
        <w:t xml:space="preserve">Which is relevant to this case study as the social worker believed that when there was a fluctuation in Ms A mental state that she lacked capacity to weigh up consequences.  </w:t>
      </w:r>
    </w:p>
    <w:p w:rsidR="00411E73" w:rsidRDefault="00411E73" w:rsidP="00411E73">
      <w:pPr>
        <w:pStyle w:val="NormalWeb"/>
        <w:spacing w:before="0" w:beforeAutospacing="0" w:after="0" w:afterAutospacing="0"/>
      </w:pPr>
      <w:r>
        <w:rPr>
          <w:rFonts w:asciiTheme="minorHAnsi" w:eastAsiaTheme="minorEastAsia" w:hAnsi="Calibri" w:cstheme="minorBidi"/>
          <w:color w:val="000000" w:themeColor="text1"/>
          <w:kern w:val="24"/>
        </w:rPr>
        <w:t xml:space="preserve">At this point the social worker involved the Community Mental Health Team.  </w:t>
      </w:r>
      <w:proofErr w:type="gramStart"/>
      <w:r>
        <w:rPr>
          <w:rFonts w:asciiTheme="minorHAnsi" w:eastAsiaTheme="minorEastAsia" w:hAnsi="Calibri" w:cstheme="minorBidi"/>
          <w:color w:val="000000" w:themeColor="text1"/>
          <w:kern w:val="24"/>
        </w:rPr>
        <w:t>However</w:t>
      </w:r>
      <w:proofErr w:type="gramEnd"/>
      <w:r>
        <w:rPr>
          <w:rFonts w:asciiTheme="minorHAnsi" w:eastAsiaTheme="minorEastAsia" w:hAnsi="Calibri" w:cstheme="minorBidi"/>
          <w:color w:val="000000" w:themeColor="text1"/>
          <w:kern w:val="24"/>
        </w:rPr>
        <w:t xml:space="preserve"> there was a dispute over Ms A’s capacity as when she was assessed by mental health professionals over 5 separate occasions she was deemed to have capacity.  </w:t>
      </w:r>
    </w:p>
    <w:p w:rsidR="00411E73" w:rsidRDefault="00411E73" w:rsidP="00411E73">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Despite encouragement from the social worker for Ms A to approach the service offered by the CMHT, Ms A refused and perhaps it would have been appropriate for Ms A to again have an advocate in place to achieve better outcomes by allowing Ms A’s wishes to be better considered, especially when social services explored a multi-disciplinary approach.  It is at this point that Ms A’s family is mentioned which seems a little strange when one would have thought her family would have been involved from the onset especially if one takes a look at the knowledge and skills required for a social worker. </w:t>
      </w:r>
    </w:p>
    <w:p w:rsidR="00411E73" w:rsidRDefault="00411E73" w:rsidP="00411E73">
      <w:pPr>
        <w:pStyle w:val="NormalWeb"/>
        <w:spacing w:before="0" w:beforeAutospacing="0" w:after="0" w:afterAutospacing="0"/>
        <w:rPr>
          <w:rFonts w:asciiTheme="minorHAnsi" w:eastAsiaTheme="minorEastAsia" w:hAnsi="Calibri" w:cstheme="minorBidi"/>
          <w:color w:val="000000" w:themeColor="text1"/>
          <w:kern w:val="24"/>
        </w:rPr>
      </w:pPr>
    </w:p>
    <w:p w:rsidR="00411E73" w:rsidRDefault="00411E73" w:rsidP="00411E73">
      <w:pPr>
        <w:pStyle w:val="NormalWeb"/>
        <w:spacing w:before="0" w:beforeAutospacing="0" w:after="0" w:afterAutospacing="0"/>
      </w:pPr>
      <w:r>
        <w:rPr>
          <w:rFonts w:asciiTheme="minorHAnsi" w:eastAsiaTheme="minorEastAsia" w:hAnsi="Calibri" w:cstheme="minorBidi"/>
          <w:color w:val="000000" w:themeColor="text1"/>
          <w:kern w:val="24"/>
        </w:rPr>
        <w:t>11</w:t>
      </w:r>
    </w:p>
    <w:p w:rsidR="00411E73" w:rsidRDefault="00411E73" w:rsidP="00411E73">
      <w:pPr>
        <w:pStyle w:val="NormalWeb"/>
        <w:spacing w:before="0" w:beforeAutospacing="0" w:after="0" w:afterAutospacing="0"/>
      </w:pPr>
      <w:r>
        <w:rPr>
          <w:rFonts w:asciiTheme="minorHAnsi" w:eastAsiaTheme="minorEastAsia" w:hAnsi="Calibri" w:cstheme="minorBidi"/>
          <w:color w:val="000000" w:themeColor="text1"/>
          <w:kern w:val="24"/>
        </w:rPr>
        <w:t xml:space="preserve">According to a local government association, 2018, here are the principles of a SAB working with risk. Promoting human rights as opposed to a solely protective approach; putting the person at the centre, empowering and working in partnership with them; embracing risk but with a focus on wellbeing and safety; and application of the Mental Capacity Act and the principles of safeguarding adults.  Within the case study it points out that there was one vulnerable adults and risk management meeting but there was no clear outcome from this and eventually Ms A was referred to a community Multi Agency Risk Assessment Panel.  </w:t>
      </w:r>
      <w:r>
        <w:rPr>
          <w:rFonts w:asciiTheme="minorHAnsi" w:eastAsiaTheme="minorEastAsia" w:hAnsi="Calibri" w:cstheme="minorBidi"/>
          <w:color w:val="000000" w:themeColor="text1"/>
          <w:kern w:val="24"/>
        </w:rPr>
        <w:lastRenderedPageBreak/>
        <w:t xml:space="preserve">However according to </w:t>
      </w:r>
      <w:proofErr w:type="spellStart"/>
      <w:r>
        <w:rPr>
          <w:rFonts w:asciiTheme="minorHAnsi" w:eastAsiaTheme="minorEastAsia" w:hAnsi="Calibri" w:cstheme="minorBidi"/>
          <w:color w:val="000000" w:themeColor="text1"/>
          <w:kern w:val="24"/>
        </w:rPr>
        <w:t>Wandsworth</w:t>
      </w:r>
      <w:proofErr w:type="spellEnd"/>
      <w:r>
        <w:rPr>
          <w:rFonts w:asciiTheme="minorHAnsi" w:eastAsiaTheme="minorEastAsia" w:hAnsi="Calibri" w:cstheme="minorBidi"/>
          <w:color w:val="000000" w:themeColor="text1"/>
          <w:kern w:val="24"/>
        </w:rPr>
        <w:t xml:space="preserve"> council (2019) concerning CMARAP these panels can help in situations of self-neglect.  The council states that one of the key changes of the Care Act is to give consideration to self-neglect and an adult is considered at risk of harm if they are unwilling to provide adequate care for themselves which applied to Ms A when she did not follow her medication regime despite demonstrating a good insight into her health needs when the social worker was first appointed to her.  It is not mentioned in the case study that she engaged with a network of support as she was reluctant to approach the Community Mental Health Team and there was no evidence that she was involved with family members.  Other risks which are considered as self-neglecting were the inappropriate relationships that led to Ms A being financially and sexually exploited.  One could argue that it was absurd for her to have to wait some time before she was referred to CMARAP and therefore that there were ethical risks in that Ms A’s situation was not addressed in a timely manner and not in line with the Care Act legislation where issues should be resolved to avoid an individual reaching a crisis point.   </w:t>
      </w:r>
    </w:p>
    <w:p w:rsidR="00411E73" w:rsidRDefault="00411E73"/>
    <w:p w:rsidR="00411E73" w:rsidRDefault="00411E73" w:rsidP="00411E73">
      <w:pPr>
        <w:pStyle w:val="NormalWeb"/>
        <w:spacing w:before="0" w:beforeAutospacing="0" w:after="0" w:afterAutospacing="0"/>
      </w:pPr>
      <w:r>
        <w:t>12</w:t>
      </w:r>
      <w:r>
        <w:rPr>
          <w:rFonts w:asciiTheme="minorHAnsi" w:eastAsiaTheme="minorEastAsia" w:hAnsi="Calibri" w:cstheme="minorBidi"/>
          <w:color w:val="000000" w:themeColor="text1"/>
          <w:kern w:val="24"/>
        </w:rPr>
        <w:t>Some recommendations that could be considered in this case study are the following…</w:t>
      </w:r>
    </w:p>
    <w:p w:rsidR="00411E73" w:rsidRDefault="00411E73"/>
    <w:p w:rsidR="00411E73" w:rsidRDefault="00411E73" w:rsidP="00411E73">
      <w:pPr>
        <w:pStyle w:val="NormalWeb"/>
        <w:spacing w:before="0" w:beforeAutospacing="0" w:after="0" w:afterAutospacing="0"/>
      </w:pPr>
      <w:r>
        <w:t>13</w:t>
      </w:r>
      <w:r>
        <w:rPr>
          <w:rFonts w:asciiTheme="minorHAnsi" w:eastAsiaTheme="minorEastAsia" w:hAnsi="Calibri" w:cstheme="minorBidi"/>
          <w:color w:val="000000" w:themeColor="text1"/>
          <w:kern w:val="24"/>
        </w:rPr>
        <w:t xml:space="preserve">To conclude this presentation has considered the case study and it is clear that professionals attempted to work in the best interests of the individual’s situation but what is not clear is that they worked in the best interests of the individual as defined by the Care Act, notably the social worker who in trying to manage the situation did not always adhere to person centred approaches.  The allocation of an advocate at an earlier stage may have provided a more efficient and equitable resolution by keeping Ms A and those affected by her situation at the centre of the process.  It appears that within the case study that professionals were working in silos rather than adopting a more coherent multiagency approach which would have facilitated the necessity of information sharing and record keeping especially when the study focussed on Ms A’s mental health and she had other health and medical conditions that one could argue should have been taken into consideration.  The case study is very brief and ambiguous and therefore a risk factor. In reality further information would need to be given before any action concerning this case took place.   </w:t>
      </w:r>
    </w:p>
    <w:p w:rsidR="00411E73" w:rsidRDefault="00411E73"/>
    <w:p w:rsidR="00411E73" w:rsidRDefault="00411E73">
      <w:r>
        <w:t>14 References</w:t>
      </w:r>
      <w:bookmarkStart w:id="0" w:name="_GoBack"/>
      <w:bookmarkEnd w:id="0"/>
    </w:p>
    <w:p w:rsidR="00411E73" w:rsidRDefault="00411E73"/>
    <w:sectPr w:rsidR="00411E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1E73"/>
    <w:rsid w:val="000851E5"/>
    <w:rsid w:val="000E6640"/>
    <w:rsid w:val="00221E36"/>
    <w:rsid w:val="0028537A"/>
    <w:rsid w:val="003D4129"/>
    <w:rsid w:val="003D5F22"/>
    <w:rsid w:val="00411E73"/>
    <w:rsid w:val="004E7F3F"/>
    <w:rsid w:val="005615FE"/>
    <w:rsid w:val="005841B0"/>
    <w:rsid w:val="00612663"/>
    <w:rsid w:val="0062595B"/>
    <w:rsid w:val="006D3805"/>
    <w:rsid w:val="006E491E"/>
    <w:rsid w:val="007D7816"/>
    <w:rsid w:val="0082577F"/>
    <w:rsid w:val="0089241C"/>
    <w:rsid w:val="008D1039"/>
    <w:rsid w:val="00951F2B"/>
    <w:rsid w:val="00A20DD4"/>
    <w:rsid w:val="00A95006"/>
    <w:rsid w:val="00AD5756"/>
    <w:rsid w:val="00D468CA"/>
    <w:rsid w:val="00E235B3"/>
    <w:rsid w:val="00EE5917"/>
    <w:rsid w:val="00F42F2B"/>
    <w:rsid w:val="00F608DE"/>
    <w:rsid w:val="00F730B9"/>
    <w:rsid w:val="00F82D41"/>
    <w:rsid w:val="00FF4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897AC"/>
  <w15:chartTrackingRefBased/>
  <w15:docId w15:val="{4209AA77-B5BB-4AF5-84AE-9A651ACEC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11E7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725164">
      <w:bodyDiv w:val="1"/>
      <w:marLeft w:val="0"/>
      <w:marRight w:val="0"/>
      <w:marTop w:val="0"/>
      <w:marBottom w:val="0"/>
      <w:divBdr>
        <w:top w:val="none" w:sz="0" w:space="0" w:color="auto"/>
        <w:left w:val="none" w:sz="0" w:space="0" w:color="auto"/>
        <w:bottom w:val="none" w:sz="0" w:space="0" w:color="auto"/>
        <w:right w:val="none" w:sz="0" w:space="0" w:color="auto"/>
      </w:divBdr>
    </w:div>
    <w:div w:id="110756656">
      <w:bodyDiv w:val="1"/>
      <w:marLeft w:val="0"/>
      <w:marRight w:val="0"/>
      <w:marTop w:val="0"/>
      <w:marBottom w:val="0"/>
      <w:divBdr>
        <w:top w:val="none" w:sz="0" w:space="0" w:color="auto"/>
        <w:left w:val="none" w:sz="0" w:space="0" w:color="auto"/>
        <w:bottom w:val="none" w:sz="0" w:space="0" w:color="auto"/>
        <w:right w:val="none" w:sz="0" w:space="0" w:color="auto"/>
      </w:divBdr>
    </w:div>
    <w:div w:id="333530557">
      <w:bodyDiv w:val="1"/>
      <w:marLeft w:val="0"/>
      <w:marRight w:val="0"/>
      <w:marTop w:val="0"/>
      <w:marBottom w:val="0"/>
      <w:divBdr>
        <w:top w:val="none" w:sz="0" w:space="0" w:color="auto"/>
        <w:left w:val="none" w:sz="0" w:space="0" w:color="auto"/>
        <w:bottom w:val="none" w:sz="0" w:space="0" w:color="auto"/>
        <w:right w:val="none" w:sz="0" w:space="0" w:color="auto"/>
      </w:divBdr>
    </w:div>
    <w:div w:id="419523308">
      <w:bodyDiv w:val="1"/>
      <w:marLeft w:val="0"/>
      <w:marRight w:val="0"/>
      <w:marTop w:val="0"/>
      <w:marBottom w:val="0"/>
      <w:divBdr>
        <w:top w:val="none" w:sz="0" w:space="0" w:color="auto"/>
        <w:left w:val="none" w:sz="0" w:space="0" w:color="auto"/>
        <w:bottom w:val="none" w:sz="0" w:space="0" w:color="auto"/>
        <w:right w:val="none" w:sz="0" w:space="0" w:color="auto"/>
      </w:divBdr>
    </w:div>
    <w:div w:id="983237963">
      <w:bodyDiv w:val="1"/>
      <w:marLeft w:val="0"/>
      <w:marRight w:val="0"/>
      <w:marTop w:val="0"/>
      <w:marBottom w:val="0"/>
      <w:divBdr>
        <w:top w:val="none" w:sz="0" w:space="0" w:color="auto"/>
        <w:left w:val="none" w:sz="0" w:space="0" w:color="auto"/>
        <w:bottom w:val="none" w:sz="0" w:space="0" w:color="auto"/>
        <w:right w:val="none" w:sz="0" w:space="0" w:color="auto"/>
      </w:divBdr>
    </w:div>
    <w:div w:id="1076055156">
      <w:bodyDiv w:val="1"/>
      <w:marLeft w:val="0"/>
      <w:marRight w:val="0"/>
      <w:marTop w:val="0"/>
      <w:marBottom w:val="0"/>
      <w:divBdr>
        <w:top w:val="none" w:sz="0" w:space="0" w:color="auto"/>
        <w:left w:val="none" w:sz="0" w:space="0" w:color="auto"/>
        <w:bottom w:val="none" w:sz="0" w:space="0" w:color="auto"/>
        <w:right w:val="none" w:sz="0" w:space="0" w:color="auto"/>
      </w:divBdr>
    </w:div>
    <w:div w:id="1122262957">
      <w:bodyDiv w:val="1"/>
      <w:marLeft w:val="0"/>
      <w:marRight w:val="0"/>
      <w:marTop w:val="0"/>
      <w:marBottom w:val="0"/>
      <w:divBdr>
        <w:top w:val="none" w:sz="0" w:space="0" w:color="auto"/>
        <w:left w:val="none" w:sz="0" w:space="0" w:color="auto"/>
        <w:bottom w:val="none" w:sz="0" w:space="0" w:color="auto"/>
        <w:right w:val="none" w:sz="0" w:space="0" w:color="auto"/>
      </w:divBdr>
    </w:div>
    <w:div w:id="1267352684">
      <w:bodyDiv w:val="1"/>
      <w:marLeft w:val="0"/>
      <w:marRight w:val="0"/>
      <w:marTop w:val="0"/>
      <w:marBottom w:val="0"/>
      <w:divBdr>
        <w:top w:val="none" w:sz="0" w:space="0" w:color="auto"/>
        <w:left w:val="none" w:sz="0" w:space="0" w:color="auto"/>
        <w:bottom w:val="none" w:sz="0" w:space="0" w:color="auto"/>
        <w:right w:val="none" w:sz="0" w:space="0" w:color="auto"/>
      </w:divBdr>
    </w:div>
    <w:div w:id="1316566590">
      <w:bodyDiv w:val="1"/>
      <w:marLeft w:val="0"/>
      <w:marRight w:val="0"/>
      <w:marTop w:val="0"/>
      <w:marBottom w:val="0"/>
      <w:divBdr>
        <w:top w:val="none" w:sz="0" w:space="0" w:color="auto"/>
        <w:left w:val="none" w:sz="0" w:space="0" w:color="auto"/>
        <w:bottom w:val="none" w:sz="0" w:space="0" w:color="auto"/>
        <w:right w:val="none" w:sz="0" w:space="0" w:color="auto"/>
      </w:divBdr>
    </w:div>
    <w:div w:id="1743941794">
      <w:bodyDiv w:val="1"/>
      <w:marLeft w:val="0"/>
      <w:marRight w:val="0"/>
      <w:marTop w:val="0"/>
      <w:marBottom w:val="0"/>
      <w:divBdr>
        <w:top w:val="none" w:sz="0" w:space="0" w:color="auto"/>
        <w:left w:val="none" w:sz="0" w:space="0" w:color="auto"/>
        <w:bottom w:val="none" w:sz="0" w:space="0" w:color="auto"/>
        <w:right w:val="none" w:sz="0" w:space="0" w:color="auto"/>
      </w:divBdr>
    </w:div>
    <w:div w:id="1792475350">
      <w:bodyDiv w:val="1"/>
      <w:marLeft w:val="0"/>
      <w:marRight w:val="0"/>
      <w:marTop w:val="0"/>
      <w:marBottom w:val="0"/>
      <w:divBdr>
        <w:top w:val="none" w:sz="0" w:space="0" w:color="auto"/>
        <w:left w:val="none" w:sz="0" w:space="0" w:color="auto"/>
        <w:bottom w:val="none" w:sz="0" w:space="0" w:color="auto"/>
        <w:right w:val="none" w:sz="0" w:space="0" w:color="auto"/>
      </w:divBdr>
    </w:div>
    <w:div w:id="1941794790">
      <w:bodyDiv w:val="1"/>
      <w:marLeft w:val="0"/>
      <w:marRight w:val="0"/>
      <w:marTop w:val="0"/>
      <w:marBottom w:val="0"/>
      <w:divBdr>
        <w:top w:val="none" w:sz="0" w:space="0" w:color="auto"/>
        <w:left w:val="none" w:sz="0" w:space="0" w:color="auto"/>
        <w:bottom w:val="none" w:sz="0" w:space="0" w:color="auto"/>
        <w:right w:val="none" w:sz="0" w:space="0" w:color="auto"/>
      </w:divBdr>
    </w:div>
    <w:div w:id="2112969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3</Pages>
  <Words>1318</Words>
  <Characters>7516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shepherd</dc:creator>
  <cp:keywords/>
  <dc:description/>
  <cp:lastModifiedBy>karen shepherd</cp:lastModifiedBy>
  <cp:revision>1</cp:revision>
  <dcterms:created xsi:type="dcterms:W3CDTF">2020-01-09T21:37:00Z</dcterms:created>
  <dcterms:modified xsi:type="dcterms:W3CDTF">2020-01-09T21:50:00Z</dcterms:modified>
</cp:coreProperties>
</file>