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D88D4" w14:textId="77777777" w:rsidR="00AB0CD7" w:rsidRPr="00AB0CD7" w:rsidRDefault="00AB0CD7" w:rsidP="00AB0CD7">
      <w:pPr>
        <w:jc w:val="center"/>
        <w:rPr>
          <w:rFonts w:ascii="Bell MT" w:hAnsi="Bell MT"/>
          <w:color w:val="000000" w:themeColor="text1"/>
          <w:sz w:val="48"/>
          <w:szCs w:val="48"/>
        </w:rPr>
      </w:pPr>
      <w:r w:rsidRPr="00AB0CD7">
        <w:rPr>
          <w:rFonts w:ascii="Bell MT" w:hAnsi="Bell MT"/>
          <w:color w:val="000000" w:themeColor="text1"/>
          <w:sz w:val="48"/>
          <w:szCs w:val="48"/>
        </w:rPr>
        <w:t>Name: Johnathen Wyatt</w:t>
      </w:r>
    </w:p>
    <w:p w14:paraId="5CE70E1F" w14:textId="77777777" w:rsidR="00AB0CD7" w:rsidRPr="00AB0CD7" w:rsidRDefault="00AB0CD7" w:rsidP="00AB0CD7">
      <w:pPr>
        <w:jc w:val="center"/>
        <w:rPr>
          <w:rFonts w:ascii="Bell MT" w:hAnsi="Bell MT"/>
          <w:color w:val="000000" w:themeColor="text1"/>
          <w:sz w:val="48"/>
          <w:szCs w:val="48"/>
        </w:rPr>
      </w:pPr>
      <w:r w:rsidRPr="00AB0CD7">
        <w:rPr>
          <w:rFonts w:ascii="Bell MT" w:hAnsi="Bell MT"/>
          <w:color w:val="000000" w:themeColor="text1"/>
          <w:sz w:val="48"/>
          <w:szCs w:val="48"/>
        </w:rPr>
        <w:t>Student Number: P144511</w:t>
      </w:r>
    </w:p>
    <w:p w14:paraId="2715A4B0" w14:textId="77777777" w:rsidR="00AB0CD7" w:rsidRPr="00AB0CD7" w:rsidRDefault="00AB0CD7" w:rsidP="00AB0CD7">
      <w:pPr>
        <w:jc w:val="center"/>
        <w:rPr>
          <w:rFonts w:ascii="Bell MT" w:hAnsi="Bell MT"/>
          <w:color w:val="000000" w:themeColor="text1"/>
          <w:sz w:val="48"/>
          <w:szCs w:val="48"/>
        </w:rPr>
      </w:pPr>
      <w:r w:rsidRPr="00AB0CD7">
        <w:rPr>
          <w:rFonts w:ascii="Bell MT" w:hAnsi="Bell MT"/>
          <w:color w:val="000000" w:themeColor="text1"/>
          <w:sz w:val="48"/>
          <w:szCs w:val="48"/>
        </w:rPr>
        <w:t>Lecturer: Tania Davies</w:t>
      </w:r>
    </w:p>
    <w:p w14:paraId="045BBD39" w14:textId="77777777" w:rsidR="00AB0CD7" w:rsidRPr="00AB0CD7" w:rsidRDefault="00AB0CD7" w:rsidP="00AB0CD7">
      <w:pPr>
        <w:jc w:val="center"/>
        <w:rPr>
          <w:rFonts w:ascii="Bell MT" w:hAnsi="Bell MT"/>
          <w:color w:val="000000" w:themeColor="text1"/>
          <w:sz w:val="48"/>
          <w:szCs w:val="48"/>
        </w:rPr>
      </w:pPr>
    </w:p>
    <w:p w14:paraId="4E76D98C" w14:textId="77777777" w:rsidR="00AB0CD7" w:rsidRPr="00AB0CD7" w:rsidRDefault="00AB0CD7" w:rsidP="00AB0CD7">
      <w:pPr>
        <w:jc w:val="center"/>
        <w:rPr>
          <w:rFonts w:ascii="Bell MT" w:hAnsi="Bell MT"/>
          <w:color w:val="000000" w:themeColor="text1"/>
          <w:sz w:val="48"/>
          <w:szCs w:val="48"/>
        </w:rPr>
      </w:pPr>
      <w:r w:rsidRPr="00AB0CD7">
        <w:rPr>
          <w:rFonts w:ascii="Bell MT" w:hAnsi="Bell MT"/>
          <w:color w:val="000000" w:themeColor="text1"/>
          <w:sz w:val="48"/>
          <w:szCs w:val="48"/>
        </w:rPr>
        <w:t>What is the evidence linking autistic spectrum disorder symptoms with the symptoms of other and psychiatric disorders?</w:t>
      </w:r>
    </w:p>
    <w:p w14:paraId="40849F49" w14:textId="77777777" w:rsidR="00AB0CD7" w:rsidRPr="00AB0CD7" w:rsidRDefault="00AB0CD7" w:rsidP="00AB0CD7">
      <w:pPr>
        <w:rPr>
          <w:rFonts w:ascii="Bell MT" w:hAnsi="Bell MT"/>
        </w:rPr>
      </w:pPr>
    </w:p>
    <w:p w14:paraId="3ADF7BAD" w14:textId="77777777" w:rsidR="00AB0CD7" w:rsidRPr="00AB0CD7" w:rsidRDefault="00AB0CD7" w:rsidP="00AB0CD7">
      <w:pPr>
        <w:rPr>
          <w:rFonts w:ascii="Bell MT" w:hAnsi="Bell MT"/>
        </w:rPr>
      </w:pPr>
    </w:p>
    <w:p w14:paraId="2A98729E" w14:textId="77777777" w:rsidR="00AB0CD7" w:rsidRPr="00AB0CD7" w:rsidRDefault="00AB0CD7" w:rsidP="00AB0CD7">
      <w:pPr>
        <w:rPr>
          <w:rFonts w:ascii="Bell MT" w:hAnsi="Bell MT"/>
        </w:rPr>
      </w:pPr>
    </w:p>
    <w:p w14:paraId="3571D7EA" w14:textId="77777777" w:rsidR="00AB0CD7" w:rsidRPr="00AB0CD7" w:rsidRDefault="00AB0CD7" w:rsidP="00AB0CD7">
      <w:pPr>
        <w:rPr>
          <w:rFonts w:ascii="Bell MT" w:hAnsi="Bell MT"/>
        </w:rPr>
      </w:pPr>
    </w:p>
    <w:p w14:paraId="6B74EE8B" w14:textId="77777777" w:rsidR="00AB0CD7" w:rsidRPr="00AB0CD7" w:rsidRDefault="00AB0CD7" w:rsidP="00AB0CD7">
      <w:pPr>
        <w:rPr>
          <w:rFonts w:ascii="Bell MT" w:hAnsi="Bell MT"/>
        </w:rPr>
      </w:pPr>
    </w:p>
    <w:p w14:paraId="7FF02FB8" w14:textId="77777777" w:rsidR="00AB0CD7" w:rsidRPr="00AB0CD7" w:rsidRDefault="00AB0CD7" w:rsidP="00AB0CD7">
      <w:pPr>
        <w:rPr>
          <w:rFonts w:ascii="Bell MT" w:hAnsi="Bell MT"/>
        </w:rPr>
      </w:pPr>
    </w:p>
    <w:p w14:paraId="3C63B555" w14:textId="77777777" w:rsidR="00AB0CD7" w:rsidRPr="00AB0CD7" w:rsidRDefault="00AB0CD7" w:rsidP="00AB0CD7">
      <w:pPr>
        <w:rPr>
          <w:rFonts w:ascii="Bell MT" w:hAnsi="Bell MT"/>
        </w:rPr>
      </w:pPr>
    </w:p>
    <w:p w14:paraId="583051B9" w14:textId="77777777" w:rsidR="00AB0CD7" w:rsidRPr="00AB0CD7" w:rsidRDefault="00AB0CD7" w:rsidP="00AB0CD7">
      <w:pPr>
        <w:rPr>
          <w:rFonts w:ascii="Bell MT" w:hAnsi="Bell MT"/>
        </w:rPr>
      </w:pPr>
    </w:p>
    <w:p w14:paraId="50BC09DC" w14:textId="77777777" w:rsidR="00AB0CD7" w:rsidRPr="00AB0CD7" w:rsidRDefault="00AB0CD7" w:rsidP="00AB0CD7">
      <w:pPr>
        <w:rPr>
          <w:rFonts w:ascii="Bell MT" w:hAnsi="Bell MT"/>
        </w:rPr>
      </w:pPr>
    </w:p>
    <w:p w14:paraId="58D32D17" w14:textId="77777777" w:rsidR="00AB0CD7" w:rsidRPr="00AB0CD7" w:rsidRDefault="00AB0CD7" w:rsidP="00AB0CD7">
      <w:pPr>
        <w:rPr>
          <w:rFonts w:ascii="Bell MT" w:hAnsi="Bell MT"/>
        </w:rPr>
      </w:pPr>
    </w:p>
    <w:p w14:paraId="3875A1F9" w14:textId="77777777" w:rsidR="00AB0CD7" w:rsidRPr="00AB0CD7" w:rsidRDefault="00AB0CD7" w:rsidP="00AB0CD7">
      <w:pPr>
        <w:rPr>
          <w:rFonts w:ascii="Bell MT" w:hAnsi="Bell MT"/>
        </w:rPr>
      </w:pPr>
    </w:p>
    <w:p w14:paraId="13D3A666" w14:textId="77777777" w:rsidR="00AB0CD7" w:rsidRPr="00AB0CD7" w:rsidRDefault="00AB0CD7" w:rsidP="00AB0CD7">
      <w:pPr>
        <w:rPr>
          <w:rFonts w:ascii="Bell MT" w:hAnsi="Bell MT"/>
        </w:rPr>
      </w:pPr>
    </w:p>
    <w:p w14:paraId="39A361D5" w14:textId="77777777" w:rsidR="00AB0CD7" w:rsidRPr="00AB0CD7" w:rsidRDefault="00AB0CD7" w:rsidP="00AB0CD7">
      <w:pPr>
        <w:rPr>
          <w:rFonts w:ascii="Bell MT" w:hAnsi="Bell MT"/>
        </w:rPr>
      </w:pPr>
    </w:p>
    <w:p w14:paraId="4BED0CDB" w14:textId="77777777" w:rsidR="00AB0CD7" w:rsidRPr="00AB0CD7" w:rsidRDefault="00AB0CD7" w:rsidP="00AB0CD7">
      <w:pPr>
        <w:rPr>
          <w:rFonts w:ascii="Bell MT" w:hAnsi="Bell MT"/>
        </w:rPr>
      </w:pPr>
    </w:p>
    <w:p w14:paraId="60131DA6" w14:textId="77777777" w:rsidR="00AB0CD7" w:rsidRPr="00AB0CD7" w:rsidRDefault="00AB0CD7" w:rsidP="00AB0CD7">
      <w:pPr>
        <w:rPr>
          <w:rFonts w:ascii="Bell MT" w:hAnsi="Bell MT"/>
        </w:rPr>
      </w:pPr>
    </w:p>
    <w:p w14:paraId="6E80BB7D" w14:textId="77777777" w:rsidR="00AB0CD7" w:rsidRDefault="00AB0CD7" w:rsidP="00AB0CD7">
      <w:pPr>
        <w:spacing w:line="480" w:lineRule="auto"/>
        <w:rPr>
          <w:rFonts w:ascii="Bell MT" w:hAnsi="Bell MT"/>
        </w:rPr>
      </w:pPr>
    </w:p>
    <w:p w14:paraId="58655F51" w14:textId="48B54E11" w:rsidR="00AB0CD7" w:rsidRPr="00AB0CD7" w:rsidRDefault="00AB0CD7" w:rsidP="00AB0CD7">
      <w:pPr>
        <w:spacing w:line="480" w:lineRule="auto"/>
        <w:rPr>
          <w:rFonts w:ascii="Bell MT" w:hAnsi="Bell MT"/>
          <w:color w:val="000000" w:themeColor="text1"/>
          <w:sz w:val="28"/>
          <w:szCs w:val="28"/>
        </w:rPr>
      </w:pPr>
      <w:r w:rsidRPr="00AB0CD7">
        <w:rPr>
          <w:rFonts w:ascii="Bell MT" w:hAnsi="Bell MT"/>
          <w:color w:val="000000" w:themeColor="text1"/>
          <w:sz w:val="28"/>
          <w:szCs w:val="28"/>
        </w:rPr>
        <w:lastRenderedPageBreak/>
        <w:t>Chapter 1.</w:t>
      </w:r>
    </w:p>
    <w:p w14:paraId="4406837D" w14:textId="713BB137" w:rsidR="00AB0CD7" w:rsidRPr="00AB0CD7" w:rsidRDefault="00AB0CD7" w:rsidP="00AB0CD7">
      <w:pPr>
        <w:spacing w:line="480" w:lineRule="auto"/>
        <w:rPr>
          <w:rFonts w:ascii="Bell MT" w:hAnsi="Bell MT"/>
          <w:color w:val="000000" w:themeColor="text1"/>
          <w:sz w:val="24"/>
          <w:szCs w:val="24"/>
        </w:rPr>
      </w:pPr>
      <w:r w:rsidRPr="00AB0CD7">
        <w:rPr>
          <w:rFonts w:ascii="Bell MT" w:hAnsi="Bell MT"/>
          <w:color w:val="000000" w:themeColor="text1"/>
          <w:sz w:val="28"/>
          <w:szCs w:val="28"/>
        </w:rPr>
        <w:t>Background/justification for study</w:t>
      </w:r>
    </w:p>
    <w:p w14:paraId="48EF1CD0" w14:textId="77777777" w:rsidR="00AB0CD7" w:rsidRPr="00AB0CD7" w:rsidRDefault="00AB0CD7" w:rsidP="00B8258E">
      <w:pPr>
        <w:spacing w:line="480" w:lineRule="auto"/>
        <w:rPr>
          <w:rFonts w:ascii="Bell MT" w:hAnsi="Bell MT"/>
          <w:color w:val="000000" w:themeColor="text1"/>
          <w:sz w:val="24"/>
          <w:szCs w:val="24"/>
        </w:rPr>
      </w:pPr>
      <w:r w:rsidRPr="00AB0CD7">
        <w:rPr>
          <w:rFonts w:ascii="Bell MT" w:hAnsi="Bell MT"/>
          <w:color w:val="000000" w:themeColor="text1"/>
          <w:sz w:val="24"/>
          <w:szCs w:val="24"/>
        </w:rPr>
        <w:t>The Sixty-Seventh World Health Assembly identified and recognized autism as a global problem with its prevalence showing no sign of abating (World Health Organization, 2014). This prevalence estimate represents continuous growth in pervasiveness and increasing awareness of autism spectrum disorder [ASD] (Baron-Cohen, et al. 2009). Nevertheless, ASD global prevalence estimations are difficult to ascertain with individuals in developing countries and/or non-Western countries going undetected and undiagnosed (Sauna, 1984; Zhang et al 2006). It is noted that approximately 1 percent of the world population are on the autism spectrum (Malcolm-Smith et al., 2013) with similar rates irrespective of ethnicity, social status or nationality (</w:t>
      </w:r>
      <w:proofErr w:type="spellStart"/>
      <w:r w:rsidRPr="00AB0CD7">
        <w:rPr>
          <w:rFonts w:ascii="Bell MT" w:hAnsi="Bell MT"/>
          <w:color w:val="000000" w:themeColor="text1"/>
          <w:sz w:val="24"/>
          <w:szCs w:val="24"/>
        </w:rPr>
        <w:t>Kopetz</w:t>
      </w:r>
      <w:proofErr w:type="spellEnd"/>
      <w:r w:rsidRPr="00AB0CD7">
        <w:rPr>
          <w:rFonts w:ascii="Bell MT" w:hAnsi="Bell MT"/>
          <w:color w:val="000000" w:themeColor="text1"/>
          <w:sz w:val="24"/>
          <w:szCs w:val="24"/>
        </w:rPr>
        <w:t xml:space="preserve"> and Endowed, 2012). Within Europe it is estimated that 1 percent of the population (approximately 7.5 million people) are on the autism spectrum, mirroring the global prevalence statistic (ESIPP, 2018). Furthermore, it is noted that the prevalence of autism within the U.K shares the same prevalence rate with 1 percent of the population (700,000 people) diagnosed with ASD (House of Lords, 2018). Having outlined the prevalence, it is important to define autism itself.</w:t>
      </w:r>
    </w:p>
    <w:p w14:paraId="18313F91" w14:textId="6D22CB35" w:rsidR="00AB0CD7" w:rsidRPr="00AB0CD7" w:rsidRDefault="00AB0CD7" w:rsidP="00B8258E">
      <w:pPr>
        <w:spacing w:line="480" w:lineRule="auto"/>
        <w:rPr>
          <w:rFonts w:ascii="Bell MT" w:hAnsi="Bell MT"/>
          <w:color w:val="000000" w:themeColor="text1"/>
          <w:sz w:val="24"/>
          <w:szCs w:val="24"/>
        </w:rPr>
      </w:pPr>
      <w:r w:rsidRPr="00AB0CD7">
        <w:rPr>
          <w:rFonts w:ascii="Bell MT" w:hAnsi="Bell MT"/>
          <w:color w:val="000000" w:themeColor="text1"/>
          <w:sz w:val="24"/>
          <w:szCs w:val="24"/>
        </w:rPr>
        <w:t xml:space="preserve">The term 'autism spectrum disorder' is currently an umbrella term used to categories three of the pervasive developmental disorders (PDD) determined by the tenth edition of the World Health Organization's International Classification of Diseases (ICD-10): </w:t>
      </w:r>
      <w:proofErr w:type="spellStart"/>
      <w:r w:rsidRPr="00AB0CD7">
        <w:rPr>
          <w:rFonts w:ascii="Bell MT" w:hAnsi="Bell MT"/>
          <w:color w:val="000000" w:themeColor="text1"/>
          <w:sz w:val="24"/>
          <w:szCs w:val="24"/>
        </w:rPr>
        <w:t>Aspergers</w:t>
      </w:r>
      <w:proofErr w:type="spellEnd"/>
      <w:r w:rsidRPr="00AB0CD7">
        <w:rPr>
          <w:rFonts w:ascii="Bell MT" w:hAnsi="Bell MT"/>
          <w:color w:val="000000" w:themeColor="text1"/>
          <w:sz w:val="24"/>
          <w:szCs w:val="24"/>
        </w:rPr>
        <w:t xml:space="preserve"> disorder, autistic disorder and pervasive disorder- not otherwise specified (PDD-NOS) (WHO, 2007; Baird et al., 2001). The life-long developing disorder (ASD) is </w:t>
      </w:r>
      <w:proofErr w:type="spellStart"/>
      <w:r w:rsidRPr="00AB0CD7">
        <w:rPr>
          <w:rFonts w:ascii="Bell MT" w:hAnsi="Bell MT"/>
          <w:color w:val="000000" w:themeColor="text1"/>
          <w:sz w:val="24"/>
          <w:szCs w:val="24"/>
        </w:rPr>
        <w:t>characterised</w:t>
      </w:r>
      <w:proofErr w:type="spellEnd"/>
      <w:r w:rsidRPr="00AB0CD7">
        <w:rPr>
          <w:rFonts w:ascii="Bell MT" w:hAnsi="Bell MT"/>
          <w:color w:val="000000" w:themeColor="text1"/>
          <w:sz w:val="24"/>
          <w:szCs w:val="24"/>
        </w:rPr>
        <w:t xml:space="preserve"> by three core deficits; impaired reciprocal social interaction, impaired communication and repetitive behaviors (WHO, 1992; Matson and </w:t>
      </w:r>
      <w:proofErr w:type="spellStart"/>
      <w:r w:rsidRPr="00AB0CD7">
        <w:rPr>
          <w:rFonts w:ascii="Bell MT" w:hAnsi="Bell MT"/>
          <w:color w:val="000000" w:themeColor="text1"/>
          <w:sz w:val="24"/>
          <w:szCs w:val="24"/>
        </w:rPr>
        <w:t>Sturmey</w:t>
      </w:r>
      <w:proofErr w:type="spellEnd"/>
      <w:r w:rsidRPr="00AB0CD7">
        <w:rPr>
          <w:rFonts w:ascii="Bell MT" w:hAnsi="Bell MT"/>
          <w:color w:val="000000" w:themeColor="text1"/>
          <w:sz w:val="24"/>
          <w:szCs w:val="24"/>
        </w:rPr>
        <w:t>, 2011; Haney, 2013). The impairments presented</w:t>
      </w:r>
      <w:r w:rsidR="00B8258E">
        <w:rPr>
          <w:rFonts w:ascii="Bell MT" w:hAnsi="Bell MT"/>
          <w:color w:val="000000" w:themeColor="text1"/>
          <w:sz w:val="24"/>
          <w:szCs w:val="24"/>
        </w:rPr>
        <w:t xml:space="preserve"> </w:t>
      </w:r>
      <w:r w:rsidRPr="00AB0CD7">
        <w:rPr>
          <w:rFonts w:ascii="Bell MT" w:hAnsi="Bell MT"/>
          <w:color w:val="000000" w:themeColor="text1"/>
          <w:sz w:val="24"/>
          <w:szCs w:val="24"/>
        </w:rPr>
        <w:lastRenderedPageBreak/>
        <w:t>range in severity and often cause limitations with the acquisition of developmental skills and daily living (</w:t>
      </w:r>
      <w:proofErr w:type="spellStart"/>
      <w:r w:rsidRPr="00AB0CD7">
        <w:rPr>
          <w:rFonts w:ascii="Bell MT" w:hAnsi="Bell MT"/>
          <w:color w:val="000000" w:themeColor="text1"/>
          <w:sz w:val="24"/>
          <w:szCs w:val="24"/>
        </w:rPr>
        <w:t>Verdic</w:t>
      </w:r>
      <w:proofErr w:type="spellEnd"/>
      <w:r w:rsidRPr="00AB0CD7">
        <w:rPr>
          <w:rFonts w:ascii="Bell MT" w:hAnsi="Bell MT"/>
          <w:color w:val="000000" w:themeColor="text1"/>
          <w:sz w:val="24"/>
          <w:szCs w:val="24"/>
        </w:rPr>
        <w:t xml:space="preserve"> and Reeve, 2012). In addition, Ayres et al (2018, p.774) provides a definition of ASD as:</w:t>
      </w:r>
    </w:p>
    <w:p w14:paraId="346055A6" w14:textId="29BEDD40" w:rsidR="00AB0CD7" w:rsidRPr="00AB0CD7" w:rsidRDefault="00AB0CD7" w:rsidP="00AB0CD7">
      <w:pPr>
        <w:spacing w:line="240" w:lineRule="auto"/>
        <w:rPr>
          <w:rFonts w:ascii="Bell MT" w:hAnsi="Bell MT"/>
          <w:color w:val="000000" w:themeColor="text1"/>
          <w:sz w:val="24"/>
          <w:szCs w:val="24"/>
        </w:rPr>
      </w:pPr>
      <w:r w:rsidRPr="00AB0CD7">
        <w:rPr>
          <w:rFonts w:ascii="Bell MT" w:hAnsi="Bell MT"/>
          <w:color w:val="000000" w:themeColor="text1"/>
          <w:sz w:val="24"/>
          <w:szCs w:val="24"/>
        </w:rPr>
        <w:t xml:space="preserve">    </w:t>
      </w:r>
      <w:r>
        <w:rPr>
          <w:rFonts w:ascii="Bell MT" w:hAnsi="Bell MT"/>
          <w:color w:val="000000" w:themeColor="text1"/>
          <w:sz w:val="24"/>
          <w:szCs w:val="24"/>
        </w:rPr>
        <w:t xml:space="preserve">   </w:t>
      </w:r>
      <w:r w:rsidRPr="00AB0CD7">
        <w:rPr>
          <w:rFonts w:ascii="Bell MT" w:hAnsi="Bell MT"/>
          <w:color w:val="000000" w:themeColor="text1"/>
          <w:sz w:val="24"/>
          <w:szCs w:val="24"/>
        </w:rPr>
        <w:t xml:space="preserve">   …Autism spectrum disorder (ASD) is a neurodevelopmental disorder with impact </w:t>
      </w:r>
      <w:r>
        <w:rPr>
          <w:rFonts w:ascii="Bell MT" w:hAnsi="Bell MT"/>
          <w:color w:val="000000" w:themeColor="text1"/>
          <w:sz w:val="24"/>
          <w:szCs w:val="24"/>
        </w:rPr>
        <w:t xml:space="preserve">      </w:t>
      </w:r>
      <w:r w:rsidRPr="00AB0CD7">
        <w:rPr>
          <w:rFonts w:ascii="Bell MT" w:hAnsi="Bell MT"/>
          <w:color w:val="000000" w:themeColor="text1"/>
          <w:sz w:val="24"/>
          <w:szCs w:val="24"/>
        </w:rPr>
        <w:t xml:space="preserve">throughout the lifespan. Children and adults on the autism spectrum have an increased susceptibility to a range of comorbid psychiatric and neurological disorders such as anxiety </w:t>
      </w:r>
      <w:r>
        <w:rPr>
          <w:rFonts w:ascii="Bell MT" w:hAnsi="Bell MT"/>
          <w:color w:val="000000" w:themeColor="text1"/>
          <w:sz w:val="24"/>
          <w:szCs w:val="24"/>
        </w:rPr>
        <w:t xml:space="preserve">     </w:t>
      </w:r>
      <w:r w:rsidRPr="00AB0CD7">
        <w:rPr>
          <w:rFonts w:ascii="Bell MT" w:hAnsi="Bell MT"/>
          <w:color w:val="000000" w:themeColor="text1"/>
          <w:sz w:val="24"/>
          <w:szCs w:val="24"/>
        </w:rPr>
        <w:t>disorders, depression   and epilepsy</w:t>
      </w:r>
    </w:p>
    <w:p w14:paraId="7477A4C2" w14:textId="77777777" w:rsidR="00AB0CD7" w:rsidRDefault="00AB0CD7" w:rsidP="00AB0CD7">
      <w:pPr>
        <w:spacing w:line="480" w:lineRule="auto"/>
        <w:rPr>
          <w:rFonts w:ascii="Bell MT" w:hAnsi="Bell MT"/>
          <w:color w:val="000000" w:themeColor="text1"/>
          <w:sz w:val="24"/>
          <w:szCs w:val="24"/>
        </w:rPr>
      </w:pPr>
    </w:p>
    <w:p w14:paraId="38F7E0EF" w14:textId="4F185B69" w:rsidR="00AB0CD7" w:rsidRPr="00AB0CD7" w:rsidRDefault="00AB0CD7" w:rsidP="00AB0CD7">
      <w:pPr>
        <w:spacing w:line="480" w:lineRule="auto"/>
        <w:rPr>
          <w:rFonts w:ascii="Bell MT" w:hAnsi="Bell MT"/>
          <w:color w:val="000000" w:themeColor="text1"/>
          <w:sz w:val="24"/>
          <w:szCs w:val="24"/>
        </w:rPr>
      </w:pPr>
      <w:r w:rsidRPr="00AB0CD7">
        <w:rPr>
          <w:rFonts w:ascii="Bell MT" w:hAnsi="Bell MT"/>
          <w:color w:val="000000" w:themeColor="text1"/>
          <w:sz w:val="24"/>
          <w:szCs w:val="24"/>
        </w:rPr>
        <w:t xml:space="preserve">A common misconception of ASD is that individuals lack the capability to process and display emotions (Paxton and </w:t>
      </w:r>
      <w:proofErr w:type="spellStart"/>
      <w:r w:rsidRPr="00AB0CD7">
        <w:rPr>
          <w:rFonts w:ascii="Bell MT" w:hAnsi="Bell MT"/>
          <w:color w:val="000000" w:themeColor="text1"/>
          <w:sz w:val="24"/>
          <w:szCs w:val="24"/>
        </w:rPr>
        <w:t>Estay</w:t>
      </w:r>
      <w:proofErr w:type="spellEnd"/>
      <w:r w:rsidRPr="00AB0CD7">
        <w:rPr>
          <w:rFonts w:ascii="Bell MT" w:hAnsi="Bell MT"/>
          <w:color w:val="000000" w:themeColor="text1"/>
          <w:sz w:val="24"/>
          <w:szCs w:val="24"/>
        </w:rPr>
        <w:t xml:space="preserve">, 2007). O'Neill (1999) </w:t>
      </w:r>
      <w:proofErr w:type="spellStart"/>
      <w:r w:rsidRPr="00AB0CD7">
        <w:rPr>
          <w:rFonts w:ascii="Bell MT" w:hAnsi="Bell MT"/>
          <w:color w:val="000000" w:themeColor="text1"/>
          <w:sz w:val="24"/>
          <w:szCs w:val="24"/>
        </w:rPr>
        <w:t>emphasises</w:t>
      </w:r>
      <w:proofErr w:type="spellEnd"/>
      <w:r w:rsidRPr="00AB0CD7">
        <w:rPr>
          <w:rFonts w:ascii="Bell MT" w:hAnsi="Bell MT"/>
          <w:color w:val="000000" w:themeColor="text1"/>
          <w:sz w:val="24"/>
          <w:szCs w:val="24"/>
        </w:rPr>
        <w:t xml:space="preserve"> that adults or children with autism will have emotions, but have the emotional capacity of a younger person. In addition, Kong (2006, p.57) discusses that people with the disorder can be 'hyper-emotional' resulting in mood swings and anxiety. These correlating disorders are common with ASD as people with the disorder are more vulnerable to ill-mental health (</w:t>
      </w:r>
      <w:proofErr w:type="spellStart"/>
      <w:r w:rsidRPr="00AB0CD7">
        <w:rPr>
          <w:rFonts w:ascii="Bell MT" w:hAnsi="Bell MT"/>
          <w:color w:val="000000" w:themeColor="text1"/>
          <w:sz w:val="24"/>
          <w:szCs w:val="24"/>
        </w:rPr>
        <w:t>Deudney</w:t>
      </w:r>
      <w:proofErr w:type="spellEnd"/>
      <w:r w:rsidRPr="00AB0CD7">
        <w:rPr>
          <w:rFonts w:ascii="Bell MT" w:hAnsi="Bell MT"/>
          <w:color w:val="000000" w:themeColor="text1"/>
          <w:sz w:val="24"/>
          <w:szCs w:val="24"/>
        </w:rPr>
        <w:t xml:space="preserve"> and Shah, 2004). It could be therefore be argued that other disorders correlate with autism due to its nature.  </w:t>
      </w:r>
    </w:p>
    <w:p w14:paraId="187D159B" w14:textId="77777777" w:rsidR="00AB0CD7" w:rsidRPr="00AB0CD7" w:rsidRDefault="00AB0CD7" w:rsidP="00AB0CD7">
      <w:pPr>
        <w:spacing w:line="480" w:lineRule="auto"/>
        <w:rPr>
          <w:rFonts w:ascii="Bell MT" w:hAnsi="Bell MT"/>
          <w:color w:val="000000" w:themeColor="text1"/>
          <w:sz w:val="24"/>
          <w:szCs w:val="24"/>
        </w:rPr>
      </w:pPr>
      <w:r w:rsidRPr="00AB0CD7">
        <w:rPr>
          <w:rFonts w:ascii="Bell MT" w:hAnsi="Bell MT"/>
          <w:color w:val="000000" w:themeColor="text1"/>
          <w:sz w:val="24"/>
          <w:szCs w:val="24"/>
        </w:rPr>
        <w:t xml:space="preserve">The correlation and co-occurrence of psychiatric disorders with ASD is a particular area of concern for individuals diagnosed with the disorder (Matson and </w:t>
      </w:r>
      <w:proofErr w:type="spellStart"/>
      <w:r w:rsidRPr="00AB0CD7">
        <w:rPr>
          <w:rFonts w:ascii="Bell MT" w:hAnsi="Bell MT"/>
          <w:color w:val="000000" w:themeColor="text1"/>
          <w:sz w:val="24"/>
          <w:szCs w:val="24"/>
        </w:rPr>
        <w:t>Minshawi</w:t>
      </w:r>
      <w:proofErr w:type="spellEnd"/>
      <w:r w:rsidRPr="00AB0CD7">
        <w:rPr>
          <w:rFonts w:ascii="Bell MT" w:hAnsi="Bell MT"/>
          <w:color w:val="000000" w:themeColor="text1"/>
          <w:sz w:val="24"/>
          <w:szCs w:val="24"/>
        </w:rPr>
        <w:t xml:space="preserve"> 2007). Correlation is defined as a process of measuring the linear relationship between two quantitative variables (</w:t>
      </w:r>
      <w:proofErr w:type="spellStart"/>
      <w:r w:rsidRPr="00AB0CD7">
        <w:rPr>
          <w:rFonts w:ascii="Bell MT" w:hAnsi="Bell MT"/>
          <w:color w:val="000000" w:themeColor="text1"/>
          <w:sz w:val="24"/>
          <w:szCs w:val="24"/>
        </w:rPr>
        <w:t>Gravetter</w:t>
      </w:r>
      <w:proofErr w:type="spellEnd"/>
      <w:r w:rsidRPr="00AB0CD7">
        <w:rPr>
          <w:rFonts w:ascii="Bell MT" w:hAnsi="Bell MT"/>
          <w:color w:val="000000" w:themeColor="text1"/>
          <w:sz w:val="24"/>
          <w:szCs w:val="24"/>
        </w:rPr>
        <w:t xml:space="preserve"> and </w:t>
      </w:r>
      <w:proofErr w:type="spellStart"/>
      <w:r w:rsidRPr="00AB0CD7">
        <w:rPr>
          <w:rFonts w:ascii="Bell MT" w:hAnsi="Bell MT"/>
          <w:color w:val="000000" w:themeColor="text1"/>
          <w:sz w:val="24"/>
          <w:szCs w:val="24"/>
        </w:rPr>
        <w:t>Wallnau</w:t>
      </w:r>
      <w:proofErr w:type="spellEnd"/>
      <w:r w:rsidRPr="00AB0CD7">
        <w:rPr>
          <w:rFonts w:ascii="Bell MT" w:hAnsi="Bell MT"/>
          <w:color w:val="000000" w:themeColor="text1"/>
          <w:sz w:val="24"/>
          <w:szCs w:val="24"/>
        </w:rPr>
        <w:t xml:space="preserve">, 2008). The measurements enables to establish comparisons between variant models or proposed explanations of </w:t>
      </w:r>
      <w:proofErr w:type="spellStart"/>
      <w:r w:rsidRPr="00AB0CD7">
        <w:rPr>
          <w:rFonts w:ascii="Bell MT" w:hAnsi="Bell MT"/>
          <w:color w:val="000000" w:themeColor="text1"/>
          <w:sz w:val="24"/>
          <w:szCs w:val="24"/>
        </w:rPr>
        <w:t>behaviour</w:t>
      </w:r>
      <w:proofErr w:type="spellEnd"/>
      <w:r w:rsidRPr="00AB0CD7">
        <w:rPr>
          <w:rFonts w:ascii="Bell MT" w:hAnsi="Bell MT"/>
          <w:color w:val="000000" w:themeColor="text1"/>
          <w:sz w:val="24"/>
          <w:szCs w:val="24"/>
        </w:rPr>
        <w:t xml:space="preserve"> variables (</w:t>
      </w:r>
      <w:proofErr w:type="spellStart"/>
      <w:r w:rsidRPr="00AB0CD7">
        <w:rPr>
          <w:rFonts w:ascii="Bell MT" w:hAnsi="Bell MT"/>
          <w:color w:val="000000" w:themeColor="text1"/>
          <w:sz w:val="24"/>
          <w:szCs w:val="24"/>
        </w:rPr>
        <w:t>Curwin</w:t>
      </w:r>
      <w:proofErr w:type="spellEnd"/>
      <w:r w:rsidRPr="00AB0CD7">
        <w:rPr>
          <w:rFonts w:ascii="Bell MT" w:hAnsi="Bell MT"/>
          <w:color w:val="000000" w:themeColor="text1"/>
          <w:sz w:val="24"/>
          <w:szCs w:val="24"/>
        </w:rPr>
        <w:t xml:space="preserve"> and Slater, 2004</w:t>
      </w:r>
      <w:proofErr w:type="gramStart"/>
      <w:r w:rsidRPr="00AB0CD7">
        <w:rPr>
          <w:rFonts w:ascii="Bell MT" w:hAnsi="Bell MT"/>
          <w:color w:val="000000" w:themeColor="text1"/>
          <w:sz w:val="24"/>
          <w:szCs w:val="24"/>
        </w:rPr>
        <w:t>).This</w:t>
      </w:r>
      <w:proofErr w:type="gramEnd"/>
      <w:r w:rsidRPr="00AB0CD7">
        <w:rPr>
          <w:rFonts w:ascii="Bell MT" w:hAnsi="Bell MT"/>
          <w:color w:val="000000" w:themeColor="text1"/>
          <w:sz w:val="24"/>
          <w:szCs w:val="24"/>
        </w:rPr>
        <w:t xml:space="preserve"> calculation according to </w:t>
      </w:r>
      <w:proofErr w:type="spellStart"/>
      <w:r w:rsidRPr="00AB0CD7">
        <w:rPr>
          <w:rFonts w:ascii="Bell MT" w:hAnsi="Bell MT"/>
          <w:color w:val="000000" w:themeColor="text1"/>
          <w:sz w:val="24"/>
          <w:szCs w:val="24"/>
        </w:rPr>
        <w:t>Curwin</w:t>
      </w:r>
      <w:proofErr w:type="spellEnd"/>
      <w:r w:rsidRPr="00AB0CD7">
        <w:rPr>
          <w:rFonts w:ascii="Bell MT" w:hAnsi="Bell MT"/>
          <w:color w:val="000000" w:themeColor="text1"/>
          <w:sz w:val="24"/>
          <w:szCs w:val="24"/>
        </w:rPr>
        <w:t xml:space="preserve"> and Slater (2004) is commonly known as coefficient correlation. The coefficient correlation refers to Pearson’s product moment correlation which is an index of the severity of linear relationship by measuring two variables on an interval or ratio scale (</w:t>
      </w:r>
      <w:proofErr w:type="spellStart"/>
      <w:r w:rsidRPr="00AB0CD7">
        <w:rPr>
          <w:rFonts w:ascii="Bell MT" w:hAnsi="Bell MT"/>
          <w:color w:val="000000" w:themeColor="text1"/>
          <w:sz w:val="24"/>
          <w:szCs w:val="24"/>
        </w:rPr>
        <w:t>Yaremko</w:t>
      </w:r>
      <w:proofErr w:type="spellEnd"/>
      <w:r w:rsidRPr="00AB0CD7">
        <w:rPr>
          <w:rFonts w:ascii="Bell MT" w:hAnsi="Bell MT"/>
          <w:color w:val="000000" w:themeColor="text1"/>
          <w:sz w:val="24"/>
          <w:szCs w:val="24"/>
        </w:rPr>
        <w:t xml:space="preserve"> et al., 1986). The second term, co-occurrence mentioned above replaced the terms dual diagnosis and dual disorder when referring to co-existing psychiatric disorders </w:t>
      </w:r>
      <w:r w:rsidRPr="00AB0CD7">
        <w:rPr>
          <w:rFonts w:ascii="Bell MT" w:hAnsi="Bell MT"/>
          <w:color w:val="000000" w:themeColor="text1"/>
          <w:sz w:val="24"/>
          <w:szCs w:val="24"/>
        </w:rPr>
        <w:lastRenderedPageBreak/>
        <w:t xml:space="preserve">(Sun, 2009). Fagan and Ax (2011) discusses that the term co-occurring is frequently more used in today’s literature rather than other synonyms as it particularly refers to more than one mental- disorder (e.g. personality disorder, developmental disorder and mental illness) simultaneously occurring in the same individual. </w:t>
      </w:r>
    </w:p>
    <w:p w14:paraId="11B29A8D" w14:textId="77777777" w:rsidR="00AB0CD7" w:rsidRPr="00AB0CD7" w:rsidRDefault="00AB0CD7" w:rsidP="00AB0CD7">
      <w:pPr>
        <w:spacing w:line="480" w:lineRule="auto"/>
        <w:rPr>
          <w:rFonts w:ascii="Bell MT" w:hAnsi="Bell MT"/>
          <w:color w:val="000000" w:themeColor="text1"/>
          <w:sz w:val="24"/>
          <w:szCs w:val="24"/>
        </w:rPr>
      </w:pPr>
      <w:r w:rsidRPr="00AB0CD7">
        <w:rPr>
          <w:rFonts w:ascii="Bell MT" w:hAnsi="Bell MT"/>
          <w:color w:val="000000" w:themeColor="text1"/>
          <w:sz w:val="24"/>
          <w:szCs w:val="24"/>
        </w:rPr>
        <w:t xml:space="preserve">Previous studies have suggested that the majority of individuals with ASD meet the criteria for at least one concurrent psychiatric disorder (van </w:t>
      </w:r>
      <w:proofErr w:type="spellStart"/>
      <w:r w:rsidRPr="00AB0CD7">
        <w:rPr>
          <w:rFonts w:ascii="Bell MT" w:hAnsi="Bell MT"/>
          <w:color w:val="000000" w:themeColor="text1"/>
          <w:sz w:val="24"/>
          <w:szCs w:val="24"/>
        </w:rPr>
        <w:t>Steensel</w:t>
      </w:r>
      <w:proofErr w:type="spellEnd"/>
      <w:r w:rsidRPr="00AB0CD7">
        <w:rPr>
          <w:rFonts w:ascii="Bell MT" w:hAnsi="Bell MT"/>
          <w:color w:val="000000" w:themeColor="text1"/>
          <w:sz w:val="24"/>
          <w:szCs w:val="24"/>
        </w:rPr>
        <w:t xml:space="preserve"> et al., 2017; </w:t>
      </w:r>
      <w:proofErr w:type="spellStart"/>
      <w:r w:rsidRPr="00AB0CD7">
        <w:rPr>
          <w:rFonts w:ascii="Bell MT" w:hAnsi="Bell MT"/>
          <w:color w:val="000000" w:themeColor="text1"/>
          <w:sz w:val="24"/>
          <w:szCs w:val="24"/>
        </w:rPr>
        <w:t>Bitsika</w:t>
      </w:r>
      <w:proofErr w:type="spellEnd"/>
      <w:r w:rsidRPr="00AB0CD7">
        <w:rPr>
          <w:rFonts w:ascii="Bell MT" w:hAnsi="Bell MT"/>
          <w:color w:val="000000" w:themeColor="text1"/>
          <w:sz w:val="24"/>
          <w:szCs w:val="24"/>
        </w:rPr>
        <w:t xml:space="preserve"> and </w:t>
      </w:r>
      <w:proofErr w:type="spellStart"/>
      <w:r w:rsidRPr="00AB0CD7">
        <w:rPr>
          <w:rFonts w:ascii="Bell MT" w:hAnsi="Bell MT"/>
          <w:color w:val="000000" w:themeColor="text1"/>
          <w:sz w:val="24"/>
          <w:szCs w:val="24"/>
        </w:rPr>
        <w:t>Sharpey</w:t>
      </w:r>
      <w:proofErr w:type="spellEnd"/>
      <w:r w:rsidRPr="00AB0CD7">
        <w:rPr>
          <w:rFonts w:ascii="Bell MT" w:hAnsi="Bell MT"/>
          <w:color w:val="000000" w:themeColor="text1"/>
          <w:sz w:val="24"/>
          <w:szCs w:val="24"/>
        </w:rPr>
        <w:t xml:space="preserve">, 2016; Reina et al., 2017; Stewart et al., 2016). Moreover, </w:t>
      </w:r>
      <w:proofErr w:type="spellStart"/>
      <w:r w:rsidRPr="00AB0CD7">
        <w:rPr>
          <w:rFonts w:ascii="Bell MT" w:hAnsi="Bell MT"/>
          <w:color w:val="000000" w:themeColor="text1"/>
          <w:sz w:val="24"/>
          <w:szCs w:val="24"/>
        </w:rPr>
        <w:t>Matsonand</w:t>
      </w:r>
      <w:proofErr w:type="spellEnd"/>
      <w:r w:rsidRPr="00AB0CD7">
        <w:rPr>
          <w:rFonts w:ascii="Bell MT" w:hAnsi="Bell MT"/>
          <w:color w:val="000000" w:themeColor="text1"/>
          <w:sz w:val="24"/>
          <w:szCs w:val="24"/>
        </w:rPr>
        <w:t xml:space="preserve"> </w:t>
      </w:r>
      <w:proofErr w:type="spellStart"/>
      <w:r w:rsidRPr="00AB0CD7">
        <w:rPr>
          <w:rFonts w:ascii="Bell MT" w:hAnsi="Bell MT"/>
          <w:color w:val="000000" w:themeColor="text1"/>
          <w:sz w:val="24"/>
          <w:szCs w:val="24"/>
        </w:rPr>
        <w:t>Nebel-Schwalm</w:t>
      </w:r>
      <w:proofErr w:type="spellEnd"/>
      <w:r w:rsidRPr="00AB0CD7">
        <w:rPr>
          <w:rFonts w:ascii="Bell MT" w:hAnsi="Bell MT"/>
          <w:color w:val="000000" w:themeColor="text1"/>
          <w:sz w:val="24"/>
          <w:szCs w:val="24"/>
        </w:rPr>
        <w:t xml:space="preserve"> (2007) identified that those with ASD are more exposed to elevated comorbidity psychiatric disorders than those without the disorder. These include mood disorders, anxiety, and depression, attention deficit hyperactivity disorder (ADHD) and obsessive compulsion disorder (OCD). Such co-occurrence may potentially impact negatively on individuals’ social performance and general health and well-being (Kat et al., 2013; </w:t>
      </w:r>
      <w:proofErr w:type="spellStart"/>
      <w:r w:rsidRPr="00AB0CD7">
        <w:rPr>
          <w:rFonts w:ascii="Bell MT" w:hAnsi="Bell MT"/>
          <w:color w:val="000000" w:themeColor="text1"/>
          <w:sz w:val="24"/>
          <w:szCs w:val="24"/>
        </w:rPr>
        <w:t>Bitsika</w:t>
      </w:r>
      <w:proofErr w:type="spellEnd"/>
      <w:r w:rsidRPr="00AB0CD7">
        <w:rPr>
          <w:rFonts w:ascii="Bell MT" w:hAnsi="Bell MT"/>
          <w:color w:val="000000" w:themeColor="text1"/>
          <w:sz w:val="24"/>
          <w:szCs w:val="24"/>
        </w:rPr>
        <w:t xml:space="preserve"> and </w:t>
      </w:r>
      <w:proofErr w:type="spellStart"/>
      <w:r w:rsidRPr="00AB0CD7">
        <w:rPr>
          <w:rFonts w:ascii="Bell MT" w:hAnsi="Bell MT"/>
          <w:color w:val="000000" w:themeColor="text1"/>
          <w:sz w:val="24"/>
          <w:szCs w:val="24"/>
        </w:rPr>
        <w:t>Sharpey</w:t>
      </w:r>
      <w:proofErr w:type="spellEnd"/>
      <w:r w:rsidRPr="00AB0CD7">
        <w:rPr>
          <w:rFonts w:ascii="Bell MT" w:hAnsi="Bell MT"/>
          <w:color w:val="000000" w:themeColor="text1"/>
          <w:sz w:val="24"/>
          <w:szCs w:val="24"/>
        </w:rPr>
        <w:t>, 2016). Additionally, White et al (2011) suggests that having one disorder increases the risk of developing another. Caron and Rutter (1991) argues that the co-occurrence of two separate disorders is the result of environmental and/or biological factors. In addition, his dissertation will explore shared symptoms between ASD and other psychiatric disorders.</w:t>
      </w:r>
    </w:p>
    <w:p w14:paraId="0BDFD264" w14:textId="64C2D2CC" w:rsidR="00AB0CD7" w:rsidRPr="00B8258E" w:rsidRDefault="00AB0CD7" w:rsidP="00AB0CD7">
      <w:pPr>
        <w:spacing w:line="480" w:lineRule="auto"/>
        <w:rPr>
          <w:rFonts w:ascii="Bell MT" w:hAnsi="Bell MT"/>
          <w:color w:val="000000" w:themeColor="text1"/>
          <w:sz w:val="28"/>
          <w:szCs w:val="28"/>
        </w:rPr>
      </w:pPr>
      <w:r w:rsidRPr="00B8258E">
        <w:rPr>
          <w:rFonts w:ascii="Bell MT" w:hAnsi="Bell MT"/>
          <w:color w:val="000000" w:themeColor="text1"/>
          <w:sz w:val="28"/>
          <w:szCs w:val="28"/>
        </w:rPr>
        <w:t xml:space="preserve">Aim and objectives </w:t>
      </w:r>
    </w:p>
    <w:p w14:paraId="2496FE87" w14:textId="77777777" w:rsidR="00AB0CD7" w:rsidRPr="00AB0CD7" w:rsidRDefault="00AB0CD7" w:rsidP="00AB0CD7">
      <w:pPr>
        <w:spacing w:line="480" w:lineRule="auto"/>
        <w:rPr>
          <w:rFonts w:ascii="Bell MT" w:hAnsi="Bell MT"/>
          <w:color w:val="000000" w:themeColor="text1"/>
          <w:sz w:val="24"/>
          <w:szCs w:val="24"/>
        </w:rPr>
      </w:pPr>
      <w:r w:rsidRPr="00AB0CD7">
        <w:rPr>
          <w:rFonts w:ascii="Bell MT" w:hAnsi="Bell MT"/>
          <w:color w:val="000000" w:themeColor="text1"/>
          <w:sz w:val="24"/>
          <w:szCs w:val="24"/>
        </w:rPr>
        <w:t xml:space="preserve">The aim of this dissertation is to explore the extent to which people with autism spectrum disorders have other concurrent psychiatric disorders to establish the aspects that hinders individuals’ health and development. To fully achieve the aim, the research will </w:t>
      </w:r>
      <w:proofErr w:type="spellStart"/>
      <w:r w:rsidRPr="00AB0CD7">
        <w:rPr>
          <w:rFonts w:ascii="Bell MT" w:hAnsi="Bell MT"/>
          <w:color w:val="000000" w:themeColor="text1"/>
          <w:sz w:val="24"/>
          <w:szCs w:val="24"/>
        </w:rPr>
        <w:t>endeavour</w:t>
      </w:r>
      <w:proofErr w:type="spellEnd"/>
      <w:r w:rsidRPr="00AB0CD7">
        <w:rPr>
          <w:rFonts w:ascii="Bell MT" w:hAnsi="Bell MT"/>
          <w:color w:val="000000" w:themeColor="text1"/>
          <w:sz w:val="24"/>
          <w:szCs w:val="24"/>
        </w:rPr>
        <w:t xml:space="preserve"> to meet the following objectives:</w:t>
      </w:r>
    </w:p>
    <w:p w14:paraId="4FADEB55" w14:textId="77777777" w:rsidR="00B8258E" w:rsidRPr="00B8258E" w:rsidRDefault="00B8258E" w:rsidP="00B8258E">
      <w:pPr>
        <w:spacing w:line="240" w:lineRule="auto"/>
        <w:rPr>
          <w:rFonts w:ascii="Bell MT" w:hAnsi="Bell MT"/>
          <w:color w:val="000000" w:themeColor="text1"/>
          <w:sz w:val="24"/>
          <w:szCs w:val="24"/>
        </w:rPr>
      </w:pPr>
    </w:p>
    <w:p w14:paraId="29B6700C" w14:textId="5389271A" w:rsidR="00B8258E" w:rsidRDefault="00AB0CD7" w:rsidP="00AB0CD7">
      <w:pPr>
        <w:pStyle w:val="ListParagraph"/>
        <w:numPr>
          <w:ilvl w:val="0"/>
          <w:numId w:val="11"/>
        </w:numPr>
        <w:spacing w:line="240" w:lineRule="auto"/>
        <w:rPr>
          <w:rFonts w:ascii="Bell MT" w:hAnsi="Bell MT"/>
          <w:color w:val="000000" w:themeColor="text1"/>
          <w:sz w:val="24"/>
          <w:szCs w:val="24"/>
        </w:rPr>
      </w:pPr>
      <w:r w:rsidRPr="00B8258E">
        <w:rPr>
          <w:rFonts w:ascii="Bell MT" w:hAnsi="Bell MT"/>
          <w:color w:val="000000" w:themeColor="text1"/>
          <w:sz w:val="24"/>
          <w:szCs w:val="24"/>
        </w:rPr>
        <w:lastRenderedPageBreak/>
        <w:t xml:space="preserve">Conduct a comprehensive literature review of current literature to identify particular        </w:t>
      </w:r>
      <w:r w:rsidR="00B8258E" w:rsidRPr="00B8258E">
        <w:rPr>
          <w:rFonts w:ascii="Bell MT" w:hAnsi="Bell MT"/>
          <w:color w:val="000000" w:themeColor="text1"/>
          <w:sz w:val="24"/>
          <w:szCs w:val="24"/>
        </w:rPr>
        <w:t xml:space="preserve">   </w:t>
      </w:r>
      <w:r w:rsidRPr="00B8258E">
        <w:rPr>
          <w:rFonts w:ascii="Bell MT" w:hAnsi="Bell MT"/>
          <w:color w:val="000000" w:themeColor="text1"/>
          <w:sz w:val="24"/>
          <w:szCs w:val="24"/>
        </w:rPr>
        <w:t>aspects of psychiatric disorders that are associated with ASD</w:t>
      </w:r>
    </w:p>
    <w:p w14:paraId="6ECFA55A" w14:textId="77777777" w:rsidR="00B8258E" w:rsidRDefault="00AB0CD7" w:rsidP="00AB0CD7">
      <w:pPr>
        <w:pStyle w:val="ListParagraph"/>
        <w:numPr>
          <w:ilvl w:val="0"/>
          <w:numId w:val="11"/>
        </w:numPr>
        <w:spacing w:line="240" w:lineRule="auto"/>
        <w:rPr>
          <w:rFonts w:ascii="Bell MT" w:hAnsi="Bell MT"/>
          <w:color w:val="000000" w:themeColor="text1"/>
          <w:sz w:val="24"/>
          <w:szCs w:val="24"/>
        </w:rPr>
      </w:pPr>
      <w:r w:rsidRPr="00B8258E">
        <w:rPr>
          <w:rFonts w:ascii="Bell MT" w:hAnsi="Bell MT"/>
          <w:color w:val="000000" w:themeColor="text1"/>
          <w:sz w:val="24"/>
          <w:szCs w:val="24"/>
        </w:rPr>
        <w:t xml:space="preserve">Identify relevant and concurrent research and critique to understand the effects of    having two co-occurring disorders. </w:t>
      </w:r>
    </w:p>
    <w:p w14:paraId="38669C5B" w14:textId="77777777" w:rsidR="00B8258E" w:rsidRDefault="00AB0CD7" w:rsidP="00AB0CD7">
      <w:pPr>
        <w:pStyle w:val="ListParagraph"/>
        <w:numPr>
          <w:ilvl w:val="0"/>
          <w:numId w:val="11"/>
        </w:numPr>
        <w:spacing w:line="240" w:lineRule="auto"/>
        <w:rPr>
          <w:rFonts w:ascii="Bell MT" w:hAnsi="Bell MT"/>
          <w:color w:val="000000" w:themeColor="text1"/>
          <w:sz w:val="24"/>
          <w:szCs w:val="24"/>
        </w:rPr>
      </w:pPr>
      <w:r w:rsidRPr="00B8258E">
        <w:rPr>
          <w:rFonts w:ascii="Bell MT" w:hAnsi="Bell MT"/>
          <w:color w:val="000000" w:themeColor="text1"/>
          <w:sz w:val="24"/>
          <w:szCs w:val="24"/>
        </w:rPr>
        <w:t xml:space="preserve">Identify and </w:t>
      </w:r>
      <w:proofErr w:type="spellStart"/>
      <w:r w:rsidRPr="00B8258E">
        <w:rPr>
          <w:rFonts w:ascii="Bell MT" w:hAnsi="Bell MT"/>
          <w:color w:val="000000" w:themeColor="text1"/>
          <w:sz w:val="24"/>
          <w:szCs w:val="24"/>
        </w:rPr>
        <w:t>utilise</w:t>
      </w:r>
      <w:proofErr w:type="spellEnd"/>
      <w:r w:rsidRPr="00B8258E">
        <w:rPr>
          <w:rFonts w:ascii="Bell MT" w:hAnsi="Bell MT"/>
          <w:color w:val="000000" w:themeColor="text1"/>
          <w:sz w:val="24"/>
          <w:szCs w:val="24"/>
        </w:rPr>
        <w:t xml:space="preserve"> appropriate methods to ascertain information on the impact of the disorders.</w:t>
      </w:r>
    </w:p>
    <w:p w14:paraId="506D2220" w14:textId="02C41BAE" w:rsidR="00AB0CD7" w:rsidRPr="00B8258E" w:rsidRDefault="00AB0CD7" w:rsidP="00AB0CD7">
      <w:pPr>
        <w:pStyle w:val="ListParagraph"/>
        <w:numPr>
          <w:ilvl w:val="0"/>
          <w:numId w:val="11"/>
        </w:numPr>
        <w:spacing w:line="240" w:lineRule="auto"/>
        <w:rPr>
          <w:rFonts w:ascii="Bell MT" w:hAnsi="Bell MT"/>
          <w:color w:val="000000" w:themeColor="text1"/>
          <w:sz w:val="24"/>
          <w:szCs w:val="24"/>
        </w:rPr>
      </w:pPr>
      <w:r w:rsidRPr="00B8258E">
        <w:rPr>
          <w:rFonts w:ascii="Bell MT" w:hAnsi="Bell MT"/>
          <w:color w:val="000000" w:themeColor="text1"/>
          <w:sz w:val="24"/>
          <w:szCs w:val="24"/>
        </w:rPr>
        <w:t xml:space="preserve">Discuss the implications of findings to provide recommendations to health </w:t>
      </w:r>
      <w:proofErr w:type="spellStart"/>
      <w:r w:rsidRPr="00B8258E">
        <w:rPr>
          <w:rFonts w:ascii="Bell MT" w:hAnsi="Bell MT"/>
          <w:color w:val="000000" w:themeColor="text1"/>
          <w:sz w:val="24"/>
          <w:szCs w:val="24"/>
        </w:rPr>
        <w:t>organisational</w:t>
      </w:r>
      <w:proofErr w:type="spellEnd"/>
      <w:r w:rsidRPr="00B8258E">
        <w:rPr>
          <w:rFonts w:ascii="Bell MT" w:hAnsi="Bell MT"/>
          <w:color w:val="000000" w:themeColor="text1"/>
          <w:sz w:val="24"/>
          <w:szCs w:val="24"/>
        </w:rPr>
        <w:t xml:space="preserve"> bodies with the </w:t>
      </w:r>
      <w:proofErr w:type="spellStart"/>
      <w:r w:rsidRPr="00B8258E">
        <w:rPr>
          <w:rFonts w:ascii="Bell MT" w:hAnsi="Bell MT"/>
          <w:color w:val="000000" w:themeColor="text1"/>
          <w:sz w:val="24"/>
          <w:szCs w:val="24"/>
        </w:rPr>
        <w:t>endeavour</w:t>
      </w:r>
      <w:proofErr w:type="spellEnd"/>
      <w:r w:rsidRPr="00B8258E">
        <w:rPr>
          <w:rFonts w:ascii="Bell MT" w:hAnsi="Bell MT"/>
          <w:color w:val="000000" w:themeColor="text1"/>
          <w:sz w:val="24"/>
          <w:szCs w:val="24"/>
        </w:rPr>
        <w:t xml:space="preserve"> of improving individuals with ASD. </w:t>
      </w:r>
    </w:p>
    <w:p w14:paraId="72D90EB4" w14:textId="77777777" w:rsidR="00AB0CD7" w:rsidRDefault="00AB0CD7" w:rsidP="00AB0CD7">
      <w:pPr>
        <w:spacing w:line="480" w:lineRule="auto"/>
        <w:rPr>
          <w:rFonts w:ascii="Bell MT" w:hAnsi="Bell MT"/>
          <w:color w:val="000000" w:themeColor="text1"/>
          <w:sz w:val="24"/>
          <w:szCs w:val="24"/>
        </w:rPr>
      </w:pPr>
    </w:p>
    <w:p w14:paraId="42D4893F" w14:textId="77777777" w:rsidR="00AB0CD7" w:rsidRDefault="00AB0CD7" w:rsidP="00AB0CD7">
      <w:pPr>
        <w:spacing w:line="480" w:lineRule="auto"/>
        <w:rPr>
          <w:rFonts w:ascii="Bell MT" w:hAnsi="Bell MT"/>
          <w:color w:val="000000" w:themeColor="text1"/>
          <w:sz w:val="24"/>
          <w:szCs w:val="24"/>
        </w:rPr>
      </w:pPr>
    </w:p>
    <w:p w14:paraId="05C2F7D3" w14:textId="0C7C208A" w:rsidR="00AB0CD7" w:rsidRPr="00AB0CD7" w:rsidRDefault="00AB0CD7" w:rsidP="00AB0CD7">
      <w:pPr>
        <w:spacing w:line="480" w:lineRule="auto"/>
        <w:rPr>
          <w:rFonts w:ascii="Bell MT" w:hAnsi="Bell MT"/>
          <w:color w:val="000000" w:themeColor="text1"/>
          <w:sz w:val="28"/>
          <w:szCs w:val="28"/>
        </w:rPr>
      </w:pPr>
      <w:r w:rsidRPr="00AB0CD7">
        <w:rPr>
          <w:rFonts w:ascii="Bell MT" w:hAnsi="Bell MT"/>
          <w:color w:val="000000" w:themeColor="text1"/>
          <w:sz w:val="28"/>
          <w:szCs w:val="28"/>
        </w:rPr>
        <w:t>Chapter 2</w:t>
      </w:r>
    </w:p>
    <w:p w14:paraId="23AA1718" w14:textId="77777777" w:rsidR="00AB0CD7" w:rsidRPr="00AB0CD7" w:rsidRDefault="00AB0CD7" w:rsidP="00AB0CD7">
      <w:pPr>
        <w:spacing w:line="480" w:lineRule="auto"/>
        <w:rPr>
          <w:rFonts w:ascii="Bell MT" w:hAnsi="Bell MT"/>
          <w:color w:val="000000" w:themeColor="text1"/>
          <w:sz w:val="28"/>
          <w:szCs w:val="28"/>
        </w:rPr>
      </w:pPr>
      <w:r w:rsidRPr="00AB0CD7">
        <w:rPr>
          <w:rFonts w:ascii="Bell MT" w:hAnsi="Bell MT"/>
          <w:color w:val="000000" w:themeColor="text1"/>
          <w:sz w:val="28"/>
          <w:szCs w:val="28"/>
        </w:rPr>
        <w:t>Methodology and Methods</w:t>
      </w:r>
    </w:p>
    <w:p w14:paraId="4F44CB76" w14:textId="77777777" w:rsidR="00AB0CD7" w:rsidRPr="00AB0CD7" w:rsidRDefault="00AB0CD7" w:rsidP="00AB0CD7">
      <w:pPr>
        <w:spacing w:line="480" w:lineRule="auto"/>
        <w:rPr>
          <w:rFonts w:ascii="Bell MT" w:hAnsi="Bell MT"/>
          <w:color w:val="000000" w:themeColor="text1"/>
          <w:sz w:val="24"/>
          <w:szCs w:val="24"/>
        </w:rPr>
      </w:pPr>
      <w:r w:rsidRPr="00AB0CD7">
        <w:rPr>
          <w:rFonts w:ascii="Bell MT" w:hAnsi="Bell MT"/>
          <w:color w:val="000000" w:themeColor="text1"/>
          <w:sz w:val="24"/>
          <w:szCs w:val="24"/>
        </w:rPr>
        <w:t xml:space="preserve">Having already introduced the scope of the dissertation, this chapter will discuss the importance of a systematic review and justification of using appropriate methods. The term methodology is considered narrowly technical. Sprague (2005) simply explains that methodology is the details on how to conduct research. Within the process methods such as CASP and systematic review are used to carry out research. </w:t>
      </w:r>
    </w:p>
    <w:p w14:paraId="1D3E3C3F" w14:textId="77777777" w:rsidR="00AB0CD7" w:rsidRPr="00AB0CD7" w:rsidRDefault="00AB0CD7" w:rsidP="00AB0CD7">
      <w:pPr>
        <w:spacing w:line="480" w:lineRule="auto"/>
        <w:rPr>
          <w:rFonts w:ascii="Bell MT" w:hAnsi="Bell MT"/>
          <w:color w:val="000000" w:themeColor="text1"/>
          <w:sz w:val="24"/>
          <w:szCs w:val="24"/>
        </w:rPr>
      </w:pPr>
      <w:r w:rsidRPr="00AB0CD7">
        <w:rPr>
          <w:rFonts w:ascii="Bell MT" w:hAnsi="Bell MT"/>
          <w:color w:val="000000" w:themeColor="text1"/>
          <w:sz w:val="24"/>
          <w:szCs w:val="24"/>
        </w:rPr>
        <w:t xml:space="preserve">The purpose of a systematic review is to gather, synthesize, critically appraise concurrent research and </w:t>
      </w:r>
      <w:proofErr w:type="spellStart"/>
      <w:r w:rsidRPr="00AB0CD7">
        <w:rPr>
          <w:rFonts w:ascii="Bell MT" w:hAnsi="Bell MT"/>
          <w:color w:val="000000" w:themeColor="text1"/>
          <w:sz w:val="24"/>
          <w:szCs w:val="24"/>
        </w:rPr>
        <w:t>analyse</w:t>
      </w:r>
      <w:proofErr w:type="spellEnd"/>
      <w:r w:rsidRPr="00AB0CD7">
        <w:rPr>
          <w:rFonts w:ascii="Bell MT" w:hAnsi="Bell MT"/>
          <w:color w:val="000000" w:themeColor="text1"/>
          <w:sz w:val="24"/>
          <w:szCs w:val="24"/>
        </w:rPr>
        <w:t xml:space="preserve"> data that addresses a formulated question (</w:t>
      </w:r>
      <w:proofErr w:type="spellStart"/>
      <w:r w:rsidRPr="00AB0CD7">
        <w:rPr>
          <w:rFonts w:ascii="Bell MT" w:hAnsi="Bell MT"/>
          <w:color w:val="000000" w:themeColor="text1"/>
          <w:sz w:val="24"/>
          <w:szCs w:val="24"/>
        </w:rPr>
        <w:t>Macnee</w:t>
      </w:r>
      <w:proofErr w:type="spellEnd"/>
      <w:r w:rsidRPr="00AB0CD7">
        <w:rPr>
          <w:rFonts w:ascii="Bell MT" w:hAnsi="Bell MT"/>
          <w:color w:val="000000" w:themeColor="text1"/>
          <w:sz w:val="24"/>
          <w:szCs w:val="24"/>
        </w:rPr>
        <w:t xml:space="preserve"> and McCabe, 2014; </w:t>
      </w:r>
      <w:proofErr w:type="spellStart"/>
      <w:r w:rsidRPr="00AB0CD7">
        <w:rPr>
          <w:rFonts w:ascii="Bell MT" w:hAnsi="Bell MT"/>
          <w:color w:val="000000" w:themeColor="text1"/>
          <w:sz w:val="24"/>
          <w:szCs w:val="24"/>
        </w:rPr>
        <w:t>Walliman</w:t>
      </w:r>
      <w:proofErr w:type="spellEnd"/>
      <w:r w:rsidRPr="00AB0CD7">
        <w:rPr>
          <w:rFonts w:ascii="Bell MT" w:hAnsi="Bell MT"/>
          <w:color w:val="000000" w:themeColor="text1"/>
          <w:sz w:val="24"/>
          <w:szCs w:val="24"/>
        </w:rPr>
        <w:t xml:space="preserve"> and Appleton, 2009). Aveyard (2014) explains that conducting a literature review requires having a ‘systematic approach’ and continuously adhering to the process. Hunt and </w:t>
      </w:r>
      <w:proofErr w:type="spellStart"/>
      <w:r w:rsidRPr="00AB0CD7">
        <w:rPr>
          <w:rFonts w:ascii="Bell MT" w:hAnsi="Bell MT"/>
          <w:color w:val="000000" w:themeColor="text1"/>
          <w:sz w:val="24"/>
          <w:szCs w:val="24"/>
        </w:rPr>
        <w:t>Mckibbon</w:t>
      </w:r>
      <w:proofErr w:type="spellEnd"/>
      <w:r w:rsidRPr="00AB0CD7">
        <w:rPr>
          <w:rFonts w:ascii="Bell MT" w:hAnsi="Bell MT"/>
          <w:color w:val="000000" w:themeColor="text1"/>
          <w:sz w:val="24"/>
          <w:szCs w:val="24"/>
        </w:rPr>
        <w:t xml:space="preserve"> (1997) established that systematic reviews are an effective process in assembling evidence as it eliminates bias. Young (2008) describes the importance of critical appraisal as it is a systematic process that identifies the strengths and weaknesses within the research. The advantages of a systematic review, as pointed out by Mallett, et al (2012) is that it creates transparency throughout the research and assists and enables the reader to assess the research </w:t>
      </w:r>
      <w:r w:rsidRPr="00AB0CD7">
        <w:rPr>
          <w:rFonts w:ascii="Bell MT" w:hAnsi="Bell MT"/>
          <w:color w:val="000000" w:themeColor="text1"/>
          <w:sz w:val="24"/>
          <w:szCs w:val="24"/>
        </w:rPr>
        <w:lastRenderedPageBreak/>
        <w:t xml:space="preserve">credibility and usefulness and whether the findings are trustworthy. While this may be the case, a few issues have been noted with regards to conducting a systematic review. Craig and Smyth (2012) reports that a systematic review is only current up until the date of publication and subsequent published studies will not have been included, these may have impacted the results and conclusion of the systematic review. In addition, Van Lent et al (2015) discusses that bias, or in particular report bias often occurs as researchers fail to report prespecified outcomes and report statistical secondary results as primary outcomes. While numerous systematic reviews are associated with explicit qualitative data and meta-analysis data, qualitative reviews adhere to the same standards for critically appraising and reporting evidence (Margaret and Dawson, 2013). However, </w:t>
      </w:r>
      <w:proofErr w:type="gramStart"/>
      <w:r w:rsidRPr="00AB0CD7">
        <w:rPr>
          <w:rFonts w:ascii="Bell MT" w:hAnsi="Bell MT"/>
          <w:color w:val="000000" w:themeColor="text1"/>
          <w:sz w:val="24"/>
          <w:szCs w:val="24"/>
        </w:rPr>
        <w:t>Cook</w:t>
      </w:r>
      <w:proofErr w:type="gramEnd"/>
      <w:r w:rsidRPr="00AB0CD7">
        <w:rPr>
          <w:rFonts w:ascii="Bell MT" w:hAnsi="Bell MT"/>
          <w:color w:val="000000" w:themeColor="text1"/>
          <w:sz w:val="24"/>
          <w:szCs w:val="24"/>
        </w:rPr>
        <w:t xml:space="preserve"> et al (2007) explains that by quantitatively combining the results of several studies, meta-analyses can create more precise, conclusive and convincing conclusions. </w:t>
      </w:r>
      <w:proofErr w:type="spellStart"/>
      <w:r w:rsidRPr="00AB0CD7">
        <w:rPr>
          <w:rFonts w:ascii="Bell MT" w:hAnsi="Bell MT"/>
          <w:color w:val="000000" w:themeColor="text1"/>
          <w:sz w:val="24"/>
          <w:szCs w:val="24"/>
        </w:rPr>
        <w:t>Koricheva</w:t>
      </w:r>
      <w:proofErr w:type="spellEnd"/>
      <w:r w:rsidRPr="00AB0CD7">
        <w:rPr>
          <w:rFonts w:ascii="Bell MT" w:hAnsi="Bell MT"/>
          <w:color w:val="000000" w:themeColor="text1"/>
          <w:sz w:val="24"/>
          <w:szCs w:val="24"/>
        </w:rPr>
        <w:t>, et al (2013) defines meta-analysis as the incorporation of statistical techniques that only concerns with quantitative data. By amalgamating results from numerous studies, the evidence gathered from systematic reviews can be very influential in policy- making, future research and clinical practice (</w:t>
      </w:r>
      <w:proofErr w:type="spellStart"/>
      <w:r w:rsidRPr="00AB0CD7">
        <w:rPr>
          <w:rFonts w:ascii="Bell MT" w:hAnsi="Bell MT"/>
          <w:color w:val="000000" w:themeColor="text1"/>
          <w:sz w:val="24"/>
          <w:szCs w:val="24"/>
        </w:rPr>
        <w:t>Ajetunmobi</w:t>
      </w:r>
      <w:proofErr w:type="spellEnd"/>
      <w:r w:rsidRPr="00AB0CD7">
        <w:rPr>
          <w:rFonts w:ascii="Bell MT" w:hAnsi="Bell MT"/>
          <w:color w:val="000000" w:themeColor="text1"/>
          <w:sz w:val="24"/>
          <w:szCs w:val="24"/>
        </w:rPr>
        <w:t>, 2002).</w:t>
      </w:r>
    </w:p>
    <w:p w14:paraId="7799F036" w14:textId="77777777" w:rsidR="00AB0CD7" w:rsidRPr="00AB0CD7" w:rsidRDefault="00AB0CD7" w:rsidP="00AB0CD7">
      <w:pPr>
        <w:spacing w:line="480" w:lineRule="auto"/>
        <w:rPr>
          <w:rFonts w:ascii="Bell MT" w:hAnsi="Bell MT"/>
          <w:color w:val="000000" w:themeColor="text1"/>
          <w:sz w:val="24"/>
          <w:szCs w:val="24"/>
        </w:rPr>
      </w:pPr>
      <w:r w:rsidRPr="00AB0CD7">
        <w:rPr>
          <w:rFonts w:ascii="Bell MT" w:hAnsi="Bell MT"/>
          <w:color w:val="000000" w:themeColor="text1"/>
          <w:sz w:val="24"/>
          <w:szCs w:val="24"/>
        </w:rPr>
        <w:t xml:space="preserve">The Critical Appraisal Skills Program (CASP), a design- specific tool that contains items that addresses methodological concerns that are specifically unique to research (Elwood, 1998). </w:t>
      </w:r>
      <w:proofErr w:type="spellStart"/>
      <w:r w:rsidRPr="00AB0CD7">
        <w:rPr>
          <w:rFonts w:ascii="Bell MT" w:hAnsi="Bell MT"/>
          <w:color w:val="000000" w:themeColor="text1"/>
          <w:sz w:val="24"/>
          <w:szCs w:val="24"/>
        </w:rPr>
        <w:t>Donyai</w:t>
      </w:r>
      <w:proofErr w:type="spellEnd"/>
      <w:r w:rsidRPr="00AB0CD7">
        <w:rPr>
          <w:rFonts w:ascii="Bell MT" w:hAnsi="Bell MT"/>
          <w:color w:val="000000" w:themeColor="text1"/>
          <w:sz w:val="24"/>
          <w:szCs w:val="24"/>
        </w:rPr>
        <w:t xml:space="preserve"> et al (2017) adds that </w:t>
      </w:r>
      <w:proofErr w:type="spellStart"/>
      <w:r w:rsidRPr="00AB0CD7">
        <w:rPr>
          <w:rFonts w:ascii="Bell MT" w:hAnsi="Bell MT"/>
          <w:color w:val="000000" w:themeColor="text1"/>
          <w:sz w:val="24"/>
          <w:szCs w:val="24"/>
        </w:rPr>
        <w:t>utilising</w:t>
      </w:r>
      <w:proofErr w:type="spellEnd"/>
      <w:r w:rsidRPr="00AB0CD7">
        <w:rPr>
          <w:rFonts w:ascii="Bell MT" w:hAnsi="Bell MT"/>
          <w:color w:val="000000" w:themeColor="text1"/>
          <w:sz w:val="24"/>
          <w:szCs w:val="24"/>
        </w:rPr>
        <w:t xml:space="preserve"> CASP </w:t>
      </w:r>
      <w:proofErr w:type="gramStart"/>
      <w:r w:rsidRPr="00AB0CD7">
        <w:rPr>
          <w:rFonts w:ascii="Bell MT" w:hAnsi="Bell MT"/>
          <w:color w:val="000000" w:themeColor="text1"/>
          <w:sz w:val="24"/>
          <w:szCs w:val="24"/>
        </w:rPr>
        <w:t>provides assistance</w:t>
      </w:r>
      <w:proofErr w:type="gramEnd"/>
      <w:r w:rsidRPr="00AB0CD7">
        <w:rPr>
          <w:rFonts w:ascii="Bell MT" w:hAnsi="Bell MT"/>
          <w:color w:val="000000" w:themeColor="text1"/>
          <w:sz w:val="24"/>
          <w:szCs w:val="24"/>
        </w:rPr>
        <w:t xml:space="preserve"> with the development of critical skills that enables the reader to understand sensitive and scientific research. Additionally, Bakker (1997) highlights that CASP is prominently used within the health care sector as it enables professionals within the sector to plan or make an informed clinical decision. The CASP tool assesses qualitative and quantitative studies, case control studies and RCTs </w:t>
      </w:r>
      <w:r w:rsidRPr="00AB0CD7">
        <w:rPr>
          <w:rFonts w:ascii="Bell MT" w:hAnsi="Bell MT"/>
          <w:color w:val="000000" w:themeColor="text1"/>
          <w:sz w:val="24"/>
          <w:szCs w:val="24"/>
        </w:rPr>
        <w:lastRenderedPageBreak/>
        <w:t xml:space="preserve">from both internal and external validity. Levine and Parkinson (1994) </w:t>
      </w:r>
      <w:proofErr w:type="spellStart"/>
      <w:r w:rsidRPr="00AB0CD7">
        <w:rPr>
          <w:rFonts w:ascii="Bell MT" w:hAnsi="Bell MT"/>
          <w:color w:val="000000" w:themeColor="text1"/>
          <w:sz w:val="24"/>
          <w:szCs w:val="24"/>
        </w:rPr>
        <w:t>emphasises</w:t>
      </w:r>
      <w:proofErr w:type="spellEnd"/>
      <w:r w:rsidRPr="00AB0CD7">
        <w:rPr>
          <w:rFonts w:ascii="Bell MT" w:hAnsi="Bell MT"/>
          <w:color w:val="000000" w:themeColor="text1"/>
          <w:sz w:val="24"/>
          <w:szCs w:val="24"/>
        </w:rPr>
        <w:t xml:space="preserve"> the importance of the validities because of their importance which effects the likelihood of reaching a correct conclusion and the generalizability of the research. Therefore, making it suitable for appraising because it critically appraises systematically and assesses the validity, results and relevance (Ellis, 2016; Aveyard, 2014; Aventis Pharma, 2001).  Although, CASP allows you to </w:t>
      </w:r>
      <w:proofErr w:type="spellStart"/>
      <w:r w:rsidRPr="00AB0CD7">
        <w:rPr>
          <w:rFonts w:ascii="Bell MT" w:hAnsi="Bell MT"/>
          <w:color w:val="000000" w:themeColor="text1"/>
          <w:sz w:val="24"/>
          <w:szCs w:val="24"/>
        </w:rPr>
        <w:t>analyse</w:t>
      </w:r>
      <w:proofErr w:type="spellEnd"/>
      <w:r w:rsidRPr="00AB0CD7">
        <w:rPr>
          <w:rFonts w:ascii="Bell MT" w:hAnsi="Bell MT"/>
          <w:color w:val="000000" w:themeColor="text1"/>
          <w:sz w:val="24"/>
          <w:szCs w:val="24"/>
        </w:rPr>
        <w:t xml:space="preserve"> majority of data it can be time consuming and may highlight current practices to be ineffective or highlight a lack of good evidence of interest (NES, 2017).</w:t>
      </w:r>
    </w:p>
    <w:p w14:paraId="67A131B7" w14:textId="77777777" w:rsidR="00AB0CD7" w:rsidRPr="00AB0CD7" w:rsidRDefault="00AB0CD7" w:rsidP="00AB0CD7">
      <w:pPr>
        <w:spacing w:line="480" w:lineRule="auto"/>
        <w:rPr>
          <w:rFonts w:ascii="Bell MT" w:hAnsi="Bell MT"/>
          <w:color w:val="000000" w:themeColor="text1"/>
          <w:sz w:val="28"/>
          <w:szCs w:val="28"/>
        </w:rPr>
      </w:pPr>
      <w:r w:rsidRPr="00AB0CD7">
        <w:rPr>
          <w:rFonts w:ascii="Bell MT" w:hAnsi="Bell MT"/>
          <w:color w:val="000000" w:themeColor="text1"/>
          <w:sz w:val="28"/>
          <w:szCs w:val="28"/>
        </w:rPr>
        <w:t>Ethics</w:t>
      </w:r>
    </w:p>
    <w:p w14:paraId="62FADCFA" w14:textId="045384AB" w:rsidR="36C02EA5" w:rsidRDefault="00AB0CD7" w:rsidP="00AB0CD7">
      <w:pPr>
        <w:spacing w:line="480" w:lineRule="auto"/>
        <w:rPr>
          <w:rFonts w:ascii="Bell MT" w:hAnsi="Bell MT"/>
          <w:color w:val="000000" w:themeColor="text1"/>
          <w:sz w:val="24"/>
          <w:szCs w:val="24"/>
        </w:rPr>
      </w:pPr>
      <w:r w:rsidRPr="00AB0CD7">
        <w:rPr>
          <w:rFonts w:ascii="Bell MT" w:hAnsi="Bell MT"/>
          <w:color w:val="000000" w:themeColor="text1"/>
          <w:sz w:val="24"/>
          <w:szCs w:val="24"/>
        </w:rPr>
        <w:t xml:space="preserve">There is a general agreement that ethics are important within research (Cees and Smit, 2018; Parsons and Dickinson, 2017). </w:t>
      </w:r>
      <w:proofErr w:type="spellStart"/>
      <w:r w:rsidRPr="00AB0CD7">
        <w:rPr>
          <w:rFonts w:ascii="Bell MT" w:hAnsi="Bell MT"/>
          <w:color w:val="000000" w:themeColor="text1"/>
          <w:sz w:val="24"/>
          <w:szCs w:val="24"/>
        </w:rPr>
        <w:t>Averyard</w:t>
      </w:r>
      <w:proofErr w:type="spellEnd"/>
      <w:r w:rsidRPr="00AB0CD7">
        <w:rPr>
          <w:rFonts w:ascii="Bell MT" w:hAnsi="Bell MT"/>
          <w:color w:val="000000" w:themeColor="text1"/>
          <w:sz w:val="24"/>
          <w:szCs w:val="24"/>
        </w:rPr>
        <w:t xml:space="preserve"> (20</w:t>
      </w:r>
      <w:r w:rsidR="001059A0">
        <w:rPr>
          <w:rFonts w:ascii="Bell MT" w:hAnsi="Bell MT"/>
          <w:color w:val="000000" w:themeColor="text1"/>
          <w:sz w:val="24"/>
          <w:szCs w:val="24"/>
        </w:rPr>
        <w:t>14</w:t>
      </w:r>
      <w:r w:rsidRPr="00AB0CD7">
        <w:rPr>
          <w:rFonts w:ascii="Bell MT" w:hAnsi="Bell MT"/>
          <w:color w:val="000000" w:themeColor="text1"/>
          <w:sz w:val="24"/>
          <w:szCs w:val="24"/>
        </w:rPr>
        <w:t xml:space="preserve">) explains that ethics within research should always be considered, especially where human participation is concerned. The British Psychological Society (2010) </w:t>
      </w:r>
      <w:proofErr w:type="spellStart"/>
      <w:r w:rsidRPr="00AB0CD7">
        <w:rPr>
          <w:rFonts w:ascii="Bell MT" w:hAnsi="Bell MT"/>
          <w:color w:val="000000" w:themeColor="text1"/>
          <w:sz w:val="24"/>
          <w:szCs w:val="24"/>
        </w:rPr>
        <w:t>emphasises</w:t>
      </w:r>
      <w:proofErr w:type="spellEnd"/>
      <w:r w:rsidRPr="00AB0CD7">
        <w:rPr>
          <w:rFonts w:ascii="Bell MT" w:hAnsi="Bell MT"/>
          <w:color w:val="000000" w:themeColor="text1"/>
          <w:sz w:val="24"/>
          <w:szCs w:val="24"/>
        </w:rPr>
        <w:t xml:space="preserve"> that research with ‘participants’ have the right to remain anonymous and it would unethical to do otherwise. As this dissertation is not primary researched, obtaining ethical approval from ethic committees was not necessary</w:t>
      </w:r>
      <w:r w:rsidR="00B8258E">
        <w:rPr>
          <w:rFonts w:ascii="Bell MT" w:hAnsi="Bell MT"/>
          <w:color w:val="000000" w:themeColor="text1"/>
          <w:sz w:val="24"/>
          <w:szCs w:val="24"/>
        </w:rPr>
        <w:t>.</w:t>
      </w:r>
    </w:p>
    <w:p w14:paraId="57EE8E96" w14:textId="75E0F126" w:rsidR="00B8258E" w:rsidRDefault="00B8258E" w:rsidP="00AB0CD7">
      <w:pPr>
        <w:spacing w:line="480" w:lineRule="auto"/>
        <w:rPr>
          <w:rFonts w:ascii="Bell MT" w:hAnsi="Bell MT"/>
          <w:color w:val="000000" w:themeColor="text1"/>
          <w:sz w:val="24"/>
          <w:szCs w:val="24"/>
        </w:rPr>
      </w:pPr>
    </w:p>
    <w:p w14:paraId="519024C8" w14:textId="21DFEEBD" w:rsidR="00B8258E" w:rsidRDefault="00B8258E" w:rsidP="00AB0CD7">
      <w:pPr>
        <w:spacing w:line="480" w:lineRule="auto"/>
        <w:rPr>
          <w:rFonts w:ascii="Bell MT" w:hAnsi="Bell MT"/>
          <w:color w:val="000000" w:themeColor="text1"/>
          <w:sz w:val="24"/>
          <w:szCs w:val="24"/>
        </w:rPr>
      </w:pPr>
    </w:p>
    <w:p w14:paraId="26D69996" w14:textId="11CEC991" w:rsidR="00B8258E" w:rsidRDefault="00B8258E" w:rsidP="00AB0CD7">
      <w:pPr>
        <w:spacing w:line="480" w:lineRule="auto"/>
        <w:rPr>
          <w:rFonts w:ascii="Bell MT" w:hAnsi="Bell MT"/>
          <w:color w:val="000000" w:themeColor="text1"/>
          <w:sz w:val="24"/>
          <w:szCs w:val="24"/>
        </w:rPr>
      </w:pPr>
    </w:p>
    <w:p w14:paraId="45176A63" w14:textId="2E591FF9" w:rsidR="00B8258E" w:rsidRDefault="00B8258E" w:rsidP="00AB0CD7">
      <w:pPr>
        <w:spacing w:line="480" w:lineRule="auto"/>
        <w:rPr>
          <w:rFonts w:ascii="Bell MT" w:hAnsi="Bell MT"/>
          <w:color w:val="000000" w:themeColor="text1"/>
          <w:sz w:val="24"/>
          <w:szCs w:val="24"/>
        </w:rPr>
      </w:pPr>
    </w:p>
    <w:p w14:paraId="2C2C5C4A" w14:textId="3CDD4BA4" w:rsidR="00B8258E" w:rsidRDefault="00B8258E" w:rsidP="00AB0CD7">
      <w:pPr>
        <w:spacing w:line="480" w:lineRule="auto"/>
        <w:rPr>
          <w:rFonts w:ascii="Bell MT" w:hAnsi="Bell MT"/>
          <w:color w:val="000000" w:themeColor="text1"/>
          <w:sz w:val="24"/>
          <w:szCs w:val="24"/>
        </w:rPr>
      </w:pPr>
    </w:p>
    <w:p w14:paraId="10AB945E" w14:textId="2167A00F" w:rsidR="00B8258E" w:rsidRDefault="00B8258E" w:rsidP="00AB0CD7">
      <w:pPr>
        <w:spacing w:line="480" w:lineRule="auto"/>
        <w:rPr>
          <w:rFonts w:ascii="Bell MT" w:hAnsi="Bell MT"/>
          <w:color w:val="000000" w:themeColor="text1"/>
          <w:sz w:val="24"/>
          <w:szCs w:val="24"/>
        </w:rPr>
      </w:pPr>
    </w:p>
    <w:p w14:paraId="1FECC0A1" w14:textId="77777777" w:rsidR="00B8258E" w:rsidRDefault="00B8258E" w:rsidP="00AB0CD7">
      <w:pPr>
        <w:spacing w:line="480" w:lineRule="auto"/>
        <w:rPr>
          <w:rFonts w:ascii="Bell MT" w:hAnsi="Bell MT"/>
          <w:color w:val="000000" w:themeColor="text1"/>
          <w:sz w:val="24"/>
          <w:szCs w:val="24"/>
        </w:rPr>
      </w:pPr>
    </w:p>
    <w:p w14:paraId="1D33569E" w14:textId="2E3770BD" w:rsidR="00B8258E" w:rsidRPr="00B8258E" w:rsidRDefault="00B8258E" w:rsidP="00AB0CD7">
      <w:pPr>
        <w:spacing w:line="480" w:lineRule="auto"/>
        <w:rPr>
          <w:rFonts w:ascii="Bell MT" w:hAnsi="Bell MT"/>
          <w:color w:val="000000" w:themeColor="text1"/>
          <w:sz w:val="28"/>
          <w:szCs w:val="28"/>
        </w:rPr>
      </w:pPr>
      <w:r w:rsidRPr="00B8258E">
        <w:rPr>
          <w:rFonts w:ascii="Bell MT" w:hAnsi="Bell MT"/>
          <w:color w:val="000000" w:themeColor="text1"/>
          <w:sz w:val="28"/>
          <w:szCs w:val="28"/>
        </w:rPr>
        <w:lastRenderedPageBreak/>
        <w:t xml:space="preserve">Chapter 3 </w:t>
      </w:r>
    </w:p>
    <w:tbl>
      <w:tblPr>
        <w:tblStyle w:val="TableGrid"/>
        <w:tblpPr w:leftFromText="180" w:rightFromText="180" w:vertAnchor="page" w:horzAnchor="margin" w:tblpY="2911"/>
        <w:tblW w:w="9483" w:type="dxa"/>
        <w:tblLayout w:type="fixed"/>
        <w:tblLook w:val="06A0" w:firstRow="1" w:lastRow="0" w:firstColumn="1" w:lastColumn="0" w:noHBand="1" w:noVBand="1"/>
      </w:tblPr>
      <w:tblGrid>
        <w:gridCol w:w="2085"/>
        <w:gridCol w:w="990"/>
        <w:gridCol w:w="1320"/>
        <w:gridCol w:w="1290"/>
        <w:gridCol w:w="960"/>
        <w:gridCol w:w="1140"/>
        <w:gridCol w:w="980"/>
        <w:gridCol w:w="718"/>
      </w:tblGrid>
      <w:tr w:rsidR="00B8258E" w14:paraId="66F1B10F" w14:textId="77777777" w:rsidTr="00B8258E">
        <w:tc>
          <w:tcPr>
            <w:tcW w:w="2085" w:type="dxa"/>
          </w:tcPr>
          <w:p w14:paraId="5ED2E9FA" w14:textId="77777777" w:rsidR="00B8258E" w:rsidRDefault="00B8258E" w:rsidP="00B8258E">
            <w:pPr>
              <w:rPr>
                <w:rFonts w:ascii="Bell MT" w:eastAsia="Bell MT" w:hAnsi="Bell MT" w:cs="Bell MT"/>
                <w:color w:val="000000" w:themeColor="text1"/>
                <w:sz w:val="24"/>
                <w:szCs w:val="24"/>
              </w:rPr>
            </w:pPr>
            <w:r w:rsidRPr="36C02EA5">
              <w:rPr>
                <w:rFonts w:ascii="Bell MT" w:eastAsia="Bell MT" w:hAnsi="Bell MT" w:cs="Bell MT"/>
                <w:color w:val="000000" w:themeColor="text1"/>
                <w:sz w:val="20"/>
                <w:szCs w:val="20"/>
              </w:rPr>
              <w:t>Dissertation</w:t>
            </w:r>
          </w:p>
        </w:tc>
        <w:tc>
          <w:tcPr>
            <w:tcW w:w="990" w:type="dxa"/>
          </w:tcPr>
          <w:p w14:paraId="5C670B50" w14:textId="168DA0DB"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October</w:t>
            </w:r>
          </w:p>
        </w:tc>
        <w:tc>
          <w:tcPr>
            <w:tcW w:w="1320" w:type="dxa"/>
          </w:tcPr>
          <w:p w14:paraId="7829E0B0"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November</w:t>
            </w:r>
          </w:p>
        </w:tc>
        <w:tc>
          <w:tcPr>
            <w:tcW w:w="1290" w:type="dxa"/>
          </w:tcPr>
          <w:p w14:paraId="799DBDF7"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December</w:t>
            </w:r>
          </w:p>
        </w:tc>
        <w:tc>
          <w:tcPr>
            <w:tcW w:w="960" w:type="dxa"/>
          </w:tcPr>
          <w:p w14:paraId="338D9AA7"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January</w:t>
            </w:r>
          </w:p>
        </w:tc>
        <w:tc>
          <w:tcPr>
            <w:tcW w:w="1140" w:type="dxa"/>
          </w:tcPr>
          <w:p w14:paraId="5A72BE20"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February</w:t>
            </w:r>
          </w:p>
        </w:tc>
        <w:tc>
          <w:tcPr>
            <w:tcW w:w="980" w:type="dxa"/>
          </w:tcPr>
          <w:p w14:paraId="7EF4BA12"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March</w:t>
            </w:r>
          </w:p>
        </w:tc>
        <w:tc>
          <w:tcPr>
            <w:tcW w:w="718" w:type="dxa"/>
          </w:tcPr>
          <w:p w14:paraId="0D934CB0"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April</w:t>
            </w:r>
          </w:p>
        </w:tc>
      </w:tr>
      <w:tr w:rsidR="00B8258E" w14:paraId="40DA5569" w14:textId="77777777" w:rsidTr="00B8258E">
        <w:tc>
          <w:tcPr>
            <w:tcW w:w="2085" w:type="dxa"/>
            <w:shd w:val="clear" w:color="auto" w:fill="D9D9D9" w:themeFill="background1" w:themeFillShade="D9"/>
          </w:tcPr>
          <w:p w14:paraId="61228455" w14:textId="77777777" w:rsidR="00B8258E" w:rsidRDefault="00B8258E" w:rsidP="00B8258E">
            <w:r w:rsidRPr="36C02EA5">
              <w:rPr>
                <w:rFonts w:ascii="Bell MT" w:eastAsia="Bell MT" w:hAnsi="Bell MT" w:cs="Bell MT"/>
                <w:color w:val="FF0000"/>
                <w:sz w:val="22"/>
                <w:szCs w:val="22"/>
              </w:rPr>
              <w:t>A) Dissertation proposal</w:t>
            </w:r>
          </w:p>
        </w:tc>
        <w:tc>
          <w:tcPr>
            <w:tcW w:w="990" w:type="dxa"/>
            <w:shd w:val="clear" w:color="auto" w:fill="D9D9D9" w:themeFill="background1" w:themeFillShade="D9"/>
          </w:tcPr>
          <w:p w14:paraId="043BA2B3" w14:textId="77777777" w:rsidR="00B8258E" w:rsidRDefault="00B8258E" w:rsidP="00B8258E"/>
        </w:tc>
        <w:tc>
          <w:tcPr>
            <w:tcW w:w="1320" w:type="dxa"/>
            <w:shd w:val="clear" w:color="auto" w:fill="D9D9D9" w:themeFill="background1" w:themeFillShade="D9"/>
          </w:tcPr>
          <w:p w14:paraId="7EDD5D21" w14:textId="77777777" w:rsidR="00B8258E" w:rsidRDefault="00B8258E" w:rsidP="00B8258E"/>
        </w:tc>
        <w:tc>
          <w:tcPr>
            <w:tcW w:w="1290" w:type="dxa"/>
            <w:shd w:val="clear" w:color="auto" w:fill="D9D9D9" w:themeFill="background1" w:themeFillShade="D9"/>
          </w:tcPr>
          <w:p w14:paraId="0D4AAC5C" w14:textId="77777777" w:rsidR="00B8258E" w:rsidRDefault="00B8258E" w:rsidP="00B8258E"/>
        </w:tc>
        <w:tc>
          <w:tcPr>
            <w:tcW w:w="960" w:type="dxa"/>
            <w:shd w:val="clear" w:color="auto" w:fill="D9D9D9" w:themeFill="background1" w:themeFillShade="D9"/>
          </w:tcPr>
          <w:p w14:paraId="04C2F228" w14:textId="77777777" w:rsidR="00B8258E" w:rsidRDefault="00B8258E" w:rsidP="00B8258E"/>
        </w:tc>
        <w:tc>
          <w:tcPr>
            <w:tcW w:w="1140" w:type="dxa"/>
            <w:shd w:val="clear" w:color="auto" w:fill="D9D9D9" w:themeFill="background1" w:themeFillShade="D9"/>
          </w:tcPr>
          <w:p w14:paraId="45D0ACDE" w14:textId="77777777" w:rsidR="00B8258E" w:rsidRDefault="00B8258E" w:rsidP="00B8258E"/>
        </w:tc>
        <w:tc>
          <w:tcPr>
            <w:tcW w:w="980" w:type="dxa"/>
            <w:shd w:val="clear" w:color="auto" w:fill="D9D9D9" w:themeFill="background1" w:themeFillShade="D9"/>
          </w:tcPr>
          <w:p w14:paraId="71848D4C" w14:textId="77777777" w:rsidR="00B8258E" w:rsidRDefault="00B8258E" w:rsidP="00B8258E"/>
        </w:tc>
        <w:tc>
          <w:tcPr>
            <w:tcW w:w="718" w:type="dxa"/>
            <w:shd w:val="clear" w:color="auto" w:fill="D9D9D9" w:themeFill="background1" w:themeFillShade="D9"/>
          </w:tcPr>
          <w:p w14:paraId="052D95D9" w14:textId="77777777" w:rsidR="00B8258E" w:rsidRDefault="00B8258E" w:rsidP="00B8258E"/>
        </w:tc>
      </w:tr>
      <w:tr w:rsidR="00B8258E" w14:paraId="1DC24F88" w14:textId="77777777" w:rsidTr="00B8258E">
        <w:tc>
          <w:tcPr>
            <w:tcW w:w="2085" w:type="dxa"/>
          </w:tcPr>
          <w:p w14:paraId="130B8419"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Considering ideas</w:t>
            </w:r>
          </w:p>
        </w:tc>
        <w:tc>
          <w:tcPr>
            <w:tcW w:w="990" w:type="dxa"/>
            <w:shd w:val="clear" w:color="auto" w:fill="0070C0"/>
          </w:tcPr>
          <w:p w14:paraId="3BD77C96" w14:textId="77777777" w:rsidR="00B8258E" w:rsidRDefault="00B8258E" w:rsidP="00B8258E">
            <w:pPr>
              <w:rPr>
                <w:color w:val="0070C0"/>
              </w:rPr>
            </w:pPr>
          </w:p>
        </w:tc>
        <w:tc>
          <w:tcPr>
            <w:tcW w:w="1320" w:type="dxa"/>
          </w:tcPr>
          <w:p w14:paraId="54D36799" w14:textId="77777777" w:rsidR="00B8258E" w:rsidRDefault="00B8258E" w:rsidP="00B8258E"/>
        </w:tc>
        <w:tc>
          <w:tcPr>
            <w:tcW w:w="1290" w:type="dxa"/>
          </w:tcPr>
          <w:p w14:paraId="4D3A4201" w14:textId="77777777" w:rsidR="00B8258E" w:rsidRDefault="00B8258E" w:rsidP="00B8258E"/>
        </w:tc>
        <w:tc>
          <w:tcPr>
            <w:tcW w:w="960" w:type="dxa"/>
          </w:tcPr>
          <w:p w14:paraId="4F031001" w14:textId="77777777" w:rsidR="00B8258E" w:rsidRDefault="00B8258E" w:rsidP="00B8258E"/>
        </w:tc>
        <w:tc>
          <w:tcPr>
            <w:tcW w:w="1140" w:type="dxa"/>
          </w:tcPr>
          <w:p w14:paraId="4389E8EE" w14:textId="77777777" w:rsidR="00B8258E" w:rsidRDefault="00B8258E" w:rsidP="00B8258E"/>
        </w:tc>
        <w:tc>
          <w:tcPr>
            <w:tcW w:w="980" w:type="dxa"/>
          </w:tcPr>
          <w:p w14:paraId="1CB9C1E3" w14:textId="77777777" w:rsidR="00B8258E" w:rsidRDefault="00B8258E" w:rsidP="00B8258E"/>
        </w:tc>
        <w:tc>
          <w:tcPr>
            <w:tcW w:w="718" w:type="dxa"/>
          </w:tcPr>
          <w:p w14:paraId="1D4FE9A0" w14:textId="77777777" w:rsidR="00B8258E" w:rsidRDefault="00B8258E" w:rsidP="00B8258E"/>
        </w:tc>
      </w:tr>
      <w:tr w:rsidR="00B8258E" w14:paraId="26153C8F" w14:textId="77777777" w:rsidTr="00B8258E">
        <w:tc>
          <w:tcPr>
            <w:tcW w:w="2085" w:type="dxa"/>
          </w:tcPr>
          <w:p w14:paraId="4271D4EB"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Basic research into ASD + PD</w:t>
            </w:r>
          </w:p>
        </w:tc>
        <w:tc>
          <w:tcPr>
            <w:tcW w:w="990" w:type="dxa"/>
            <w:shd w:val="clear" w:color="auto" w:fill="0070C0"/>
          </w:tcPr>
          <w:p w14:paraId="24022446" w14:textId="77777777" w:rsidR="00B8258E" w:rsidRDefault="00B8258E" w:rsidP="00B8258E">
            <w:pPr>
              <w:rPr>
                <w:color w:val="0070C0"/>
              </w:rPr>
            </w:pPr>
          </w:p>
        </w:tc>
        <w:tc>
          <w:tcPr>
            <w:tcW w:w="1320" w:type="dxa"/>
          </w:tcPr>
          <w:p w14:paraId="0136504C" w14:textId="77777777" w:rsidR="00B8258E" w:rsidRDefault="00B8258E" w:rsidP="00B8258E"/>
        </w:tc>
        <w:tc>
          <w:tcPr>
            <w:tcW w:w="1290" w:type="dxa"/>
          </w:tcPr>
          <w:p w14:paraId="1BB3364C" w14:textId="77777777" w:rsidR="00B8258E" w:rsidRDefault="00B8258E" w:rsidP="00B8258E"/>
        </w:tc>
        <w:tc>
          <w:tcPr>
            <w:tcW w:w="960" w:type="dxa"/>
          </w:tcPr>
          <w:p w14:paraId="4536CE69" w14:textId="77777777" w:rsidR="00B8258E" w:rsidRDefault="00B8258E" w:rsidP="00B8258E"/>
        </w:tc>
        <w:tc>
          <w:tcPr>
            <w:tcW w:w="1140" w:type="dxa"/>
          </w:tcPr>
          <w:p w14:paraId="62997E74" w14:textId="77777777" w:rsidR="00B8258E" w:rsidRDefault="00B8258E" w:rsidP="00B8258E"/>
        </w:tc>
        <w:tc>
          <w:tcPr>
            <w:tcW w:w="980" w:type="dxa"/>
          </w:tcPr>
          <w:p w14:paraId="3595044E" w14:textId="77777777" w:rsidR="00B8258E" w:rsidRDefault="00B8258E" w:rsidP="00B8258E"/>
        </w:tc>
        <w:tc>
          <w:tcPr>
            <w:tcW w:w="718" w:type="dxa"/>
          </w:tcPr>
          <w:p w14:paraId="30D2E7D9" w14:textId="77777777" w:rsidR="00B8258E" w:rsidRDefault="00B8258E" w:rsidP="00B8258E"/>
        </w:tc>
      </w:tr>
      <w:tr w:rsidR="00B8258E" w14:paraId="25236EF7" w14:textId="77777777" w:rsidTr="00B8258E">
        <w:tc>
          <w:tcPr>
            <w:tcW w:w="2085" w:type="dxa"/>
          </w:tcPr>
          <w:p w14:paraId="17C113CB"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Collect relevant resources (journals, books)</w:t>
            </w:r>
          </w:p>
        </w:tc>
        <w:tc>
          <w:tcPr>
            <w:tcW w:w="990" w:type="dxa"/>
            <w:shd w:val="clear" w:color="auto" w:fill="0070C0"/>
          </w:tcPr>
          <w:p w14:paraId="6520FE0D" w14:textId="77777777" w:rsidR="00B8258E" w:rsidRDefault="00B8258E" w:rsidP="00B8258E">
            <w:pPr>
              <w:rPr>
                <w:color w:val="0070C0"/>
              </w:rPr>
            </w:pPr>
          </w:p>
        </w:tc>
        <w:tc>
          <w:tcPr>
            <w:tcW w:w="1320" w:type="dxa"/>
          </w:tcPr>
          <w:p w14:paraId="3DBF387A" w14:textId="77777777" w:rsidR="00B8258E" w:rsidRDefault="00B8258E" w:rsidP="00B8258E"/>
        </w:tc>
        <w:tc>
          <w:tcPr>
            <w:tcW w:w="1290" w:type="dxa"/>
          </w:tcPr>
          <w:p w14:paraId="6BE66E8B" w14:textId="77777777" w:rsidR="00B8258E" w:rsidRDefault="00B8258E" w:rsidP="00B8258E"/>
        </w:tc>
        <w:tc>
          <w:tcPr>
            <w:tcW w:w="960" w:type="dxa"/>
          </w:tcPr>
          <w:p w14:paraId="022BBC9E" w14:textId="77777777" w:rsidR="00B8258E" w:rsidRDefault="00B8258E" w:rsidP="00B8258E"/>
        </w:tc>
        <w:tc>
          <w:tcPr>
            <w:tcW w:w="1140" w:type="dxa"/>
          </w:tcPr>
          <w:p w14:paraId="62EF9F16" w14:textId="77777777" w:rsidR="00B8258E" w:rsidRDefault="00B8258E" w:rsidP="00B8258E"/>
        </w:tc>
        <w:tc>
          <w:tcPr>
            <w:tcW w:w="980" w:type="dxa"/>
          </w:tcPr>
          <w:p w14:paraId="1DB6F6D9" w14:textId="77777777" w:rsidR="00B8258E" w:rsidRDefault="00B8258E" w:rsidP="00B8258E"/>
        </w:tc>
        <w:tc>
          <w:tcPr>
            <w:tcW w:w="718" w:type="dxa"/>
          </w:tcPr>
          <w:p w14:paraId="0F28A3E0" w14:textId="77777777" w:rsidR="00B8258E" w:rsidRDefault="00B8258E" w:rsidP="00B8258E"/>
        </w:tc>
      </w:tr>
      <w:tr w:rsidR="00B8258E" w14:paraId="0A2BDC5B" w14:textId="77777777" w:rsidTr="00B8258E">
        <w:tc>
          <w:tcPr>
            <w:tcW w:w="2085" w:type="dxa"/>
          </w:tcPr>
          <w:p w14:paraId="5B64C21C"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Proposal write up</w:t>
            </w:r>
          </w:p>
        </w:tc>
        <w:tc>
          <w:tcPr>
            <w:tcW w:w="990" w:type="dxa"/>
            <w:shd w:val="clear" w:color="auto" w:fill="0070C0"/>
          </w:tcPr>
          <w:p w14:paraId="437797D8" w14:textId="77777777" w:rsidR="00B8258E" w:rsidRDefault="00B8258E" w:rsidP="00B8258E">
            <w:pPr>
              <w:rPr>
                <w:color w:val="0070C0"/>
              </w:rPr>
            </w:pPr>
          </w:p>
        </w:tc>
        <w:tc>
          <w:tcPr>
            <w:tcW w:w="1320" w:type="dxa"/>
          </w:tcPr>
          <w:p w14:paraId="5E0913FB" w14:textId="77777777" w:rsidR="00B8258E" w:rsidRDefault="00B8258E" w:rsidP="00B8258E"/>
        </w:tc>
        <w:tc>
          <w:tcPr>
            <w:tcW w:w="1290" w:type="dxa"/>
          </w:tcPr>
          <w:p w14:paraId="1D506E36" w14:textId="77777777" w:rsidR="00B8258E" w:rsidRDefault="00B8258E" w:rsidP="00B8258E"/>
        </w:tc>
        <w:tc>
          <w:tcPr>
            <w:tcW w:w="960" w:type="dxa"/>
          </w:tcPr>
          <w:p w14:paraId="31A0C1EB" w14:textId="77777777" w:rsidR="00B8258E" w:rsidRDefault="00B8258E" w:rsidP="00B8258E"/>
        </w:tc>
        <w:tc>
          <w:tcPr>
            <w:tcW w:w="1140" w:type="dxa"/>
          </w:tcPr>
          <w:p w14:paraId="7F3C25F7" w14:textId="77777777" w:rsidR="00B8258E" w:rsidRDefault="00B8258E" w:rsidP="00B8258E"/>
        </w:tc>
        <w:tc>
          <w:tcPr>
            <w:tcW w:w="980" w:type="dxa"/>
          </w:tcPr>
          <w:p w14:paraId="41896D84" w14:textId="77777777" w:rsidR="00B8258E" w:rsidRDefault="00B8258E" w:rsidP="00B8258E"/>
        </w:tc>
        <w:tc>
          <w:tcPr>
            <w:tcW w:w="718" w:type="dxa"/>
          </w:tcPr>
          <w:p w14:paraId="503B334C" w14:textId="77777777" w:rsidR="00B8258E" w:rsidRDefault="00B8258E" w:rsidP="00B8258E"/>
        </w:tc>
      </w:tr>
      <w:tr w:rsidR="00B8258E" w14:paraId="3336547C" w14:textId="77777777" w:rsidTr="00B8258E">
        <w:tc>
          <w:tcPr>
            <w:tcW w:w="2085" w:type="dxa"/>
          </w:tcPr>
          <w:p w14:paraId="4FB13832"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Submit dissertation proposal</w:t>
            </w:r>
          </w:p>
        </w:tc>
        <w:tc>
          <w:tcPr>
            <w:tcW w:w="990" w:type="dxa"/>
            <w:shd w:val="clear" w:color="auto" w:fill="0070C0"/>
          </w:tcPr>
          <w:p w14:paraId="5CC5A549" w14:textId="77777777" w:rsidR="00B8258E" w:rsidRDefault="00B8258E" w:rsidP="00B8258E">
            <w:pPr>
              <w:rPr>
                <w:color w:val="0070C0"/>
              </w:rPr>
            </w:pPr>
          </w:p>
        </w:tc>
        <w:tc>
          <w:tcPr>
            <w:tcW w:w="1320" w:type="dxa"/>
            <w:shd w:val="clear" w:color="auto" w:fill="0070C0"/>
          </w:tcPr>
          <w:p w14:paraId="2562DA88" w14:textId="77777777" w:rsidR="00B8258E" w:rsidRDefault="00B8258E" w:rsidP="00B8258E"/>
        </w:tc>
        <w:tc>
          <w:tcPr>
            <w:tcW w:w="1290" w:type="dxa"/>
          </w:tcPr>
          <w:p w14:paraId="5C66544B" w14:textId="77777777" w:rsidR="00B8258E" w:rsidRDefault="00B8258E" w:rsidP="00B8258E"/>
        </w:tc>
        <w:tc>
          <w:tcPr>
            <w:tcW w:w="960" w:type="dxa"/>
          </w:tcPr>
          <w:p w14:paraId="5CBCA69F" w14:textId="77777777" w:rsidR="00B8258E" w:rsidRDefault="00B8258E" w:rsidP="00B8258E"/>
        </w:tc>
        <w:tc>
          <w:tcPr>
            <w:tcW w:w="1140" w:type="dxa"/>
          </w:tcPr>
          <w:p w14:paraId="4C5118BF" w14:textId="77777777" w:rsidR="00B8258E" w:rsidRDefault="00B8258E" w:rsidP="00B8258E"/>
        </w:tc>
        <w:tc>
          <w:tcPr>
            <w:tcW w:w="980" w:type="dxa"/>
          </w:tcPr>
          <w:p w14:paraId="5E2F424F" w14:textId="77777777" w:rsidR="00B8258E" w:rsidRDefault="00B8258E" w:rsidP="00B8258E"/>
        </w:tc>
        <w:tc>
          <w:tcPr>
            <w:tcW w:w="718" w:type="dxa"/>
          </w:tcPr>
          <w:p w14:paraId="560FB241" w14:textId="77777777" w:rsidR="00B8258E" w:rsidRDefault="00B8258E" w:rsidP="00B8258E"/>
        </w:tc>
      </w:tr>
      <w:tr w:rsidR="00B8258E" w14:paraId="358A0B12" w14:textId="77777777" w:rsidTr="00B8258E">
        <w:tc>
          <w:tcPr>
            <w:tcW w:w="2085" w:type="dxa"/>
            <w:shd w:val="clear" w:color="auto" w:fill="D9D9D9" w:themeFill="background1" w:themeFillShade="D9"/>
          </w:tcPr>
          <w:p w14:paraId="4653EFF7" w14:textId="77777777" w:rsidR="00B8258E" w:rsidRDefault="00B8258E" w:rsidP="00B8258E">
            <w:pPr>
              <w:rPr>
                <w:rFonts w:ascii="Bell MT" w:eastAsia="Bell MT" w:hAnsi="Bell MT" w:cs="Bell MT"/>
                <w:color w:val="FF0000"/>
                <w:sz w:val="22"/>
                <w:szCs w:val="22"/>
              </w:rPr>
            </w:pPr>
            <w:r w:rsidRPr="36C02EA5">
              <w:rPr>
                <w:rFonts w:ascii="Bell MT" w:eastAsia="Bell MT" w:hAnsi="Bell MT" w:cs="Bell MT"/>
                <w:color w:val="FF0000"/>
                <w:sz w:val="22"/>
                <w:szCs w:val="22"/>
              </w:rPr>
              <w:t xml:space="preserve">B) Dissertation </w:t>
            </w:r>
          </w:p>
        </w:tc>
        <w:tc>
          <w:tcPr>
            <w:tcW w:w="990" w:type="dxa"/>
            <w:shd w:val="clear" w:color="auto" w:fill="D9D9D9" w:themeFill="background1" w:themeFillShade="D9"/>
          </w:tcPr>
          <w:p w14:paraId="1D29A52F" w14:textId="77777777" w:rsidR="00B8258E" w:rsidRDefault="00B8258E" w:rsidP="00B8258E"/>
        </w:tc>
        <w:tc>
          <w:tcPr>
            <w:tcW w:w="1320" w:type="dxa"/>
            <w:shd w:val="clear" w:color="auto" w:fill="D9D9D9" w:themeFill="background1" w:themeFillShade="D9"/>
          </w:tcPr>
          <w:p w14:paraId="61B2B65E" w14:textId="77777777" w:rsidR="00B8258E" w:rsidRDefault="00B8258E" w:rsidP="00B8258E"/>
        </w:tc>
        <w:tc>
          <w:tcPr>
            <w:tcW w:w="1290" w:type="dxa"/>
            <w:shd w:val="clear" w:color="auto" w:fill="D9D9D9" w:themeFill="background1" w:themeFillShade="D9"/>
          </w:tcPr>
          <w:p w14:paraId="200B1A21" w14:textId="77777777" w:rsidR="00B8258E" w:rsidRDefault="00B8258E" w:rsidP="00B8258E"/>
        </w:tc>
        <w:tc>
          <w:tcPr>
            <w:tcW w:w="960" w:type="dxa"/>
            <w:shd w:val="clear" w:color="auto" w:fill="D9D9D9" w:themeFill="background1" w:themeFillShade="D9"/>
          </w:tcPr>
          <w:p w14:paraId="64F61FA1" w14:textId="77777777" w:rsidR="00B8258E" w:rsidRDefault="00B8258E" w:rsidP="00B8258E"/>
        </w:tc>
        <w:tc>
          <w:tcPr>
            <w:tcW w:w="1140" w:type="dxa"/>
            <w:shd w:val="clear" w:color="auto" w:fill="D9D9D9" w:themeFill="background1" w:themeFillShade="D9"/>
          </w:tcPr>
          <w:p w14:paraId="512853CE" w14:textId="77777777" w:rsidR="00B8258E" w:rsidRDefault="00B8258E" w:rsidP="00B8258E"/>
        </w:tc>
        <w:tc>
          <w:tcPr>
            <w:tcW w:w="980" w:type="dxa"/>
            <w:shd w:val="clear" w:color="auto" w:fill="D9D9D9" w:themeFill="background1" w:themeFillShade="D9"/>
          </w:tcPr>
          <w:p w14:paraId="1323EA65" w14:textId="77777777" w:rsidR="00B8258E" w:rsidRDefault="00B8258E" w:rsidP="00B8258E"/>
        </w:tc>
        <w:tc>
          <w:tcPr>
            <w:tcW w:w="718" w:type="dxa"/>
            <w:shd w:val="clear" w:color="auto" w:fill="D9D9D9" w:themeFill="background1" w:themeFillShade="D9"/>
          </w:tcPr>
          <w:p w14:paraId="63E3CF06" w14:textId="77777777" w:rsidR="00B8258E" w:rsidRDefault="00B8258E" w:rsidP="00B8258E"/>
        </w:tc>
      </w:tr>
      <w:tr w:rsidR="00B8258E" w14:paraId="59B30DE3" w14:textId="77777777" w:rsidTr="00B8258E">
        <w:tc>
          <w:tcPr>
            <w:tcW w:w="2085" w:type="dxa"/>
          </w:tcPr>
          <w:p w14:paraId="0BD78EFA"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Collecting important documents/information</w:t>
            </w:r>
          </w:p>
        </w:tc>
        <w:tc>
          <w:tcPr>
            <w:tcW w:w="990" w:type="dxa"/>
            <w:shd w:val="clear" w:color="auto" w:fill="0070C0"/>
          </w:tcPr>
          <w:p w14:paraId="6794D3B3" w14:textId="77777777" w:rsidR="00B8258E" w:rsidRDefault="00B8258E" w:rsidP="00B8258E"/>
        </w:tc>
        <w:tc>
          <w:tcPr>
            <w:tcW w:w="1320" w:type="dxa"/>
            <w:shd w:val="clear" w:color="auto" w:fill="0070C0"/>
          </w:tcPr>
          <w:p w14:paraId="538A73C9" w14:textId="77777777" w:rsidR="00B8258E" w:rsidRDefault="00B8258E" w:rsidP="00B8258E"/>
        </w:tc>
        <w:tc>
          <w:tcPr>
            <w:tcW w:w="1290" w:type="dxa"/>
            <w:shd w:val="clear" w:color="auto" w:fill="0070C0"/>
          </w:tcPr>
          <w:p w14:paraId="0188C63B" w14:textId="77777777" w:rsidR="00B8258E" w:rsidRDefault="00B8258E" w:rsidP="00B8258E"/>
        </w:tc>
        <w:tc>
          <w:tcPr>
            <w:tcW w:w="960" w:type="dxa"/>
          </w:tcPr>
          <w:p w14:paraId="77298199" w14:textId="77777777" w:rsidR="00B8258E" w:rsidRDefault="00B8258E" w:rsidP="00B8258E"/>
        </w:tc>
        <w:tc>
          <w:tcPr>
            <w:tcW w:w="1140" w:type="dxa"/>
          </w:tcPr>
          <w:p w14:paraId="0E5DC552" w14:textId="77777777" w:rsidR="00B8258E" w:rsidRDefault="00B8258E" w:rsidP="00B8258E"/>
        </w:tc>
        <w:tc>
          <w:tcPr>
            <w:tcW w:w="980" w:type="dxa"/>
          </w:tcPr>
          <w:p w14:paraId="3E6787AC" w14:textId="77777777" w:rsidR="00B8258E" w:rsidRDefault="00B8258E" w:rsidP="00B8258E"/>
        </w:tc>
        <w:tc>
          <w:tcPr>
            <w:tcW w:w="718" w:type="dxa"/>
          </w:tcPr>
          <w:p w14:paraId="24CCA3C2" w14:textId="77777777" w:rsidR="00B8258E" w:rsidRDefault="00B8258E" w:rsidP="00B8258E"/>
        </w:tc>
      </w:tr>
      <w:tr w:rsidR="00B8258E" w14:paraId="523B3B42" w14:textId="77777777" w:rsidTr="00B8258E">
        <w:tc>
          <w:tcPr>
            <w:tcW w:w="2085" w:type="dxa"/>
          </w:tcPr>
          <w:p w14:paraId="45289116"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More background reading</w:t>
            </w:r>
          </w:p>
        </w:tc>
        <w:tc>
          <w:tcPr>
            <w:tcW w:w="990" w:type="dxa"/>
            <w:shd w:val="clear" w:color="auto" w:fill="0070C0"/>
          </w:tcPr>
          <w:p w14:paraId="4052C7BE" w14:textId="77777777" w:rsidR="00B8258E" w:rsidRDefault="00B8258E" w:rsidP="00B8258E"/>
        </w:tc>
        <w:tc>
          <w:tcPr>
            <w:tcW w:w="1320" w:type="dxa"/>
            <w:shd w:val="clear" w:color="auto" w:fill="0070C0"/>
          </w:tcPr>
          <w:p w14:paraId="42C59A31" w14:textId="77777777" w:rsidR="00B8258E" w:rsidRDefault="00B8258E" w:rsidP="00B8258E"/>
        </w:tc>
        <w:tc>
          <w:tcPr>
            <w:tcW w:w="1290" w:type="dxa"/>
            <w:shd w:val="clear" w:color="auto" w:fill="0070C0"/>
          </w:tcPr>
          <w:p w14:paraId="31B91F4C" w14:textId="77777777" w:rsidR="00B8258E" w:rsidRDefault="00B8258E" w:rsidP="00B8258E"/>
        </w:tc>
        <w:tc>
          <w:tcPr>
            <w:tcW w:w="960" w:type="dxa"/>
          </w:tcPr>
          <w:p w14:paraId="25F263C1" w14:textId="77777777" w:rsidR="00B8258E" w:rsidRDefault="00B8258E" w:rsidP="00B8258E"/>
        </w:tc>
        <w:tc>
          <w:tcPr>
            <w:tcW w:w="1140" w:type="dxa"/>
          </w:tcPr>
          <w:p w14:paraId="5EE99EFB" w14:textId="77777777" w:rsidR="00B8258E" w:rsidRDefault="00B8258E" w:rsidP="00B8258E"/>
        </w:tc>
        <w:tc>
          <w:tcPr>
            <w:tcW w:w="980" w:type="dxa"/>
          </w:tcPr>
          <w:p w14:paraId="4384E20B" w14:textId="77777777" w:rsidR="00B8258E" w:rsidRDefault="00B8258E" w:rsidP="00B8258E"/>
        </w:tc>
        <w:tc>
          <w:tcPr>
            <w:tcW w:w="718" w:type="dxa"/>
          </w:tcPr>
          <w:p w14:paraId="5BE0982F" w14:textId="77777777" w:rsidR="00B8258E" w:rsidRDefault="00B8258E" w:rsidP="00B8258E"/>
        </w:tc>
      </w:tr>
      <w:tr w:rsidR="00B8258E" w14:paraId="33E157C6" w14:textId="77777777" w:rsidTr="00B8258E">
        <w:tc>
          <w:tcPr>
            <w:tcW w:w="2085" w:type="dxa"/>
          </w:tcPr>
          <w:p w14:paraId="455D3A4D"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Develop themes</w:t>
            </w:r>
          </w:p>
        </w:tc>
        <w:tc>
          <w:tcPr>
            <w:tcW w:w="990" w:type="dxa"/>
          </w:tcPr>
          <w:p w14:paraId="24928852" w14:textId="77777777" w:rsidR="00B8258E" w:rsidRDefault="00B8258E" w:rsidP="00B8258E"/>
        </w:tc>
        <w:tc>
          <w:tcPr>
            <w:tcW w:w="1320" w:type="dxa"/>
          </w:tcPr>
          <w:p w14:paraId="24847E4B" w14:textId="77777777" w:rsidR="00B8258E" w:rsidRDefault="00B8258E" w:rsidP="00B8258E"/>
        </w:tc>
        <w:tc>
          <w:tcPr>
            <w:tcW w:w="1290" w:type="dxa"/>
            <w:shd w:val="clear" w:color="auto" w:fill="0070C0"/>
          </w:tcPr>
          <w:p w14:paraId="09EDC82F" w14:textId="77777777" w:rsidR="00B8258E" w:rsidRDefault="00B8258E" w:rsidP="00B8258E"/>
        </w:tc>
        <w:tc>
          <w:tcPr>
            <w:tcW w:w="960" w:type="dxa"/>
          </w:tcPr>
          <w:p w14:paraId="02256AC0" w14:textId="77777777" w:rsidR="00B8258E" w:rsidRDefault="00B8258E" w:rsidP="00B8258E"/>
        </w:tc>
        <w:tc>
          <w:tcPr>
            <w:tcW w:w="1140" w:type="dxa"/>
          </w:tcPr>
          <w:p w14:paraId="707CF9A6" w14:textId="77777777" w:rsidR="00B8258E" w:rsidRDefault="00B8258E" w:rsidP="00B8258E"/>
        </w:tc>
        <w:tc>
          <w:tcPr>
            <w:tcW w:w="980" w:type="dxa"/>
          </w:tcPr>
          <w:p w14:paraId="05825477" w14:textId="77777777" w:rsidR="00B8258E" w:rsidRDefault="00B8258E" w:rsidP="00B8258E"/>
        </w:tc>
        <w:tc>
          <w:tcPr>
            <w:tcW w:w="718" w:type="dxa"/>
          </w:tcPr>
          <w:p w14:paraId="73EF06B6" w14:textId="77777777" w:rsidR="00B8258E" w:rsidRDefault="00B8258E" w:rsidP="00B8258E"/>
        </w:tc>
      </w:tr>
      <w:tr w:rsidR="00B8258E" w14:paraId="31E54B2E" w14:textId="77777777" w:rsidTr="00B8258E">
        <w:tc>
          <w:tcPr>
            <w:tcW w:w="2085" w:type="dxa"/>
          </w:tcPr>
          <w:p w14:paraId="66F110E2"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Begin write up of systematic review</w:t>
            </w:r>
          </w:p>
        </w:tc>
        <w:tc>
          <w:tcPr>
            <w:tcW w:w="990" w:type="dxa"/>
          </w:tcPr>
          <w:p w14:paraId="492192A8" w14:textId="77777777" w:rsidR="00B8258E" w:rsidRDefault="00B8258E" w:rsidP="00B8258E"/>
        </w:tc>
        <w:tc>
          <w:tcPr>
            <w:tcW w:w="1320" w:type="dxa"/>
          </w:tcPr>
          <w:p w14:paraId="280407BB" w14:textId="77777777" w:rsidR="00B8258E" w:rsidRDefault="00B8258E" w:rsidP="00B8258E"/>
        </w:tc>
        <w:tc>
          <w:tcPr>
            <w:tcW w:w="1290" w:type="dxa"/>
            <w:shd w:val="clear" w:color="auto" w:fill="0070C0"/>
          </w:tcPr>
          <w:p w14:paraId="3DA95C76" w14:textId="77777777" w:rsidR="00B8258E" w:rsidRDefault="00B8258E" w:rsidP="00B8258E"/>
        </w:tc>
        <w:tc>
          <w:tcPr>
            <w:tcW w:w="960" w:type="dxa"/>
            <w:shd w:val="clear" w:color="auto" w:fill="0070C0"/>
          </w:tcPr>
          <w:p w14:paraId="254CF84E" w14:textId="77777777" w:rsidR="00B8258E" w:rsidRDefault="00B8258E" w:rsidP="00B8258E"/>
        </w:tc>
        <w:tc>
          <w:tcPr>
            <w:tcW w:w="1140" w:type="dxa"/>
            <w:shd w:val="clear" w:color="auto" w:fill="0070C0"/>
          </w:tcPr>
          <w:p w14:paraId="14DE8F39" w14:textId="77777777" w:rsidR="00B8258E" w:rsidRDefault="00B8258E" w:rsidP="00B8258E"/>
        </w:tc>
        <w:tc>
          <w:tcPr>
            <w:tcW w:w="980" w:type="dxa"/>
            <w:shd w:val="clear" w:color="auto" w:fill="FFFFFF" w:themeFill="background1"/>
          </w:tcPr>
          <w:p w14:paraId="39292ABD" w14:textId="77777777" w:rsidR="00B8258E" w:rsidRDefault="00B8258E" w:rsidP="00B8258E"/>
        </w:tc>
        <w:tc>
          <w:tcPr>
            <w:tcW w:w="718" w:type="dxa"/>
          </w:tcPr>
          <w:p w14:paraId="7B5974DD" w14:textId="77777777" w:rsidR="00B8258E" w:rsidRDefault="00B8258E" w:rsidP="00B8258E"/>
        </w:tc>
      </w:tr>
      <w:tr w:rsidR="00B8258E" w14:paraId="093A7FC2" w14:textId="77777777" w:rsidTr="00B8258E">
        <w:tc>
          <w:tcPr>
            <w:tcW w:w="2085" w:type="dxa"/>
          </w:tcPr>
          <w:p w14:paraId="4481F828"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Read through draft and edit</w:t>
            </w:r>
          </w:p>
        </w:tc>
        <w:tc>
          <w:tcPr>
            <w:tcW w:w="990" w:type="dxa"/>
          </w:tcPr>
          <w:p w14:paraId="4919E535" w14:textId="77777777" w:rsidR="00B8258E" w:rsidRDefault="00B8258E" w:rsidP="00B8258E"/>
        </w:tc>
        <w:tc>
          <w:tcPr>
            <w:tcW w:w="1320" w:type="dxa"/>
          </w:tcPr>
          <w:p w14:paraId="017AF175" w14:textId="77777777" w:rsidR="00B8258E" w:rsidRDefault="00B8258E" w:rsidP="00B8258E"/>
        </w:tc>
        <w:tc>
          <w:tcPr>
            <w:tcW w:w="1290" w:type="dxa"/>
          </w:tcPr>
          <w:p w14:paraId="648DC8C1" w14:textId="77777777" w:rsidR="00B8258E" w:rsidRDefault="00B8258E" w:rsidP="00B8258E"/>
        </w:tc>
        <w:tc>
          <w:tcPr>
            <w:tcW w:w="960" w:type="dxa"/>
            <w:shd w:val="clear" w:color="auto" w:fill="0070C0"/>
          </w:tcPr>
          <w:p w14:paraId="2E5B773F" w14:textId="77777777" w:rsidR="00B8258E" w:rsidRDefault="00B8258E" w:rsidP="00B8258E"/>
        </w:tc>
        <w:tc>
          <w:tcPr>
            <w:tcW w:w="1140" w:type="dxa"/>
            <w:shd w:val="clear" w:color="auto" w:fill="0070C0"/>
          </w:tcPr>
          <w:p w14:paraId="05FA76BE" w14:textId="77777777" w:rsidR="00B8258E" w:rsidRDefault="00B8258E" w:rsidP="00B8258E"/>
        </w:tc>
        <w:tc>
          <w:tcPr>
            <w:tcW w:w="980" w:type="dxa"/>
            <w:shd w:val="clear" w:color="auto" w:fill="0070C0"/>
          </w:tcPr>
          <w:p w14:paraId="74AA1C1B" w14:textId="77777777" w:rsidR="00B8258E" w:rsidRDefault="00B8258E" w:rsidP="00B8258E"/>
        </w:tc>
        <w:tc>
          <w:tcPr>
            <w:tcW w:w="718" w:type="dxa"/>
          </w:tcPr>
          <w:p w14:paraId="3D0523C8" w14:textId="77777777" w:rsidR="00B8258E" w:rsidRDefault="00B8258E" w:rsidP="00B8258E"/>
        </w:tc>
      </w:tr>
      <w:tr w:rsidR="00B8258E" w14:paraId="0A6E09E3" w14:textId="77777777" w:rsidTr="00B8258E">
        <w:tc>
          <w:tcPr>
            <w:tcW w:w="2085" w:type="dxa"/>
            <w:shd w:val="clear" w:color="auto" w:fill="D9D9D9" w:themeFill="background1" w:themeFillShade="D9"/>
          </w:tcPr>
          <w:p w14:paraId="2443EF9F" w14:textId="77777777" w:rsidR="00B8258E" w:rsidRDefault="00B8258E" w:rsidP="00B8258E">
            <w:pPr>
              <w:rPr>
                <w:rFonts w:ascii="Bell MT" w:eastAsia="Bell MT" w:hAnsi="Bell MT" w:cs="Bell MT"/>
                <w:sz w:val="22"/>
                <w:szCs w:val="22"/>
              </w:rPr>
            </w:pPr>
            <w:r w:rsidRPr="36C02EA5">
              <w:rPr>
                <w:rFonts w:ascii="Bell MT" w:eastAsia="Bell MT" w:hAnsi="Bell MT" w:cs="Bell MT"/>
                <w:color w:val="FF0000"/>
                <w:sz w:val="22"/>
                <w:szCs w:val="22"/>
              </w:rPr>
              <w:t>Drafting final thesis</w:t>
            </w:r>
            <w:r w:rsidRPr="36C02EA5">
              <w:rPr>
                <w:rFonts w:ascii="Bell MT" w:eastAsia="Bell MT" w:hAnsi="Bell MT" w:cs="Bell MT"/>
                <w:sz w:val="22"/>
                <w:szCs w:val="22"/>
              </w:rPr>
              <w:t xml:space="preserve"> </w:t>
            </w:r>
          </w:p>
        </w:tc>
        <w:tc>
          <w:tcPr>
            <w:tcW w:w="990" w:type="dxa"/>
            <w:shd w:val="clear" w:color="auto" w:fill="D9D9D9" w:themeFill="background1" w:themeFillShade="D9"/>
          </w:tcPr>
          <w:p w14:paraId="5D4C7ECD" w14:textId="77777777" w:rsidR="00B8258E" w:rsidRDefault="00B8258E" w:rsidP="00B8258E"/>
        </w:tc>
        <w:tc>
          <w:tcPr>
            <w:tcW w:w="1320" w:type="dxa"/>
            <w:shd w:val="clear" w:color="auto" w:fill="D9D9D9" w:themeFill="background1" w:themeFillShade="D9"/>
          </w:tcPr>
          <w:p w14:paraId="5AA968B8" w14:textId="77777777" w:rsidR="00B8258E" w:rsidRDefault="00B8258E" w:rsidP="00B8258E"/>
        </w:tc>
        <w:tc>
          <w:tcPr>
            <w:tcW w:w="1290" w:type="dxa"/>
            <w:shd w:val="clear" w:color="auto" w:fill="D9D9D9" w:themeFill="background1" w:themeFillShade="D9"/>
          </w:tcPr>
          <w:p w14:paraId="30234A6A" w14:textId="77777777" w:rsidR="00B8258E" w:rsidRDefault="00B8258E" w:rsidP="00B8258E"/>
        </w:tc>
        <w:tc>
          <w:tcPr>
            <w:tcW w:w="960" w:type="dxa"/>
            <w:shd w:val="clear" w:color="auto" w:fill="D9D9D9" w:themeFill="background1" w:themeFillShade="D9"/>
          </w:tcPr>
          <w:p w14:paraId="54EA89BE" w14:textId="77777777" w:rsidR="00B8258E" w:rsidRDefault="00B8258E" w:rsidP="00B8258E"/>
        </w:tc>
        <w:tc>
          <w:tcPr>
            <w:tcW w:w="1140" w:type="dxa"/>
            <w:shd w:val="clear" w:color="auto" w:fill="D9D9D9" w:themeFill="background1" w:themeFillShade="D9"/>
          </w:tcPr>
          <w:p w14:paraId="44B31192" w14:textId="77777777" w:rsidR="00B8258E" w:rsidRDefault="00B8258E" w:rsidP="00B8258E"/>
        </w:tc>
        <w:tc>
          <w:tcPr>
            <w:tcW w:w="980" w:type="dxa"/>
            <w:shd w:val="clear" w:color="auto" w:fill="D9D9D9" w:themeFill="background1" w:themeFillShade="D9"/>
          </w:tcPr>
          <w:p w14:paraId="24B5D5D3" w14:textId="77777777" w:rsidR="00B8258E" w:rsidRDefault="00B8258E" w:rsidP="00B8258E"/>
        </w:tc>
        <w:tc>
          <w:tcPr>
            <w:tcW w:w="718" w:type="dxa"/>
            <w:shd w:val="clear" w:color="auto" w:fill="D9D9D9" w:themeFill="background1" w:themeFillShade="D9"/>
          </w:tcPr>
          <w:p w14:paraId="6ED8B393" w14:textId="77777777" w:rsidR="00B8258E" w:rsidRDefault="00B8258E" w:rsidP="00B8258E"/>
        </w:tc>
      </w:tr>
      <w:tr w:rsidR="00B8258E" w14:paraId="66AB3C5A" w14:textId="77777777" w:rsidTr="00B8258E">
        <w:tc>
          <w:tcPr>
            <w:tcW w:w="2085" w:type="dxa"/>
            <w:shd w:val="clear" w:color="auto" w:fill="FFFFFF" w:themeFill="background1"/>
          </w:tcPr>
          <w:p w14:paraId="3A7E0A21"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 xml:space="preserve">Check whether thesis question has been addressed </w:t>
            </w:r>
          </w:p>
        </w:tc>
        <w:tc>
          <w:tcPr>
            <w:tcW w:w="990" w:type="dxa"/>
            <w:shd w:val="clear" w:color="auto" w:fill="FFFFFF" w:themeFill="background1"/>
          </w:tcPr>
          <w:p w14:paraId="10576477" w14:textId="77777777" w:rsidR="00B8258E" w:rsidRDefault="00B8258E" w:rsidP="00B8258E"/>
        </w:tc>
        <w:tc>
          <w:tcPr>
            <w:tcW w:w="1320" w:type="dxa"/>
            <w:shd w:val="clear" w:color="auto" w:fill="FFFFFF" w:themeFill="background1"/>
          </w:tcPr>
          <w:p w14:paraId="03B5DFDB" w14:textId="77777777" w:rsidR="00B8258E" w:rsidRDefault="00B8258E" w:rsidP="00B8258E"/>
        </w:tc>
        <w:tc>
          <w:tcPr>
            <w:tcW w:w="1290" w:type="dxa"/>
            <w:shd w:val="clear" w:color="auto" w:fill="FFFFFF" w:themeFill="background1"/>
          </w:tcPr>
          <w:p w14:paraId="735997FE" w14:textId="77777777" w:rsidR="00B8258E" w:rsidRDefault="00B8258E" w:rsidP="00B8258E"/>
        </w:tc>
        <w:tc>
          <w:tcPr>
            <w:tcW w:w="960" w:type="dxa"/>
            <w:shd w:val="clear" w:color="auto" w:fill="FFFFFF" w:themeFill="background1"/>
          </w:tcPr>
          <w:p w14:paraId="4F28D765" w14:textId="77777777" w:rsidR="00B8258E" w:rsidRDefault="00B8258E" w:rsidP="00B8258E"/>
        </w:tc>
        <w:tc>
          <w:tcPr>
            <w:tcW w:w="1140" w:type="dxa"/>
            <w:shd w:val="clear" w:color="auto" w:fill="FFFFFF" w:themeFill="background1"/>
          </w:tcPr>
          <w:p w14:paraId="6CDC1BB9" w14:textId="77777777" w:rsidR="00B8258E" w:rsidRDefault="00B8258E" w:rsidP="00B8258E"/>
        </w:tc>
        <w:tc>
          <w:tcPr>
            <w:tcW w:w="980" w:type="dxa"/>
            <w:shd w:val="clear" w:color="auto" w:fill="0070C0"/>
          </w:tcPr>
          <w:p w14:paraId="532086D6" w14:textId="77777777" w:rsidR="00B8258E" w:rsidRDefault="00B8258E" w:rsidP="00B8258E"/>
        </w:tc>
        <w:tc>
          <w:tcPr>
            <w:tcW w:w="718" w:type="dxa"/>
            <w:shd w:val="clear" w:color="auto" w:fill="FFFFFF" w:themeFill="background1"/>
          </w:tcPr>
          <w:p w14:paraId="21E198AF" w14:textId="77777777" w:rsidR="00B8258E" w:rsidRDefault="00B8258E" w:rsidP="00B8258E"/>
        </w:tc>
      </w:tr>
      <w:tr w:rsidR="00B8258E" w14:paraId="44038BE0" w14:textId="77777777" w:rsidTr="00B8258E">
        <w:tc>
          <w:tcPr>
            <w:tcW w:w="2085" w:type="dxa"/>
          </w:tcPr>
          <w:p w14:paraId="52372D2C"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Check word count</w:t>
            </w:r>
          </w:p>
        </w:tc>
        <w:tc>
          <w:tcPr>
            <w:tcW w:w="990" w:type="dxa"/>
          </w:tcPr>
          <w:p w14:paraId="29CCE114" w14:textId="77777777" w:rsidR="00B8258E" w:rsidRDefault="00B8258E" w:rsidP="00B8258E"/>
        </w:tc>
        <w:tc>
          <w:tcPr>
            <w:tcW w:w="1320" w:type="dxa"/>
          </w:tcPr>
          <w:p w14:paraId="33E38BEA" w14:textId="77777777" w:rsidR="00B8258E" w:rsidRDefault="00B8258E" w:rsidP="00B8258E"/>
        </w:tc>
        <w:tc>
          <w:tcPr>
            <w:tcW w:w="1290" w:type="dxa"/>
          </w:tcPr>
          <w:p w14:paraId="3B7B6D12" w14:textId="77777777" w:rsidR="00B8258E" w:rsidRDefault="00B8258E" w:rsidP="00B8258E"/>
        </w:tc>
        <w:tc>
          <w:tcPr>
            <w:tcW w:w="960" w:type="dxa"/>
          </w:tcPr>
          <w:p w14:paraId="091415F2" w14:textId="77777777" w:rsidR="00B8258E" w:rsidRDefault="00B8258E" w:rsidP="00B8258E"/>
        </w:tc>
        <w:tc>
          <w:tcPr>
            <w:tcW w:w="1140" w:type="dxa"/>
          </w:tcPr>
          <w:p w14:paraId="629AA68D" w14:textId="77777777" w:rsidR="00B8258E" w:rsidRDefault="00B8258E" w:rsidP="00B8258E"/>
        </w:tc>
        <w:tc>
          <w:tcPr>
            <w:tcW w:w="980" w:type="dxa"/>
            <w:shd w:val="clear" w:color="auto" w:fill="0070C0"/>
          </w:tcPr>
          <w:p w14:paraId="61F44D8E" w14:textId="77777777" w:rsidR="00B8258E" w:rsidRDefault="00B8258E" w:rsidP="00B8258E"/>
        </w:tc>
        <w:tc>
          <w:tcPr>
            <w:tcW w:w="718" w:type="dxa"/>
          </w:tcPr>
          <w:p w14:paraId="745034B9" w14:textId="77777777" w:rsidR="00B8258E" w:rsidRDefault="00B8258E" w:rsidP="00B8258E"/>
        </w:tc>
      </w:tr>
      <w:tr w:rsidR="00B8258E" w14:paraId="0E126772" w14:textId="77777777" w:rsidTr="00B8258E">
        <w:tc>
          <w:tcPr>
            <w:tcW w:w="2085" w:type="dxa"/>
          </w:tcPr>
          <w:p w14:paraId="5719F527"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 xml:space="preserve">Check refences </w:t>
            </w:r>
          </w:p>
        </w:tc>
        <w:tc>
          <w:tcPr>
            <w:tcW w:w="990" w:type="dxa"/>
          </w:tcPr>
          <w:p w14:paraId="19DEBEC6" w14:textId="77777777" w:rsidR="00B8258E" w:rsidRDefault="00B8258E" w:rsidP="00B8258E"/>
        </w:tc>
        <w:tc>
          <w:tcPr>
            <w:tcW w:w="1320" w:type="dxa"/>
          </w:tcPr>
          <w:p w14:paraId="11497119" w14:textId="77777777" w:rsidR="00B8258E" w:rsidRDefault="00B8258E" w:rsidP="00B8258E"/>
        </w:tc>
        <w:tc>
          <w:tcPr>
            <w:tcW w:w="1290" w:type="dxa"/>
          </w:tcPr>
          <w:p w14:paraId="49848447" w14:textId="77777777" w:rsidR="00B8258E" w:rsidRDefault="00B8258E" w:rsidP="00B8258E"/>
        </w:tc>
        <w:tc>
          <w:tcPr>
            <w:tcW w:w="960" w:type="dxa"/>
          </w:tcPr>
          <w:p w14:paraId="7BD37A78" w14:textId="77777777" w:rsidR="00B8258E" w:rsidRDefault="00B8258E" w:rsidP="00B8258E"/>
        </w:tc>
        <w:tc>
          <w:tcPr>
            <w:tcW w:w="1140" w:type="dxa"/>
          </w:tcPr>
          <w:p w14:paraId="7B0E5642" w14:textId="77777777" w:rsidR="00B8258E" w:rsidRDefault="00B8258E" w:rsidP="00B8258E"/>
        </w:tc>
        <w:tc>
          <w:tcPr>
            <w:tcW w:w="980" w:type="dxa"/>
            <w:shd w:val="clear" w:color="auto" w:fill="0070C0"/>
          </w:tcPr>
          <w:p w14:paraId="70102E2A" w14:textId="77777777" w:rsidR="00B8258E" w:rsidRDefault="00B8258E" w:rsidP="00B8258E"/>
        </w:tc>
        <w:tc>
          <w:tcPr>
            <w:tcW w:w="718" w:type="dxa"/>
          </w:tcPr>
          <w:p w14:paraId="37C7FBC4" w14:textId="77777777" w:rsidR="00B8258E" w:rsidRDefault="00B8258E" w:rsidP="00B8258E"/>
        </w:tc>
      </w:tr>
      <w:tr w:rsidR="00B8258E" w14:paraId="4AD3E645" w14:textId="77777777" w:rsidTr="00B8258E">
        <w:tc>
          <w:tcPr>
            <w:tcW w:w="2085" w:type="dxa"/>
          </w:tcPr>
          <w:p w14:paraId="731740B3" w14:textId="77777777" w:rsidR="00B8258E" w:rsidRDefault="00B8258E" w:rsidP="00B8258E">
            <w:pPr>
              <w:rPr>
                <w:rFonts w:ascii="Bell MT" w:eastAsia="Bell MT" w:hAnsi="Bell MT" w:cs="Bell MT"/>
                <w:color w:val="000000" w:themeColor="text1"/>
                <w:sz w:val="22"/>
                <w:szCs w:val="22"/>
              </w:rPr>
            </w:pPr>
            <w:r w:rsidRPr="36C02EA5">
              <w:rPr>
                <w:rFonts w:ascii="Bell MT" w:eastAsia="Bell MT" w:hAnsi="Bell MT" w:cs="Bell MT"/>
                <w:color w:val="000000" w:themeColor="text1"/>
                <w:sz w:val="22"/>
                <w:szCs w:val="22"/>
              </w:rPr>
              <w:t>Proof read and submit</w:t>
            </w:r>
          </w:p>
        </w:tc>
        <w:tc>
          <w:tcPr>
            <w:tcW w:w="990" w:type="dxa"/>
          </w:tcPr>
          <w:p w14:paraId="5E1A0D62" w14:textId="77777777" w:rsidR="00B8258E" w:rsidRDefault="00B8258E" w:rsidP="00B8258E"/>
        </w:tc>
        <w:tc>
          <w:tcPr>
            <w:tcW w:w="1320" w:type="dxa"/>
          </w:tcPr>
          <w:p w14:paraId="28805A45" w14:textId="77777777" w:rsidR="00B8258E" w:rsidRDefault="00B8258E" w:rsidP="00B8258E"/>
        </w:tc>
        <w:tc>
          <w:tcPr>
            <w:tcW w:w="1290" w:type="dxa"/>
          </w:tcPr>
          <w:p w14:paraId="5F13D198" w14:textId="77777777" w:rsidR="00B8258E" w:rsidRDefault="00B8258E" w:rsidP="00B8258E"/>
        </w:tc>
        <w:tc>
          <w:tcPr>
            <w:tcW w:w="960" w:type="dxa"/>
          </w:tcPr>
          <w:p w14:paraId="165CADD5" w14:textId="77777777" w:rsidR="00B8258E" w:rsidRDefault="00B8258E" w:rsidP="00B8258E"/>
        </w:tc>
        <w:tc>
          <w:tcPr>
            <w:tcW w:w="1140" w:type="dxa"/>
          </w:tcPr>
          <w:p w14:paraId="7C857049" w14:textId="77777777" w:rsidR="00B8258E" w:rsidRDefault="00B8258E" w:rsidP="00B8258E"/>
        </w:tc>
        <w:tc>
          <w:tcPr>
            <w:tcW w:w="980" w:type="dxa"/>
            <w:shd w:val="clear" w:color="auto" w:fill="0070C0"/>
          </w:tcPr>
          <w:p w14:paraId="26318B4B" w14:textId="77777777" w:rsidR="00B8258E" w:rsidRDefault="00B8258E" w:rsidP="00B8258E"/>
        </w:tc>
        <w:tc>
          <w:tcPr>
            <w:tcW w:w="718" w:type="dxa"/>
            <w:shd w:val="clear" w:color="auto" w:fill="0070C0"/>
          </w:tcPr>
          <w:p w14:paraId="55B98FF1" w14:textId="77777777" w:rsidR="00B8258E" w:rsidRDefault="00B8258E" w:rsidP="00B8258E"/>
        </w:tc>
      </w:tr>
    </w:tbl>
    <w:p w14:paraId="46E7F85F" w14:textId="2E16729B" w:rsidR="00B8258E" w:rsidRPr="00B8258E" w:rsidRDefault="00B8258E" w:rsidP="00AB0CD7">
      <w:pPr>
        <w:spacing w:line="480" w:lineRule="auto"/>
        <w:rPr>
          <w:rFonts w:ascii="Bell MT" w:hAnsi="Bell MT"/>
          <w:color w:val="000000" w:themeColor="text1"/>
          <w:sz w:val="28"/>
          <w:szCs w:val="28"/>
        </w:rPr>
      </w:pPr>
      <w:proofErr w:type="spellStart"/>
      <w:r w:rsidRPr="00B8258E">
        <w:rPr>
          <w:rFonts w:ascii="Bell MT" w:hAnsi="Bell MT"/>
          <w:color w:val="000000" w:themeColor="text1"/>
          <w:sz w:val="28"/>
          <w:szCs w:val="28"/>
        </w:rPr>
        <w:t>Gnatt</w:t>
      </w:r>
      <w:proofErr w:type="spellEnd"/>
      <w:r w:rsidRPr="00B8258E">
        <w:rPr>
          <w:rFonts w:ascii="Bell MT" w:hAnsi="Bell MT"/>
          <w:color w:val="000000" w:themeColor="text1"/>
          <w:sz w:val="28"/>
          <w:szCs w:val="28"/>
        </w:rPr>
        <w:t xml:space="preserve"> Chart</w:t>
      </w:r>
    </w:p>
    <w:p w14:paraId="68A7090D" w14:textId="27EEDD4B" w:rsidR="36C02EA5" w:rsidRDefault="36C02EA5" w:rsidP="36C02EA5"/>
    <w:p w14:paraId="11AC5D64" w14:textId="1C878252" w:rsidR="00FA4A4E" w:rsidRDefault="00FA4A4E" w:rsidP="36C02EA5"/>
    <w:p w14:paraId="159F5816" w14:textId="1D0304BC" w:rsidR="00FA4A4E" w:rsidRDefault="00FA4A4E" w:rsidP="36C02EA5"/>
    <w:p w14:paraId="17D95161" w14:textId="0713A8BE" w:rsidR="00FA4A4E" w:rsidRDefault="00FA4A4E" w:rsidP="36C02EA5"/>
    <w:p w14:paraId="79D948AB" w14:textId="1FC5C434" w:rsidR="00FA4A4E" w:rsidRDefault="00FA4A4E" w:rsidP="36C02EA5"/>
    <w:p w14:paraId="0104D0F1" w14:textId="51EB6BFE" w:rsidR="00FA4A4E" w:rsidRPr="00FA4A4E" w:rsidRDefault="00FA4A4E" w:rsidP="36C02EA5">
      <w:pPr>
        <w:rPr>
          <w:rFonts w:ascii="Bell MT" w:hAnsi="Bell MT"/>
          <w:color w:val="000000" w:themeColor="text1"/>
          <w:sz w:val="28"/>
          <w:szCs w:val="28"/>
        </w:rPr>
      </w:pPr>
      <w:r w:rsidRPr="00FA4A4E">
        <w:rPr>
          <w:rFonts w:ascii="Bell MT" w:hAnsi="Bell MT"/>
          <w:color w:val="000000" w:themeColor="text1"/>
          <w:sz w:val="28"/>
          <w:szCs w:val="28"/>
        </w:rPr>
        <w:lastRenderedPageBreak/>
        <w:t>Reference List</w:t>
      </w:r>
    </w:p>
    <w:p w14:paraId="4F9AD088" w14:textId="013EC268" w:rsidR="00FA4A4E" w:rsidRDefault="00FA4A4E" w:rsidP="36C02EA5">
      <w:pPr>
        <w:rPr>
          <w:rFonts w:ascii="Bell MT" w:hAnsi="Bell MT"/>
          <w:sz w:val="28"/>
          <w:szCs w:val="28"/>
        </w:rPr>
      </w:pPr>
    </w:p>
    <w:p w14:paraId="36E0F39B"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AVENTIS Pharma, 2001.</w:t>
      </w:r>
      <w:r w:rsidRPr="008E1454">
        <w:rPr>
          <w:rFonts w:ascii="Bell MT" w:hAnsi="Bell MT"/>
          <w:color w:val="000000" w:themeColor="text1"/>
          <w:sz w:val="24"/>
          <w:szCs w:val="24"/>
          <w:u w:val="single"/>
        </w:rPr>
        <w:t>What is critical appraisal</w:t>
      </w:r>
      <w:r w:rsidRPr="008E1454">
        <w:rPr>
          <w:rFonts w:ascii="Bell MT" w:hAnsi="Bell MT"/>
          <w:color w:val="000000" w:themeColor="text1"/>
          <w:sz w:val="24"/>
          <w:szCs w:val="24"/>
        </w:rPr>
        <w:t xml:space="preserve">. [Online] Available at: </w:t>
      </w:r>
      <w:proofErr w:type="gramStart"/>
      <w:r w:rsidRPr="008E1454">
        <w:rPr>
          <w:rFonts w:ascii="Bell MT" w:hAnsi="Bell MT"/>
          <w:color w:val="000000" w:themeColor="text1"/>
          <w:sz w:val="24"/>
          <w:szCs w:val="24"/>
        </w:rPr>
        <w:t>http://citeseerx.ist.psu.edu/viewdoc/download?doi=10.1.1.524.2610&amp;rep=rep1&amp;type=pdf[</w:t>
      </w:r>
      <w:proofErr w:type="gramEnd"/>
      <w:r w:rsidRPr="008E1454">
        <w:rPr>
          <w:rFonts w:ascii="Bell MT" w:hAnsi="Bell MT"/>
          <w:color w:val="000000" w:themeColor="text1"/>
          <w:sz w:val="24"/>
          <w:szCs w:val="24"/>
        </w:rPr>
        <w:t>Accessed 8 November 2018].</w:t>
      </w:r>
    </w:p>
    <w:p w14:paraId="6EEE415F"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Ayres, M., Parr, J. R., Rodgers, J. &amp; Mason, D., 2018</w:t>
      </w:r>
      <w:r w:rsidRPr="008E1454">
        <w:rPr>
          <w:rFonts w:ascii="Bell MT" w:hAnsi="Bell MT"/>
          <w:color w:val="000000" w:themeColor="text1"/>
          <w:sz w:val="24"/>
          <w:szCs w:val="24"/>
          <w:u w:val="single"/>
        </w:rPr>
        <w:t>. A systematic review of quality of life.</w:t>
      </w:r>
      <w:r w:rsidRPr="008E1454">
        <w:rPr>
          <w:rFonts w:ascii="Bell MT" w:hAnsi="Bell MT"/>
          <w:color w:val="000000" w:themeColor="text1"/>
          <w:sz w:val="24"/>
          <w:szCs w:val="24"/>
        </w:rPr>
        <w:t xml:space="preserve"> Autism, pp. 774-783.</w:t>
      </w:r>
    </w:p>
    <w:p w14:paraId="454EBEF7" w14:textId="3D9D95B1"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Baird, </w:t>
      </w:r>
      <w:proofErr w:type="gramStart"/>
      <w:r w:rsidRPr="008E1454">
        <w:rPr>
          <w:rFonts w:ascii="Bell MT" w:hAnsi="Bell MT"/>
          <w:color w:val="000000" w:themeColor="text1"/>
          <w:sz w:val="24"/>
          <w:szCs w:val="24"/>
        </w:rPr>
        <w:t>G.,</w:t>
      </w:r>
      <w:proofErr w:type="spellStart"/>
      <w:r w:rsidRPr="008E1454">
        <w:rPr>
          <w:rFonts w:ascii="Bell MT" w:hAnsi="Bell MT"/>
          <w:color w:val="000000" w:themeColor="text1"/>
          <w:sz w:val="24"/>
          <w:szCs w:val="24"/>
        </w:rPr>
        <w:t>Charman</w:t>
      </w:r>
      <w:proofErr w:type="spellEnd"/>
      <w:proofErr w:type="gramEnd"/>
      <w:r w:rsidRPr="008E1454">
        <w:rPr>
          <w:rFonts w:ascii="Bell MT" w:hAnsi="Bell MT"/>
          <w:color w:val="000000" w:themeColor="text1"/>
          <w:sz w:val="24"/>
          <w:szCs w:val="24"/>
        </w:rPr>
        <w:t xml:space="preserve">, T., Cox, T., Baron-Cohen, S., Swettenham, J., Wheelwright, S., Drew, A., (2001) </w:t>
      </w:r>
      <w:r w:rsidRPr="008E1454">
        <w:rPr>
          <w:rFonts w:ascii="Bell MT" w:hAnsi="Bell MT"/>
          <w:color w:val="000000" w:themeColor="text1"/>
          <w:sz w:val="24"/>
          <w:szCs w:val="24"/>
          <w:u w:val="single"/>
        </w:rPr>
        <w:t>Screening and surveillance for autism and pervasive developmental disorders</w:t>
      </w:r>
      <w:r w:rsidR="001059A0" w:rsidRPr="008E1454">
        <w:rPr>
          <w:rFonts w:ascii="Bell MT" w:hAnsi="Bell MT"/>
          <w:color w:val="000000" w:themeColor="text1"/>
          <w:sz w:val="24"/>
          <w:szCs w:val="24"/>
        </w:rPr>
        <w:t xml:space="preserve">. </w:t>
      </w:r>
      <w:r w:rsidRPr="008E1454">
        <w:rPr>
          <w:rFonts w:ascii="Bell MT" w:hAnsi="Bell MT"/>
          <w:color w:val="000000" w:themeColor="text1"/>
          <w:sz w:val="24"/>
          <w:szCs w:val="24"/>
        </w:rPr>
        <w:t xml:space="preserve">Arch Dis Child </w:t>
      </w:r>
      <w:proofErr w:type="gramStart"/>
      <w:r w:rsidRPr="008E1454">
        <w:rPr>
          <w:rFonts w:ascii="Bell MT" w:hAnsi="Bell MT"/>
          <w:color w:val="000000" w:themeColor="text1"/>
          <w:sz w:val="24"/>
          <w:szCs w:val="24"/>
        </w:rPr>
        <w:t>2001;84:468</w:t>
      </w:r>
      <w:proofErr w:type="gramEnd"/>
      <w:r w:rsidRPr="008E1454">
        <w:rPr>
          <w:rFonts w:ascii="Bell MT" w:hAnsi="Bell MT"/>
          <w:color w:val="000000" w:themeColor="text1"/>
          <w:sz w:val="24"/>
          <w:szCs w:val="24"/>
        </w:rPr>
        <w:t>–475</w:t>
      </w:r>
    </w:p>
    <w:p w14:paraId="7900E178" w14:textId="58B2EDE2"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Baron-Cohen, S; Scott, F; Allison, C; William, J; Bolton, B; Matthews, F., 2009. </w:t>
      </w:r>
      <w:r w:rsidRPr="008E1454">
        <w:rPr>
          <w:rFonts w:ascii="Bell MT" w:hAnsi="Bell MT"/>
          <w:color w:val="000000" w:themeColor="text1"/>
          <w:sz w:val="24"/>
          <w:szCs w:val="24"/>
          <w:u w:val="single"/>
        </w:rPr>
        <w:t xml:space="preserve">Prevalence of autism spectrum disorder conditions: U.K. </w:t>
      </w:r>
      <w:proofErr w:type="gramStart"/>
      <w:r w:rsidRPr="008E1454">
        <w:rPr>
          <w:rFonts w:ascii="Bell MT" w:hAnsi="Bell MT"/>
          <w:color w:val="000000" w:themeColor="text1"/>
          <w:sz w:val="24"/>
          <w:szCs w:val="24"/>
          <w:u w:val="single"/>
        </w:rPr>
        <w:t>school based</w:t>
      </w:r>
      <w:proofErr w:type="gramEnd"/>
      <w:r w:rsidRPr="008E1454">
        <w:rPr>
          <w:rFonts w:ascii="Bell MT" w:hAnsi="Bell MT"/>
          <w:color w:val="000000" w:themeColor="text1"/>
          <w:sz w:val="24"/>
          <w:szCs w:val="24"/>
          <w:u w:val="single"/>
        </w:rPr>
        <w:t xml:space="preserve"> population study. </w:t>
      </w:r>
      <w:r w:rsidRPr="008E1454">
        <w:rPr>
          <w:rFonts w:ascii="Bell MT" w:hAnsi="Bell MT"/>
          <w:color w:val="000000" w:themeColor="text1"/>
          <w:sz w:val="24"/>
          <w:szCs w:val="24"/>
        </w:rPr>
        <w:t>T British J G</w:t>
      </w:r>
      <w:r w:rsidR="001059A0" w:rsidRPr="008E1454">
        <w:rPr>
          <w:rFonts w:ascii="Bell MT" w:hAnsi="Bell MT"/>
          <w:color w:val="000000" w:themeColor="text1"/>
          <w:sz w:val="24"/>
          <w:szCs w:val="24"/>
        </w:rPr>
        <w:t>.</w:t>
      </w:r>
    </w:p>
    <w:p w14:paraId="31D6AD55" w14:textId="77777777" w:rsidR="00FA4A4E" w:rsidRPr="008E1454" w:rsidRDefault="00FA4A4E" w:rsidP="008E1454">
      <w:pPr>
        <w:spacing w:line="480" w:lineRule="auto"/>
        <w:rPr>
          <w:rFonts w:ascii="Bell MT" w:hAnsi="Bell MT"/>
          <w:color w:val="000000" w:themeColor="text1"/>
          <w:sz w:val="24"/>
          <w:szCs w:val="24"/>
        </w:rPr>
      </w:pPr>
      <w:proofErr w:type="spellStart"/>
      <w:r w:rsidRPr="008E1454">
        <w:rPr>
          <w:rFonts w:ascii="Bell MT" w:hAnsi="Bell MT"/>
          <w:color w:val="000000" w:themeColor="text1"/>
          <w:sz w:val="24"/>
          <w:szCs w:val="24"/>
        </w:rPr>
        <w:t>Bitsika</w:t>
      </w:r>
      <w:proofErr w:type="spellEnd"/>
      <w:r w:rsidRPr="008E1454">
        <w:rPr>
          <w:rFonts w:ascii="Bell MT" w:hAnsi="Bell MT"/>
          <w:color w:val="000000" w:themeColor="text1"/>
          <w:sz w:val="24"/>
          <w:szCs w:val="24"/>
        </w:rPr>
        <w:t xml:space="preserve">, V., Sharpley, C., Dev, J. </w:t>
      </w:r>
      <w:r w:rsidRPr="008E1454">
        <w:rPr>
          <w:rFonts w:ascii="Bell MT" w:hAnsi="Bell MT"/>
          <w:color w:val="000000" w:themeColor="text1"/>
          <w:sz w:val="24"/>
          <w:szCs w:val="24"/>
          <w:u w:val="single"/>
        </w:rPr>
        <w:t>The Association Between Social Responsivity and Depression in High-Functioning Boys with an Autism Spectrum Disorder. Physical Disabilities</w:t>
      </w:r>
      <w:r w:rsidRPr="008E1454">
        <w:rPr>
          <w:rFonts w:ascii="Bell MT" w:hAnsi="Bell MT"/>
          <w:color w:val="000000" w:themeColor="text1"/>
          <w:sz w:val="24"/>
          <w:szCs w:val="24"/>
        </w:rPr>
        <w:t xml:space="preserve"> (2016) 28:317–331</w:t>
      </w:r>
    </w:p>
    <w:p w14:paraId="13C46FB9"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Caron C, Rutter M. </w:t>
      </w:r>
      <w:r w:rsidRPr="008E1454">
        <w:rPr>
          <w:rFonts w:ascii="Bell MT" w:hAnsi="Bell MT"/>
          <w:color w:val="000000" w:themeColor="text1"/>
          <w:sz w:val="24"/>
          <w:szCs w:val="24"/>
          <w:u w:val="single"/>
        </w:rPr>
        <w:t>Comorbidity in child psychopathology: Concepts, issues and research strategies</w:t>
      </w:r>
      <w:r w:rsidRPr="008E1454">
        <w:rPr>
          <w:rFonts w:ascii="Bell MT" w:hAnsi="Bell MT"/>
          <w:color w:val="000000" w:themeColor="text1"/>
          <w:sz w:val="24"/>
          <w:szCs w:val="24"/>
        </w:rPr>
        <w:t>. Journal of Child Psychology and Psychiatry. 1991; 32: 1063–1080</w:t>
      </w:r>
    </w:p>
    <w:p w14:paraId="71FEB783"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Cees, S. &amp; Smit, T., 2018. </w:t>
      </w:r>
      <w:r w:rsidRPr="008E1454">
        <w:rPr>
          <w:rFonts w:ascii="Bell MT" w:hAnsi="Bell MT"/>
          <w:color w:val="000000" w:themeColor="text1"/>
          <w:sz w:val="24"/>
          <w:szCs w:val="24"/>
          <w:u w:val="single"/>
        </w:rPr>
        <w:t>Ensuring Research Integrity and the Ethical Management of Data</w:t>
      </w:r>
      <w:r w:rsidRPr="008E1454">
        <w:rPr>
          <w:rFonts w:ascii="Bell MT" w:hAnsi="Bell MT"/>
          <w:color w:val="000000" w:themeColor="text1"/>
          <w:sz w:val="24"/>
          <w:szCs w:val="24"/>
        </w:rPr>
        <w:t>. Hershey: IGI Global.</w:t>
      </w:r>
    </w:p>
    <w:p w14:paraId="53D31C57"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Craig, J. V. &amp; Smyth, R. L., 2012. </w:t>
      </w:r>
      <w:r w:rsidRPr="008E1454">
        <w:rPr>
          <w:rFonts w:ascii="Bell MT" w:hAnsi="Bell MT"/>
          <w:color w:val="000000" w:themeColor="text1"/>
          <w:sz w:val="24"/>
          <w:szCs w:val="24"/>
          <w:u w:val="single"/>
        </w:rPr>
        <w:t xml:space="preserve">The Evidence-Based Practice Manual for Nurses: with </w:t>
      </w:r>
      <w:proofErr w:type="spellStart"/>
      <w:r w:rsidRPr="008E1454">
        <w:rPr>
          <w:rFonts w:ascii="Bell MT" w:hAnsi="Bell MT"/>
          <w:color w:val="000000" w:themeColor="text1"/>
          <w:sz w:val="24"/>
          <w:szCs w:val="24"/>
          <w:u w:val="single"/>
        </w:rPr>
        <w:t>Pageburst</w:t>
      </w:r>
      <w:proofErr w:type="spellEnd"/>
      <w:r w:rsidRPr="008E1454">
        <w:rPr>
          <w:rFonts w:ascii="Bell MT" w:hAnsi="Bell MT"/>
          <w:color w:val="000000" w:themeColor="text1"/>
          <w:sz w:val="24"/>
          <w:szCs w:val="24"/>
          <w:u w:val="single"/>
        </w:rPr>
        <w:t xml:space="preserve"> online access</w:t>
      </w:r>
      <w:r w:rsidRPr="008E1454">
        <w:rPr>
          <w:rFonts w:ascii="Bell MT" w:hAnsi="Bell MT"/>
          <w:color w:val="000000" w:themeColor="text1"/>
          <w:sz w:val="24"/>
          <w:szCs w:val="24"/>
        </w:rPr>
        <w:t>. London: Elsevier Ltd.</w:t>
      </w:r>
    </w:p>
    <w:p w14:paraId="64F32A44" w14:textId="77777777" w:rsidR="00FA4A4E" w:rsidRPr="008E1454" w:rsidRDefault="00FA4A4E" w:rsidP="008E1454">
      <w:pPr>
        <w:spacing w:line="480" w:lineRule="auto"/>
        <w:rPr>
          <w:rFonts w:ascii="Bell MT" w:hAnsi="Bell MT"/>
          <w:color w:val="000000" w:themeColor="text1"/>
          <w:sz w:val="24"/>
          <w:szCs w:val="24"/>
        </w:rPr>
      </w:pPr>
      <w:proofErr w:type="spellStart"/>
      <w:r w:rsidRPr="008E1454">
        <w:rPr>
          <w:rFonts w:ascii="Bell MT" w:hAnsi="Bell MT"/>
          <w:color w:val="000000" w:themeColor="text1"/>
          <w:sz w:val="24"/>
          <w:szCs w:val="24"/>
        </w:rPr>
        <w:lastRenderedPageBreak/>
        <w:t>Curwin</w:t>
      </w:r>
      <w:proofErr w:type="spellEnd"/>
      <w:r w:rsidRPr="008E1454">
        <w:rPr>
          <w:rFonts w:ascii="Bell MT" w:hAnsi="Bell MT"/>
          <w:color w:val="000000" w:themeColor="text1"/>
          <w:sz w:val="24"/>
          <w:szCs w:val="24"/>
        </w:rPr>
        <w:t>, J. &amp; Slater, R., 2004</w:t>
      </w:r>
      <w:r w:rsidRPr="008E1454">
        <w:rPr>
          <w:rFonts w:ascii="Bell MT" w:hAnsi="Bell MT"/>
          <w:color w:val="000000" w:themeColor="text1"/>
          <w:sz w:val="24"/>
          <w:szCs w:val="24"/>
          <w:u w:val="single"/>
        </w:rPr>
        <w:t>. Quantitative Methods: Short Course. London:</w:t>
      </w:r>
      <w:r w:rsidRPr="008E1454">
        <w:rPr>
          <w:rFonts w:ascii="Bell MT" w:hAnsi="Bell MT"/>
          <w:color w:val="000000" w:themeColor="text1"/>
          <w:sz w:val="24"/>
          <w:szCs w:val="24"/>
        </w:rPr>
        <w:t xml:space="preserve"> Thomson Learning.</w:t>
      </w:r>
    </w:p>
    <w:p w14:paraId="5FA96BC9" w14:textId="77777777" w:rsidR="00FA4A4E" w:rsidRPr="008E1454" w:rsidRDefault="00FA4A4E" w:rsidP="008E1454">
      <w:pPr>
        <w:spacing w:line="480" w:lineRule="auto"/>
        <w:rPr>
          <w:rFonts w:ascii="Bell MT" w:hAnsi="Bell MT"/>
          <w:color w:val="000000" w:themeColor="text1"/>
          <w:sz w:val="24"/>
          <w:szCs w:val="24"/>
        </w:rPr>
      </w:pPr>
      <w:proofErr w:type="spellStart"/>
      <w:r w:rsidRPr="008E1454">
        <w:rPr>
          <w:rFonts w:ascii="Bell MT" w:hAnsi="Bell MT"/>
          <w:color w:val="000000" w:themeColor="text1"/>
          <w:sz w:val="24"/>
          <w:szCs w:val="24"/>
        </w:rPr>
        <w:t>Deudney</w:t>
      </w:r>
      <w:proofErr w:type="spellEnd"/>
      <w:r w:rsidRPr="008E1454">
        <w:rPr>
          <w:rFonts w:ascii="Bell MT" w:hAnsi="Bell MT"/>
          <w:color w:val="000000" w:themeColor="text1"/>
          <w:sz w:val="24"/>
          <w:szCs w:val="24"/>
        </w:rPr>
        <w:t xml:space="preserve">, C. &amp; Shah, A., 2004. </w:t>
      </w:r>
      <w:r w:rsidRPr="008E1454">
        <w:rPr>
          <w:rFonts w:ascii="Bell MT" w:hAnsi="Bell MT"/>
          <w:color w:val="000000" w:themeColor="text1"/>
          <w:sz w:val="24"/>
          <w:szCs w:val="24"/>
          <w:u w:val="single"/>
        </w:rPr>
        <w:t>Mental Health in People with Autism and Asperger Syndrome: A guide for health professionals.</w:t>
      </w:r>
      <w:r w:rsidRPr="008E1454">
        <w:rPr>
          <w:rFonts w:ascii="Bell MT" w:hAnsi="Bell MT"/>
          <w:color w:val="000000" w:themeColor="text1"/>
          <w:sz w:val="24"/>
          <w:szCs w:val="24"/>
        </w:rPr>
        <w:t xml:space="preserve"> London: The National Autistic Society.</w:t>
      </w:r>
    </w:p>
    <w:p w14:paraId="0198EC3E" w14:textId="77777777" w:rsidR="00FA4A4E" w:rsidRPr="008E1454" w:rsidRDefault="00FA4A4E" w:rsidP="008E1454">
      <w:pPr>
        <w:spacing w:line="480" w:lineRule="auto"/>
        <w:rPr>
          <w:rFonts w:ascii="Bell MT" w:hAnsi="Bell MT"/>
          <w:color w:val="000000" w:themeColor="text1"/>
          <w:sz w:val="24"/>
          <w:szCs w:val="24"/>
        </w:rPr>
      </w:pPr>
      <w:proofErr w:type="spellStart"/>
      <w:r w:rsidRPr="008E1454">
        <w:rPr>
          <w:rFonts w:ascii="Bell MT" w:hAnsi="Bell MT"/>
          <w:color w:val="000000" w:themeColor="text1"/>
          <w:sz w:val="24"/>
          <w:szCs w:val="24"/>
        </w:rPr>
        <w:t>Donyai</w:t>
      </w:r>
      <w:proofErr w:type="spellEnd"/>
      <w:r w:rsidRPr="008E1454">
        <w:rPr>
          <w:rFonts w:ascii="Bell MT" w:hAnsi="Bell MT"/>
          <w:color w:val="000000" w:themeColor="text1"/>
          <w:sz w:val="24"/>
          <w:szCs w:val="24"/>
        </w:rPr>
        <w:t xml:space="preserve">, P., Grant, D. &amp; Patel, N., 2017. </w:t>
      </w:r>
      <w:r w:rsidRPr="008E1454">
        <w:rPr>
          <w:rFonts w:ascii="Bell MT" w:hAnsi="Bell MT"/>
          <w:color w:val="000000" w:themeColor="text1"/>
          <w:sz w:val="24"/>
          <w:szCs w:val="24"/>
          <w:u w:val="single"/>
        </w:rPr>
        <w:t>Successful Learning in Pharmacy: Developing Communication and Study Skills</w:t>
      </w:r>
      <w:r w:rsidRPr="008E1454">
        <w:rPr>
          <w:rFonts w:ascii="Bell MT" w:hAnsi="Bell MT"/>
          <w:color w:val="000000" w:themeColor="text1"/>
          <w:sz w:val="24"/>
          <w:szCs w:val="24"/>
        </w:rPr>
        <w:t>. Oxford: Oxford University Press.</w:t>
      </w:r>
    </w:p>
    <w:p w14:paraId="62ABC16A"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Fagan, T. J. &amp; Ax, R. K., 2011. Correctional Mental Health: From Theory to Best Practice. London: SAGE Publications, Ltd.</w:t>
      </w:r>
    </w:p>
    <w:p w14:paraId="7227F6DE"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Francisca J., van </w:t>
      </w:r>
      <w:proofErr w:type="spellStart"/>
      <w:r w:rsidRPr="008E1454">
        <w:rPr>
          <w:rFonts w:ascii="Bell MT" w:hAnsi="Bell MT"/>
          <w:color w:val="000000" w:themeColor="text1"/>
          <w:sz w:val="24"/>
          <w:szCs w:val="24"/>
        </w:rPr>
        <w:t>Steensel</w:t>
      </w:r>
      <w:proofErr w:type="spellEnd"/>
      <w:r w:rsidRPr="008E1454">
        <w:rPr>
          <w:rFonts w:ascii="Bell MT" w:hAnsi="Bell MT"/>
          <w:color w:val="000000" w:themeColor="text1"/>
          <w:sz w:val="24"/>
          <w:szCs w:val="24"/>
        </w:rPr>
        <w:t xml:space="preserve">, A., Emma, J., </w:t>
      </w:r>
      <w:proofErr w:type="spellStart"/>
      <w:r w:rsidRPr="008E1454">
        <w:rPr>
          <w:rFonts w:ascii="Bell MT" w:hAnsi="Bell MT"/>
          <w:color w:val="000000" w:themeColor="text1"/>
          <w:sz w:val="24"/>
          <w:szCs w:val="24"/>
        </w:rPr>
        <w:t>Heeman</w:t>
      </w:r>
      <w:proofErr w:type="spellEnd"/>
      <w:r w:rsidRPr="008E1454">
        <w:rPr>
          <w:rFonts w:ascii="Bell MT" w:hAnsi="Bell MT"/>
          <w:color w:val="000000" w:themeColor="text1"/>
          <w:sz w:val="24"/>
          <w:szCs w:val="24"/>
        </w:rPr>
        <w:t xml:space="preserve">, J. </w:t>
      </w:r>
      <w:r w:rsidRPr="008E1454">
        <w:rPr>
          <w:rFonts w:ascii="Bell MT" w:hAnsi="Bell MT"/>
          <w:color w:val="000000" w:themeColor="text1"/>
          <w:sz w:val="24"/>
          <w:szCs w:val="24"/>
          <w:u w:val="single"/>
        </w:rPr>
        <w:t>Anxiety Levels in Children with Autism Spectrum Disorder: A Meta-Analysis Child Family Study</w:t>
      </w:r>
      <w:r w:rsidRPr="008E1454">
        <w:rPr>
          <w:rFonts w:ascii="Bell MT" w:hAnsi="Bell MT"/>
          <w:color w:val="000000" w:themeColor="text1"/>
          <w:sz w:val="24"/>
          <w:szCs w:val="24"/>
        </w:rPr>
        <w:t xml:space="preserve"> (2017) 26:1753–1767</w:t>
      </w:r>
    </w:p>
    <w:p w14:paraId="02369585" w14:textId="182CB0FA" w:rsidR="00FA4A4E" w:rsidRPr="008E1454" w:rsidRDefault="00FA4A4E" w:rsidP="008E1454">
      <w:pPr>
        <w:spacing w:line="480" w:lineRule="auto"/>
        <w:rPr>
          <w:rFonts w:ascii="Bell MT" w:hAnsi="Bell MT"/>
          <w:color w:val="000000" w:themeColor="text1"/>
          <w:sz w:val="24"/>
          <w:szCs w:val="24"/>
        </w:rPr>
      </w:pPr>
      <w:proofErr w:type="spellStart"/>
      <w:r w:rsidRPr="008E1454">
        <w:rPr>
          <w:rFonts w:ascii="Bell MT" w:hAnsi="Bell MT"/>
          <w:color w:val="000000" w:themeColor="text1"/>
          <w:sz w:val="24"/>
          <w:szCs w:val="24"/>
        </w:rPr>
        <w:t>Gravetter</w:t>
      </w:r>
      <w:proofErr w:type="spellEnd"/>
      <w:r w:rsidRPr="008E1454">
        <w:rPr>
          <w:rFonts w:ascii="Bell MT" w:hAnsi="Bell MT"/>
          <w:color w:val="000000" w:themeColor="text1"/>
          <w:sz w:val="24"/>
          <w:szCs w:val="24"/>
        </w:rPr>
        <w:t xml:space="preserve">, F. &amp; </w:t>
      </w:r>
      <w:proofErr w:type="spellStart"/>
      <w:r w:rsidRPr="008E1454">
        <w:rPr>
          <w:rFonts w:ascii="Bell MT" w:hAnsi="Bell MT"/>
          <w:color w:val="000000" w:themeColor="text1"/>
          <w:sz w:val="24"/>
          <w:szCs w:val="24"/>
        </w:rPr>
        <w:t>Wallnau</w:t>
      </w:r>
      <w:proofErr w:type="spellEnd"/>
      <w:r w:rsidRPr="008E1454">
        <w:rPr>
          <w:rFonts w:ascii="Bell MT" w:hAnsi="Bell MT"/>
          <w:color w:val="000000" w:themeColor="text1"/>
          <w:sz w:val="24"/>
          <w:szCs w:val="24"/>
        </w:rPr>
        <w:t xml:space="preserve">, L., 2008. </w:t>
      </w:r>
      <w:r w:rsidRPr="008E1454">
        <w:rPr>
          <w:rFonts w:ascii="Bell MT" w:hAnsi="Bell MT"/>
          <w:color w:val="000000" w:themeColor="text1"/>
          <w:sz w:val="24"/>
          <w:szCs w:val="24"/>
          <w:u w:val="single"/>
        </w:rPr>
        <w:t xml:space="preserve">Essentials of Statistics for the </w:t>
      </w:r>
      <w:proofErr w:type="spellStart"/>
      <w:r w:rsidR="001059A0" w:rsidRPr="008E1454">
        <w:rPr>
          <w:rFonts w:ascii="Bell MT" w:hAnsi="Bell MT"/>
          <w:color w:val="000000" w:themeColor="text1"/>
          <w:sz w:val="24"/>
          <w:szCs w:val="24"/>
          <w:u w:val="single"/>
        </w:rPr>
        <w:t>Behaviuoral</w:t>
      </w:r>
      <w:proofErr w:type="spellEnd"/>
      <w:r w:rsidRPr="008E1454">
        <w:rPr>
          <w:rFonts w:ascii="Bell MT" w:hAnsi="Bell MT"/>
          <w:color w:val="000000" w:themeColor="text1"/>
          <w:sz w:val="24"/>
          <w:szCs w:val="24"/>
          <w:u w:val="single"/>
        </w:rPr>
        <w:t xml:space="preserve"> Science</w:t>
      </w:r>
      <w:r w:rsidRPr="008E1454">
        <w:rPr>
          <w:rFonts w:ascii="Bell MT" w:hAnsi="Bell MT"/>
          <w:color w:val="000000" w:themeColor="text1"/>
          <w:sz w:val="24"/>
          <w:szCs w:val="24"/>
        </w:rPr>
        <w:t>. Belmont: Thomson Learning, Inc.</w:t>
      </w:r>
    </w:p>
    <w:p w14:paraId="0312ADF7" w14:textId="77777777" w:rsidR="00FA4A4E" w:rsidRPr="008E1454" w:rsidRDefault="00FA4A4E" w:rsidP="008E1454">
      <w:pPr>
        <w:spacing w:line="480" w:lineRule="auto"/>
        <w:rPr>
          <w:rFonts w:ascii="Bell MT" w:hAnsi="Bell MT"/>
          <w:color w:val="000000" w:themeColor="text1"/>
          <w:sz w:val="24"/>
          <w:szCs w:val="24"/>
        </w:rPr>
      </w:pPr>
      <w:proofErr w:type="spellStart"/>
      <w:r w:rsidRPr="008E1454">
        <w:rPr>
          <w:rFonts w:ascii="Bell MT" w:hAnsi="Bell MT"/>
          <w:color w:val="000000" w:themeColor="text1"/>
          <w:sz w:val="24"/>
          <w:szCs w:val="24"/>
        </w:rPr>
        <w:t>Huline</w:t>
      </w:r>
      <w:proofErr w:type="spellEnd"/>
      <w:r w:rsidRPr="008E1454">
        <w:rPr>
          <w:rFonts w:ascii="Bell MT" w:hAnsi="Bell MT"/>
          <w:color w:val="000000" w:themeColor="text1"/>
          <w:sz w:val="24"/>
          <w:szCs w:val="24"/>
        </w:rPr>
        <w:t xml:space="preserve">-Dickens, S., 2014. </w:t>
      </w:r>
      <w:r w:rsidRPr="008E1454">
        <w:rPr>
          <w:rFonts w:ascii="Bell MT" w:hAnsi="Bell MT"/>
          <w:color w:val="000000" w:themeColor="text1"/>
          <w:sz w:val="24"/>
          <w:szCs w:val="24"/>
          <w:u w:val="single"/>
        </w:rPr>
        <w:t>Clinical Topics in Child and Adolescent Psychiatry</w:t>
      </w:r>
      <w:r w:rsidRPr="008E1454">
        <w:rPr>
          <w:rFonts w:ascii="Bell MT" w:hAnsi="Bell MT"/>
          <w:color w:val="000000" w:themeColor="text1"/>
          <w:sz w:val="24"/>
          <w:szCs w:val="24"/>
        </w:rPr>
        <w:t xml:space="preserve">. London: </w:t>
      </w:r>
      <w:proofErr w:type="spellStart"/>
      <w:r w:rsidRPr="008E1454">
        <w:rPr>
          <w:rFonts w:ascii="Bell MT" w:hAnsi="Bell MT"/>
          <w:color w:val="000000" w:themeColor="text1"/>
          <w:sz w:val="24"/>
          <w:szCs w:val="24"/>
        </w:rPr>
        <w:t>RCPsych</w:t>
      </w:r>
      <w:proofErr w:type="spellEnd"/>
      <w:r w:rsidRPr="008E1454">
        <w:rPr>
          <w:rFonts w:ascii="Bell MT" w:hAnsi="Bell MT"/>
          <w:color w:val="000000" w:themeColor="text1"/>
          <w:sz w:val="24"/>
          <w:szCs w:val="24"/>
        </w:rPr>
        <w:t xml:space="preserve"> Publications.</w:t>
      </w:r>
    </w:p>
    <w:p w14:paraId="7EA89B5F" w14:textId="77777777" w:rsidR="00FA4A4E" w:rsidRPr="008E1454" w:rsidRDefault="00FA4A4E" w:rsidP="008E1454">
      <w:pPr>
        <w:spacing w:line="480" w:lineRule="auto"/>
        <w:rPr>
          <w:rFonts w:ascii="Bell MT" w:hAnsi="Bell MT"/>
          <w:color w:val="000000" w:themeColor="text1"/>
          <w:sz w:val="24"/>
          <w:szCs w:val="24"/>
        </w:rPr>
      </w:pPr>
      <w:proofErr w:type="spellStart"/>
      <w:r w:rsidRPr="008E1454">
        <w:rPr>
          <w:rFonts w:ascii="Bell MT" w:hAnsi="Bell MT"/>
          <w:color w:val="000000" w:themeColor="text1"/>
          <w:sz w:val="24"/>
          <w:szCs w:val="24"/>
        </w:rPr>
        <w:t>Kaat</w:t>
      </w:r>
      <w:proofErr w:type="spellEnd"/>
      <w:r w:rsidRPr="008E1454">
        <w:rPr>
          <w:rFonts w:ascii="Bell MT" w:hAnsi="Bell MT"/>
          <w:color w:val="000000" w:themeColor="text1"/>
          <w:sz w:val="24"/>
          <w:szCs w:val="24"/>
        </w:rPr>
        <w:t xml:space="preserve"> AJ, </w:t>
      </w:r>
      <w:proofErr w:type="spellStart"/>
      <w:r w:rsidRPr="008E1454">
        <w:rPr>
          <w:rFonts w:ascii="Bell MT" w:hAnsi="Bell MT"/>
          <w:color w:val="000000" w:themeColor="text1"/>
          <w:sz w:val="24"/>
          <w:szCs w:val="24"/>
        </w:rPr>
        <w:t>Gadow</w:t>
      </w:r>
      <w:proofErr w:type="spellEnd"/>
      <w:r w:rsidRPr="008E1454">
        <w:rPr>
          <w:rFonts w:ascii="Bell MT" w:hAnsi="Bell MT"/>
          <w:color w:val="000000" w:themeColor="text1"/>
          <w:sz w:val="24"/>
          <w:szCs w:val="24"/>
        </w:rPr>
        <w:t xml:space="preserve"> KD, </w:t>
      </w:r>
      <w:proofErr w:type="spellStart"/>
      <w:r w:rsidRPr="008E1454">
        <w:rPr>
          <w:rFonts w:ascii="Bell MT" w:hAnsi="Bell MT"/>
          <w:color w:val="000000" w:themeColor="text1"/>
          <w:sz w:val="24"/>
          <w:szCs w:val="24"/>
        </w:rPr>
        <w:t>Lecavalier</w:t>
      </w:r>
      <w:proofErr w:type="spellEnd"/>
      <w:r w:rsidRPr="008E1454">
        <w:rPr>
          <w:rFonts w:ascii="Bell MT" w:hAnsi="Bell MT"/>
          <w:color w:val="000000" w:themeColor="text1"/>
          <w:sz w:val="24"/>
          <w:szCs w:val="24"/>
        </w:rPr>
        <w:t xml:space="preserve"> L (2013) </w:t>
      </w:r>
      <w:r w:rsidRPr="008E1454">
        <w:rPr>
          <w:rFonts w:ascii="Bell MT" w:hAnsi="Bell MT"/>
          <w:color w:val="000000" w:themeColor="text1"/>
          <w:sz w:val="24"/>
          <w:szCs w:val="24"/>
          <w:u w:val="single"/>
        </w:rPr>
        <w:t>Psychiatric symptoms impairment in children with autism spectrum disorders</w:t>
      </w:r>
      <w:r w:rsidRPr="008E1454">
        <w:rPr>
          <w:rFonts w:ascii="Bell MT" w:hAnsi="Bell MT"/>
          <w:color w:val="000000" w:themeColor="text1"/>
          <w:sz w:val="24"/>
          <w:szCs w:val="24"/>
        </w:rPr>
        <w:t xml:space="preserve">. J </w:t>
      </w:r>
      <w:proofErr w:type="spellStart"/>
      <w:r w:rsidRPr="008E1454">
        <w:rPr>
          <w:rFonts w:ascii="Bell MT" w:hAnsi="Bell MT"/>
          <w:color w:val="000000" w:themeColor="text1"/>
          <w:sz w:val="24"/>
          <w:szCs w:val="24"/>
        </w:rPr>
        <w:t>Abnorm</w:t>
      </w:r>
      <w:proofErr w:type="spellEnd"/>
      <w:r w:rsidRPr="008E1454">
        <w:rPr>
          <w:rFonts w:ascii="Bell MT" w:hAnsi="Bell MT"/>
          <w:color w:val="000000" w:themeColor="text1"/>
          <w:sz w:val="24"/>
          <w:szCs w:val="24"/>
        </w:rPr>
        <w:t xml:space="preserve"> Child Psychol 41(6): 959–69</w:t>
      </w:r>
    </w:p>
    <w:p w14:paraId="255D76A8"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Levine, G. &amp; Parkinson, S., 1994. </w:t>
      </w:r>
      <w:r w:rsidRPr="008E1454">
        <w:rPr>
          <w:rFonts w:ascii="Bell MT" w:hAnsi="Bell MT"/>
          <w:color w:val="000000" w:themeColor="text1"/>
          <w:sz w:val="24"/>
          <w:szCs w:val="24"/>
          <w:u w:val="single"/>
        </w:rPr>
        <w:t>Experimental Methods in Psychology</w:t>
      </w:r>
      <w:r w:rsidRPr="008E1454">
        <w:rPr>
          <w:rFonts w:ascii="Bell MT" w:hAnsi="Bell MT"/>
          <w:color w:val="000000" w:themeColor="text1"/>
          <w:sz w:val="24"/>
          <w:szCs w:val="24"/>
        </w:rPr>
        <w:t>. Hove: Psychology Press.</w:t>
      </w:r>
    </w:p>
    <w:p w14:paraId="0D9DD3A4"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Malcolm-Smith, S., </w:t>
      </w:r>
      <w:proofErr w:type="spellStart"/>
      <w:r w:rsidRPr="008E1454">
        <w:rPr>
          <w:rFonts w:ascii="Bell MT" w:hAnsi="Bell MT"/>
          <w:color w:val="000000" w:themeColor="text1"/>
          <w:sz w:val="24"/>
          <w:szCs w:val="24"/>
        </w:rPr>
        <w:t>Hoogenhout</w:t>
      </w:r>
      <w:proofErr w:type="spellEnd"/>
      <w:r w:rsidRPr="008E1454">
        <w:rPr>
          <w:rFonts w:ascii="Bell MT" w:hAnsi="Bell MT"/>
          <w:color w:val="000000" w:themeColor="text1"/>
          <w:sz w:val="24"/>
          <w:szCs w:val="24"/>
        </w:rPr>
        <w:t xml:space="preserve">, M., Ing, N., Thomas, K., &amp; de Vries, P. (2013). </w:t>
      </w:r>
      <w:r w:rsidRPr="008E1454">
        <w:rPr>
          <w:rFonts w:ascii="Bell MT" w:hAnsi="Bell MT"/>
          <w:color w:val="000000" w:themeColor="text1"/>
          <w:sz w:val="24"/>
          <w:szCs w:val="24"/>
          <w:u w:val="single"/>
        </w:rPr>
        <w:t>Autism spectrum disorder: Global challenges and local opportunities</w:t>
      </w:r>
      <w:r w:rsidRPr="008E1454">
        <w:rPr>
          <w:rFonts w:ascii="Bell MT" w:hAnsi="Bell MT"/>
          <w:color w:val="000000" w:themeColor="text1"/>
          <w:sz w:val="24"/>
          <w:szCs w:val="24"/>
        </w:rPr>
        <w:t>. Journal of Child and Adolescent Mental Health, 25(1), 1-5.</w:t>
      </w:r>
    </w:p>
    <w:p w14:paraId="7ACCEE6D"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lastRenderedPageBreak/>
        <w:t xml:space="preserve">Matson, J., &amp; </w:t>
      </w:r>
      <w:proofErr w:type="spellStart"/>
      <w:r w:rsidRPr="008E1454">
        <w:rPr>
          <w:rFonts w:ascii="Bell MT" w:hAnsi="Bell MT"/>
          <w:color w:val="000000" w:themeColor="text1"/>
          <w:sz w:val="24"/>
          <w:szCs w:val="24"/>
        </w:rPr>
        <w:t>Nebel-Schwalm</w:t>
      </w:r>
      <w:proofErr w:type="spellEnd"/>
      <w:r w:rsidRPr="008E1454">
        <w:rPr>
          <w:rFonts w:ascii="Bell MT" w:hAnsi="Bell MT"/>
          <w:color w:val="000000" w:themeColor="text1"/>
          <w:sz w:val="24"/>
          <w:szCs w:val="24"/>
        </w:rPr>
        <w:t xml:space="preserve">, M. (2007). </w:t>
      </w:r>
      <w:r w:rsidRPr="008E1454">
        <w:rPr>
          <w:rFonts w:ascii="Bell MT" w:hAnsi="Bell MT"/>
          <w:color w:val="000000" w:themeColor="text1"/>
          <w:sz w:val="24"/>
          <w:szCs w:val="24"/>
          <w:u w:val="single"/>
        </w:rPr>
        <w:t>Comorbid psychopathology with autism spectrum disorder in children: an overview</w:t>
      </w:r>
      <w:r w:rsidRPr="008E1454">
        <w:rPr>
          <w:rFonts w:ascii="Bell MT" w:hAnsi="Bell MT"/>
          <w:color w:val="000000" w:themeColor="text1"/>
          <w:sz w:val="24"/>
          <w:szCs w:val="24"/>
        </w:rPr>
        <w:t>. Research in Developmental Disabilities, 28, 341–352.</w:t>
      </w:r>
    </w:p>
    <w:p w14:paraId="22E3C01D"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Matson, J. L., &amp; </w:t>
      </w:r>
      <w:proofErr w:type="spellStart"/>
      <w:r w:rsidRPr="008E1454">
        <w:rPr>
          <w:rFonts w:ascii="Bell MT" w:hAnsi="Bell MT"/>
          <w:color w:val="000000" w:themeColor="text1"/>
          <w:sz w:val="24"/>
          <w:szCs w:val="24"/>
        </w:rPr>
        <w:t>Minshawi</w:t>
      </w:r>
      <w:proofErr w:type="spellEnd"/>
      <w:r w:rsidRPr="008E1454">
        <w:rPr>
          <w:rFonts w:ascii="Bell MT" w:hAnsi="Bell MT"/>
          <w:color w:val="000000" w:themeColor="text1"/>
          <w:sz w:val="24"/>
          <w:szCs w:val="24"/>
        </w:rPr>
        <w:t xml:space="preserve">, N. F. (2007). </w:t>
      </w:r>
      <w:r w:rsidRPr="008E1454">
        <w:rPr>
          <w:rFonts w:ascii="Bell MT" w:hAnsi="Bell MT"/>
          <w:color w:val="000000" w:themeColor="text1"/>
          <w:sz w:val="24"/>
          <w:szCs w:val="24"/>
          <w:u w:val="single"/>
        </w:rPr>
        <w:t xml:space="preserve">Functional assessment of challenging </w:t>
      </w:r>
      <w:proofErr w:type="spellStart"/>
      <w:r w:rsidRPr="008E1454">
        <w:rPr>
          <w:rFonts w:ascii="Bell MT" w:hAnsi="Bell MT"/>
          <w:color w:val="000000" w:themeColor="text1"/>
          <w:sz w:val="24"/>
          <w:szCs w:val="24"/>
          <w:u w:val="single"/>
        </w:rPr>
        <w:t>behaviour</w:t>
      </w:r>
      <w:proofErr w:type="spellEnd"/>
      <w:r w:rsidRPr="008E1454">
        <w:rPr>
          <w:rFonts w:ascii="Bell MT" w:hAnsi="Bell MT"/>
          <w:color w:val="000000" w:themeColor="text1"/>
          <w:sz w:val="24"/>
          <w:szCs w:val="24"/>
          <w:u w:val="single"/>
        </w:rPr>
        <w:t>:</w:t>
      </w:r>
      <w:r w:rsidRPr="008E1454">
        <w:rPr>
          <w:rFonts w:ascii="Bell MT" w:hAnsi="Bell MT"/>
          <w:color w:val="000000" w:themeColor="text1"/>
          <w:sz w:val="24"/>
          <w:szCs w:val="24"/>
        </w:rPr>
        <w:t xml:space="preserve"> Toward a strategy for applied settings. Research in Developmental Disabilities, 28, 353–361.</w:t>
      </w:r>
    </w:p>
    <w:p w14:paraId="164DDD66"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McCauley, R. J., 2008. </w:t>
      </w:r>
      <w:r w:rsidRPr="008E1454">
        <w:rPr>
          <w:rFonts w:ascii="Bell MT" w:hAnsi="Bell MT"/>
          <w:color w:val="000000" w:themeColor="text1"/>
          <w:sz w:val="24"/>
          <w:szCs w:val="24"/>
          <w:u w:val="single"/>
        </w:rPr>
        <w:t>Assessment of Language Disorders in Children</w:t>
      </w:r>
      <w:r w:rsidRPr="008E1454">
        <w:rPr>
          <w:rFonts w:ascii="Bell MT" w:hAnsi="Bell MT"/>
          <w:color w:val="000000" w:themeColor="text1"/>
          <w:sz w:val="24"/>
          <w:szCs w:val="24"/>
        </w:rPr>
        <w:t>. Hove: Psychology Press.</w:t>
      </w:r>
    </w:p>
    <w:p w14:paraId="443342C2"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O'Neill, J. L., 1999. </w:t>
      </w:r>
      <w:r w:rsidRPr="008E1454">
        <w:rPr>
          <w:rFonts w:ascii="Bell MT" w:hAnsi="Bell MT"/>
          <w:color w:val="000000" w:themeColor="text1"/>
          <w:sz w:val="24"/>
          <w:szCs w:val="24"/>
          <w:u w:val="single"/>
        </w:rPr>
        <w:t>Through the Eyes of Aliens: A Book about Autistic People</w:t>
      </w:r>
      <w:r w:rsidRPr="008E1454">
        <w:rPr>
          <w:rFonts w:ascii="Bell MT" w:hAnsi="Bell MT"/>
          <w:color w:val="000000" w:themeColor="text1"/>
          <w:sz w:val="24"/>
          <w:szCs w:val="24"/>
        </w:rPr>
        <w:t xml:space="preserve">. London: Jessica </w:t>
      </w:r>
      <w:proofErr w:type="spellStart"/>
      <w:r w:rsidRPr="008E1454">
        <w:rPr>
          <w:rFonts w:ascii="Bell MT" w:hAnsi="Bell MT"/>
          <w:color w:val="000000" w:themeColor="text1"/>
          <w:sz w:val="24"/>
          <w:szCs w:val="24"/>
        </w:rPr>
        <w:t>Kingley</w:t>
      </w:r>
      <w:proofErr w:type="spellEnd"/>
      <w:r w:rsidRPr="008E1454">
        <w:rPr>
          <w:rFonts w:ascii="Bell MT" w:hAnsi="Bell MT"/>
          <w:color w:val="000000" w:themeColor="text1"/>
          <w:sz w:val="24"/>
          <w:szCs w:val="24"/>
        </w:rPr>
        <w:t xml:space="preserve"> Publishers Ltd.</w:t>
      </w:r>
    </w:p>
    <w:p w14:paraId="7D94E8DC"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Parsons, R. D. &amp; Dickinson, K. L., 2017. </w:t>
      </w:r>
      <w:r w:rsidRPr="008E1454">
        <w:rPr>
          <w:rFonts w:ascii="Bell MT" w:hAnsi="Bell MT"/>
          <w:color w:val="000000" w:themeColor="text1"/>
          <w:sz w:val="24"/>
          <w:szCs w:val="24"/>
          <w:u w:val="single"/>
        </w:rPr>
        <w:t>Ethical Practice in the Human Services: From Knowing to Being.</w:t>
      </w:r>
      <w:r w:rsidRPr="008E1454">
        <w:rPr>
          <w:rFonts w:ascii="Bell MT" w:hAnsi="Bell MT"/>
          <w:color w:val="000000" w:themeColor="text1"/>
          <w:sz w:val="24"/>
          <w:szCs w:val="24"/>
        </w:rPr>
        <w:t xml:space="preserve"> London: SAGE Publications, Ltd.</w:t>
      </w:r>
    </w:p>
    <w:p w14:paraId="54B63EB3"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Paxton, K. &amp; </w:t>
      </w:r>
      <w:proofErr w:type="spellStart"/>
      <w:r w:rsidRPr="008E1454">
        <w:rPr>
          <w:rFonts w:ascii="Bell MT" w:hAnsi="Bell MT"/>
          <w:color w:val="000000" w:themeColor="text1"/>
          <w:sz w:val="24"/>
          <w:szCs w:val="24"/>
        </w:rPr>
        <w:t>Estay</w:t>
      </w:r>
      <w:proofErr w:type="spellEnd"/>
      <w:r w:rsidRPr="008E1454">
        <w:rPr>
          <w:rFonts w:ascii="Bell MT" w:hAnsi="Bell MT"/>
          <w:color w:val="000000" w:themeColor="text1"/>
          <w:sz w:val="24"/>
          <w:szCs w:val="24"/>
        </w:rPr>
        <w:t>, I., 2007</w:t>
      </w:r>
      <w:r w:rsidRPr="008E1454">
        <w:rPr>
          <w:rFonts w:ascii="Bell MT" w:hAnsi="Bell MT"/>
          <w:color w:val="000000" w:themeColor="text1"/>
          <w:sz w:val="24"/>
          <w:szCs w:val="24"/>
          <w:u w:val="single"/>
        </w:rPr>
        <w:t>. Counselling People on the Autism Spectrum: A Practical Manual. London:</w:t>
      </w:r>
      <w:r w:rsidRPr="008E1454">
        <w:rPr>
          <w:rFonts w:ascii="Bell MT" w:hAnsi="Bell MT"/>
          <w:color w:val="000000" w:themeColor="text1"/>
          <w:sz w:val="24"/>
          <w:szCs w:val="24"/>
        </w:rPr>
        <w:t xml:space="preserve"> Jessica Kingsley Publishers</w:t>
      </w:r>
    </w:p>
    <w:p w14:paraId="6E903FC0"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Reina S. Factor., Sarah, R., Julie, Thomas, H., </w:t>
      </w:r>
      <w:proofErr w:type="spellStart"/>
      <w:r w:rsidRPr="008E1454">
        <w:rPr>
          <w:rFonts w:ascii="Bell MT" w:hAnsi="Bell MT"/>
          <w:color w:val="000000" w:themeColor="text1"/>
          <w:sz w:val="24"/>
          <w:szCs w:val="24"/>
        </w:rPr>
        <w:t>Ollendick</w:t>
      </w:r>
      <w:proofErr w:type="spellEnd"/>
      <w:r w:rsidRPr="008E1454">
        <w:rPr>
          <w:rFonts w:ascii="Bell MT" w:hAnsi="Bell MT"/>
          <w:color w:val="000000" w:themeColor="text1"/>
          <w:sz w:val="24"/>
          <w:szCs w:val="24"/>
        </w:rPr>
        <w:t xml:space="preserve">., Scarpa, A. </w:t>
      </w:r>
      <w:r w:rsidRPr="008E1454">
        <w:rPr>
          <w:rFonts w:ascii="Bell MT" w:hAnsi="Bell MT"/>
          <w:color w:val="000000" w:themeColor="text1"/>
          <w:sz w:val="24"/>
          <w:szCs w:val="24"/>
          <w:u w:val="single"/>
        </w:rPr>
        <w:t>Does the Presence of Anxiety and ADHD Symptoms Add to Social Impairment in Children with Autism Spectrum Disorder?</w:t>
      </w:r>
      <w:r w:rsidRPr="008E1454">
        <w:rPr>
          <w:rFonts w:ascii="Bell MT" w:hAnsi="Bell MT"/>
          <w:color w:val="000000" w:themeColor="text1"/>
          <w:sz w:val="24"/>
          <w:szCs w:val="24"/>
        </w:rPr>
        <w:t xml:space="preserve"> Autism Development Disorder (2017) 47:1122–1134</w:t>
      </w:r>
    </w:p>
    <w:p w14:paraId="2EEAAA14" w14:textId="3600377D"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 </w:t>
      </w:r>
      <w:proofErr w:type="spellStart"/>
      <w:r w:rsidRPr="008E1454">
        <w:rPr>
          <w:rFonts w:ascii="Bell MT" w:hAnsi="Bell MT"/>
          <w:color w:val="000000" w:themeColor="text1"/>
          <w:sz w:val="24"/>
          <w:szCs w:val="24"/>
        </w:rPr>
        <w:t>Sanua</w:t>
      </w:r>
      <w:proofErr w:type="spellEnd"/>
      <w:r w:rsidRPr="008E1454">
        <w:rPr>
          <w:rFonts w:ascii="Bell MT" w:hAnsi="Bell MT"/>
          <w:color w:val="000000" w:themeColor="text1"/>
          <w:sz w:val="24"/>
          <w:szCs w:val="24"/>
        </w:rPr>
        <w:t xml:space="preserve"> VD. </w:t>
      </w:r>
      <w:r w:rsidRPr="008E1454">
        <w:rPr>
          <w:rFonts w:ascii="Bell MT" w:hAnsi="Bell MT"/>
          <w:color w:val="000000" w:themeColor="text1"/>
          <w:sz w:val="24"/>
          <w:szCs w:val="24"/>
          <w:u w:val="single"/>
        </w:rPr>
        <w:t>Is infantile autism a universal phenomenon? An open question.</w:t>
      </w:r>
      <w:r w:rsidRPr="008E1454">
        <w:rPr>
          <w:rFonts w:ascii="Bell MT" w:hAnsi="Bell MT"/>
          <w:color w:val="000000" w:themeColor="text1"/>
          <w:sz w:val="24"/>
          <w:szCs w:val="24"/>
        </w:rPr>
        <w:t xml:space="preserve"> International Journal of Social Psychiatry. 1984;30 (3):163–177.</w:t>
      </w:r>
    </w:p>
    <w:p w14:paraId="7B8B8885"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Sprague, J., 2005. </w:t>
      </w:r>
      <w:r w:rsidRPr="008E1454">
        <w:rPr>
          <w:rFonts w:ascii="Bell MT" w:hAnsi="Bell MT"/>
          <w:color w:val="000000" w:themeColor="text1"/>
          <w:sz w:val="24"/>
          <w:szCs w:val="24"/>
          <w:u w:val="single"/>
        </w:rPr>
        <w:t>Feminist Methodologies for Critical Researchers: Bridging Difference.</w:t>
      </w:r>
      <w:r w:rsidRPr="008E1454">
        <w:rPr>
          <w:rFonts w:ascii="Bell MT" w:hAnsi="Bell MT"/>
          <w:color w:val="000000" w:themeColor="text1"/>
          <w:sz w:val="24"/>
          <w:szCs w:val="24"/>
        </w:rPr>
        <w:t xml:space="preserve"> Oxford: </w:t>
      </w:r>
      <w:proofErr w:type="spellStart"/>
      <w:r w:rsidRPr="008E1454">
        <w:rPr>
          <w:rFonts w:ascii="Bell MT" w:hAnsi="Bell MT"/>
          <w:color w:val="000000" w:themeColor="text1"/>
          <w:sz w:val="24"/>
          <w:szCs w:val="24"/>
        </w:rPr>
        <w:t>AltaMira</w:t>
      </w:r>
      <w:proofErr w:type="spellEnd"/>
      <w:r w:rsidRPr="008E1454">
        <w:rPr>
          <w:rFonts w:ascii="Bell MT" w:hAnsi="Bell MT"/>
          <w:color w:val="000000" w:themeColor="text1"/>
          <w:sz w:val="24"/>
          <w:szCs w:val="24"/>
        </w:rPr>
        <w:t xml:space="preserve"> Press.</w:t>
      </w:r>
    </w:p>
    <w:p w14:paraId="33014C8E"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Sun, A.-P., 2009. </w:t>
      </w:r>
      <w:r w:rsidRPr="008E1454">
        <w:rPr>
          <w:rFonts w:ascii="Bell MT" w:hAnsi="Bell MT"/>
          <w:color w:val="000000" w:themeColor="text1"/>
          <w:sz w:val="24"/>
          <w:szCs w:val="24"/>
          <w:u w:val="single"/>
        </w:rPr>
        <w:t>Helping Substance-Abusing Women of Vulnerable Populations</w:t>
      </w:r>
      <w:r w:rsidRPr="008E1454">
        <w:rPr>
          <w:rFonts w:ascii="Bell MT" w:hAnsi="Bell MT"/>
          <w:color w:val="000000" w:themeColor="text1"/>
          <w:sz w:val="24"/>
          <w:szCs w:val="24"/>
        </w:rPr>
        <w:t>. Chichester: Colombia University Press.</w:t>
      </w:r>
    </w:p>
    <w:p w14:paraId="53E2AF56"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lastRenderedPageBreak/>
        <w:t xml:space="preserve">Stewart, E., </w:t>
      </w:r>
      <w:proofErr w:type="spellStart"/>
      <w:r w:rsidRPr="008E1454">
        <w:rPr>
          <w:rFonts w:ascii="Bell MT" w:hAnsi="Bell MT"/>
          <w:color w:val="000000" w:themeColor="text1"/>
          <w:sz w:val="24"/>
          <w:szCs w:val="24"/>
        </w:rPr>
        <w:t>Cancilliere</w:t>
      </w:r>
      <w:proofErr w:type="spellEnd"/>
      <w:r w:rsidRPr="008E1454">
        <w:rPr>
          <w:rFonts w:ascii="Bell MT" w:hAnsi="Bell MT"/>
          <w:color w:val="000000" w:themeColor="text1"/>
          <w:sz w:val="24"/>
          <w:szCs w:val="24"/>
        </w:rPr>
        <w:t xml:space="preserve">, M., Freeman, J., </w:t>
      </w:r>
      <w:proofErr w:type="spellStart"/>
      <w:r w:rsidRPr="008E1454">
        <w:rPr>
          <w:rFonts w:ascii="Bell MT" w:hAnsi="Bell MT"/>
          <w:color w:val="000000" w:themeColor="text1"/>
          <w:sz w:val="24"/>
          <w:szCs w:val="24"/>
        </w:rPr>
        <w:t>Wellen</w:t>
      </w:r>
      <w:proofErr w:type="spellEnd"/>
      <w:r w:rsidRPr="008E1454">
        <w:rPr>
          <w:rFonts w:ascii="Bell MT" w:hAnsi="Bell MT"/>
          <w:color w:val="000000" w:themeColor="text1"/>
          <w:sz w:val="24"/>
          <w:szCs w:val="24"/>
        </w:rPr>
        <w:t xml:space="preserve">, B., Garcia, A., </w:t>
      </w:r>
      <w:proofErr w:type="spellStart"/>
      <w:r w:rsidRPr="008E1454">
        <w:rPr>
          <w:rFonts w:ascii="Bell MT" w:hAnsi="Bell MT"/>
          <w:color w:val="000000" w:themeColor="text1"/>
          <w:sz w:val="24"/>
          <w:szCs w:val="24"/>
        </w:rPr>
        <w:t>Sapyta</w:t>
      </w:r>
      <w:proofErr w:type="spellEnd"/>
      <w:r w:rsidRPr="008E1454">
        <w:rPr>
          <w:rFonts w:ascii="Bell MT" w:hAnsi="Bell MT"/>
          <w:color w:val="000000" w:themeColor="text1"/>
          <w:sz w:val="24"/>
          <w:szCs w:val="24"/>
        </w:rPr>
        <w:t xml:space="preserve">, J., Franklin, M. </w:t>
      </w:r>
      <w:r w:rsidRPr="008E1454">
        <w:rPr>
          <w:rFonts w:ascii="Bell MT" w:hAnsi="Bell MT"/>
          <w:color w:val="000000" w:themeColor="text1"/>
          <w:sz w:val="24"/>
          <w:szCs w:val="24"/>
          <w:u w:val="single"/>
        </w:rPr>
        <w:t>Elevated Autism Spectrum Disorder Traits in Young Children with OCD</w:t>
      </w:r>
      <w:r w:rsidRPr="008E1454">
        <w:rPr>
          <w:rFonts w:ascii="Bell MT" w:hAnsi="Bell MT"/>
          <w:color w:val="000000" w:themeColor="text1"/>
          <w:sz w:val="24"/>
          <w:szCs w:val="24"/>
        </w:rPr>
        <w:t>. Child Psychiatry Hum Dev (2016) 47:993–1001</w:t>
      </w:r>
    </w:p>
    <w:p w14:paraId="3A6D6895"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van Lent, M., </w:t>
      </w:r>
      <w:proofErr w:type="spellStart"/>
      <w:r w:rsidRPr="008E1454">
        <w:rPr>
          <w:rFonts w:ascii="Bell MT" w:hAnsi="Bell MT"/>
          <w:color w:val="000000" w:themeColor="text1"/>
          <w:sz w:val="24"/>
          <w:szCs w:val="24"/>
        </w:rPr>
        <w:t>InHout</w:t>
      </w:r>
      <w:proofErr w:type="spellEnd"/>
      <w:r w:rsidRPr="008E1454">
        <w:rPr>
          <w:rFonts w:ascii="Bell MT" w:hAnsi="Bell MT"/>
          <w:color w:val="000000" w:themeColor="text1"/>
          <w:sz w:val="24"/>
          <w:szCs w:val="24"/>
        </w:rPr>
        <w:t>, J. &amp; Out, H., 2015</w:t>
      </w:r>
      <w:r w:rsidRPr="008E1454">
        <w:rPr>
          <w:rFonts w:ascii="Bell MT" w:hAnsi="Bell MT"/>
          <w:color w:val="000000" w:themeColor="text1"/>
          <w:sz w:val="24"/>
          <w:szCs w:val="24"/>
          <w:u w:val="single"/>
        </w:rPr>
        <w:t>. Difference between information in registries and articles did not influence publication acceptance.</w:t>
      </w:r>
      <w:r w:rsidRPr="008E1454">
        <w:rPr>
          <w:rFonts w:ascii="Bell MT" w:hAnsi="Bell MT"/>
          <w:color w:val="000000" w:themeColor="text1"/>
          <w:sz w:val="24"/>
          <w:szCs w:val="24"/>
        </w:rPr>
        <w:t xml:space="preserve"> J Clin </w:t>
      </w:r>
      <w:proofErr w:type="spellStart"/>
      <w:r w:rsidRPr="008E1454">
        <w:rPr>
          <w:rFonts w:ascii="Bell MT" w:hAnsi="Bell MT"/>
          <w:color w:val="000000" w:themeColor="text1"/>
          <w:sz w:val="24"/>
          <w:szCs w:val="24"/>
        </w:rPr>
        <w:t>Epidemology</w:t>
      </w:r>
      <w:proofErr w:type="spellEnd"/>
      <w:r w:rsidRPr="008E1454">
        <w:rPr>
          <w:rFonts w:ascii="Bell MT" w:hAnsi="Bell MT"/>
          <w:color w:val="000000" w:themeColor="text1"/>
          <w:sz w:val="24"/>
          <w:szCs w:val="24"/>
        </w:rPr>
        <w:t>, 68(9), pp. 1059-1067.</w:t>
      </w:r>
    </w:p>
    <w:p w14:paraId="1251FD04"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World Health Organization May 2014, </w:t>
      </w:r>
      <w:r w:rsidRPr="008E1454">
        <w:rPr>
          <w:rFonts w:ascii="Bell MT" w:hAnsi="Bell MT"/>
          <w:color w:val="000000" w:themeColor="text1"/>
          <w:sz w:val="24"/>
          <w:szCs w:val="24"/>
          <w:u w:val="single"/>
        </w:rPr>
        <w:t>Sixty-Seventh World Health Assembly</w:t>
      </w:r>
      <w:r w:rsidRPr="008E1454">
        <w:rPr>
          <w:rFonts w:ascii="Bell MT" w:hAnsi="Bell MT"/>
          <w:color w:val="000000" w:themeColor="text1"/>
          <w:sz w:val="24"/>
          <w:szCs w:val="24"/>
        </w:rPr>
        <w:t xml:space="preserve">. WHO. </w:t>
      </w:r>
    </w:p>
    <w:p w14:paraId="6E64309B" w14:textId="77777777"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World Health Organization. </w:t>
      </w:r>
      <w:r w:rsidRPr="008E1454">
        <w:rPr>
          <w:rFonts w:ascii="Bell MT" w:hAnsi="Bell MT"/>
          <w:color w:val="000000" w:themeColor="text1"/>
          <w:sz w:val="24"/>
          <w:szCs w:val="24"/>
          <w:u w:val="single"/>
        </w:rPr>
        <w:t>International Statistical Classification of Diseases and Related Health Problems, 10th Revision</w:t>
      </w:r>
      <w:r w:rsidRPr="008E1454">
        <w:rPr>
          <w:rFonts w:ascii="Bell MT" w:hAnsi="Bell MT"/>
          <w:color w:val="000000" w:themeColor="text1"/>
          <w:sz w:val="24"/>
          <w:szCs w:val="24"/>
        </w:rPr>
        <w:t xml:space="preserve">. World Health Organization; 2007 Available </w:t>
      </w:r>
      <w:proofErr w:type="spellStart"/>
      <w:proofErr w:type="gramStart"/>
      <w:r w:rsidRPr="008E1454">
        <w:rPr>
          <w:rFonts w:ascii="Bell MT" w:hAnsi="Bell MT"/>
          <w:color w:val="000000" w:themeColor="text1"/>
          <w:sz w:val="24"/>
          <w:szCs w:val="24"/>
        </w:rPr>
        <w:t>from:http</w:t>
      </w:r>
      <w:proofErr w:type="spellEnd"/>
      <w:r w:rsidRPr="008E1454">
        <w:rPr>
          <w:rFonts w:ascii="Bell MT" w:hAnsi="Bell MT"/>
          <w:color w:val="000000" w:themeColor="text1"/>
          <w:sz w:val="24"/>
          <w:szCs w:val="24"/>
        </w:rPr>
        <w:t>://www.who.int/classifications/apps/</w:t>
      </w:r>
      <w:proofErr w:type="spellStart"/>
      <w:r w:rsidRPr="008E1454">
        <w:rPr>
          <w:rFonts w:ascii="Bell MT" w:hAnsi="Bell MT"/>
          <w:color w:val="000000" w:themeColor="text1"/>
          <w:sz w:val="24"/>
          <w:szCs w:val="24"/>
        </w:rPr>
        <w:t>icd</w:t>
      </w:r>
      <w:proofErr w:type="spellEnd"/>
      <w:r w:rsidRPr="008E1454">
        <w:rPr>
          <w:rFonts w:ascii="Bell MT" w:hAnsi="Bell MT"/>
          <w:color w:val="000000" w:themeColor="text1"/>
          <w:sz w:val="24"/>
          <w:szCs w:val="24"/>
        </w:rPr>
        <w:t>/icd10</w:t>
      </w:r>
      <w:proofErr w:type="gramEnd"/>
      <w:r w:rsidRPr="008E1454">
        <w:rPr>
          <w:rFonts w:ascii="Bell MT" w:hAnsi="Bell MT"/>
          <w:color w:val="000000" w:themeColor="text1"/>
          <w:sz w:val="24"/>
          <w:szCs w:val="24"/>
        </w:rPr>
        <w:t xml:space="preserve">°nline/ </w:t>
      </w:r>
    </w:p>
    <w:p w14:paraId="5FB4D0D1" w14:textId="35266238" w:rsidR="00FA4A4E" w:rsidRPr="008E1454" w:rsidRDefault="00FA4A4E" w:rsidP="008E1454">
      <w:pPr>
        <w:spacing w:line="480" w:lineRule="auto"/>
        <w:rPr>
          <w:rFonts w:ascii="Bell MT" w:hAnsi="Bell MT"/>
          <w:color w:val="000000" w:themeColor="text1"/>
          <w:sz w:val="24"/>
          <w:szCs w:val="24"/>
        </w:rPr>
      </w:pPr>
      <w:r w:rsidRPr="008E1454">
        <w:rPr>
          <w:rFonts w:ascii="Bell MT" w:hAnsi="Bell MT"/>
          <w:color w:val="000000" w:themeColor="text1"/>
          <w:sz w:val="24"/>
          <w:szCs w:val="24"/>
        </w:rPr>
        <w:t xml:space="preserve">Zhang, J., Wheeler, J., Richey, D. </w:t>
      </w:r>
      <w:r w:rsidRPr="008E1454">
        <w:rPr>
          <w:rFonts w:ascii="Bell MT" w:hAnsi="Bell MT"/>
          <w:color w:val="000000" w:themeColor="text1"/>
          <w:sz w:val="24"/>
          <w:szCs w:val="24"/>
          <w:u w:val="single"/>
        </w:rPr>
        <w:t>Cultural validity in assessment instruments for children with autism from a Chinese cultural perspective</w:t>
      </w:r>
      <w:r w:rsidRPr="008E1454">
        <w:rPr>
          <w:rFonts w:ascii="Bell MT" w:hAnsi="Bell MT"/>
          <w:color w:val="000000" w:themeColor="text1"/>
          <w:sz w:val="24"/>
          <w:szCs w:val="24"/>
        </w:rPr>
        <w:t>. International Journal of Special Education. 2006; 21(1):109–114</w:t>
      </w:r>
    </w:p>
    <w:p w14:paraId="1C92C5AE" w14:textId="45B654B1" w:rsidR="007A1307" w:rsidRDefault="007A1307" w:rsidP="00FA4A4E">
      <w:pPr>
        <w:rPr>
          <w:rFonts w:ascii="Bell MT" w:hAnsi="Bell MT"/>
          <w:color w:val="000000" w:themeColor="text1"/>
          <w:sz w:val="28"/>
          <w:szCs w:val="28"/>
        </w:rPr>
      </w:pPr>
    </w:p>
    <w:p w14:paraId="7EDBD1C7" w14:textId="520BCA6F" w:rsidR="007A1307" w:rsidRDefault="007A1307" w:rsidP="00FA4A4E">
      <w:pPr>
        <w:rPr>
          <w:rFonts w:ascii="Bell MT" w:hAnsi="Bell MT"/>
          <w:color w:val="000000" w:themeColor="text1"/>
          <w:sz w:val="28"/>
          <w:szCs w:val="28"/>
        </w:rPr>
      </w:pPr>
    </w:p>
    <w:p w14:paraId="2961EA01" w14:textId="2C5AEE7F" w:rsidR="007A1307" w:rsidRDefault="007A1307" w:rsidP="00FA4A4E">
      <w:pPr>
        <w:rPr>
          <w:rFonts w:ascii="Bell MT" w:hAnsi="Bell MT"/>
          <w:color w:val="000000" w:themeColor="text1"/>
          <w:sz w:val="28"/>
          <w:szCs w:val="28"/>
        </w:rPr>
      </w:pPr>
    </w:p>
    <w:p w14:paraId="377C5893" w14:textId="385EE275" w:rsidR="007A1307" w:rsidRDefault="007A1307" w:rsidP="00FA4A4E">
      <w:pPr>
        <w:rPr>
          <w:rFonts w:ascii="Bell MT" w:hAnsi="Bell MT"/>
          <w:color w:val="000000" w:themeColor="text1"/>
          <w:sz w:val="28"/>
          <w:szCs w:val="28"/>
        </w:rPr>
      </w:pPr>
    </w:p>
    <w:p w14:paraId="2B22814A" w14:textId="65C6C51A" w:rsidR="007A1307" w:rsidRDefault="007A1307" w:rsidP="00FA4A4E">
      <w:pPr>
        <w:rPr>
          <w:rFonts w:ascii="Bell MT" w:hAnsi="Bell MT"/>
          <w:color w:val="000000" w:themeColor="text1"/>
          <w:sz w:val="28"/>
          <w:szCs w:val="28"/>
        </w:rPr>
      </w:pPr>
    </w:p>
    <w:p w14:paraId="158472C1" w14:textId="153316B4" w:rsidR="007A1307" w:rsidRDefault="007A1307" w:rsidP="00FA4A4E">
      <w:pPr>
        <w:rPr>
          <w:rFonts w:ascii="Bell MT" w:hAnsi="Bell MT"/>
          <w:color w:val="000000" w:themeColor="text1"/>
          <w:sz w:val="28"/>
          <w:szCs w:val="28"/>
        </w:rPr>
      </w:pPr>
    </w:p>
    <w:p w14:paraId="63FAC0E5" w14:textId="25C6F24D" w:rsidR="007A1307" w:rsidRDefault="007A1307" w:rsidP="00FA4A4E">
      <w:pPr>
        <w:rPr>
          <w:rFonts w:ascii="Bell MT" w:hAnsi="Bell MT"/>
          <w:color w:val="000000" w:themeColor="text1"/>
          <w:sz w:val="28"/>
          <w:szCs w:val="28"/>
        </w:rPr>
      </w:pPr>
    </w:p>
    <w:p w14:paraId="5C4A3708" w14:textId="262E1D8D" w:rsidR="007A1307" w:rsidRDefault="007A1307" w:rsidP="00FA4A4E">
      <w:pPr>
        <w:rPr>
          <w:rFonts w:ascii="Bell MT" w:hAnsi="Bell MT"/>
          <w:color w:val="000000" w:themeColor="text1"/>
          <w:sz w:val="28"/>
          <w:szCs w:val="28"/>
        </w:rPr>
      </w:pPr>
    </w:p>
    <w:p w14:paraId="03B0D909" w14:textId="77777777" w:rsidR="00640D2B" w:rsidRDefault="00640D2B" w:rsidP="00FA4A4E"/>
    <w:p w14:paraId="6309C353" w14:textId="77777777" w:rsidR="00640D2B" w:rsidRDefault="00640D2B" w:rsidP="00FA4A4E">
      <w:pPr>
        <w:rPr>
          <w:rFonts w:ascii="Bell MT" w:hAnsi="Bell MT"/>
          <w:color w:val="000000" w:themeColor="text1"/>
          <w:sz w:val="28"/>
          <w:szCs w:val="28"/>
        </w:rPr>
      </w:pPr>
    </w:p>
    <w:p w14:paraId="2943DD29" w14:textId="77777777" w:rsidR="00640D2B" w:rsidRDefault="00640D2B" w:rsidP="00FA4A4E">
      <w:pPr>
        <w:rPr>
          <w:rFonts w:ascii="Bell MT" w:hAnsi="Bell MT"/>
          <w:color w:val="000000" w:themeColor="text1"/>
          <w:sz w:val="28"/>
          <w:szCs w:val="28"/>
        </w:rPr>
      </w:pPr>
    </w:p>
    <w:p w14:paraId="2648E811" w14:textId="77777777" w:rsidR="00640D2B" w:rsidRDefault="00640D2B" w:rsidP="00FA4A4E">
      <w:pPr>
        <w:rPr>
          <w:rFonts w:ascii="Bell MT" w:hAnsi="Bell MT"/>
          <w:color w:val="000000" w:themeColor="text1"/>
          <w:sz w:val="28"/>
          <w:szCs w:val="28"/>
        </w:rPr>
      </w:pPr>
    </w:p>
    <w:p w14:paraId="2EEBB3B1" w14:textId="23C1F14C" w:rsidR="00640D2B" w:rsidRDefault="00640D2B" w:rsidP="00FA4A4E">
      <w:pPr>
        <w:rPr>
          <w:rFonts w:ascii="Bell MT" w:hAnsi="Bell MT"/>
          <w:color w:val="000000" w:themeColor="text1"/>
          <w:sz w:val="28"/>
          <w:szCs w:val="28"/>
        </w:rPr>
      </w:pPr>
      <w:r>
        <w:rPr>
          <w:rFonts w:ascii="Bell MT" w:hAnsi="Bell MT"/>
          <w:color w:val="000000" w:themeColor="text1"/>
          <w:sz w:val="28"/>
          <w:szCs w:val="28"/>
        </w:rPr>
        <w:lastRenderedPageBreak/>
        <w:t xml:space="preserve">Appendix </w:t>
      </w:r>
      <w:bookmarkStart w:id="0" w:name="_GoBack"/>
      <w:bookmarkEnd w:id="0"/>
    </w:p>
    <w:p w14:paraId="6252AC8D" w14:textId="0CCD06F2" w:rsidR="00640D2B" w:rsidRDefault="00640D2B" w:rsidP="00FA4A4E">
      <w:pPr>
        <w:rPr>
          <w:rFonts w:ascii="Bell MT" w:hAnsi="Bell MT"/>
          <w:color w:val="000000" w:themeColor="text1"/>
          <w:sz w:val="28"/>
          <w:szCs w:val="28"/>
        </w:rPr>
      </w:pPr>
    </w:p>
    <w:p w14:paraId="30902F5B" w14:textId="7BCB8165" w:rsidR="00640D2B" w:rsidRDefault="00640D2B" w:rsidP="00FA4A4E">
      <w:pPr>
        <w:rPr>
          <w:rFonts w:ascii="Bell MT" w:hAnsi="Bell MT"/>
          <w:color w:val="000000" w:themeColor="text1"/>
          <w:sz w:val="28"/>
          <w:szCs w:val="28"/>
        </w:rPr>
      </w:pPr>
      <w:r>
        <w:rPr>
          <w:rFonts w:ascii="Bell MT" w:hAnsi="Bell MT"/>
          <w:color w:val="000000" w:themeColor="text1"/>
          <w:sz w:val="28"/>
          <w:szCs w:val="28"/>
        </w:rPr>
        <w:t>Thesis Search Sheet</w:t>
      </w:r>
    </w:p>
    <w:p w14:paraId="37C84266" w14:textId="3B2D784F" w:rsidR="00640D2B" w:rsidRDefault="00640D2B" w:rsidP="00FA4A4E">
      <w:pPr>
        <w:rPr>
          <w:rFonts w:ascii="Bell MT" w:hAnsi="Bell MT"/>
          <w:color w:val="000000" w:themeColor="text1"/>
          <w:sz w:val="28"/>
          <w:szCs w:val="28"/>
        </w:rPr>
      </w:pPr>
    </w:p>
    <w:p w14:paraId="01AECE4B" w14:textId="56430943" w:rsidR="00640D2B" w:rsidRDefault="00640D2B" w:rsidP="00FA4A4E">
      <w:pPr>
        <w:rPr>
          <w:rFonts w:ascii="Bell MT" w:hAnsi="Bell MT"/>
          <w:color w:val="000000" w:themeColor="text1"/>
          <w:sz w:val="28"/>
          <w:szCs w:val="28"/>
        </w:rPr>
      </w:pPr>
      <w:r w:rsidRPr="007A1307">
        <w:drawing>
          <wp:anchor distT="0" distB="0" distL="114300" distR="114300" simplePos="0" relativeHeight="251658240" behindDoc="0" locked="0" layoutInCell="1" allowOverlap="1" wp14:anchorId="631C7B70" wp14:editId="3DA878B9">
            <wp:simplePos x="0" y="0"/>
            <wp:positionH relativeFrom="page">
              <wp:posOffset>228600</wp:posOffset>
            </wp:positionH>
            <wp:positionV relativeFrom="paragraph">
              <wp:posOffset>289560</wp:posOffset>
            </wp:positionV>
            <wp:extent cx="7445375" cy="6534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45375" cy="6534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5792CE" w14:textId="4B2067EE" w:rsidR="00640D2B" w:rsidRDefault="00640D2B" w:rsidP="00FA4A4E">
      <w:pPr>
        <w:rPr>
          <w:rFonts w:ascii="Bell MT" w:hAnsi="Bell MT"/>
          <w:color w:val="000000" w:themeColor="text1"/>
          <w:sz w:val="28"/>
          <w:szCs w:val="28"/>
        </w:rPr>
      </w:pPr>
    </w:p>
    <w:p w14:paraId="393DD70B" w14:textId="0C414FDF" w:rsidR="00640D2B" w:rsidRDefault="00640D2B" w:rsidP="00FA4A4E">
      <w:pPr>
        <w:rPr>
          <w:rFonts w:ascii="Bell MT" w:hAnsi="Bell MT"/>
          <w:color w:val="000000" w:themeColor="text1"/>
          <w:sz w:val="28"/>
          <w:szCs w:val="28"/>
        </w:rPr>
      </w:pPr>
      <w:r w:rsidRPr="00640D2B">
        <w:drawing>
          <wp:anchor distT="0" distB="0" distL="114300" distR="114300" simplePos="0" relativeHeight="251659264" behindDoc="0" locked="0" layoutInCell="1" allowOverlap="1" wp14:anchorId="586B7139" wp14:editId="40A1C49A">
            <wp:simplePos x="0" y="0"/>
            <wp:positionH relativeFrom="page">
              <wp:align>left</wp:align>
            </wp:positionH>
            <wp:positionV relativeFrom="paragraph">
              <wp:posOffset>0</wp:posOffset>
            </wp:positionV>
            <wp:extent cx="8072755" cy="28289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72755" cy="2828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C84121" w14:textId="688A61D3" w:rsidR="00640D2B" w:rsidRDefault="00640D2B" w:rsidP="00FA4A4E">
      <w:pPr>
        <w:rPr>
          <w:rFonts w:ascii="Bell MT" w:hAnsi="Bell MT"/>
          <w:color w:val="000000" w:themeColor="text1"/>
          <w:sz w:val="28"/>
          <w:szCs w:val="28"/>
        </w:rPr>
      </w:pPr>
    </w:p>
    <w:p w14:paraId="7685CFC2" w14:textId="7AEDB4E3" w:rsidR="00640D2B" w:rsidRPr="00640D2B" w:rsidRDefault="00640D2B" w:rsidP="00640D2B">
      <w:pPr>
        <w:rPr>
          <w:rFonts w:ascii="Bell MT" w:hAnsi="Bell MT"/>
          <w:color w:val="000000" w:themeColor="text1"/>
          <w:sz w:val="28"/>
          <w:szCs w:val="28"/>
        </w:rPr>
      </w:pPr>
    </w:p>
    <w:p w14:paraId="38F28D3F" w14:textId="13CD85AC" w:rsidR="00640D2B" w:rsidRDefault="00640D2B" w:rsidP="00FA4A4E">
      <w:pPr>
        <w:rPr>
          <w:rFonts w:ascii="Bell MT" w:hAnsi="Bell MT"/>
          <w:color w:val="000000" w:themeColor="text1"/>
          <w:sz w:val="28"/>
          <w:szCs w:val="28"/>
        </w:rPr>
      </w:pPr>
    </w:p>
    <w:p w14:paraId="3AD31EBF" w14:textId="5C782605" w:rsidR="00640D2B" w:rsidRDefault="00640D2B" w:rsidP="00FA4A4E">
      <w:pPr>
        <w:rPr>
          <w:rFonts w:ascii="Bell MT" w:hAnsi="Bell MT"/>
          <w:color w:val="000000" w:themeColor="text1"/>
          <w:sz w:val="28"/>
          <w:szCs w:val="28"/>
        </w:rPr>
      </w:pPr>
    </w:p>
    <w:p w14:paraId="0E2D9AF4" w14:textId="3E4DAC11" w:rsidR="00640D2B" w:rsidRDefault="00640D2B" w:rsidP="00FA4A4E">
      <w:pPr>
        <w:rPr>
          <w:rFonts w:ascii="Bell MT" w:hAnsi="Bell MT"/>
          <w:color w:val="000000" w:themeColor="text1"/>
          <w:sz w:val="28"/>
          <w:szCs w:val="28"/>
        </w:rPr>
      </w:pPr>
    </w:p>
    <w:p w14:paraId="2B2D90B3" w14:textId="7C2C083A" w:rsidR="001059A0" w:rsidRPr="00FA4A4E" w:rsidRDefault="001059A0" w:rsidP="00FA4A4E">
      <w:pPr>
        <w:rPr>
          <w:rFonts w:ascii="Bell MT" w:hAnsi="Bell MT"/>
          <w:color w:val="000000" w:themeColor="text1"/>
          <w:sz w:val="28"/>
          <w:szCs w:val="28"/>
        </w:rPr>
      </w:pPr>
    </w:p>
    <w:sectPr w:rsidR="001059A0" w:rsidRPr="00FA4A4E" w:rsidSect="00EE3E7C">
      <w:footerReference w:type="default" r:id="rId9"/>
      <w:pgSz w:w="12240" w:h="15840"/>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2A6E3A" w14:textId="77777777" w:rsidR="00674A56" w:rsidRDefault="00674A56">
      <w:r>
        <w:separator/>
      </w:r>
    </w:p>
    <w:p w14:paraId="7BD3797D" w14:textId="77777777" w:rsidR="00674A56" w:rsidRDefault="00674A56"/>
  </w:endnote>
  <w:endnote w:type="continuationSeparator" w:id="0">
    <w:p w14:paraId="4AACD5B7" w14:textId="77777777" w:rsidR="00674A56" w:rsidRDefault="00674A56">
      <w:r>
        <w:continuationSeparator/>
      </w:r>
    </w:p>
    <w:p w14:paraId="638FA405" w14:textId="77777777" w:rsidR="00674A56" w:rsidRDefault="00674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6583288"/>
      <w:docPartObj>
        <w:docPartGallery w:val="Page Numbers (Bottom of Page)"/>
        <w:docPartUnique/>
      </w:docPartObj>
    </w:sdtPr>
    <w:sdtEndPr>
      <w:rPr>
        <w:noProof/>
      </w:rPr>
    </w:sdtEndPr>
    <w:sdtContent>
      <w:p w14:paraId="4DCDA156" w14:textId="4BB3BEB2" w:rsidR="00B8258E" w:rsidRDefault="00B825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3BC093" w14:textId="3EA151D8" w:rsidR="00447041" w:rsidRDefault="00447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9198A" w14:textId="77777777" w:rsidR="00674A56" w:rsidRDefault="00674A56">
      <w:r>
        <w:separator/>
      </w:r>
    </w:p>
    <w:p w14:paraId="23756527" w14:textId="77777777" w:rsidR="00674A56" w:rsidRDefault="00674A56"/>
  </w:footnote>
  <w:footnote w:type="continuationSeparator" w:id="0">
    <w:p w14:paraId="11ED78D6" w14:textId="77777777" w:rsidR="00674A56" w:rsidRDefault="00674A56">
      <w:r>
        <w:continuationSeparator/>
      </w:r>
    </w:p>
    <w:p w14:paraId="5E416D67" w14:textId="77777777" w:rsidR="00674A56" w:rsidRDefault="00674A5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B612ECA"/>
    <w:multiLevelType w:val="hybridMultilevel"/>
    <w:tmpl w:val="547A5F9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1059A0"/>
    <w:rsid w:val="00233CAE"/>
    <w:rsid w:val="00447041"/>
    <w:rsid w:val="0058464E"/>
    <w:rsid w:val="00640D2B"/>
    <w:rsid w:val="00674A56"/>
    <w:rsid w:val="00733795"/>
    <w:rsid w:val="007962A0"/>
    <w:rsid w:val="007A1307"/>
    <w:rsid w:val="008E1454"/>
    <w:rsid w:val="009D2B19"/>
    <w:rsid w:val="00AB0CD7"/>
    <w:rsid w:val="00B045AF"/>
    <w:rsid w:val="00B8258E"/>
    <w:rsid w:val="00C00CB4"/>
    <w:rsid w:val="00C922B4"/>
    <w:rsid w:val="00D03AC1"/>
    <w:rsid w:val="00DC274F"/>
    <w:rsid w:val="00DC2CF0"/>
    <w:rsid w:val="00EE3E7C"/>
    <w:rsid w:val="00FA4A4E"/>
    <w:rsid w:val="022593E6"/>
    <w:rsid w:val="1633DA1F"/>
    <w:rsid w:val="36C02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2593E6"/>
  <w15:chartTrackingRefBased/>
  <w15:docId w15:val="{1CA426B4-90DC-4F15-AE05-A0EB6F183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eastAsiaTheme="majorEastAsia" w:hAnsiTheme="majorHAnsi"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i/>
      <w:color w:val="262626" w:themeColor="text1" w:themeTint="D9"/>
      <w:sz w:val="4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sz="2" w:space="10" w:color="214C5E" w:themeColor="accent1" w:frame="1"/>
        <w:left w:val="single" w:sz="2" w:space="10" w:color="214C5E" w:themeColor="accent1" w:frame="1"/>
        <w:bottom w:val="single" w:sz="2" w:space="10" w:color="214C5E" w:themeColor="accent1" w:frame="1"/>
        <w:right w:val="single" w:sz="2" w:space="10" w:color="214C5E" w:themeColor="accent1"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customStyle="1" w:styleId="BodyTextChar">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customStyle="1" w:styleId="BodyText2Char">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customStyle="1" w:styleId="BodyText3Char">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customStyle="1" w:styleId="BodyTextFirstIndentChar">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customStyle="1" w:styleId="BodyTextIndentChar">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customStyle="1" w:styleId="BodyTextFirstIndent2Char">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customStyle="1" w:styleId="BodyTextIndent2Char">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customStyle="1" w:styleId="BodyTextIndent3Char">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customStyle="1" w:styleId="ClosingChar">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sz="12" w:space="0" w:color="FFFFFF" w:themeColor="background1"/>
        </w:tcBorders>
        <w:shd w:val="clear" w:color="auto" w:fill="5B1632" w:themeFill="accent4" w:themeFillShade="CC"/>
      </w:tcPr>
    </w:tblStylePr>
    <w:tblStylePr w:type="lastRow">
      <w:rPr>
        <w:b/>
        <w:bCs/>
        <w:color w:val="5B163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sz="12" w:space="0" w:color="FFFFFF" w:themeColor="background1"/>
        </w:tcBorders>
        <w:shd w:val="clear" w:color="auto" w:fill="3EAE91" w:themeFill="accent3" w:themeFillShade="CC"/>
      </w:tcPr>
    </w:tblStylePr>
    <w:tblStylePr w:type="lastRow">
      <w:rPr>
        <w:b/>
        <w:bCs/>
        <w:color w:val="3EAE9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sz="12" w:space="0" w:color="FFFFFF" w:themeColor="background1"/>
        </w:tcBorders>
        <w:shd w:val="clear" w:color="auto" w:fill="CCA327" w:themeFill="accent6" w:themeFillShade="CC"/>
      </w:tcPr>
    </w:tblStylePr>
    <w:tblStylePr w:type="lastRow">
      <w:rPr>
        <w:b/>
        <w:bCs/>
        <w:color w:val="CCA32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sz="12" w:space="0" w:color="FFFFFF" w:themeColor="background1"/>
        </w:tcBorders>
        <w:shd w:val="clear" w:color="auto" w:fill="B15A21" w:themeFill="accent5" w:themeFillShade="CC"/>
      </w:tcPr>
    </w:tblStylePr>
    <w:tblStylePr w:type="lastRow">
      <w:rPr>
        <w:b/>
        <w:bCs/>
        <w:color w:val="B15A2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214C5E" w:themeColor="accent1"/>
        <w:bottom w:val="single" w:sz="4" w:space="0" w:color="214C5E" w:themeColor="accent1"/>
        <w:right w:val="single" w:sz="4" w:space="0" w:color="214C5E" w:themeColor="accent1"/>
        <w:insideH w:val="single" w:sz="4" w:space="0" w:color="FFFFFF" w:themeColor="background1"/>
        <w:insideV w:val="single" w:sz="4" w:space="0" w:color="FFFFFF" w:themeColor="background1"/>
      </w:tblBorders>
    </w:tblPr>
    <w:tcPr>
      <w:shd w:val="clear" w:color="auto" w:fill="E3EFF5" w:themeFill="accen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sz="4" w:space="0" w:color="132D38" w:themeColor="accent1" w:themeShade="99"/>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DE4948" w:themeColor="accent2"/>
        <w:bottom w:val="single" w:sz="4" w:space="0" w:color="DE4948" w:themeColor="accent2"/>
        <w:right w:val="single" w:sz="4" w:space="0" w:color="DE4948" w:themeColor="accent2"/>
        <w:insideH w:val="single" w:sz="4" w:space="0" w:color="FFFFFF" w:themeColor="background1"/>
        <w:insideV w:val="single" w:sz="4" w:space="0" w:color="FFFFFF" w:themeColor="background1"/>
      </w:tblBorders>
    </w:tblPr>
    <w:tcPr>
      <w:shd w:val="clear" w:color="auto" w:fill="FBECEC" w:themeFill="accent2"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sz="4" w:space="0" w:color="951B1B" w:themeColor="accent2" w:themeShade="99"/>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731C3F" w:themeColor="accent4"/>
        <w:left w:val="single" w:sz="4" w:space="0" w:color="62C7AD" w:themeColor="accent3"/>
        <w:bottom w:val="single" w:sz="4" w:space="0" w:color="62C7AD" w:themeColor="accent3"/>
        <w:right w:val="single" w:sz="4" w:space="0" w:color="62C7AD" w:themeColor="accent3"/>
        <w:insideH w:val="single" w:sz="4" w:space="0" w:color="FFFFFF" w:themeColor="background1"/>
        <w:insideV w:val="single" w:sz="4" w:space="0" w:color="FFFFFF" w:themeColor="background1"/>
      </w:tblBorders>
    </w:tblPr>
    <w:tcPr>
      <w:shd w:val="clear" w:color="auto" w:fill="EFF9F6" w:themeFill="accent3" w:themeFillTint="19"/>
    </w:tcPr>
    <w:tblStylePr w:type="firstRow">
      <w:rPr>
        <w:b/>
        <w:bCs/>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sz="4" w:space="0" w:color="2E836D" w:themeColor="accent3" w:themeShade="99"/>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62C7AD" w:themeColor="accent3"/>
        <w:left w:val="single" w:sz="4" w:space="0" w:color="731C3F" w:themeColor="accent4"/>
        <w:bottom w:val="single" w:sz="4" w:space="0" w:color="731C3F" w:themeColor="accent4"/>
        <w:right w:val="single" w:sz="4" w:space="0" w:color="731C3F" w:themeColor="accent4"/>
        <w:insideH w:val="single" w:sz="4" w:space="0" w:color="FFFFFF" w:themeColor="background1"/>
        <w:insideV w:val="single" w:sz="4" w:space="0" w:color="FFFFFF" w:themeColor="background1"/>
      </w:tblBorders>
    </w:tblPr>
    <w:tcPr>
      <w:shd w:val="clear" w:color="auto" w:fill="F8E2EA" w:themeFill="accent4" w:themeFillTint="19"/>
    </w:tcPr>
    <w:tblStylePr w:type="firstRow">
      <w:rPr>
        <w:b/>
        <w:bCs/>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sz="4" w:space="0" w:color="441025" w:themeColor="accent4" w:themeShade="99"/>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BC53" w:themeColor="accent6"/>
        <w:left w:val="single" w:sz="4" w:space="0" w:color="D87330" w:themeColor="accent5"/>
        <w:bottom w:val="single" w:sz="4" w:space="0" w:color="D87330" w:themeColor="accent5"/>
        <w:right w:val="single" w:sz="4" w:space="0" w:color="D87330" w:themeColor="accent5"/>
        <w:insideH w:val="single" w:sz="4" w:space="0" w:color="FFFFFF" w:themeColor="background1"/>
        <w:insideV w:val="single" w:sz="4" w:space="0" w:color="FFFFFF" w:themeColor="background1"/>
      </w:tblBorders>
    </w:tblPr>
    <w:tcPr>
      <w:shd w:val="clear" w:color="auto" w:fill="FBF1EA" w:themeFill="accent5" w:themeFillTint="19"/>
    </w:tcPr>
    <w:tblStylePr w:type="firstRow">
      <w:rPr>
        <w:b/>
        <w:bCs/>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sz="4" w:space="0" w:color="854319" w:themeColor="accent5" w:themeShade="99"/>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sz="24" w:space="0" w:color="D87330" w:themeColor="accent5"/>
        <w:left w:val="single" w:sz="4" w:space="0" w:color="DEBC53" w:themeColor="accent6"/>
        <w:bottom w:val="single" w:sz="4" w:space="0" w:color="DEBC53" w:themeColor="accent6"/>
        <w:right w:val="single" w:sz="4" w:space="0" w:color="DEBC53" w:themeColor="accent6"/>
        <w:insideH w:val="single" w:sz="4" w:space="0" w:color="FFFFFF" w:themeColor="background1"/>
        <w:insideV w:val="single" w:sz="4" w:space="0" w:color="FFFFFF" w:themeColor="background1"/>
      </w:tblBorders>
    </w:tblPr>
    <w:tcPr>
      <w:shd w:val="clear" w:color="auto" w:fill="FBF8ED" w:themeFill="accent6" w:themeFillTint="19"/>
    </w:tcPr>
    <w:tblStylePr w:type="firstRow">
      <w:rPr>
        <w:b/>
        <w:bCs/>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sz="4" w:space="0" w:color="997A1D" w:themeColor="accent6" w:themeShade="99"/>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customStyle="1" w:styleId="CommentTextChar">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customStyle="1" w:styleId="CommentSubjectChar">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8384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A222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AA38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6152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6541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992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customStyle="1" w:styleId="DateChar">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customStyle="1" w:styleId="E-mailSignatureChar">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customStyle="1" w:styleId="EndnoteTextChar">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sz="4" w:space="0" w:color="8DC1D7" w:themeColor="accent1" w:themeTint="66"/>
        <w:left w:val="single" w:sz="4" w:space="0" w:color="8DC1D7" w:themeColor="accent1" w:themeTint="66"/>
        <w:bottom w:val="single" w:sz="4" w:space="0" w:color="8DC1D7" w:themeColor="accent1" w:themeTint="66"/>
        <w:right w:val="single" w:sz="4" w:space="0" w:color="8DC1D7" w:themeColor="accent1" w:themeTint="66"/>
        <w:insideH w:val="single" w:sz="4" w:space="0" w:color="8DC1D7" w:themeColor="accent1" w:themeTint="66"/>
        <w:insideV w:val="single" w:sz="4" w:space="0" w:color="8DC1D7" w:themeColor="accent1" w:themeTint="66"/>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2" w:space="0" w:color="54A2C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sz="4" w:space="0" w:color="F1B5B5" w:themeColor="accent2" w:themeTint="66"/>
        <w:left w:val="single" w:sz="4" w:space="0" w:color="F1B5B5" w:themeColor="accent2" w:themeTint="66"/>
        <w:bottom w:val="single" w:sz="4" w:space="0" w:color="F1B5B5" w:themeColor="accent2" w:themeTint="66"/>
        <w:right w:val="single" w:sz="4" w:space="0" w:color="F1B5B5" w:themeColor="accent2" w:themeTint="66"/>
        <w:insideH w:val="single" w:sz="4" w:space="0" w:color="F1B5B5" w:themeColor="accent2" w:themeTint="66"/>
        <w:insideV w:val="single" w:sz="4" w:space="0" w:color="F1B5B5" w:themeColor="accent2" w:themeTint="66"/>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2" w:space="0" w:color="EB919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sz="4" w:space="0" w:color="C0E8DE" w:themeColor="accent3" w:themeTint="66"/>
        <w:left w:val="single" w:sz="4" w:space="0" w:color="C0E8DE" w:themeColor="accent3" w:themeTint="66"/>
        <w:bottom w:val="single" w:sz="4" w:space="0" w:color="C0E8DE" w:themeColor="accent3" w:themeTint="66"/>
        <w:right w:val="single" w:sz="4" w:space="0" w:color="C0E8DE" w:themeColor="accent3" w:themeTint="66"/>
        <w:insideH w:val="single" w:sz="4" w:space="0" w:color="C0E8DE" w:themeColor="accent3" w:themeTint="66"/>
        <w:insideV w:val="single" w:sz="4" w:space="0" w:color="C0E8DE" w:themeColor="accent3" w:themeTint="66"/>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2" w:space="0" w:color="A0DDC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sz="4" w:space="0" w:color="E288AC" w:themeColor="accent4" w:themeTint="66"/>
        <w:left w:val="single" w:sz="4" w:space="0" w:color="E288AC" w:themeColor="accent4" w:themeTint="66"/>
        <w:bottom w:val="single" w:sz="4" w:space="0" w:color="E288AC" w:themeColor="accent4" w:themeTint="66"/>
        <w:right w:val="single" w:sz="4" w:space="0" w:color="E288AC" w:themeColor="accent4" w:themeTint="66"/>
        <w:insideH w:val="single" w:sz="4" w:space="0" w:color="E288AC" w:themeColor="accent4" w:themeTint="66"/>
        <w:insideV w:val="single" w:sz="4" w:space="0" w:color="E288AC" w:themeColor="accent4" w:themeTint="66"/>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2" w:space="0" w:color="D34D8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sz="4" w:space="0" w:color="EFC6AC" w:themeColor="accent5" w:themeTint="66"/>
        <w:left w:val="single" w:sz="4" w:space="0" w:color="EFC6AC" w:themeColor="accent5" w:themeTint="66"/>
        <w:bottom w:val="single" w:sz="4" w:space="0" w:color="EFC6AC" w:themeColor="accent5" w:themeTint="66"/>
        <w:right w:val="single" w:sz="4" w:space="0" w:color="EFC6AC" w:themeColor="accent5" w:themeTint="66"/>
        <w:insideH w:val="single" w:sz="4" w:space="0" w:color="EFC6AC" w:themeColor="accent5" w:themeTint="66"/>
        <w:insideV w:val="single" w:sz="4" w:space="0" w:color="EFC6AC" w:themeColor="accent5" w:themeTint="66"/>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2" w:space="0" w:color="E7AA82"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sz="4" w:space="0" w:color="F1E4BA" w:themeColor="accent6" w:themeTint="66"/>
        <w:left w:val="single" w:sz="4" w:space="0" w:color="F1E4BA" w:themeColor="accent6" w:themeTint="66"/>
        <w:bottom w:val="single" w:sz="4" w:space="0" w:color="F1E4BA" w:themeColor="accent6" w:themeTint="66"/>
        <w:right w:val="single" w:sz="4" w:space="0" w:color="F1E4BA" w:themeColor="accent6" w:themeTint="66"/>
        <w:insideH w:val="single" w:sz="4" w:space="0" w:color="F1E4BA" w:themeColor="accent6" w:themeTint="66"/>
        <w:insideV w:val="single" w:sz="4" w:space="0" w:color="F1E4BA" w:themeColor="accent6" w:themeTint="66"/>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2" w:space="0" w:color="EBD697"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sz="2" w:space="0" w:color="54A2C3" w:themeColor="accent1" w:themeTint="99"/>
        <w:bottom w:val="single" w:sz="2" w:space="0" w:color="54A2C3" w:themeColor="accent1" w:themeTint="99"/>
        <w:insideH w:val="single" w:sz="2" w:space="0" w:color="54A2C3" w:themeColor="accent1" w:themeTint="99"/>
        <w:insideV w:val="single" w:sz="2" w:space="0" w:color="54A2C3" w:themeColor="accent1" w:themeTint="99"/>
      </w:tblBorders>
    </w:tblPr>
    <w:tblStylePr w:type="firstRow">
      <w:rPr>
        <w:b/>
        <w:bCs/>
      </w:rPr>
      <w:tblPr/>
      <w:tcPr>
        <w:tcBorders>
          <w:top w:val="nil"/>
          <w:bottom w:val="single" w:sz="12" w:space="0" w:color="54A2C3" w:themeColor="accent1" w:themeTint="99"/>
          <w:insideH w:val="nil"/>
          <w:insideV w:val="nil"/>
        </w:tcBorders>
        <w:shd w:val="clear" w:color="auto" w:fill="FFFFFF" w:themeFill="background1"/>
      </w:tcPr>
    </w:tblStylePr>
    <w:tblStylePr w:type="lastRow">
      <w:rPr>
        <w:b/>
        <w:bCs/>
      </w:rPr>
      <w:tblPr/>
      <w:tcPr>
        <w:tcBorders>
          <w:top w:val="double" w:sz="2" w:space="0" w:color="54A2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sz="2" w:space="0" w:color="EB9191" w:themeColor="accent2" w:themeTint="99"/>
        <w:bottom w:val="single" w:sz="2" w:space="0" w:color="EB9191" w:themeColor="accent2" w:themeTint="99"/>
        <w:insideH w:val="single" w:sz="2" w:space="0" w:color="EB9191" w:themeColor="accent2" w:themeTint="99"/>
        <w:insideV w:val="single" w:sz="2" w:space="0" w:color="EB9191" w:themeColor="accent2" w:themeTint="99"/>
      </w:tblBorders>
    </w:tblPr>
    <w:tblStylePr w:type="firstRow">
      <w:rPr>
        <w:b/>
        <w:bCs/>
      </w:rPr>
      <w:tblPr/>
      <w:tcPr>
        <w:tcBorders>
          <w:top w:val="nil"/>
          <w:bottom w:val="single" w:sz="12" w:space="0" w:color="EB9191" w:themeColor="accent2" w:themeTint="99"/>
          <w:insideH w:val="nil"/>
          <w:insideV w:val="nil"/>
        </w:tcBorders>
        <w:shd w:val="clear" w:color="auto" w:fill="FFFFFF" w:themeFill="background1"/>
      </w:tcPr>
    </w:tblStylePr>
    <w:tblStylePr w:type="lastRow">
      <w:rPr>
        <w:b/>
        <w:bCs/>
      </w:rPr>
      <w:tblPr/>
      <w:tcPr>
        <w:tcBorders>
          <w:top w:val="double" w:sz="2" w:space="0" w:color="EB919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sz="2" w:space="0" w:color="A0DDCD" w:themeColor="accent3" w:themeTint="99"/>
        <w:bottom w:val="single" w:sz="2" w:space="0" w:color="A0DDCD" w:themeColor="accent3" w:themeTint="99"/>
        <w:insideH w:val="single" w:sz="2" w:space="0" w:color="A0DDCD" w:themeColor="accent3" w:themeTint="99"/>
        <w:insideV w:val="single" w:sz="2" w:space="0" w:color="A0DDCD" w:themeColor="accent3" w:themeTint="99"/>
      </w:tblBorders>
    </w:tblPr>
    <w:tblStylePr w:type="firstRow">
      <w:rPr>
        <w:b/>
        <w:bCs/>
      </w:rPr>
      <w:tblPr/>
      <w:tcPr>
        <w:tcBorders>
          <w:top w:val="nil"/>
          <w:bottom w:val="single" w:sz="12" w:space="0" w:color="A0DDCD" w:themeColor="accent3" w:themeTint="99"/>
          <w:insideH w:val="nil"/>
          <w:insideV w:val="nil"/>
        </w:tcBorders>
        <w:shd w:val="clear" w:color="auto" w:fill="FFFFFF" w:themeFill="background1"/>
      </w:tcPr>
    </w:tblStylePr>
    <w:tblStylePr w:type="lastRow">
      <w:rPr>
        <w:b/>
        <w:bCs/>
      </w:rPr>
      <w:tblPr/>
      <w:tcPr>
        <w:tcBorders>
          <w:top w:val="double" w:sz="2" w:space="0" w:color="A0DDC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sz="2" w:space="0" w:color="D34D83" w:themeColor="accent4" w:themeTint="99"/>
        <w:bottom w:val="single" w:sz="2" w:space="0" w:color="D34D83" w:themeColor="accent4" w:themeTint="99"/>
        <w:insideH w:val="single" w:sz="2" w:space="0" w:color="D34D83" w:themeColor="accent4" w:themeTint="99"/>
        <w:insideV w:val="single" w:sz="2" w:space="0" w:color="D34D83" w:themeColor="accent4" w:themeTint="99"/>
      </w:tblBorders>
    </w:tblPr>
    <w:tblStylePr w:type="firstRow">
      <w:rPr>
        <w:b/>
        <w:bCs/>
      </w:rPr>
      <w:tblPr/>
      <w:tcPr>
        <w:tcBorders>
          <w:top w:val="nil"/>
          <w:bottom w:val="single" w:sz="12" w:space="0" w:color="D34D83" w:themeColor="accent4" w:themeTint="99"/>
          <w:insideH w:val="nil"/>
          <w:insideV w:val="nil"/>
        </w:tcBorders>
        <w:shd w:val="clear" w:color="auto" w:fill="FFFFFF" w:themeFill="background1"/>
      </w:tcPr>
    </w:tblStylePr>
    <w:tblStylePr w:type="lastRow">
      <w:rPr>
        <w:b/>
        <w:bCs/>
      </w:rPr>
      <w:tblPr/>
      <w:tcPr>
        <w:tcBorders>
          <w:top w:val="double" w:sz="2" w:space="0" w:color="D34D8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sz="2" w:space="0" w:color="E7AA82" w:themeColor="accent5" w:themeTint="99"/>
        <w:bottom w:val="single" w:sz="2" w:space="0" w:color="E7AA82" w:themeColor="accent5" w:themeTint="99"/>
        <w:insideH w:val="single" w:sz="2" w:space="0" w:color="E7AA82" w:themeColor="accent5" w:themeTint="99"/>
        <w:insideV w:val="single" w:sz="2" w:space="0" w:color="E7AA82" w:themeColor="accent5" w:themeTint="99"/>
      </w:tblBorders>
    </w:tblPr>
    <w:tblStylePr w:type="firstRow">
      <w:rPr>
        <w:b/>
        <w:bCs/>
      </w:rPr>
      <w:tblPr/>
      <w:tcPr>
        <w:tcBorders>
          <w:top w:val="nil"/>
          <w:bottom w:val="single" w:sz="12" w:space="0" w:color="E7AA82" w:themeColor="accent5" w:themeTint="99"/>
          <w:insideH w:val="nil"/>
          <w:insideV w:val="nil"/>
        </w:tcBorders>
        <w:shd w:val="clear" w:color="auto" w:fill="FFFFFF" w:themeFill="background1"/>
      </w:tcPr>
    </w:tblStylePr>
    <w:tblStylePr w:type="lastRow">
      <w:rPr>
        <w:b/>
        <w:bCs/>
      </w:rPr>
      <w:tblPr/>
      <w:tcPr>
        <w:tcBorders>
          <w:top w:val="double" w:sz="2" w:space="0" w:color="E7AA8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sz="2" w:space="0" w:color="EBD697" w:themeColor="accent6" w:themeTint="99"/>
        <w:bottom w:val="single" w:sz="2" w:space="0" w:color="EBD697" w:themeColor="accent6" w:themeTint="99"/>
        <w:insideH w:val="single" w:sz="2" w:space="0" w:color="EBD697" w:themeColor="accent6" w:themeTint="99"/>
        <w:insideV w:val="single" w:sz="2" w:space="0" w:color="EBD697" w:themeColor="accent6" w:themeTint="99"/>
      </w:tblBorders>
    </w:tblPr>
    <w:tblStylePr w:type="firstRow">
      <w:rPr>
        <w:b/>
        <w:bCs/>
      </w:rPr>
      <w:tblPr/>
      <w:tcPr>
        <w:tcBorders>
          <w:top w:val="nil"/>
          <w:bottom w:val="single" w:sz="12" w:space="0" w:color="EBD697" w:themeColor="accent6" w:themeTint="99"/>
          <w:insideH w:val="nil"/>
          <w:insideV w:val="nil"/>
        </w:tcBorders>
        <w:shd w:val="clear" w:color="auto" w:fill="FFFFFF" w:themeFill="background1"/>
      </w:tcPr>
    </w:tblStylePr>
    <w:tblStylePr w:type="lastRow">
      <w:rPr>
        <w:b/>
        <w:bCs/>
      </w:rPr>
      <w:tblPr/>
      <w:tcPr>
        <w:tcBorders>
          <w:top w:val="double" w:sz="2" w:space="0" w:color="EBD69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insideV w:val="nil"/>
        </w:tcBorders>
        <w:shd w:val="clear" w:color="auto" w:fill="214C5E" w:themeFill="accent1"/>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insideV w:val="nil"/>
        </w:tcBorders>
        <w:shd w:val="clear" w:color="auto" w:fill="DE4948" w:themeFill="accent2"/>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insideV w:val="nil"/>
        </w:tcBorders>
        <w:shd w:val="clear" w:color="auto" w:fill="62C7AD" w:themeFill="accent3"/>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insideV w:val="nil"/>
        </w:tcBorders>
        <w:shd w:val="clear" w:color="auto" w:fill="731C3F" w:themeFill="accent4"/>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insideV w:val="nil"/>
        </w:tcBorders>
        <w:shd w:val="clear" w:color="auto" w:fill="D87330" w:themeFill="accent5"/>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insideV w:val="nil"/>
        </w:tcBorders>
        <w:shd w:val="clear" w:color="auto" w:fill="DEBC53" w:themeFill="accent6"/>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6E0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4C5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4C5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4C5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49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49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49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3E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2C7A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2C7A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2C7A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C3D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1C3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1C3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1C3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E2D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8733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8733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8733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1D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BC5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BC5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BC5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customStyle="1" w:styleId="HTMLAddressChar">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eastAsiaTheme="majorEastAsia" w:hAnsiTheme="majorHAnsi"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18" w:space="0" w:color="214C5E" w:themeColor="accent1"/>
          <w:right w:val="single" w:sz="8" w:space="0" w:color="214C5E" w:themeColor="accent1"/>
          <w:insideH w:val="nil"/>
          <w:insideV w:val="single" w:sz="8" w:space="0" w:color="214C5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insideH w:val="nil"/>
          <w:insideV w:val="single" w:sz="8" w:space="0" w:color="214C5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shd w:val="clear" w:color="auto" w:fill="B8D8E6" w:themeFill="accent1" w:themeFillTint="3F"/>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shd w:val="clear" w:color="auto" w:fill="B8D8E6" w:themeFill="accent1" w:themeFillTint="3F"/>
      </w:tcPr>
    </w:tblStylePr>
    <w:tblStylePr w:type="band2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18" w:space="0" w:color="DE4948" w:themeColor="accent2"/>
          <w:right w:val="single" w:sz="8" w:space="0" w:color="DE4948" w:themeColor="accent2"/>
          <w:insideH w:val="nil"/>
          <w:insideV w:val="single" w:sz="8" w:space="0" w:color="DE494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insideH w:val="nil"/>
          <w:insideV w:val="single" w:sz="8" w:space="0" w:color="DE494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shd w:val="clear" w:color="auto" w:fill="F6D1D1" w:themeFill="accent2" w:themeFillTint="3F"/>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shd w:val="clear" w:color="auto" w:fill="F6D1D1" w:themeFill="accent2" w:themeFillTint="3F"/>
      </w:tcPr>
    </w:tblStylePr>
    <w:tblStylePr w:type="band2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18" w:space="0" w:color="62C7AD" w:themeColor="accent3"/>
          <w:right w:val="single" w:sz="8" w:space="0" w:color="62C7AD" w:themeColor="accent3"/>
          <w:insideH w:val="nil"/>
          <w:insideV w:val="single" w:sz="8" w:space="0" w:color="62C7A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insideH w:val="nil"/>
          <w:insideV w:val="single" w:sz="8" w:space="0" w:color="62C7A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shd w:val="clear" w:color="auto" w:fill="D8F1EA" w:themeFill="accent3" w:themeFillTint="3F"/>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shd w:val="clear" w:color="auto" w:fill="D8F1EA" w:themeFill="accent3" w:themeFillTint="3F"/>
      </w:tcPr>
    </w:tblStylePr>
    <w:tblStylePr w:type="band2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18" w:space="0" w:color="731C3F" w:themeColor="accent4"/>
          <w:right w:val="single" w:sz="8" w:space="0" w:color="731C3F" w:themeColor="accent4"/>
          <w:insideH w:val="nil"/>
          <w:insideV w:val="single" w:sz="8" w:space="0" w:color="731C3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insideH w:val="nil"/>
          <w:insideV w:val="single" w:sz="8" w:space="0" w:color="731C3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shd w:val="clear" w:color="auto" w:fill="EDB5CB" w:themeFill="accent4" w:themeFillTint="3F"/>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shd w:val="clear" w:color="auto" w:fill="EDB5CB" w:themeFill="accent4" w:themeFillTint="3F"/>
      </w:tcPr>
    </w:tblStylePr>
    <w:tblStylePr w:type="band2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18" w:space="0" w:color="D87330" w:themeColor="accent5"/>
          <w:right w:val="single" w:sz="8" w:space="0" w:color="D87330" w:themeColor="accent5"/>
          <w:insideH w:val="nil"/>
          <w:insideV w:val="single" w:sz="8" w:space="0" w:color="D8733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insideH w:val="nil"/>
          <w:insideV w:val="single" w:sz="8" w:space="0" w:color="D8733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shd w:val="clear" w:color="auto" w:fill="F5DCCB" w:themeFill="accent5" w:themeFillTint="3F"/>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shd w:val="clear" w:color="auto" w:fill="F5DCCB" w:themeFill="accent5" w:themeFillTint="3F"/>
      </w:tcPr>
    </w:tblStylePr>
    <w:tblStylePr w:type="band2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18" w:space="0" w:color="DEBC53" w:themeColor="accent6"/>
          <w:right w:val="single" w:sz="8" w:space="0" w:color="DEBC53" w:themeColor="accent6"/>
          <w:insideH w:val="nil"/>
          <w:insideV w:val="single" w:sz="8" w:space="0" w:color="DEBC5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insideH w:val="nil"/>
          <w:insideV w:val="single" w:sz="8" w:space="0" w:color="DEBC5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shd w:val="clear" w:color="auto" w:fill="F7EED4" w:themeFill="accent6" w:themeFillTint="3F"/>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shd w:val="clear" w:color="auto" w:fill="F7EED4" w:themeFill="accent6" w:themeFillTint="3F"/>
      </w:tcPr>
    </w:tblStylePr>
    <w:tblStylePr w:type="band2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tcBorders>
      </w:tcPr>
    </w:tblStylePr>
    <w:tblStylePr w:type="firstCol">
      <w:rPr>
        <w:b/>
        <w:bCs/>
      </w:rPr>
    </w:tblStylePr>
    <w:tblStylePr w:type="lastCol">
      <w:rPr>
        <w:b/>
        <w:bCs/>
      </w:r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tcBorders>
      </w:tcPr>
    </w:tblStylePr>
    <w:tblStylePr w:type="firstCol">
      <w:rPr>
        <w:b/>
        <w:bCs/>
      </w:rPr>
    </w:tblStylePr>
    <w:tblStylePr w:type="lastCol">
      <w:rPr>
        <w:b/>
        <w:bCs/>
      </w:r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tcBorders>
      </w:tcPr>
    </w:tblStylePr>
    <w:tblStylePr w:type="firstCol">
      <w:rPr>
        <w:b/>
        <w:bCs/>
      </w:rPr>
    </w:tblStylePr>
    <w:tblStylePr w:type="lastCol">
      <w:rPr>
        <w:b/>
        <w:bCs/>
      </w:r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tcBorders>
      </w:tcPr>
    </w:tblStylePr>
    <w:tblStylePr w:type="firstCol">
      <w:rPr>
        <w:b/>
        <w:bCs/>
      </w:rPr>
    </w:tblStylePr>
    <w:tblStylePr w:type="lastCol">
      <w:rPr>
        <w:b/>
        <w:bCs/>
      </w:r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tcBorders>
      </w:tcPr>
    </w:tblStylePr>
    <w:tblStylePr w:type="firstCol">
      <w:rPr>
        <w:b/>
        <w:bCs/>
      </w:rPr>
    </w:tblStylePr>
    <w:tblStylePr w:type="lastCol">
      <w:rPr>
        <w:b/>
        <w:bCs/>
      </w:r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tcBorders>
      </w:tcPr>
    </w:tblStylePr>
    <w:tblStylePr w:type="firstCol">
      <w:rPr>
        <w:b/>
        <w:bCs/>
      </w:rPr>
    </w:tblStylePr>
    <w:tblStylePr w:type="lastCol">
      <w:rPr>
        <w:b/>
        <w:bCs/>
      </w:r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sz="8" w:space="0" w:color="214C5E" w:themeColor="accent1"/>
        <w:bottom w:val="single" w:sz="8" w:space="0" w:color="214C5E" w:themeColor="accent1"/>
      </w:tblBorders>
    </w:tblPr>
    <w:tblStylePr w:type="fir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la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sz="8" w:space="0" w:color="DE4948" w:themeColor="accent2"/>
        <w:bottom w:val="single" w:sz="8" w:space="0" w:color="DE4948" w:themeColor="accent2"/>
      </w:tblBorders>
    </w:tblPr>
    <w:tblStylePr w:type="fir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la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sz="8" w:space="0" w:color="62C7AD" w:themeColor="accent3"/>
        <w:bottom w:val="single" w:sz="8" w:space="0" w:color="62C7AD" w:themeColor="accent3"/>
      </w:tblBorders>
    </w:tblPr>
    <w:tblStylePr w:type="fir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la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sz="8" w:space="0" w:color="731C3F" w:themeColor="accent4"/>
        <w:bottom w:val="single" w:sz="8" w:space="0" w:color="731C3F" w:themeColor="accent4"/>
      </w:tblBorders>
    </w:tblPr>
    <w:tblStylePr w:type="fir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la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sz="8" w:space="0" w:color="D87330" w:themeColor="accent5"/>
        <w:bottom w:val="single" w:sz="8" w:space="0" w:color="D87330" w:themeColor="accent5"/>
      </w:tblBorders>
    </w:tblPr>
    <w:tblStylePr w:type="fir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la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sz="8" w:space="0" w:color="DEBC53" w:themeColor="accent6"/>
        <w:bottom w:val="single" w:sz="8" w:space="0" w:color="DEBC53" w:themeColor="accent6"/>
      </w:tblBorders>
    </w:tblPr>
    <w:tblStylePr w:type="fir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la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54A2C3" w:themeColor="accent1" w:themeTint="99"/>
        </w:tcBorders>
      </w:tcPr>
    </w:tblStylePr>
    <w:tblStylePr w:type="lastRow">
      <w:rPr>
        <w:b/>
        <w:bCs/>
      </w:rPr>
      <w:tblPr/>
      <w:tcPr>
        <w:tcBorders>
          <w:top w:val="sing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9191" w:themeColor="accent2" w:themeTint="99"/>
        </w:tcBorders>
      </w:tcPr>
    </w:tblStylePr>
    <w:tblStylePr w:type="lastRow">
      <w:rPr>
        <w:b/>
        <w:bCs/>
      </w:rPr>
      <w:tblPr/>
      <w:tcPr>
        <w:tcBorders>
          <w:top w:val="sing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A0DDCD" w:themeColor="accent3" w:themeTint="99"/>
        </w:tcBorders>
      </w:tcPr>
    </w:tblStylePr>
    <w:tblStylePr w:type="lastRow">
      <w:rPr>
        <w:b/>
        <w:bCs/>
      </w:rPr>
      <w:tblPr/>
      <w:tcPr>
        <w:tcBorders>
          <w:top w:val="sing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D34D83" w:themeColor="accent4" w:themeTint="99"/>
        </w:tcBorders>
      </w:tcPr>
    </w:tblStylePr>
    <w:tblStylePr w:type="lastRow">
      <w:rPr>
        <w:b/>
        <w:bCs/>
      </w:rPr>
      <w:tblPr/>
      <w:tcPr>
        <w:tcBorders>
          <w:top w:val="sing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7AA82" w:themeColor="accent5" w:themeTint="99"/>
        </w:tcBorders>
      </w:tcPr>
    </w:tblStylePr>
    <w:tblStylePr w:type="lastRow">
      <w:rPr>
        <w:b/>
        <w:bCs/>
      </w:rPr>
      <w:tblPr/>
      <w:tcPr>
        <w:tcBorders>
          <w:top w:val="sing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D697" w:themeColor="accent6" w:themeTint="99"/>
        </w:tcBorders>
      </w:tcPr>
    </w:tblStylePr>
    <w:tblStylePr w:type="lastRow">
      <w:rPr>
        <w:b/>
        <w:bCs/>
      </w:rPr>
      <w:tblPr/>
      <w:tcPr>
        <w:tcBorders>
          <w:top w:val="sing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sz="4" w:space="0" w:color="54A2C3" w:themeColor="accent1" w:themeTint="99"/>
        <w:bottom w:val="single" w:sz="4" w:space="0" w:color="54A2C3" w:themeColor="accent1" w:themeTint="99"/>
        <w:insideH w:val="single" w:sz="4" w:space="0" w:color="54A2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sz="4" w:space="0" w:color="EB9191" w:themeColor="accent2" w:themeTint="99"/>
        <w:bottom w:val="single" w:sz="4" w:space="0" w:color="EB9191" w:themeColor="accent2" w:themeTint="99"/>
        <w:insideH w:val="single" w:sz="4" w:space="0" w:color="EB919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sz="4" w:space="0" w:color="A0DDCD" w:themeColor="accent3" w:themeTint="99"/>
        <w:bottom w:val="single" w:sz="4" w:space="0" w:color="A0DDCD" w:themeColor="accent3" w:themeTint="99"/>
        <w:insideH w:val="single" w:sz="4" w:space="0" w:color="A0DDC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sz="4" w:space="0" w:color="D34D83" w:themeColor="accent4" w:themeTint="99"/>
        <w:bottom w:val="single" w:sz="4" w:space="0" w:color="D34D83" w:themeColor="accent4" w:themeTint="99"/>
        <w:insideH w:val="single" w:sz="4" w:space="0" w:color="D34D8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sz="4" w:space="0" w:color="E7AA82" w:themeColor="accent5" w:themeTint="99"/>
        <w:bottom w:val="single" w:sz="4" w:space="0" w:color="E7AA82" w:themeColor="accent5" w:themeTint="99"/>
        <w:insideH w:val="single" w:sz="4" w:space="0" w:color="E7AA8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sz="4" w:space="0" w:color="EBD697" w:themeColor="accent6" w:themeTint="99"/>
        <w:bottom w:val="single" w:sz="4" w:space="0" w:color="EBD697" w:themeColor="accent6" w:themeTint="99"/>
        <w:insideH w:val="single" w:sz="4" w:space="0" w:color="EBD69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sz="4" w:space="0" w:color="214C5E" w:themeColor="accent1"/>
        <w:left w:val="single" w:sz="4" w:space="0" w:color="214C5E" w:themeColor="accent1"/>
        <w:bottom w:val="single" w:sz="4" w:space="0" w:color="214C5E" w:themeColor="accent1"/>
        <w:right w:val="single" w:sz="4" w:space="0" w:color="214C5E" w:themeColor="accent1"/>
      </w:tblBorders>
    </w:tblPr>
    <w:tblStylePr w:type="firstRow">
      <w:rPr>
        <w:b/>
        <w:bCs/>
        <w:color w:val="FFFFFF" w:themeColor="background1"/>
      </w:rPr>
      <w:tblPr/>
      <w:tcPr>
        <w:shd w:val="clear" w:color="auto" w:fill="214C5E" w:themeFill="accent1"/>
      </w:tcPr>
    </w:tblStylePr>
    <w:tblStylePr w:type="lastRow">
      <w:rPr>
        <w:b/>
        <w:bCs/>
      </w:rPr>
      <w:tblPr/>
      <w:tcPr>
        <w:tcBorders>
          <w:top w:val="double" w:sz="4" w:space="0" w:color="214C5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4C5E" w:themeColor="accent1"/>
          <w:right w:val="single" w:sz="4" w:space="0" w:color="214C5E" w:themeColor="accent1"/>
        </w:tcBorders>
      </w:tcPr>
    </w:tblStylePr>
    <w:tblStylePr w:type="band1Horz">
      <w:tblPr/>
      <w:tcPr>
        <w:tcBorders>
          <w:top w:val="single" w:sz="4" w:space="0" w:color="214C5E" w:themeColor="accent1"/>
          <w:bottom w:val="single" w:sz="4" w:space="0" w:color="214C5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4C5E" w:themeColor="accent1"/>
          <w:left w:val="nil"/>
        </w:tcBorders>
      </w:tcPr>
    </w:tblStylePr>
    <w:tblStylePr w:type="swCell">
      <w:tblPr/>
      <w:tcPr>
        <w:tcBorders>
          <w:top w:val="double" w:sz="4" w:space="0" w:color="214C5E" w:themeColor="accent1"/>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sz="4" w:space="0" w:color="DE4948" w:themeColor="accent2"/>
        <w:left w:val="single" w:sz="4" w:space="0" w:color="DE4948" w:themeColor="accent2"/>
        <w:bottom w:val="single" w:sz="4" w:space="0" w:color="DE4948" w:themeColor="accent2"/>
        <w:right w:val="single" w:sz="4" w:space="0" w:color="DE4948" w:themeColor="accent2"/>
      </w:tblBorders>
    </w:tblPr>
    <w:tblStylePr w:type="firstRow">
      <w:rPr>
        <w:b/>
        <w:bCs/>
        <w:color w:val="FFFFFF" w:themeColor="background1"/>
      </w:rPr>
      <w:tblPr/>
      <w:tcPr>
        <w:shd w:val="clear" w:color="auto" w:fill="DE4948" w:themeFill="accent2"/>
      </w:tcPr>
    </w:tblStylePr>
    <w:tblStylePr w:type="lastRow">
      <w:rPr>
        <w:b/>
        <w:bCs/>
      </w:rPr>
      <w:tblPr/>
      <w:tcPr>
        <w:tcBorders>
          <w:top w:val="double" w:sz="4" w:space="0" w:color="DE4948"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4948" w:themeColor="accent2"/>
          <w:right w:val="single" w:sz="4" w:space="0" w:color="DE4948" w:themeColor="accent2"/>
        </w:tcBorders>
      </w:tcPr>
    </w:tblStylePr>
    <w:tblStylePr w:type="band1Horz">
      <w:tblPr/>
      <w:tcPr>
        <w:tcBorders>
          <w:top w:val="single" w:sz="4" w:space="0" w:color="DE4948" w:themeColor="accent2"/>
          <w:bottom w:val="single" w:sz="4" w:space="0" w:color="DE4948"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4948" w:themeColor="accent2"/>
          <w:left w:val="nil"/>
        </w:tcBorders>
      </w:tcPr>
    </w:tblStylePr>
    <w:tblStylePr w:type="swCell">
      <w:tblPr/>
      <w:tcPr>
        <w:tcBorders>
          <w:top w:val="double" w:sz="4" w:space="0" w:color="DE4948" w:themeColor="accent2"/>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sz="4" w:space="0" w:color="62C7AD" w:themeColor="accent3"/>
        <w:left w:val="single" w:sz="4" w:space="0" w:color="62C7AD" w:themeColor="accent3"/>
        <w:bottom w:val="single" w:sz="4" w:space="0" w:color="62C7AD" w:themeColor="accent3"/>
        <w:right w:val="single" w:sz="4" w:space="0" w:color="62C7AD" w:themeColor="accent3"/>
      </w:tblBorders>
    </w:tblPr>
    <w:tblStylePr w:type="firstRow">
      <w:rPr>
        <w:b/>
        <w:bCs/>
        <w:color w:val="FFFFFF" w:themeColor="background1"/>
      </w:rPr>
      <w:tblPr/>
      <w:tcPr>
        <w:shd w:val="clear" w:color="auto" w:fill="62C7AD" w:themeFill="accent3"/>
      </w:tcPr>
    </w:tblStylePr>
    <w:tblStylePr w:type="lastRow">
      <w:rPr>
        <w:b/>
        <w:bCs/>
      </w:rPr>
      <w:tblPr/>
      <w:tcPr>
        <w:tcBorders>
          <w:top w:val="double" w:sz="4" w:space="0" w:color="62C7A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2C7AD" w:themeColor="accent3"/>
          <w:right w:val="single" w:sz="4" w:space="0" w:color="62C7AD" w:themeColor="accent3"/>
        </w:tcBorders>
      </w:tcPr>
    </w:tblStylePr>
    <w:tblStylePr w:type="band1Horz">
      <w:tblPr/>
      <w:tcPr>
        <w:tcBorders>
          <w:top w:val="single" w:sz="4" w:space="0" w:color="62C7AD" w:themeColor="accent3"/>
          <w:bottom w:val="single" w:sz="4" w:space="0" w:color="62C7A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2C7AD" w:themeColor="accent3"/>
          <w:left w:val="nil"/>
        </w:tcBorders>
      </w:tcPr>
    </w:tblStylePr>
    <w:tblStylePr w:type="swCell">
      <w:tblPr/>
      <w:tcPr>
        <w:tcBorders>
          <w:top w:val="double" w:sz="4" w:space="0" w:color="62C7AD" w:themeColor="accent3"/>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sz="4" w:space="0" w:color="731C3F" w:themeColor="accent4"/>
        <w:left w:val="single" w:sz="4" w:space="0" w:color="731C3F" w:themeColor="accent4"/>
        <w:bottom w:val="single" w:sz="4" w:space="0" w:color="731C3F" w:themeColor="accent4"/>
        <w:right w:val="single" w:sz="4" w:space="0" w:color="731C3F" w:themeColor="accent4"/>
      </w:tblBorders>
    </w:tblPr>
    <w:tblStylePr w:type="firstRow">
      <w:rPr>
        <w:b/>
        <w:bCs/>
        <w:color w:val="FFFFFF" w:themeColor="background1"/>
      </w:rPr>
      <w:tblPr/>
      <w:tcPr>
        <w:shd w:val="clear" w:color="auto" w:fill="731C3F" w:themeFill="accent4"/>
      </w:tcPr>
    </w:tblStylePr>
    <w:tblStylePr w:type="lastRow">
      <w:rPr>
        <w:b/>
        <w:bCs/>
      </w:rPr>
      <w:tblPr/>
      <w:tcPr>
        <w:tcBorders>
          <w:top w:val="double" w:sz="4" w:space="0" w:color="731C3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31C3F" w:themeColor="accent4"/>
          <w:right w:val="single" w:sz="4" w:space="0" w:color="731C3F" w:themeColor="accent4"/>
        </w:tcBorders>
      </w:tcPr>
    </w:tblStylePr>
    <w:tblStylePr w:type="band1Horz">
      <w:tblPr/>
      <w:tcPr>
        <w:tcBorders>
          <w:top w:val="single" w:sz="4" w:space="0" w:color="731C3F" w:themeColor="accent4"/>
          <w:bottom w:val="single" w:sz="4" w:space="0" w:color="731C3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31C3F" w:themeColor="accent4"/>
          <w:left w:val="nil"/>
        </w:tcBorders>
      </w:tcPr>
    </w:tblStylePr>
    <w:tblStylePr w:type="swCell">
      <w:tblPr/>
      <w:tcPr>
        <w:tcBorders>
          <w:top w:val="double" w:sz="4" w:space="0" w:color="731C3F" w:themeColor="accent4"/>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sz="4" w:space="0" w:color="D87330" w:themeColor="accent5"/>
        <w:left w:val="single" w:sz="4" w:space="0" w:color="D87330" w:themeColor="accent5"/>
        <w:bottom w:val="single" w:sz="4" w:space="0" w:color="D87330" w:themeColor="accent5"/>
        <w:right w:val="single" w:sz="4" w:space="0" w:color="D87330" w:themeColor="accent5"/>
      </w:tblBorders>
    </w:tblPr>
    <w:tblStylePr w:type="firstRow">
      <w:rPr>
        <w:b/>
        <w:bCs/>
        <w:color w:val="FFFFFF" w:themeColor="background1"/>
      </w:rPr>
      <w:tblPr/>
      <w:tcPr>
        <w:shd w:val="clear" w:color="auto" w:fill="D87330" w:themeFill="accent5"/>
      </w:tcPr>
    </w:tblStylePr>
    <w:tblStylePr w:type="lastRow">
      <w:rPr>
        <w:b/>
        <w:bCs/>
      </w:rPr>
      <w:tblPr/>
      <w:tcPr>
        <w:tcBorders>
          <w:top w:val="double" w:sz="4" w:space="0" w:color="D8733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87330" w:themeColor="accent5"/>
          <w:right w:val="single" w:sz="4" w:space="0" w:color="D87330" w:themeColor="accent5"/>
        </w:tcBorders>
      </w:tcPr>
    </w:tblStylePr>
    <w:tblStylePr w:type="band1Horz">
      <w:tblPr/>
      <w:tcPr>
        <w:tcBorders>
          <w:top w:val="single" w:sz="4" w:space="0" w:color="D87330" w:themeColor="accent5"/>
          <w:bottom w:val="single" w:sz="4" w:space="0" w:color="D8733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7330" w:themeColor="accent5"/>
          <w:left w:val="nil"/>
        </w:tcBorders>
      </w:tcPr>
    </w:tblStylePr>
    <w:tblStylePr w:type="swCell">
      <w:tblPr/>
      <w:tcPr>
        <w:tcBorders>
          <w:top w:val="double" w:sz="4" w:space="0" w:color="D87330" w:themeColor="accent5"/>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sz="4" w:space="0" w:color="DEBC53" w:themeColor="accent6"/>
        <w:left w:val="single" w:sz="4" w:space="0" w:color="DEBC53" w:themeColor="accent6"/>
        <w:bottom w:val="single" w:sz="4" w:space="0" w:color="DEBC53" w:themeColor="accent6"/>
        <w:right w:val="single" w:sz="4" w:space="0" w:color="DEBC53" w:themeColor="accent6"/>
      </w:tblBorders>
    </w:tblPr>
    <w:tblStylePr w:type="firstRow">
      <w:rPr>
        <w:b/>
        <w:bCs/>
        <w:color w:val="FFFFFF" w:themeColor="background1"/>
      </w:rPr>
      <w:tblPr/>
      <w:tcPr>
        <w:shd w:val="clear" w:color="auto" w:fill="DEBC53" w:themeFill="accent6"/>
      </w:tcPr>
    </w:tblStylePr>
    <w:tblStylePr w:type="lastRow">
      <w:rPr>
        <w:b/>
        <w:bCs/>
      </w:rPr>
      <w:tblPr/>
      <w:tcPr>
        <w:tcBorders>
          <w:top w:val="double" w:sz="4" w:space="0" w:color="DEBC5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BC53" w:themeColor="accent6"/>
          <w:right w:val="single" w:sz="4" w:space="0" w:color="DEBC53" w:themeColor="accent6"/>
        </w:tcBorders>
      </w:tcPr>
    </w:tblStylePr>
    <w:tblStylePr w:type="band1Horz">
      <w:tblPr/>
      <w:tcPr>
        <w:tcBorders>
          <w:top w:val="single" w:sz="4" w:space="0" w:color="DEBC53" w:themeColor="accent6"/>
          <w:bottom w:val="single" w:sz="4" w:space="0" w:color="DEBC5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BC53" w:themeColor="accent6"/>
          <w:left w:val="nil"/>
        </w:tcBorders>
      </w:tcPr>
    </w:tblStylePr>
    <w:tblStylePr w:type="swCell">
      <w:tblPr/>
      <w:tcPr>
        <w:tcBorders>
          <w:top w:val="double" w:sz="4" w:space="0" w:color="DEBC53" w:themeColor="accent6"/>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tcBorders>
        <w:shd w:val="clear" w:color="auto" w:fill="214C5E" w:themeFill="accent1"/>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tcBorders>
        <w:shd w:val="clear" w:color="auto" w:fill="DE4948" w:themeFill="accent2"/>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tcBorders>
        <w:shd w:val="clear" w:color="auto" w:fill="62C7AD" w:themeFill="accent3"/>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tcBorders>
        <w:shd w:val="clear" w:color="auto" w:fill="731C3F" w:themeFill="accent4"/>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tcBorders>
        <w:shd w:val="clear" w:color="auto" w:fill="D87330" w:themeFill="accent5"/>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tcBorders>
        <w:shd w:val="clear" w:color="auto" w:fill="DEBC53" w:themeFill="accent6"/>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sz="24" w:space="0" w:color="214C5E" w:themeColor="accent1"/>
        <w:left w:val="single" w:sz="24" w:space="0" w:color="214C5E" w:themeColor="accent1"/>
        <w:bottom w:val="single" w:sz="24" w:space="0" w:color="214C5E" w:themeColor="accent1"/>
        <w:right w:val="single" w:sz="24" w:space="0" w:color="214C5E" w:themeColor="accent1"/>
      </w:tblBorders>
    </w:tblPr>
    <w:tcPr>
      <w:shd w:val="clear" w:color="auto" w:fill="214C5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sz="24" w:space="0" w:color="DE4948" w:themeColor="accent2"/>
        <w:left w:val="single" w:sz="24" w:space="0" w:color="DE4948" w:themeColor="accent2"/>
        <w:bottom w:val="single" w:sz="24" w:space="0" w:color="DE4948" w:themeColor="accent2"/>
        <w:right w:val="single" w:sz="24" w:space="0" w:color="DE4948" w:themeColor="accent2"/>
      </w:tblBorders>
    </w:tblPr>
    <w:tcPr>
      <w:shd w:val="clear" w:color="auto" w:fill="DE494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sz="24" w:space="0" w:color="62C7AD" w:themeColor="accent3"/>
        <w:left w:val="single" w:sz="24" w:space="0" w:color="62C7AD" w:themeColor="accent3"/>
        <w:bottom w:val="single" w:sz="24" w:space="0" w:color="62C7AD" w:themeColor="accent3"/>
        <w:right w:val="single" w:sz="24" w:space="0" w:color="62C7AD" w:themeColor="accent3"/>
      </w:tblBorders>
    </w:tblPr>
    <w:tcPr>
      <w:shd w:val="clear" w:color="auto" w:fill="62C7A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sz="24" w:space="0" w:color="731C3F" w:themeColor="accent4"/>
        <w:left w:val="single" w:sz="24" w:space="0" w:color="731C3F" w:themeColor="accent4"/>
        <w:bottom w:val="single" w:sz="24" w:space="0" w:color="731C3F" w:themeColor="accent4"/>
        <w:right w:val="single" w:sz="24" w:space="0" w:color="731C3F" w:themeColor="accent4"/>
      </w:tblBorders>
    </w:tblPr>
    <w:tcPr>
      <w:shd w:val="clear" w:color="auto" w:fill="731C3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sz="24" w:space="0" w:color="D87330" w:themeColor="accent5"/>
        <w:left w:val="single" w:sz="24" w:space="0" w:color="D87330" w:themeColor="accent5"/>
        <w:bottom w:val="single" w:sz="24" w:space="0" w:color="D87330" w:themeColor="accent5"/>
        <w:right w:val="single" w:sz="24" w:space="0" w:color="D87330" w:themeColor="accent5"/>
      </w:tblBorders>
    </w:tblPr>
    <w:tcPr>
      <w:shd w:val="clear" w:color="auto" w:fill="D8733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sz="24" w:space="0" w:color="DEBC53" w:themeColor="accent6"/>
        <w:left w:val="single" w:sz="24" w:space="0" w:color="DEBC53" w:themeColor="accent6"/>
        <w:bottom w:val="single" w:sz="24" w:space="0" w:color="DEBC53" w:themeColor="accent6"/>
        <w:right w:val="single" w:sz="24" w:space="0" w:color="DEBC53" w:themeColor="accent6"/>
      </w:tblBorders>
    </w:tblPr>
    <w:tcPr>
      <w:shd w:val="clear" w:color="auto" w:fill="DEBC5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214C5E" w:themeColor="accent1"/>
        <w:bottom w:val="single" w:sz="4" w:space="0" w:color="214C5E" w:themeColor="accent1"/>
      </w:tblBorders>
    </w:tblPr>
    <w:tblStylePr w:type="firstRow">
      <w:rPr>
        <w:b/>
        <w:bCs/>
      </w:rPr>
      <w:tblPr/>
      <w:tcPr>
        <w:tcBorders>
          <w:bottom w:val="single" w:sz="4" w:space="0" w:color="214C5E" w:themeColor="accent1"/>
        </w:tcBorders>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DE4948" w:themeColor="accent2"/>
        <w:bottom w:val="single" w:sz="4" w:space="0" w:color="DE4948" w:themeColor="accent2"/>
      </w:tblBorders>
    </w:tblPr>
    <w:tblStylePr w:type="firstRow">
      <w:rPr>
        <w:b/>
        <w:bCs/>
      </w:rPr>
      <w:tblPr/>
      <w:tcPr>
        <w:tcBorders>
          <w:bottom w:val="single" w:sz="4" w:space="0" w:color="DE4948" w:themeColor="accent2"/>
        </w:tcBorders>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62C7AD" w:themeColor="accent3"/>
        <w:bottom w:val="single" w:sz="4" w:space="0" w:color="62C7AD" w:themeColor="accent3"/>
      </w:tblBorders>
    </w:tblPr>
    <w:tblStylePr w:type="firstRow">
      <w:rPr>
        <w:b/>
        <w:bCs/>
      </w:rPr>
      <w:tblPr/>
      <w:tcPr>
        <w:tcBorders>
          <w:bottom w:val="single" w:sz="4" w:space="0" w:color="62C7AD" w:themeColor="accent3"/>
        </w:tcBorders>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731C3F" w:themeColor="accent4"/>
        <w:bottom w:val="single" w:sz="4" w:space="0" w:color="731C3F" w:themeColor="accent4"/>
      </w:tblBorders>
    </w:tblPr>
    <w:tblStylePr w:type="firstRow">
      <w:rPr>
        <w:b/>
        <w:bCs/>
      </w:rPr>
      <w:tblPr/>
      <w:tcPr>
        <w:tcBorders>
          <w:bottom w:val="single" w:sz="4" w:space="0" w:color="731C3F" w:themeColor="accent4"/>
        </w:tcBorders>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D87330" w:themeColor="accent5"/>
        <w:bottom w:val="single" w:sz="4" w:space="0" w:color="D87330" w:themeColor="accent5"/>
      </w:tblBorders>
    </w:tblPr>
    <w:tblStylePr w:type="firstRow">
      <w:rPr>
        <w:b/>
        <w:bCs/>
      </w:rPr>
      <w:tblPr/>
      <w:tcPr>
        <w:tcBorders>
          <w:bottom w:val="single" w:sz="4" w:space="0" w:color="D87330" w:themeColor="accent5"/>
        </w:tcBorders>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DEBC53" w:themeColor="accent6"/>
        <w:bottom w:val="single" w:sz="4" w:space="0" w:color="DEBC53" w:themeColor="accent6"/>
      </w:tblBorders>
    </w:tblPr>
    <w:tblStylePr w:type="firstRow">
      <w:rPr>
        <w:b/>
        <w:bCs/>
      </w:rPr>
      <w:tblPr/>
      <w:tcPr>
        <w:tcBorders>
          <w:bottom w:val="single" w:sz="4" w:space="0" w:color="DEBC53" w:themeColor="accent6"/>
        </w:tcBorders>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4C5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4C5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4C5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4C5E" w:themeColor="accent1"/>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494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494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494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4948" w:themeColor="accent2"/>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2C7A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2C7A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2C7A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2C7AD" w:themeColor="accent3"/>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31C3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31C3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31C3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31C3F" w:themeColor="accent4"/>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733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8733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733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87330" w:themeColor="accent5"/>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BC5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BC5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BC5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BC53" w:themeColor="accent6"/>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insideV w:val="single" w:sz="8" w:space="0" w:color="3A85A4" w:themeColor="accent1" w:themeTint="BF"/>
      </w:tblBorders>
    </w:tblPr>
    <w:tcPr>
      <w:shd w:val="clear" w:color="auto" w:fill="B8D8E6" w:themeFill="accent1" w:themeFillTint="3F"/>
    </w:tcPr>
    <w:tblStylePr w:type="firstRow">
      <w:rPr>
        <w:b/>
        <w:bCs/>
      </w:rPr>
    </w:tblStylePr>
    <w:tblStylePr w:type="lastRow">
      <w:rPr>
        <w:b/>
        <w:bCs/>
      </w:rPr>
      <w:tblPr/>
      <w:tcPr>
        <w:tcBorders>
          <w:top w:val="single" w:sz="18" w:space="0" w:color="3A85A4" w:themeColor="accent1" w:themeTint="BF"/>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insideV w:val="single" w:sz="8" w:space="0" w:color="E67675" w:themeColor="accent2" w:themeTint="BF"/>
      </w:tblBorders>
    </w:tblPr>
    <w:tcPr>
      <w:shd w:val="clear" w:color="auto" w:fill="F6D1D1" w:themeFill="accent2" w:themeFillTint="3F"/>
    </w:tcPr>
    <w:tblStylePr w:type="firstRow">
      <w:rPr>
        <w:b/>
        <w:bCs/>
      </w:rPr>
    </w:tblStylePr>
    <w:tblStylePr w:type="lastRow">
      <w:rPr>
        <w:b/>
        <w:bCs/>
      </w:rPr>
      <w:tblPr/>
      <w:tcPr>
        <w:tcBorders>
          <w:top w:val="single" w:sz="18" w:space="0" w:color="E67675" w:themeColor="accent2" w:themeTint="BF"/>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insideV w:val="single" w:sz="8" w:space="0" w:color="89D5C1" w:themeColor="accent3" w:themeTint="BF"/>
      </w:tblBorders>
    </w:tblPr>
    <w:tcPr>
      <w:shd w:val="clear" w:color="auto" w:fill="D8F1EA" w:themeFill="accent3" w:themeFillTint="3F"/>
    </w:tcPr>
    <w:tblStylePr w:type="firstRow">
      <w:rPr>
        <w:b/>
        <w:bCs/>
      </w:rPr>
    </w:tblStylePr>
    <w:tblStylePr w:type="lastRow">
      <w:rPr>
        <w:b/>
        <w:bCs/>
      </w:rPr>
      <w:tblPr/>
      <w:tcPr>
        <w:tcBorders>
          <w:top w:val="single" w:sz="18" w:space="0" w:color="89D5C1" w:themeColor="accent3" w:themeTint="BF"/>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insideV w:val="single" w:sz="8" w:space="0" w:color="BC2E67" w:themeColor="accent4" w:themeTint="BF"/>
      </w:tblBorders>
    </w:tblPr>
    <w:tcPr>
      <w:shd w:val="clear" w:color="auto" w:fill="EDB5CB" w:themeFill="accent4" w:themeFillTint="3F"/>
    </w:tcPr>
    <w:tblStylePr w:type="firstRow">
      <w:rPr>
        <w:b/>
        <w:bCs/>
      </w:rPr>
    </w:tblStylePr>
    <w:tblStylePr w:type="lastRow">
      <w:rPr>
        <w:b/>
        <w:bCs/>
      </w:rPr>
      <w:tblPr/>
      <w:tcPr>
        <w:tcBorders>
          <w:top w:val="single" w:sz="18" w:space="0" w:color="BC2E67" w:themeColor="accent4" w:themeTint="BF"/>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insideV w:val="single" w:sz="8" w:space="0" w:color="E19563" w:themeColor="accent5" w:themeTint="BF"/>
      </w:tblBorders>
    </w:tblPr>
    <w:tcPr>
      <w:shd w:val="clear" w:color="auto" w:fill="F5DCCB" w:themeFill="accent5" w:themeFillTint="3F"/>
    </w:tcPr>
    <w:tblStylePr w:type="firstRow">
      <w:rPr>
        <w:b/>
        <w:bCs/>
      </w:rPr>
    </w:tblStylePr>
    <w:tblStylePr w:type="lastRow">
      <w:rPr>
        <w:b/>
        <w:bCs/>
      </w:rPr>
      <w:tblPr/>
      <w:tcPr>
        <w:tcBorders>
          <w:top w:val="single" w:sz="18" w:space="0" w:color="E19563" w:themeColor="accent5" w:themeTint="BF"/>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insideV w:val="single" w:sz="8" w:space="0" w:color="E6CC7E" w:themeColor="accent6" w:themeTint="BF"/>
      </w:tblBorders>
    </w:tblPr>
    <w:tcPr>
      <w:shd w:val="clear" w:color="auto" w:fill="F7EED4" w:themeFill="accent6" w:themeFillTint="3F"/>
    </w:tcPr>
    <w:tblStylePr w:type="firstRow">
      <w:rPr>
        <w:b/>
        <w:bCs/>
      </w:rPr>
    </w:tblStylePr>
    <w:tblStylePr w:type="lastRow">
      <w:rPr>
        <w:b/>
        <w:bCs/>
      </w:rPr>
      <w:tblPr/>
      <w:tcPr>
        <w:tcBorders>
          <w:top w:val="single" w:sz="18" w:space="0" w:color="E6CC7E" w:themeColor="accent6" w:themeTint="BF"/>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sz="6" w:space="0" w:color="214C5E" w:themeColor="accent1"/>
          <w:insideV w:val="single" w:sz="6" w:space="0" w:color="214C5E" w:themeColor="accent1"/>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sz="6" w:space="0" w:color="DE4948" w:themeColor="accent2"/>
          <w:insideV w:val="single" w:sz="6" w:space="0" w:color="DE4948" w:themeColor="accent2"/>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sz="6" w:space="0" w:color="62C7AD" w:themeColor="accent3"/>
          <w:insideV w:val="single" w:sz="6" w:space="0" w:color="62C7AD" w:themeColor="accent3"/>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sz="6" w:space="0" w:color="731C3F" w:themeColor="accent4"/>
          <w:insideV w:val="single" w:sz="6" w:space="0" w:color="731C3F" w:themeColor="accent4"/>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sz="6" w:space="0" w:color="D87330" w:themeColor="accent5"/>
          <w:insideV w:val="single" w:sz="6" w:space="0" w:color="D87330" w:themeColor="accent5"/>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sz="6" w:space="0" w:color="DEBC53" w:themeColor="accent6"/>
          <w:insideV w:val="single" w:sz="6" w:space="0" w:color="DEBC53" w:themeColor="accent6"/>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8D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4C5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4C5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1B2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D1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494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494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A3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1E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2C7A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2C7A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E3D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B5C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31C3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31C3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6B9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CCB"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733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733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B89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EED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BC5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BC5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DDA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030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sz="8" w:space="0" w:color="214C5E" w:themeColor="accent1"/>
        <w:bottom w:val="single" w:sz="8" w:space="0" w:color="214C5E" w:themeColor="accent1"/>
      </w:tblBorders>
    </w:tblPr>
    <w:tblStylePr w:type="firstRow">
      <w:rPr>
        <w:rFonts w:asciiTheme="majorHAnsi" w:eastAsiaTheme="majorEastAsia" w:hAnsiTheme="majorHAnsi" w:cstheme="majorBidi"/>
      </w:rPr>
      <w:tblPr/>
      <w:tcPr>
        <w:tcBorders>
          <w:top w:val="nil"/>
          <w:bottom w:val="single" w:sz="8" w:space="0" w:color="214C5E" w:themeColor="accent1"/>
        </w:tcBorders>
      </w:tcPr>
    </w:tblStylePr>
    <w:tblStylePr w:type="lastRow">
      <w:rPr>
        <w:b/>
        <w:bCs/>
        <w:color w:val="37030F" w:themeColor="text2"/>
      </w:rPr>
      <w:tblPr/>
      <w:tcPr>
        <w:tcBorders>
          <w:top w:val="single" w:sz="8" w:space="0" w:color="214C5E" w:themeColor="accent1"/>
          <w:bottom w:val="single" w:sz="8" w:space="0" w:color="214C5E" w:themeColor="accent1"/>
        </w:tcBorders>
      </w:tcPr>
    </w:tblStylePr>
    <w:tblStylePr w:type="firstCol">
      <w:rPr>
        <w:b/>
        <w:bCs/>
      </w:rPr>
    </w:tblStylePr>
    <w:tblStylePr w:type="lastCol">
      <w:rPr>
        <w:b/>
        <w:bCs/>
      </w:rPr>
      <w:tblPr/>
      <w:tcPr>
        <w:tcBorders>
          <w:top w:val="single" w:sz="8" w:space="0" w:color="214C5E" w:themeColor="accent1"/>
          <w:bottom w:val="single" w:sz="8" w:space="0" w:color="214C5E" w:themeColor="accent1"/>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4948" w:themeColor="accent2"/>
        <w:bottom w:val="single" w:sz="8" w:space="0" w:color="DE4948" w:themeColor="accent2"/>
      </w:tblBorders>
    </w:tblPr>
    <w:tblStylePr w:type="firstRow">
      <w:rPr>
        <w:rFonts w:asciiTheme="majorHAnsi" w:eastAsiaTheme="majorEastAsia" w:hAnsiTheme="majorHAnsi" w:cstheme="majorBidi"/>
      </w:rPr>
      <w:tblPr/>
      <w:tcPr>
        <w:tcBorders>
          <w:top w:val="nil"/>
          <w:bottom w:val="single" w:sz="8" w:space="0" w:color="DE4948" w:themeColor="accent2"/>
        </w:tcBorders>
      </w:tcPr>
    </w:tblStylePr>
    <w:tblStylePr w:type="lastRow">
      <w:rPr>
        <w:b/>
        <w:bCs/>
        <w:color w:val="37030F" w:themeColor="text2"/>
      </w:rPr>
      <w:tblPr/>
      <w:tcPr>
        <w:tcBorders>
          <w:top w:val="single" w:sz="8" w:space="0" w:color="DE4948" w:themeColor="accent2"/>
          <w:bottom w:val="single" w:sz="8" w:space="0" w:color="DE4948" w:themeColor="accent2"/>
        </w:tcBorders>
      </w:tcPr>
    </w:tblStylePr>
    <w:tblStylePr w:type="firstCol">
      <w:rPr>
        <w:b/>
        <w:bCs/>
      </w:rPr>
    </w:tblStylePr>
    <w:tblStylePr w:type="lastCol">
      <w:rPr>
        <w:b/>
        <w:bCs/>
      </w:rPr>
      <w:tblPr/>
      <w:tcPr>
        <w:tcBorders>
          <w:top w:val="single" w:sz="8" w:space="0" w:color="DE4948" w:themeColor="accent2"/>
          <w:bottom w:val="single" w:sz="8" w:space="0" w:color="DE4948" w:themeColor="accent2"/>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62C7AD" w:themeColor="accent3"/>
        <w:bottom w:val="single" w:sz="8" w:space="0" w:color="62C7AD" w:themeColor="accent3"/>
      </w:tblBorders>
    </w:tblPr>
    <w:tblStylePr w:type="firstRow">
      <w:rPr>
        <w:rFonts w:asciiTheme="majorHAnsi" w:eastAsiaTheme="majorEastAsia" w:hAnsiTheme="majorHAnsi" w:cstheme="majorBidi"/>
      </w:rPr>
      <w:tblPr/>
      <w:tcPr>
        <w:tcBorders>
          <w:top w:val="nil"/>
          <w:bottom w:val="single" w:sz="8" w:space="0" w:color="62C7AD" w:themeColor="accent3"/>
        </w:tcBorders>
      </w:tcPr>
    </w:tblStylePr>
    <w:tblStylePr w:type="lastRow">
      <w:rPr>
        <w:b/>
        <w:bCs/>
        <w:color w:val="37030F" w:themeColor="text2"/>
      </w:rPr>
      <w:tblPr/>
      <w:tcPr>
        <w:tcBorders>
          <w:top w:val="single" w:sz="8" w:space="0" w:color="62C7AD" w:themeColor="accent3"/>
          <w:bottom w:val="single" w:sz="8" w:space="0" w:color="62C7AD" w:themeColor="accent3"/>
        </w:tcBorders>
      </w:tcPr>
    </w:tblStylePr>
    <w:tblStylePr w:type="firstCol">
      <w:rPr>
        <w:b/>
        <w:bCs/>
      </w:rPr>
    </w:tblStylePr>
    <w:tblStylePr w:type="lastCol">
      <w:rPr>
        <w:b/>
        <w:bCs/>
      </w:rPr>
      <w:tblPr/>
      <w:tcPr>
        <w:tcBorders>
          <w:top w:val="single" w:sz="8" w:space="0" w:color="62C7AD" w:themeColor="accent3"/>
          <w:bottom w:val="single" w:sz="8" w:space="0" w:color="62C7AD" w:themeColor="accent3"/>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731C3F" w:themeColor="accent4"/>
        <w:bottom w:val="single" w:sz="8" w:space="0" w:color="731C3F" w:themeColor="accent4"/>
      </w:tblBorders>
    </w:tblPr>
    <w:tblStylePr w:type="firstRow">
      <w:rPr>
        <w:rFonts w:asciiTheme="majorHAnsi" w:eastAsiaTheme="majorEastAsia" w:hAnsiTheme="majorHAnsi" w:cstheme="majorBidi"/>
      </w:rPr>
      <w:tblPr/>
      <w:tcPr>
        <w:tcBorders>
          <w:top w:val="nil"/>
          <w:bottom w:val="single" w:sz="8" w:space="0" w:color="731C3F" w:themeColor="accent4"/>
        </w:tcBorders>
      </w:tcPr>
    </w:tblStylePr>
    <w:tblStylePr w:type="lastRow">
      <w:rPr>
        <w:b/>
        <w:bCs/>
        <w:color w:val="37030F" w:themeColor="text2"/>
      </w:rPr>
      <w:tblPr/>
      <w:tcPr>
        <w:tcBorders>
          <w:top w:val="single" w:sz="8" w:space="0" w:color="731C3F" w:themeColor="accent4"/>
          <w:bottom w:val="single" w:sz="8" w:space="0" w:color="731C3F" w:themeColor="accent4"/>
        </w:tcBorders>
      </w:tcPr>
    </w:tblStylePr>
    <w:tblStylePr w:type="firstCol">
      <w:rPr>
        <w:b/>
        <w:bCs/>
      </w:rPr>
    </w:tblStylePr>
    <w:tblStylePr w:type="lastCol">
      <w:rPr>
        <w:b/>
        <w:bCs/>
      </w:rPr>
      <w:tblPr/>
      <w:tcPr>
        <w:tcBorders>
          <w:top w:val="single" w:sz="8" w:space="0" w:color="731C3F" w:themeColor="accent4"/>
          <w:bottom w:val="single" w:sz="8" w:space="0" w:color="731C3F" w:themeColor="accent4"/>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87330" w:themeColor="accent5"/>
        <w:bottom w:val="single" w:sz="8" w:space="0" w:color="D87330" w:themeColor="accent5"/>
      </w:tblBorders>
    </w:tblPr>
    <w:tblStylePr w:type="firstRow">
      <w:rPr>
        <w:rFonts w:asciiTheme="majorHAnsi" w:eastAsiaTheme="majorEastAsia" w:hAnsiTheme="majorHAnsi" w:cstheme="majorBidi"/>
      </w:rPr>
      <w:tblPr/>
      <w:tcPr>
        <w:tcBorders>
          <w:top w:val="nil"/>
          <w:bottom w:val="single" w:sz="8" w:space="0" w:color="D87330" w:themeColor="accent5"/>
        </w:tcBorders>
      </w:tcPr>
    </w:tblStylePr>
    <w:tblStylePr w:type="lastRow">
      <w:rPr>
        <w:b/>
        <w:bCs/>
        <w:color w:val="37030F" w:themeColor="text2"/>
      </w:rPr>
      <w:tblPr/>
      <w:tcPr>
        <w:tcBorders>
          <w:top w:val="single" w:sz="8" w:space="0" w:color="D87330" w:themeColor="accent5"/>
          <w:bottom w:val="single" w:sz="8" w:space="0" w:color="D87330" w:themeColor="accent5"/>
        </w:tcBorders>
      </w:tcPr>
    </w:tblStylePr>
    <w:tblStylePr w:type="firstCol">
      <w:rPr>
        <w:b/>
        <w:bCs/>
      </w:rPr>
    </w:tblStylePr>
    <w:tblStylePr w:type="lastCol">
      <w:rPr>
        <w:b/>
        <w:bCs/>
      </w:rPr>
      <w:tblPr/>
      <w:tcPr>
        <w:tcBorders>
          <w:top w:val="single" w:sz="8" w:space="0" w:color="D87330" w:themeColor="accent5"/>
          <w:bottom w:val="single" w:sz="8" w:space="0" w:color="D87330" w:themeColor="accent5"/>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BC53" w:themeColor="accent6"/>
        <w:bottom w:val="single" w:sz="8" w:space="0" w:color="DEBC53" w:themeColor="accent6"/>
      </w:tblBorders>
    </w:tblPr>
    <w:tblStylePr w:type="firstRow">
      <w:rPr>
        <w:rFonts w:asciiTheme="majorHAnsi" w:eastAsiaTheme="majorEastAsia" w:hAnsiTheme="majorHAnsi" w:cstheme="majorBidi"/>
      </w:rPr>
      <w:tblPr/>
      <w:tcPr>
        <w:tcBorders>
          <w:top w:val="nil"/>
          <w:bottom w:val="single" w:sz="8" w:space="0" w:color="DEBC53" w:themeColor="accent6"/>
        </w:tcBorders>
      </w:tcPr>
    </w:tblStylePr>
    <w:tblStylePr w:type="lastRow">
      <w:rPr>
        <w:b/>
        <w:bCs/>
        <w:color w:val="37030F" w:themeColor="text2"/>
      </w:rPr>
      <w:tblPr/>
      <w:tcPr>
        <w:tcBorders>
          <w:top w:val="single" w:sz="8" w:space="0" w:color="DEBC53" w:themeColor="accent6"/>
          <w:bottom w:val="single" w:sz="8" w:space="0" w:color="DEBC53" w:themeColor="accent6"/>
        </w:tcBorders>
      </w:tcPr>
    </w:tblStylePr>
    <w:tblStylePr w:type="firstCol">
      <w:rPr>
        <w:b/>
        <w:bCs/>
      </w:rPr>
    </w:tblStylePr>
    <w:tblStylePr w:type="lastCol">
      <w:rPr>
        <w:b/>
        <w:bCs/>
      </w:rPr>
      <w:tblPr/>
      <w:tcPr>
        <w:tcBorders>
          <w:top w:val="single" w:sz="8" w:space="0" w:color="DEBC53" w:themeColor="accent6"/>
          <w:bottom w:val="single" w:sz="8" w:space="0" w:color="DEBC53" w:themeColor="accent6"/>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rPr>
        <w:sz w:val="24"/>
        <w:szCs w:val="24"/>
      </w:rPr>
      <w:tblPr/>
      <w:tcPr>
        <w:tcBorders>
          <w:top w:val="nil"/>
          <w:left w:val="nil"/>
          <w:bottom w:val="single" w:sz="24" w:space="0" w:color="214C5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4C5E" w:themeColor="accent1"/>
          <w:insideH w:val="nil"/>
          <w:insideV w:val="nil"/>
        </w:tcBorders>
        <w:shd w:val="clear" w:color="auto" w:fill="FFFFFF" w:themeFill="background1"/>
      </w:tcPr>
    </w:tblStylePr>
    <w:tblStylePr w:type="lastCol">
      <w:tblPr/>
      <w:tcPr>
        <w:tcBorders>
          <w:top w:val="nil"/>
          <w:left w:val="single" w:sz="8" w:space="0" w:color="214C5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rPr>
        <w:sz w:val="24"/>
        <w:szCs w:val="24"/>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4948" w:themeColor="accent2"/>
          <w:insideH w:val="nil"/>
          <w:insideV w:val="nil"/>
        </w:tcBorders>
        <w:shd w:val="clear" w:color="auto" w:fill="FFFFFF" w:themeFill="background1"/>
      </w:tcPr>
    </w:tblStylePr>
    <w:tblStylePr w:type="lastCol">
      <w:tblPr/>
      <w:tcPr>
        <w:tcBorders>
          <w:top w:val="nil"/>
          <w:left w:val="single" w:sz="8" w:space="0" w:color="DE494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rPr>
        <w:sz w:val="24"/>
        <w:szCs w:val="24"/>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2C7AD" w:themeColor="accent3"/>
          <w:insideH w:val="nil"/>
          <w:insideV w:val="nil"/>
        </w:tcBorders>
        <w:shd w:val="clear" w:color="auto" w:fill="FFFFFF" w:themeFill="background1"/>
      </w:tcPr>
    </w:tblStylePr>
    <w:tblStylePr w:type="lastCol">
      <w:tblPr/>
      <w:tcPr>
        <w:tcBorders>
          <w:top w:val="nil"/>
          <w:left w:val="single" w:sz="8" w:space="0" w:color="62C7A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rPr>
        <w:sz w:val="24"/>
        <w:szCs w:val="24"/>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31C3F" w:themeColor="accent4"/>
          <w:insideH w:val="nil"/>
          <w:insideV w:val="nil"/>
        </w:tcBorders>
        <w:shd w:val="clear" w:color="auto" w:fill="FFFFFF" w:themeFill="background1"/>
      </w:tcPr>
    </w:tblStylePr>
    <w:tblStylePr w:type="lastCol">
      <w:tblPr/>
      <w:tcPr>
        <w:tcBorders>
          <w:top w:val="nil"/>
          <w:left w:val="single" w:sz="8" w:space="0" w:color="731C3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rPr>
        <w:sz w:val="24"/>
        <w:szCs w:val="24"/>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7330" w:themeColor="accent5"/>
          <w:insideH w:val="nil"/>
          <w:insideV w:val="nil"/>
        </w:tcBorders>
        <w:shd w:val="clear" w:color="auto" w:fill="FFFFFF" w:themeFill="background1"/>
      </w:tcPr>
    </w:tblStylePr>
    <w:tblStylePr w:type="lastCol">
      <w:tblPr/>
      <w:tcPr>
        <w:tcBorders>
          <w:top w:val="nil"/>
          <w:left w:val="single" w:sz="8" w:space="0" w:color="D8733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rPr>
        <w:sz w:val="24"/>
        <w:szCs w:val="24"/>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BC53" w:themeColor="accent6"/>
          <w:insideH w:val="nil"/>
          <w:insideV w:val="nil"/>
        </w:tcBorders>
        <w:shd w:val="clear" w:color="auto" w:fill="FFFFFF" w:themeFill="background1"/>
      </w:tcPr>
    </w:tblStylePr>
    <w:tblStylePr w:type="lastCol">
      <w:tblPr/>
      <w:tcPr>
        <w:tcBorders>
          <w:top w:val="nil"/>
          <w:left w:val="single" w:sz="8" w:space="0" w:color="DEBC5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tblBorders>
    </w:tblPr>
    <w:tblStylePr w:type="firstRow">
      <w:pPr>
        <w:spacing w:before="0" w:after="0" w:line="240" w:lineRule="auto"/>
      </w:pPr>
      <w:rPr>
        <w:b/>
        <w:bCs/>
        <w:color w:val="FFFFFF" w:themeColor="background1"/>
      </w:rPr>
      <w:tblPr/>
      <w:tcPr>
        <w:tc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shd w:val="clear" w:color="auto" w:fill="214C5E" w:themeFill="accent1"/>
      </w:tcPr>
    </w:tblStylePr>
    <w:tblStylePr w:type="lastRow">
      <w:pPr>
        <w:spacing w:before="0" w:after="0" w:line="240" w:lineRule="auto"/>
      </w:pPr>
      <w:rPr>
        <w:b/>
        <w:bCs/>
      </w:rPr>
      <w:tblPr/>
      <w:tcPr>
        <w:tcBorders>
          <w:top w:val="double" w:sz="6"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tblBorders>
    </w:tblPr>
    <w:tblStylePr w:type="firstRow">
      <w:pPr>
        <w:spacing w:before="0" w:after="0" w:line="240" w:lineRule="auto"/>
      </w:pPr>
      <w:rPr>
        <w:b/>
        <w:bCs/>
        <w:color w:val="FFFFFF" w:themeColor="background1"/>
      </w:rPr>
      <w:tblPr/>
      <w:tcPr>
        <w:tc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shd w:val="clear" w:color="auto" w:fill="DE4948" w:themeFill="accent2"/>
      </w:tcPr>
    </w:tblStylePr>
    <w:tblStylePr w:type="lastRow">
      <w:pPr>
        <w:spacing w:before="0" w:after="0" w:line="240" w:lineRule="auto"/>
      </w:pPr>
      <w:rPr>
        <w:b/>
        <w:bCs/>
      </w:rPr>
      <w:tblPr/>
      <w:tcPr>
        <w:tcBorders>
          <w:top w:val="double" w:sz="6"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tblBorders>
    </w:tblPr>
    <w:tblStylePr w:type="firstRow">
      <w:pPr>
        <w:spacing w:before="0" w:after="0" w:line="240" w:lineRule="auto"/>
      </w:pPr>
      <w:rPr>
        <w:b/>
        <w:bCs/>
        <w:color w:val="FFFFFF" w:themeColor="background1"/>
      </w:rPr>
      <w:tblPr/>
      <w:tcPr>
        <w:tc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shd w:val="clear" w:color="auto" w:fill="62C7AD" w:themeFill="accent3"/>
      </w:tcPr>
    </w:tblStylePr>
    <w:tblStylePr w:type="lastRow">
      <w:pPr>
        <w:spacing w:before="0" w:after="0" w:line="240" w:lineRule="auto"/>
      </w:pPr>
      <w:rPr>
        <w:b/>
        <w:bCs/>
      </w:rPr>
      <w:tblPr/>
      <w:tcPr>
        <w:tcBorders>
          <w:top w:val="double" w:sz="6"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tblBorders>
    </w:tblPr>
    <w:tblStylePr w:type="firstRow">
      <w:pPr>
        <w:spacing w:before="0" w:after="0" w:line="240" w:lineRule="auto"/>
      </w:pPr>
      <w:rPr>
        <w:b/>
        <w:bCs/>
        <w:color w:val="FFFFFF" w:themeColor="background1"/>
      </w:rPr>
      <w:tblPr/>
      <w:tcPr>
        <w:tc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shd w:val="clear" w:color="auto" w:fill="731C3F" w:themeFill="accent4"/>
      </w:tcPr>
    </w:tblStylePr>
    <w:tblStylePr w:type="lastRow">
      <w:pPr>
        <w:spacing w:before="0" w:after="0" w:line="240" w:lineRule="auto"/>
      </w:pPr>
      <w:rPr>
        <w:b/>
        <w:bCs/>
      </w:rPr>
      <w:tblPr/>
      <w:tcPr>
        <w:tcBorders>
          <w:top w:val="double" w:sz="6"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tblBorders>
    </w:tblPr>
    <w:tblStylePr w:type="firstRow">
      <w:pPr>
        <w:spacing w:before="0" w:after="0" w:line="240" w:lineRule="auto"/>
      </w:pPr>
      <w:rPr>
        <w:b/>
        <w:bCs/>
        <w:color w:val="FFFFFF" w:themeColor="background1"/>
      </w:rPr>
      <w:tblPr/>
      <w:tcPr>
        <w:tc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shd w:val="clear" w:color="auto" w:fill="D87330" w:themeFill="accent5"/>
      </w:tcPr>
    </w:tblStylePr>
    <w:tblStylePr w:type="lastRow">
      <w:pPr>
        <w:spacing w:before="0" w:after="0" w:line="240" w:lineRule="auto"/>
      </w:pPr>
      <w:rPr>
        <w:b/>
        <w:bCs/>
      </w:rPr>
      <w:tblPr/>
      <w:tcPr>
        <w:tcBorders>
          <w:top w:val="double" w:sz="6"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tblBorders>
    </w:tblPr>
    <w:tblStylePr w:type="firstRow">
      <w:pPr>
        <w:spacing w:before="0" w:after="0" w:line="240" w:lineRule="auto"/>
      </w:pPr>
      <w:rPr>
        <w:b/>
        <w:bCs/>
        <w:color w:val="FFFFFF" w:themeColor="background1"/>
      </w:rPr>
      <w:tblPr/>
      <w:tcPr>
        <w:tc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shd w:val="clear" w:color="auto" w:fill="DEBC53" w:themeFill="accent6"/>
      </w:tcPr>
    </w:tblStylePr>
    <w:tblStylePr w:type="lastRow">
      <w:pPr>
        <w:spacing w:before="0" w:after="0" w:line="240" w:lineRule="auto"/>
      </w:pPr>
      <w:rPr>
        <w:b/>
        <w:bCs/>
      </w:rPr>
      <w:tblPr/>
      <w:tcPr>
        <w:tcBorders>
          <w:top w:val="double" w:sz="6"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C2CF0"/>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customStyle="1" w:styleId="NoteHeadingChar">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customStyle="1" w:styleId="SalutationChar">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customStyle="1" w:styleId="SignatureChar">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2CF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2CF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2CF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2CF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2CF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2CF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2CF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2CF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2CF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2CF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C2C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C2CF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2CF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2CF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2CF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C2CF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2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2CF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2CF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C2CF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DC2CF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14</Pages>
  <Words>2489</Words>
  <Characters>14189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Johnathen Wyatt (P144511)</dc:creator>
  <cp:keywords/>
  <dc:description/>
  <cp:lastModifiedBy>john wyatt</cp:lastModifiedBy>
  <cp:revision>6</cp:revision>
  <dcterms:created xsi:type="dcterms:W3CDTF">2018-11-08T21:24:00Z</dcterms:created>
  <dcterms:modified xsi:type="dcterms:W3CDTF">2018-11-09T01:45:00Z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