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426" w:firstLine="0"/>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941070</wp:posOffset>
            </wp:positionH>
            <wp:positionV relativeFrom="paragraph">
              <wp:posOffset>4445</wp:posOffset>
            </wp:positionV>
            <wp:extent cx="4152900" cy="1328420"/>
            <wp:effectExtent b="0" l="0" r="0" t="0"/>
            <wp:wrapSquare wrapText="bothSides" distB="0" distT="0" distL="114300" distR="114300"/>
            <wp:docPr descr="SCVO | Sandwell Council of Voluntary Organisations." id="1518499591" name="image1.png"/>
            <a:graphic>
              <a:graphicData uri="http://schemas.openxmlformats.org/drawingml/2006/picture">
                <pic:pic>
                  <pic:nvPicPr>
                    <pic:cNvPr descr="SCVO | Sandwell Council of Voluntary Organisations." id="0" name="image1.png"/>
                    <pic:cNvPicPr preferRelativeResize="0"/>
                  </pic:nvPicPr>
                  <pic:blipFill>
                    <a:blip r:embed="rId7"/>
                    <a:srcRect b="0" l="0" r="23643" t="0"/>
                    <a:stretch>
                      <a:fillRect/>
                    </a:stretch>
                  </pic:blipFill>
                  <pic:spPr>
                    <a:xfrm>
                      <a:off x="0" y="0"/>
                      <a:ext cx="4152900" cy="1328420"/>
                    </a:xfrm>
                    <a:prstGeom prst="rect"/>
                    <a:ln/>
                  </pic:spPr>
                </pic:pic>
              </a:graphicData>
            </a:graphic>
          </wp:anchor>
        </w:drawing>
      </w:r>
    </w:p>
    <w:p w:rsidR="00000000" w:rsidDel="00000000" w:rsidP="00000000" w:rsidRDefault="00000000" w:rsidRPr="00000000" w14:paraId="00000002">
      <w:pPr>
        <w:spacing w:line="360" w:lineRule="auto"/>
        <w:ind w:left="426" w:firstLine="0"/>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ind w:left="426" w:firstLine="0"/>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ind w:left="426" w:firstLine="0"/>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7">
      <w:pPr>
        <w:jc w:val="center"/>
        <w:rPr>
          <w:rFonts w:ascii="Aptos" w:cs="Aptos" w:eastAsia="Aptos" w:hAnsi="Aptos"/>
          <w:b w:val="1"/>
          <w:bCs w:val="1"/>
          <w:sz w:val="36"/>
          <w:szCs w:val="36"/>
        </w:rPr>
      </w:pPr>
      <w:r w:rsidDel="00000000" w:rsidR="00000000" w:rsidRPr="00000000">
        <w:rPr>
          <w:rFonts w:ascii="Aptos" w:cs="Aptos" w:eastAsia="Aptos" w:hAnsi="Aptos"/>
          <w:b w:val="1"/>
          <w:bCs w:val="1"/>
          <w:sz w:val="36"/>
          <w:szCs w:val="36"/>
          <w:rtl w:val="0"/>
        </w:rPr>
        <w:t xml:space="preserve">Methods and Search Strategy Academic Poster </w:t>
      </w:r>
    </w:p>
    <w:p w:rsidR="00000000" w:rsidDel="00000000" w:rsidP="00000000" w:rsidRDefault="00000000" w:rsidRPr="00000000" w14:paraId="00000008">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9">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A">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B">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name</w:t>
      </w:r>
      <w:r w:rsidDel="00000000" w:rsidR="00000000" w:rsidRPr="00000000">
        <w:rPr>
          <w:rFonts w:ascii="Aptos" w:cs="Aptos" w:eastAsia="Aptos" w:hAnsi="Aptos"/>
          <w:sz w:val="28"/>
          <w:szCs w:val="28"/>
          <w:rtl w:val="0"/>
        </w:rPr>
        <w:t xml:space="preserve">: Shofi Miah</w:t>
      </w:r>
    </w:p>
    <w:p w:rsidR="00000000" w:rsidDel="00000000" w:rsidP="00000000" w:rsidRDefault="00000000" w:rsidRPr="00000000" w14:paraId="0000000C">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ID</w:t>
      </w:r>
      <w:r w:rsidDel="00000000" w:rsidR="00000000" w:rsidRPr="00000000">
        <w:rPr>
          <w:rFonts w:ascii="Aptos" w:cs="Aptos" w:eastAsia="Aptos" w:hAnsi="Aptos"/>
          <w:sz w:val="28"/>
          <w:szCs w:val="28"/>
          <w:rtl w:val="0"/>
        </w:rPr>
        <w:t xml:space="preserve">: 2245200</w:t>
      </w:r>
    </w:p>
    <w:p w:rsidR="00000000" w:rsidDel="00000000" w:rsidP="00000000" w:rsidRDefault="00000000" w:rsidRPr="00000000" w14:paraId="0000000D">
      <w:pPr>
        <w:tabs>
          <w:tab w:val="left" w:leader="none" w:pos="6540"/>
        </w:tabs>
        <w:spacing w:line="360" w:lineRule="auto"/>
        <w:ind w:left="426"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E">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Module name</w:t>
      </w:r>
      <w:r w:rsidDel="00000000" w:rsidR="00000000" w:rsidRPr="00000000">
        <w:rPr>
          <w:rFonts w:ascii="Aptos" w:cs="Aptos" w:eastAsia="Aptos" w:hAnsi="Aptos"/>
          <w:sz w:val="28"/>
          <w:szCs w:val="28"/>
          <w:rtl w:val="0"/>
        </w:rPr>
        <w:t xml:space="preserve">: Independent Project</w:t>
      </w:r>
    </w:p>
    <w:p w:rsidR="00000000" w:rsidDel="00000000" w:rsidP="00000000" w:rsidRDefault="00000000" w:rsidRPr="00000000" w14:paraId="0000000F">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Module code</w:t>
      </w:r>
      <w:r w:rsidDel="00000000" w:rsidR="00000000" w:rsidRPr="00000000">
        <w:rPr>
          <w:rFonts w:ascii="Aptos" w:cs="Aptos" w:eastAsia="Aptos" w:hAnsi="Aptos"/>
          <w:sz w:val="28"/>
          <w:szCs w:val="28"/>
          <w:rtl w:val="0"/>
        </w:rPr>
        <w:t xml:space="preserve">:BMHP6020</w:t>
      </w:r>
    </w:p>
    <w:p w:rsidR="00000000" w:rsidDel="00000000" w:rsidP="00000000" w:rsidRDefault="00000000" w:rsidRPr="00000000" w14:paraId="00000010">
      <w:pPr>
        <w:jc w:val="center"/>
        <w:rPr>
          <w:rFonts w:ascii="Aptos" w:cs="Aptos" w:eastAsia="Aptos" w:hAnsi="Aptos"/>
          <w:b w:val="1"/>
          <w:bCs w:val="1"/>
        </w:rPr>
        <w:sectPr>
          <w:headerReference r:id="rId8" w:type="default"/>
          <w:headerReference r:id="rId9" w:type="first"/>
          <w:pgSz w:h="15840" w:w="12240" w:orient="portrait"/>
          <w:pgMar w:bottom="720" w:top="720" w:left="720" w:right="576" w:header="432" w:footer="288"/>
          <w:pgNumType w:start="1"/>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1"/>
          <w:bCs w:val="1"/>
        </w:rPr>
      </w:pPr>
      <w:r w:rsidDel="00000000" w:rsidR="00000000" w:rsidRPr="00000000">
        <w:rPr>
          <w:rtl w:val="0"/>
        </w:rPr>
      </w:r>
    </w:p>
    <w:tbl>
      <w:tblPr>
        <w:tblStyle w:val="Table1"/>
        <w:tblW w:w="15210.0" w:type="dxa"/>
        <w:jc w:val="left"/>
        <w:tblInd w:w="-58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815"/>
        <w:gridCol w:w="7395"/>
        <w:tblGridChange w:id="0">
          <w:tblGrid>
            <w:gridCol w:w="7815"/>
            <w:gridCol w:w="7395"/>
          </w:tblGrid>
        </w:tblGridChange>
      </w:tblGrid>
      <w:tr>
        <w:trPr>
          <w:cantSplit w:val="0"/>
          <w:trHeight w:val="597" w:hRule="atLeast"/>
          <w:tblHeader w:val="0"/>
        </w:trPr>
        <w:tc>
          <w:tcPr>
            <w:gridSpan w:val="2"/>
            <w:vAlign w:val="center"/>
          </w:tcPr>
          <w:p w:rsidR="00000000" w:rsidDel="00000000" w:rsidP="00000000" w:rsidRDefault="00000000" w:rsidRPr="00000000" w14:paraId="00000012">
            <w:pPr>
              <w:jc w:val="center"/>
              <w:rPr>
                <w:rFonts w:ascii="Aptos" w:cs="Aptos" w:eastAsia="Aptos" w:hAnsi="Aptos"/>
                <w:b w:val="1"/>
                <w:bCs w:val="1"/>
                <w:sz w:val="36"/>
                <w:szCs w:val="36"/>
              </w:rPr>
            </w:pPr>
            <w:r w:rsidDel="00000000" w:rsidR="00000000" w:rsidRPr="00000000">
              <w:rPr>
                <w:rFonts w:ascii="Aptos" w:cs="Aptos" w:eastAsia="Aptos" w:hAnsi="Aptos"/>
                <w:b w:val="1"/>
                <w:bCs w:val="1"/>
                <w:sz w:val="36"/>
                <w:szCs w:val="36"/>
                <w:rtl w:val="0"/>
              </w:rPr>
              <w:t xml:space="preserve">Insert Dissertation Title Here</w:t>
            </w:r>
          </w:p>
          <w:p w:rsidR="00000000" w:rsidDel="00000000" w:rsidP="00000000" w:rsidRDefault="00000000" w:rsidRPr="00000000" w14:paraId="00000013">
            <w:pPr>
              <w:jc w:val="center"/>
              <w:rPr>
                <w:rFonts w:ascii="Aptos" w:cs="Aptos" w:eastAsia="Aptos" w:hAnsi="Aptos"/>
                <w:b w:val="1"/>
                <w:bCs w:val="1"/>
              </w:rPr>
            </w:pPr>
            <w:r w:rsidDel="00000000" w:rsidR="00000000" w:rsidRPr="00000000">
              <w:rPr>
                <w:rtl w:val="0"/>
              </w:rPr>
            </w:r>
          </w:p>
        </w:tc>
      </w:tr>
      <w:tr>
        <w:trPr>
          <w:cantSplit w:val="0"/>
          <w:trHeight w:val="1856" w:hRule="atLeast"/>
          <w:tblHeader w:val="0"/>
        </w:trPr>
        <w:tc>
          <w:tcPr/>
          <w:p w:rsidR="00000000" w:rsidDel="00000000" w:rsidP="00000000" w:rsidRDefault="00000000" w:rsidRPr="00000000" w14:paraId="00000015">
            <w:pPr>
              <w:rPr>
                <w:rFonts w:ascii="Aptos" w:cs="Aptos" w:eastAsia="Aptos" w:hAnsi="Aptos"/>
                <w:b w:val="1"/>
                <w:bCs w:val="1"/>
              </w:rPr>
            </w:pPr>
            <w:r w:rsidDel="00000000" w:rsidR="00000000" w:rsidRPr="00000000">
              <w:rPr>
                <w:rFonts w:ascii="Aptos" w:cs="Aptos" w:eastAsia="Aptos" w:hAnsi="Aptos"/>
                <w:b w:val="1"/>
                <w:bCs w:val="1"/>
                <w:sz w:val="40"/>
                <w:szCs w:val="40"/>
                <w:rtl w:val="0"/>
              </w:rPr>
              <w:t xml:space="preserve">01</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Introduction and Research Aim </w:t>
            </w:r>
          </w:p>
          <w:p w:rsidR="00000000" w:rsidDel="00000000" w:rsidP="00000000" w:rsidRDefault="00000000" w:rsidRPr="00000000" w14:paraId="00000016">
            <w:pPr>
              <w:spacing w:after="240" w:before="240" w:line="360" w:lineRule="auto"/>
              <w:jc w:val="both"/>
              <w:rPr>
                <w:rFonts w:ascii="Aptos" w:cs="Aptos" w:eastAsia="Aptos" w:hAnsi="Aptos"/>
              </w:rPr>
            </w:pPr>
            <w:r w:rsidDel="00000000" w:rsidR="00000000" w:rsidRPr="00000000">
              <w:rPr>
                <w:rFonts w:ascii="Aptos" w:cs="Aptos" w:eastAsia="Aptos" w:hAnsi="Aptos"/>
                <w:rtl w:val="0"/>
              </w:rPr>
              <w:t xml:space="preserve">This chapter outlines the methodological approach used to conduct this secondary, literature-based research, expanding on the academic poster by detailing the search strategy, data selection, and thematic analysis process (Braun and Clarke, 2006). The aim of this study is to critically examine how Artificial Intelligence (AI) is transforming healthcare in the UK, including its impact, challenges, and implementation within the NHS (Topol, 2019).</w:t>
            </w:r>
          </w:p>
          <w:p w:rsidR="00000000" w:rsidDel="00000000" w:rsidP="00000000" w:rsidRDefault="00000000" w:rsidRPr="00000000" w14:paraId="00000017">
            <w:pPr>
              <w:spacing w:line="360"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018">
            <w:pPr>
              <w:spacing w:line="360" w:lineRule="auto"/>
              <w:jc w:val="both"/>
              <w:rPr>
                <w:rFonts w:ascii="Aptos" w:cs="Aptos" w:eastAsia="Aptos" w:hAnsi="Aptos"/>
              </w:rPr>
            </w:pPr>
            <w:r w:rsidDel="00000000" w:rsidR="00000000" w:rsidRPr="00000000">
              <w:rPr>
                <w:rtl w:val="0"/>
              </w:rPr>
            </w:r>
          </w:p>
        </w:tc>
        <w:tc>
          <w:tcPr/>
          <w:p w:rsidR="00000000" w:rsidDel="00000000" w:rsidP="00000000" w:rsidRDefault="00000000" w:rsidRPr="00000000" w14:paraId="00000019">
            <w:pPr>
              <w:rPr>
                <w:rFonts w:ascii="Aptos" w:cs="Aptos" w:eastAsia="Aptos" w:hAnsi="Aptos"/>
              </w:rPr>
            </w:pPr>
            <w:r w:rsidDel="00000000" w:rsidR="00000000" w:rsidRPr="00000000">
              <w:rPr>
                <w:rFonts w:ascii="Aptos" w:cs="Aptos" w:eastAsia="Aptos" w:hAnsi="Aptos"/>
                <w:b w:val="1"/>
                <w:bCs w:val="1"/>
                <w:sz w:val="40"/>
                <w:szCs w:val="40"/>
                <w:rtl w:val="0"/>
              </w:rPr>
              <w:t xml:space="preserve">02 </w:t>
            </w:r>
            <w:r w:rsidDel="00000000" w:rsidR="00000000" w:rsidRPr="00000000">
              <w:rPr>
                <w:rFonts w:ascii="Aptos" w:cs="Aptos" w:eastAsia="Aptos" w:hAnsi="Aptos"/>
                <w:b w:val="1"/>
                <w:bCs w:val="1"/>
                <w:rtl w:val="0"/>
              </w:rPr>
              <w:t xml:space="preserve">Search Strategy</w:t>
            </w:r>
            <w:r w:rsidDel="00000000" w:rsidR="00000000" w:rsidRPr="00000000">
              <w:rPr>
                <w:rFonts w:ascii="Aptos" w:cs="Aptos" w:eastAsia="Aptos" w:hAnsi="Aptos"/>
                <w:rtl w:val="0"/>
              </w:rPr>
              <w:t xml:space="preserve"> </w:t>
            </w:r>
          </w:p>
          <w:p w:rsidR="00000000" w:rsidDel="00000000" w:rsidP="00000000" w:rsidRDefault="00000000" w:rsidRPr="00000000" w14:paraId="0000001A">
            <w:pPr>
              <w:spacing w:line="360" w:lineRule="auto"/>
              <w:jc w:val="both"/>
              <w:rPr>
                <w:rFonts w:ascii="Aptos" w:cs="Aptos" w:eastAsia="Aptos" w:hAnsi="Aptos"/>
              </w:rPr>
            </w:pPr>
            <w:r w:rsidDel="00000000" w:rsidR="00000000" w:rsidRPr="00000000">
              <w:rPr>
                <w:rFonts w:ascii="Aptos" w:cs="Aptos" w:eastAsia="Aptos" w:hAnsi="Aptos"/>
                <w:rtl w:val="0"/>
              </w:rPr>
              <w:t xml:space="preserve">A search strategy in secondary research refers to a structured approach used to identify, locate, and retrieve relevant literature through predefined keywords and databases (Booth </w:t>
            </w:r>
            <w:r w:rsidDel="00000000" w:rsidR="00000000" w:rsidRPr="00000000">
              <w:rPr>
                <w:rFonts w:ascii="Aptos" w:cs="Aptos" w:eastAsia="Aptos" w:hAnsi="Aptos"/>
                <w:i w:val="1"/>
                <w:iCs w:val="1"/>
                <w:rtl w:val="0"/>
              </w:rPr>
              <w:t xml:space="preserve">et al.</w:t>
            </w:r>
            <w:r w:rsidDel="00000000" w:rsidR="00000000" w:rsidRPr="00000000">
              <w:rPr>
                <w:rFonts w:ascii="Aptos" w:cs="Aptos" w:eastAsia="Aptos" w:hAnsi="Aptos"/>
                <w:rtl w:val="0"/>
              </w:rPr>
              <w:t xml:space="preserve">, 2021). In this study, keywords such as “Artificial Intelligence,” “healthcare,” and “NHS” were combined using Boolean operators to systematically search databases like PubMed and Google Scholar, ensuring relevant and high-quality sources were selected (Greenhalgh, 2019).</w:t>
            </w:r>
          </w:p>
          <w:p w:rsidR="00000000" w:rsidDel="00000000" w:rsidP="00000000" w:rsidRDefault="00000000" w:rsidRPr="00000000" w14:paraId="0000001B">
            <w:pPr>
              <w:spacing w:line="360" w:lineRule="auto"/>
              <w:jc w:val="both"/>
              <w:rPr>
                <w:rFonts w:ascii="Aptos" w:cs="Aptos" w:eastAsia="Aptos" w:hAnsi="Aptos"/>
              </w:rPr>
            </w:pPr>
            <w:r w:rsidDel="00000000" w:rsidR="00000000" w:rsidRPr="00000000">
              <w:rPr>
                <w:rtl w:val="0"/>
              </w:rPr>
            </w:r>
          </w:p>
        </w:tc>
      </w:tr>
      <w:tr>
        <w:trPr>
          <w:cantSplit w:val="0"/>
          <w:trHeight w:val="1856" w:hRule="atLeast"/>
          <w:tblHeader w:val="0"/>
        </w:trPr>
        <w:tc>
          <w:tcPr/>
          <w:p w:rsidR="00000000" w:rsidDel="00000000" w:rsidP="00000000" w:rsidRDefault="00000000" w:rsidRPr="00000000" w14:paraId="0000001C">
            <w:pPr>
              <w:rPr>
                <w:rFonts w:ascii="Aptos" w:cs="Aptos" w:eastAsia="Aptos" w:hAnsi="Aptos"/>
              </w:rPr>
            </w:pPr>
            <w:r w:rsidDel="00000000" w:rsidR="00000000" w:rsidRPr="00000000">
              <w:rPr>
                <w:rFonts w:ascii="Aptos" w:cs="Aptos" w:eastAsia="Aptos" w:hAnsi="Aptos"/>
                <w:b w:val="1"/>
                <w:bCs w:val="1"/>
                <w:sz w:val="40"/>
                <w:szCs w:val="40"/>
                <w:rtl w:val="0"/>
              </w:rPr>
              <w:t xml:space="preserve">03</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Searching for Information</w:t>
            </w:r>
            <w:r w:rsidDel="00000000" w:rsidR="00000000" w:rsidRPr="00000000">
              <w:rPr>
                <w:rFonts w:ascii="Aptos" w:cs="Aptos" w:eastAsia="Aptos" w:hAnsi="Aptos"/>
                <w:rtl w:val="0"/>
              </w:rPr>
              <w:t xml:space="preserve"> </w:t>
            </w:r>
          </w:p>
          <w:p w:rsidR="00000000" w:rsidDel="00000000" w:rsidP="00000000" w:rsidRDefault="00000000" w:rsidRPr="00000000" w14:paraId="0000001D">
            <w:pPr>
              <w:spacing w:line="360" w:lineRule="auto"/>
              <w:jc w:val="both"/>
              <w:rPr>
                <w:rFonts w:ascii="Aptos" w:cs="Aptos" w:eastAsia="Aptos" w:hAnsi="Aptos"/>
              </w:rPr>
            </w:pPr>
            <w:r w:rsidDel="00000000" w:rsidR="00000000" w:rsidRPr="00000000">
              <w:rPr>
                <w:rFonts w:ascii="Aptos" w:cs="Aptos" w:eastAsia="Aptos" w:hAnsi="Aptos"/>
                <w:rtl w:val="0"/>
              </w:rPr>
              <w:t xml:space="preserve">The search process began by identifying key terms related to the research topic, followed by systematic searches in databases such as PubMed and Google Scholar. Filters, including publication date and peer-reviewed status, were applied to ensure relevance and quality. Search results were refined iteratively by adjusting keywords and reviewing abstracts to select the most appropriate sources (Booth </w:t>
            </w:r>
            <w:r w:rsidDel="00000000" w:rsidR="00000000" w:rsidRPr="00000000">
              <w:rPr>
                <w:rFonts w:ascii="Aptos" w:cs="Aptos" w:eastAsia="Aptos" w:hAnsi="Aptos"/>
                <w:i w:val="1"/>
                <w:iCs w:val="1"/>
                <w:rtl w:val="0"/>
              </w:rPr>
              <w:t xml:space="preserve">et al.</w:t>
            </w:r>
            <w:r w:rsidDel="00000000" w:rsidR="00000000" w:rsidRPr="00000000">
              <w:rPr>
                <w:rFonts w:ascii="Aptos" w:cs="Aptos" w:eastAsia="Aptos" w:hAnsi="Aptos"/>
                <w:rtl w:val="0"/>
              </w:rPr>
              <w:t xml:space="preserve">, 2021; Greenhalgh, 2019).</w:t>
            </w:r>
          </w:p>
          <w:p w:rsidR="00000000" w:rsidDel="00000000" w:rsidP="00000000" w:rsidRDefault="00000000" w:rsidRPr="00000000" w14:paraId="0000001E">
            <w:pPr>
              <w:spacing w:line="360"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01F">
            <w:pPr>
              <w:spacing w:line="360" w:lineRule="auto"/>
              <w:jc w:val="both"/>
              <w:rPr>
                <w:rFonts w:ascii="Aptos" w:cs="Aptos" w:eastAsia="Aptos" w:hAnsi="Aptos"/>
              </w:rPr>
            </w:pPr>
            <w:r w:rsidDel="00000000" w:rsidR="00000000" w:rsidRPr="00000000">
              <w:rPr>
                <w:rFonts w:ascii="Aptos" w:cs="Aptos" w:eastAsia="Aptos" w:hAnsi="Aptos"/>
                <w:rtl w:val="0"/>
              </w:rPr>
              <w:t xml:space="preserve"> </w:t>
            </w:r>
          </w:p>
        </w:tc>
        <w:tc>
          <w:tcPr/>
          <w:p w:rsidR="00000000" w:rsidDel="00000000" w:rsidP="00000000" w:rsidRDefault="00000000" w:rsidRPr="00000000" w14:paraId="00000020">
            <w:pPr>
              <w:rPr>
                <w:rFonts w:ascii="Aptos" w:cs="Aptos" w:eastAsia="Aptos" w:hAnsi="Aptos"/>
              </w:rPr>
            </w:pPr>
            <w:r w:rsidDel="00000000" w:rsidR="00000000" w:rsidRPr="00000000">
              <w:rPr>
                <w:rFonts w:ascii="Aptos" w:cs="Aptos" w:eastAsia="Aptos" w:hAnsi="Aptos"/>
                <w:b w:val="1"/>
                <w:bCs w:val="1"/>
                <w:sz w:val="40"/>
                <w:szCs w:val="40"/>
                <w:rtl w:val="0"/>
              </w:rPr>
              <w:t xml:space="preserve">04</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Picture / Graph / Visual Aid / Statistics</w:t>
            </w:r>
            <w:r w:rsidDel="00000000" w:rsidR="00000000" w:rsidRPr="00000000">
              <w:rPr>
                <w:rFonts w:ascii="Aptos" w:cs="Aptos" w:eastAsia="Aptos" w:hAnsi="Aptos"/>
                <w:rtl w:val="0"/>
              </w:rPr>
              <w:t xml:space="preserve"> </w:t>
            </w:r>
          </w:p>
          <w:p w:rsidR="00000000" w:rsidDel="00000000" w:rsidP="00000000" w:rsidRDefault="00000000" w:rsidRPr="00000000" w14:paraId="00000021">
            <w:pPr>
              <w:spacing w:line="360" w:lineRule="auto"/>
              <w:jc w:val="both"/>
              <w:rPr>
                <w:rFonts w:ascii="Aptos" w:cs="Aptos" w:eastAsia="Aptos" w:hAnsi="Aptos"/>
              </w:rPr>
            </w:pPr>
            <w:r w:rsidDel="00000000" w:rsidR="00000000" w:rsidRPr="00000000">
              <w:rPr>
                <w:rFonts w:ascii="Aptos" w:cs="Aptos" w:eastAsia="Aptos" w:hAnsi="Aptos"/>
              </w:rPr>
              <w:drawing>
                <wp:inline distB="114300" distT="114300" distL="114300" distR="114300">
                  <wp:extent cx="1943100" cy="1828800"/>
                  <wp:effectExtent b="0" l="0" r="0" t="0"/>
                  <wp:docPr id="1518499592"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1943100" cy="1828800"/>
                          </a:xfrm>
                          <a:prstGeom prst="rect"/>
                          <a:ln/>
                        </pic:spPr>
                      </pic:pic>
                    </a:graphicData>
                  </a:graphic>
                </wp:inline>
              </w:drawing>
            </w:r>
            <w:r w:rsidDel="00000000" w:rsidR="00000000" w:rsidRPr="00000000">
              <w:rPr>
                <w:rtl w:val="0"/>
              </w:rPr>
            </w:r>
          </w:p>
        </w:tc>
      </w:tr>
      <w:tr>
        <w:trPr>
          <w:cantSplit w:val="0"/>
          <w:trHeight w:val="3355.7031249999995" w:hRule="atLeast"/>
          <w:tblHeader w:val="0"/>
        </w:trPr>
        <w:tc>
          <w:tcPr>
            <w:gridSpan w:val="2"/>
          </w:tcPr>
          <w:p w:rsidR="00000000" w:rsidDel="00000000" w:rsidP="00000000" w:rsidRDefault="00000000" w:rsidRPr="00000000" w14:paraId="00000022">
            <w:pPr>
              <w:jc w:val="center"/>
              <w:rPr>
                <w:rFonts w:ascii="Aptos" w:cs="Aptos" w:eastAsia="Aptos" w:hAnsi="Aptos"/>
                <w:b w:val="1"/>
                <w:bCs w:val="1"/>
              </w:rPr>
            </w:pPr>
            <w:r w:rsidDel="00000000" w:rsidR="00000000" w:rsidRPr="00000000">
              <w:rPr>
                <w:rFonts w:ascii="Aptos" w:cs="Aptos" w:eastAsia="Aptos" w:hAnsi="Aptos"/>
                <w:b w:val="1"/>
                <w:bCs w:val="1"/>
                <w:sz w:val="40"/>
                <w:szCs w:val="40"/>
                <w:rtl w:val="0"/>
              </w:rPr>
              <w:t xml:space="preserve">05</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Research Validation and Analysis</w:t>
            </w:r>
          </w:p>
          <w:p w:rsidR="00000000" w:rsidDel="00000000" w:rsidP="00000000" w:rsidRDefault="00000000" w:rsidRPr="00000000" w14:paraId="00000023">
            <w:pPr>
              <w:spacing w:after="240" w:before="240" w:line="360" w:lineRule="auto"/>
              <w:jc w:val="both"/>
              <w:rPr>
                <w:rFonts w:ascii="Aptos" w:cs="Aptos" w:eastAsia="Aptos" w:hAnsi="Aptos"/>
              </w:rPr>
            </w:pPr>
            <w:r w:rsidDel="00000000" w:rsidR="00000000" w:rsidRPr="00000000">
              <w:rPr>
                <w:rFonts w:ascii="Aptos" w:cs="Aptos" w:eastAsia="Aptos" w:hAnsi="Aptos"/>
                <w:rtl w:val="0"/>
              </w:rPr>
              <w:t xml:space="preserve">Research validation in secondary research refers to the process of evaluating sources to ensure they are credible, reliable, and relevant to the research topic (Booth </w:t>
            </w:r>
            <w:r w:rsidDel="00000000" w:rsidR="00000000" w:rsidRPr="00000000">
              <w:rPr>
                <w:rFonts w:ascii="Aptos" w:cs="Aptos" w:eastAsia="Aptos" w:hAnsi="Aptos"/>
                <w:i w:val="1"/>
                <w:iCs w:val="1"/>
                <w:rtl w:val="0"/>
              </w:rPr>
              <w:t xml:space="preserve">et al.</w:t>
            </w:r>
            <w:r w:rsidDel="00000000" w:rsidR="00000000" w:rsidRPr="00000000">
              <w:rPr>
                <w:rFonts w:ascii="Aptos" w:cs="Aptos" w:eastAsia="Aptos" w:hAnsi="Aptos"/>
                <w:rtl w:val="0"/>
              </w:rPr>
              <w:t xml:space="preserve">, 2021). This is important as it ensures that the findings presented in the dissertation are based on high-quality evidence, reducing the risk of bias or misinformation. Tools such as the CRAAP test support this process by assessing currency, relevance, authority, accuracy, and purpose of sources (Greenhalgh, 2019). Secondary research analysis involves systematically reviewing and interpreting existing literature to identify patterns, relationships, and key insights (Braun and Clarke, 2006). In this study, thematic analysis was used to code recurring ideas and group them into broader themes((Bryman, 2016). This process enabled the identification of key themes explored in Chapter 4, ensuring a structured and evidence-based discussion of findings.</w:t>
            </w:r>
          </w:p>
          <w:p w:rsidR="00000000" w:rsidDel="00000000" w:rsidP="00000000" w:rsidRDefault="00000000" w:rsidRPr="00000000" w14:paraId="00000024">
            <w:pPr>
              <w:spacing w:line="360" w:lineRule="auto"/>
              <w:jc w:val="both"/>
              <w:rPr>
                <w:rFonts w:ascii="Aptos" w:cs="Aptos" w:eastAsia="Aptos" w:hAnsi="Aptos"/>
              </w:rPr>
            </w:pPr>
            <w:r w:rsidDel="00000000" w:rsidR="00000000" w:rsidRPr="00000000">
              <w:rPr>
                <w:rtl w:val="0"/>
              </w:rPr>
            </w:r>
          </w:p>
        </w:tc>
      </w:tr>
      <w:tr>
        <w:trPr>
          <w:cantSplit w:val="0"/>
          <w:trHeight w:val="1856" w:hRule="atLeast"/>
          <w:tblHeader w:val="0"/>
        </w:trPr>
        <w:tc>
          <w:tcPr/>
          <w:p w:rsidR="00000000" w:rsidDel="00000000" w:rsidP="00000000" w:rsidRDefault="00000000" w:rsidRPr="00000000" w14:paraId="00000026">
            <w:pPr>
              <w:rPr>
                <w:rFonts w:ascii="Aptos" w:cs="Aptos" w:eastAsia="Aptos" w:hAnsi="Aptos"/>
              </w:rPr>
            </w:pPr>
            <w:r w:rsidDel="00000000" w:rsidR="00000000" w:rsidRPr="00000000">
              <w:rPr>
                <w:rFonts w:ascii="Aptos" w:cs="Aptos" w:eastAsia="Aptos" w:hAnsi="Aptos"/>
                <w:b w:val="1"/>
                <w:bCs w:val="1"/>
                <w:sz w:val="40"/>
                <w:szCs w:val="40"/>
                <w:rtl w:val="0"/>
              </w:rPr>
              <w:t xml:space="preserve">06</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Inclusion Criteria</w:t>
            </w:r>
            <w:r w:rsidDel="00000000" w:rsidR="00000000" w:rsidRPr="00000000">
              <w:rPr>
                <w:rFonts w:ascii="Aptos" w:cs="Aptos" w:eastAsia="Aptos" w:hAnsi="Aptos"/>
                <w:rtl w:val="0"/>
              </w:rPr>
              <w:t xml:space="preserve"> </w:t>
            </w:r>
          </w:p>
          <w:p w:rsidR="00000000" w:rsidDel="00000000" w:rsidP="00000000" w:rsidRDefault="00000000" w:rsidRPr="00000000" w14:paraId="00000027">
            <w:pPr>
              <w:rPr>
                <w:rFonts w:ascii="Aptos" w:cs="Aptos" w:eastAsia="Aptos" w:hAnsi="Aptos"/>
                <w:b w:val="1"/>
                <w:bCs w:val="1"/>
                <w:color w:val="0000ff"/>
                <w:sz w:val="16"/>
                <w:szCs w:val="16"/>
              </w:rPr>
            </w:pPr>
            <w:r w:rsidDel="00000000" w:rsidR="00000000" w:rsidRPr="00000000">
              <w:rPr>
                <w:rFonts w:ascii="Aptos" w:cs="Aptos" w:eastAsia="Aptos" w:hAnsi="Aptos"/>
                <w:b w:val="1"/>
                <w:bCs w:val="1"/>
                <w:color w:val="0000ff"/>
                <w:sz w:val="16"/>
                <w:szCs w:val="16"/>
                <w:rtl w:val="0"/>
              </w:rPr>
              <w:t xml:space="preserve">Peer-reviewed journal articles published within the last 10 years and english</w:t>
            </w:r>
          </w:p>
          <w:p w:rsidR="00000000" w:rsidDel="00000000" w:rsidP="00000000" w:rsidRDefault="00000000" w:rsidRPr="00000000" w14:paraId="00000028">
            <w:pPr>
              <w:rPr>
                <w:rFonts w:ascii="Aptos" w:cs="Aptos" w:eastAsia="Aptos" w:hAnsi="Aptos"/>
                <w:b w:val="1"/>
                <w:bCs w:val="1"/>
                <w:color w:val="0000ff"/>
                <w:sz w:val="16"/>
                <w:szCs w:val="16"/>
              </w:rPr>
            </w:pPr>
            <w:r w:rsidDel="00000000" w:rsidR="00000000" w:rsidRPr="00000000">
              <w:rPr>
                <w:rFonts w:ascii="Aptos" w:cs="Aptos" w:eastAsia="Aptos" w:hAnsi="Aptos"/>
                <w:b w:val="1"/>
                <w:bCs w:val="1"/>
                <w:color w:val="0000ff"/>
                <w:sz w:val="16"/>
                <w:szCs w:val="16"/>
                <w:rtl w:val="0"/>
              </w:rPr>
              <w:t xml:space="preserve">UK-based studies and research relevant to the NHS and UK healthcare system</w:t>
            </w:r>
          </w:p>
          <w:p w:rsidR="00000000" w:rsidDel="00000000" w:rsidP="00000000" w:rsidRDefault="00000000" w:rsidRPr="00000000" w14:paraId="00000029">
            <w:pPr>
              <w:rPr>
                <w:rFonts w:ascii="Aptos" w:cs="Aptos" w:eastAsia="Aptos" w:hAnsi="Aptos"/>
                <w:b w:val="1"/>
                <w:bCs w:val="1"/>
                <w:color w:val="0000ff"/>
                <w:sz w:val="16"/>
                <w:szCs w:val="16"/>
              </w:rPr>
            </w:pPr>
            <w:r w:rsidDel="00000000" w:rsidR="00000000" w:rsidRPr="00000000">
              <w:rPr>
                <w:rFonts w:ascii="Aptos" w:cs="Aptos" w:eastAsia="Aptos" w:hAnsi="Aptos"/>
                <w:b w:val="1"/>
                <w:bCs w:val="1"/>
                <w:color w:val="0000ff"/>
                <w:sz w:val="16"/>
                <w:szCs w:val="16"/>
                <w:rtl w:val="0"/>
              </w:rPr>
              <w:t xml:space="preserve">Academic books, government reports, and reputable organisational publications</w:t>
            </w:r>
          </w:p>
        </w:tc>
        <w:tc>
          <w:tcPr/>
          <w:p w:rsidR="00000000" w:rsidDel="00000000" w:rsidP="00000000" w:rsidRDefault="00000000" w:rsidRPr="00000000" w14:paraId="0000002A">
            <w:pPr>
              <w:rPr>
                <w:rFonts w:ascii="Aptos" w:cs="Aptos" w:eastAsia="Aptos" w:hAnsi="Aptos"/>
              </w:rPr>
            </w:pPr>
            <w:r w:rsidDel="00000000" w:rsidR="00000000" w:rsidRPr="00000000">
              <w:rPr>
                <w:rFonts w:ascii="Aptos" w:cs="Aptos" w:eastAsia="Aptos" w:hAnsi="Aptos"/>
                <w:b w:val="1"/>
                <w:bCs w:val="1"/>
                <w:sz w:val="40"/>
                <w:szCs w:val="40"/>
                <w:rtl w:val="0"/>
              </w:rPr>
              <w:t xml:space="preserve">07</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Exclusion Criteria</w:t>
            </w:r>
            <w:r w:rsidDel="00000000" w:rsidR="00000000" w:rsidRPr="00000000">
              <w:rPr>
                <w:rFonts w:ascii="Aptos" w:cs="Aptos" w:eastAsia="Aptos" w:hAnsi="Aptos"/>
                <w:rtl w:val="0"/>
              </w:rPr>
              <w:t xml:space="preserve"> </w:t>
            </w:r>
          </w:p>
          <w:p w:rsidR="00000000" w:rsidDel="00000000" w:rsidP="00000000" w:rsidRDefault="00000000" w:rsidRPr="00000000" w14:paraId="0000002B">
            <w:pPr>
              <w:numPr>
                <w:ilvl w:val="0"/>
                <w:numId w:val="2"/>
              </w:numPr>
              <w:spacing w:after="0" w:afterAutospacing="0"/>
              <w:ind w:left="720" w:hanging="360"/>
              <w:rPr>
                <w:rFonts w:ascii="Aptos" w:cs="Aptos" w:eastAsia="Aptos" w:hAnsi="Aptos"/>
                <w:b w:val="1"/>
                <w:bCs w:val="1"/>
                <w:color w:val="ff0000"/>
                <w:u w:val="none"/>
              </w:rPr>
            </w:pPr>
            <w:r w:rsidDel="00000000" w:rsidR="00000000" w:rsidRPr="00000000">
              <w:rPr>
                <w:rFonts w:ascii="Aptos" w:cs="Aptos" w:eastAsia="Aptos" w:hAnsi="Aptos"/>
                <w:b w:val="1"/>
                <w:bCs w:val="1"/>
                <w:color w:val="ff0000"/>
                <w:rtl w:val="0"/>
              </w:rPr>
              <w:t xml:space="preserve">Not in english</w:t>
            </w:r>
          </w:p>
          <w:p w:rsidR="00000000" w:rsidDel="00000000" w:rsidP="00000000" w:rsidRDefault="00000000" w:rsidRPr="00000000" w14:paraId="0000002C">
            <w:pPr>
              <w:numPr>
                <w:ilvl w:val="0"/>
                <w:numId w:val="2"/>
              </w:numPr>
              <w:spacing w:after="0" w:afterAutospacing="0"/>
              <w:ind w:left="720" w:hanging="360"/>
              <w:rPr>
                <w:rFonts w:ascii="Aptos" w:cs="Aptos" w:eastAsia="Aptos" w:hAnsi="Aptos"/>
                <w:b w:val="1"/>
                <w:bCs w:val="1"/>
                <w:color w:val="ff0000"/>
                <w:u w:val="none"/>
              </w:rPr>
            </w:pPr>
            <w:r w:rsidDel="00000000" w:rsidR="00000000" w:rsidRPr="00000000">
              <w:rPr>
                <w:rFonts w:ascii="Aptos" w:cs="Aptos" w:eastAsia="Aptos" w:hAnsi="Aptos"/>
                <w:b w:val="1"/>
                <w:bCs w:val="1"/>
                <w:color w:val="ff0000"/>
                <w:rtl w:val="0"/>
              </w:rPr>
              <w:t xml:space="preserve">Outside uk articles</w:t>
            </w:r>
          </w:p>
          <w:p w:rsidR="00000000" w:rsidDel="00000000" w:rsidP="00000000" w:rsidRDefault="00000000" w:rsidRPr="00000000" w14:paraId="0000002D">
            <w:pPr>
              <w:numPr>
                <w:ilvl w:val="0"/>
                <w:numId w:val="2"/>
              </w:numPr>
              <w:ind w:left="720" w:hanging="360"/>
              <w:rPr>
                <w:rFonts w:ascii="Aptos" w:cs="Aptos" w:eastAsia="Aptos" w:hAnsi="Aptos"/>
                <w:b w:val="1"/>
                <w:bCs w:val="1"/>
                <w:color w:val="ff0000"/>
                <w:u w:val="none"/>
              </w:rPr>
            </w:pPr>
            <w:r w:rsidDel="00000000" w:rsidR="00000000" w:rsidRPr="00000000">
              <w:rPr>
                <w:rFonts w:ascii="Aptos" w:cs="Aptos" w:eastAsia="Aptos" w:hAnsi="Aptos"/>
                <w:b w:val="1"/>
                <w:bCs w:val="1"/>
                <w:color w:val="ff0000"/>
                <w:rtl w:val="0"/>
              </w:rPr>
              <w:t xml:space="preserve">News and blogs</w:t>
            </w:r>
          </w:p>
        </w:tc>
      </w:tr>
      <w:tr>
        <w:trPr>
          <w:cantSplit w:val="0"/>
          <w:trHeight w:val="1798" w:hRule="atLeast"/>
          <w:tblHeader w:val="0"/>
        </w:trPr>
        <w:tc>
          <w:tcPr>
            <w:gridSpan w:val="2"/>
          </w:tcPr>
          <w:p w:rsidR="00000000" w:rsidDel="00000000" w:rsidP="00000000" w:rsidRDefault="00000000" w:rsidRPr="00000000" w14:paraId="0000002E">
            <w:pPr>
              <w:jc w:val="center"/>
              <w:rPr>
                <w:rFonts w:ascii="Aptos" w:cs="Aptos" w:eastAsia="Aptos" w:hAnsi="Aptos"/>
                <w:b w:val="1"/>
                <w:bCs w:val="1"/>
              </w:rPr>
            </w:pPr>
            <w:r w:rsidDel="00000000" w:rsidR="00000000" w:rsidRPr="00000000">
              <w:rPr>
                <w:rFonts w:ascii="Aptos" w:cs="Aptos" w:eastAsia="Aptos" w:hAnsi="Aptos"/>
                <w:b w:val="1"/>
                <w:bCs w:val="1"/>
                <w:sz w:val="40"/>
                <w:szCs w:val="40"/>
                <w:rtl w:val="0"/>
              </w:rPr>
              <w:t xml:space="preserve">08</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Ethical Considerations</w:t>
            </w:r>
          </w:p>
          <w:p w:rsidR="00000000" w:rsidDel="00000000" w:rsidP="00000000" w:rsidRDefault="00000000" w:rsidRPr="00000000" w14:paraId="0000002F">
            <w:pPr>
              <w:numPr>
                <w:ilvl w:val="0"/>
                <w:numId w:val="3"/>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Ethics in secondary research involves the responsible use of existing data, ensuring accuracy, fairness, and no misrepresentation </w:t>
            </w:r>
          </w:p>
          <w:p w:rsidR="00000000" w:rsidDel="00000000" w:rsidP="00000000" w:rsidRDefault="00000000" w:rsidRPr="00000000" w14:paraId="00000030">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Maintained academic integrity by accurately citing all sources using Harvard referencing</w:t>
            </w:r>
          </w:p>
          <w:p w:rsidR="00000000" w:rsidDel="00000000" w:rsidP="00000000" w:rsidRDefault="00000000" w:rsidRPr="00000000" w14:paraId="00000031">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Ensured proper acknowledgement of original authors</w:t>
            </w:r>
          </w:p>
          <w:p w:rsidR="00000000" w:rsidDel="00000000" w:rsidP="00000000" w:rsidRDefault="00000000" w:rsidRPr="00000000" w14:paraId="00000032">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Avoided plagiarism through careful paraphrasing and referencing</w:t>
            </w:r>
          </w:p>
          <w:p w:rsidR="00000000" w:rsidDel="00000000" w:rsidP="00000000" w:rsidRDefault="00000000" w:rsidRPr="00000000" w14:paraId="00000033">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Presented information objectively to prevent misinterpretation of findings</w:t>
            </w:r>
          </w:p>
          <w:p w:rsidR="00000000" w:rsidDel="00000000" w:rsidP="00000000" w:rsidRDefault="00000000" w:rsidRPr="00000000" w14:paraId="00000034">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Selected only credible, peer-reviewed, and authoritative sources (e.g., journals, government reports)</w:t>
            </w:r>
          </w:p>
          <w:p w:rsidR="00000000" w:rsidDel="00000000" w:rsidP="00000000" w:rsidRDefault="00000000" w:rsidRPr="00000000" w14:paraId="00000035">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Maintained transparency by clearly documenting search strategy, inclusion criteria, and analysis methods</w:t>
            </w:r>
          </w:p>
          <w:p w:rsidR="00000000" w:rsidDel="00000000" w:rsidP="00000000" w:rsidRDefault="00000000" w:rsidRPr="00000000" w14:paraId="00000036">
            <w:pPr>
              <w:numPr>
                <w:ilvl w:val="0"/>
                <w:numId w:val="1"/>
              </w:numPr>
              <w:spacing w:after="0" w:afterAutospacing="0"/>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Minimised bias by including a range of perspectives from different sources</w:t>
            </w:r>
          </w:p>
          <w:p w:rsidR="00000000" w:rsidDel="00000000" w:rsidP="00000000" w:rsidRDefault="00000000" w:rsidRPr="00000000" w14:paraId="00000037">
            <w:pPr>
              <w:numPr>
                <w:ilvl w:val="0"/>
                <w:numId w:val="1"/>
              </w:numPr>
              <w:ind w:left="720" w:hanging="360"/>
              <w:jc w:val="left"/>
              <w:rPr>
                <w:rFonts w:ascii="Aptos" w:cs="Aptos" w:eastAsia="Aptos" w:hAnsi="Aptos"/>
                <w:b w:val="1"/>
                <w:bCs w:val="1"/>
                <w:u w:val="none"/>
              </w:rPr>
            </w:pPr>
            <w:r w:rsidDel="00000000" w:rsidR="00000000" w:rsidRPr="00000000">
              <w:rPr>
                <w:rFonts w:ascii="Aptos" w:cs="Aptos" w:eastAsia="Aptos" w:hAnsi="Aptos"/>
                <w:b w:val="1"/>
                <w:bCs w:val="1"/>
                <w:rtl w:val="0"/>
              </w:rPr>
              <w:t xml:space="preserve">Ensured a balanced and fair representation of the research topic</w:t>
            </w:r>
          </w:p>
          <w:p w:rsidR="00000000" w:rsidDel="00000000" w:rsidP="00000000" w:rsidRDefault="00000000" w:rsidRPr="00000000" w14:paraId="00000038">
            <w:pPr>
              <w:jc w:val="center"/>
              <w:rPr>
                <w:rFonts w:ascii="Aptos" w:cs="Aptos" w:eastAsia="Aptos" w:hAnsi="Aptos"/>
                <w:b w:val="1"/>
                <w:bCs w:val="1"/>
              </w:rPr>
            </w:pPr>
            <w:r w:rsidDel="00000000" w:rsidR="00000000" w:rsidRPr="00000000">
              <w:rPr>
                <w:rtl w:val="0"/>
              </w:rPr>
            </w:r>
          </w:p>
          <w:p w:rsidR="00000000" w:rsidDel="00000000" w:rsidP="00000000" w:rsidRDefault="00000000" w:rsidRPr="00000000" w14:paraId="00000039">
            <w:pPr>
              <w:jc w:val="center"/>
              <w:rPr>
                <w:rFonts w:ascii="Aptos" w:cs="Aptos" w:eastAsia="Aptos" w:hAnsi="Aptos"/>
                <w:b w:val="1"/>
                <w:bCs w:val="1"/>
              </w:rPr>
            </w:pPr>
            <w:r w:rsidDel="00000000" w:rsidR="00000000" w:rsidRPr="00000000">
              <w:rPr>
                <w:rtl w:val="0"/>
              </w:rPr>
            </w:r>
          </w:p>
          <w:p w:rsidR="00000000" w:rsidDel="00000000" w:rsidP="00000000" w:rsidRDefault="00000000" w:rsidRPr="00000000" w14:paraId="0000003A">
            <w:pPr>
              <w:rPr>
                <w:rFonts w:ascii="Aptos" w:cs="Aptos" w:eastAsia="Aptos" w:hAnsi="Aptos"/>
              </w:rPr>
            </w:pPr>
            <w:r w:rsidDel="00000000" w:rsidR="00000000" w:rsidRPr="00000000">
              <w:rPr>
                <w:rtl w:val="0"/>
              </w:rPr>
            </w:r>
          </w:p>
        </w:tc>
      </w:tr>
    </w:tbl>
    <w:p w:rsidR="00000000" w:rsidDel="00000000" w:rsidP="00000000" w:rsidRDefault="00000000" w:rsidRPr="00000000" w14:paraId="0000003C">
      <w:pPr>
        <w:rPr>
          <w:sz w:val="28"/>
          <w:szCs w:val="28"/>
        </w:rPr>
      </w:pPr>
      <w:r w:rsidDel="00000000" w:rsidR="00000000" w:rsidRPr="00000000">
        <w:rPr>
          <w:sz w:val="28"/>
          <w:szCs w:val="28"/>
          <w:rtl w:val="0"/>
        </w:rPr>
        <w:t xml:space="preserve">References</w:t>
      </w:r>
    </w:p>
    <w:p w:rsidR="00000000" w:rsidDel="00000000" w:rsidP="00000000" w:rsidRDefault="00000000" w:rsidRPr="00000000" w14:paraId="0000003D">
      <w:pPr>
        <w:spacing w:after="240" w:before="240" w:line="360" w:lineRule="auto"/>
        <w:rPr>
          <w:rFonts w:ascii="Aptos" w:cs="Aptos" w:eastAsia="Aptos" w:hAnsi="Aptos"/>
          <w:color w:val="1155cc"/>
          <w:u w:val="single"/>
        </w:rPr>
      </w:pPr>
      <w:r w:rsidDel="00000000" w:rsidR="00000000" w:rsidRPr="00000000">
        <w:rPr>
          <w:rFonts w:ascii="Aptos" w:cs="Aptos" w:eastAsia="Aptos" w:hAnsi="Aptos"/>
          <w:rtl w:val="0"/>
        </w:rPr>
        <w:t xml:space="preserve">Topol, E. (2019) </w:t>
      </w:r>
      <w:r w:rsidDel="00000000" w:rsidR="00000000" w:rsidRPr="00000000">
        <w:rPr>
          <w:rFonts w:ascii="Aptos" w:cs="Aptos" w:eastAsia="Aptos" w:hAnsi="Aptos"/>
          <w:i w:val="1"/>
          <w:iCs w:val="1"/>
          <w:rtl w:val="0"/>
        </w:rPr>
        <w:t xml:space="preserve">The Topol Review: Preparing the healthcare workforce to deliver the digital future</w:t>
      </w:r>
      <w:r w:rsidDel="00000000" w:rsidR="00000000" w:rsidRPr="00000000">
        <w:rPr>
          <w:rFonts w:ascii="Aptos" w:cs="Aptos" w:eastAsia="Aptos" w:hAnsi="Aptos"/>
          <w:rtl w:val="0"/>
        </w:rPr>
        <w:t xml:space="preserve">. NHS Health Education England. Available at:</w:t>
      </w:r>
      <w:hyperlink r:id="rId11">
        <w:r w:rsidDel="00000000" w:rsidR="00000000" w:rsidRPr="00000000">
          <w:rPr>
            <w:rFonts w:ascii="Aptos" w:cs="Aptos" w:eastAsia="Aptos" w:hAnsi="Aptos"/>
            <w:rtl w:val="0"/>
          </w:rPr>
          <w:t xml:space="preserve"> </w:t>
        </w:r>
      </w:hyperlink>
      <w:hyperlink r:id="rId12">
        <w:r w:rsidDel="00000000" w:rsidR="00000000" w:rsidRPr="00000000">
          <w:rPr>
            <w:rFonts w:ascii="Aptos" w:cs="Aptos" w:eastAsia="Aptos" w:hAnsi="Aptos"/>
            <w:color w:val="1155cc"/>
            <w:u w:val="single"/>
            <w:rtl w:val="0"/>
          </w:rPr>
          <w:t xml:space="preserve">https://topol.hee.nhs.uk</w:t>
        </w:r>
      </w:hyperlink>
      <w:r w:rsidDel="00000000" w:rsidR="00000000" w:rsidRPr="00000000">
        <w:rPr>
          <w:rtl w:val="0"/>
        </w:rPr>
      </w:r>
    </w:p>
    <w:p w:rsidR="00000000" w:rsidDel="00000000" w:rsidP="00000000" w:rsidRDefault="00000000" w:rsidRPr="00000000" w14:paraId="0000003E">
      <w:pPr>
        <w:spacing w:after="240" w:before="240" w:line="360" w:lineRule="auto"/>
        <w:rPr>
          <w:rFonts w:ascii="Aptos" w:cs="Aptos" w:eastAsia="Aptos" w:hAnsi="Aptos"/>
          <w:color w:val="1155cc"/>
          <w:u w:val="single"/>
        </w:rPr>
      </w:pPr>
      <w:r w:rsidDel="00000000" w:rsidR="00000000" w:rsidRPr="00000000">
        <w:rPr>
          <w:rFonts w:ascii="Aptos" w:cs="Aptos" w:eastAsia="Aptos" w:hAnsi="Aptos"/>
          <w:rtl w:val="0"/>
        </w:rPr>
        <w:t xml:space="preserve">Greenhalgh, T., Wherton, J., Papoutsi, C. </w:t>
      </w:r>
      <w:r w:rsidDel="00000000" w:rsidR="00000000" w:rsidRPr="00000000">
        <w:rPr>
          <w:rFonts w:ascii="Aptos" w:cs="Aptos" w:eastAsia="Aptos" w:hAnsi="Aptos"/>
          <w:i w:val="1"/>
          <w:iCs w:val="1"/>
          <w:rtl w:val="0"/>
        </w:rPr>
        <w:t xml:space="preserve">et al.</w:t>
      </w:r>
      <w:r w:rsidDel="00000000" w:rsidR="00000000" w:rsidRPr="00000000">
        <w:rPr>
          <w:rFonts w:ascii="Aptos" w:cs="Aptos" w:eastAsia="Aptos" w:hAnsi="Aptos"/>
          <w:rtl w:val="0"/>
        </w:rPr>
        <w:t xml:space="preserve"> (2017) ‘Beyond adoption: a new framework for theorising and evaluating nonadoption and abandonment of health technologies’, </w:t>
      </w:r>
      <w:r w:rsidDel="00000000" w:rsidR="00000000" w:rsidRPr="00000000">
        <w:rPr>
          <w:rFonts w:ascii="Aptos" w:cs="Aptos" w:eastAsia="Aptos" w:hAnsi="Aptos"/>
          <w:i w:val="1"/>
          <w:iCs w:val="1"/>
          <w:rtl w:val="0"/>
        </w:rPr>
        <w:t xml:space="preserve">Journal of Medical Internet Research</w:t>
      </w:r>
      <w:r w:rsidDel="00000000" w:rsidR="00000000" w:rsidRPr="00000000">
        <w:rPr>
          <w:rFonts w:ascii="Aptos" w:cs="Aptos" w:eastAsia="Aptos" w:hAnsi="Aptos"/>
          <w:rtl w:val="0"/>
        </w:rPr>
        <w:t xml:space="preserve">, 19(11). Available at:</w:t>
      </w:r>
      <w:hyperlink r:id="rId13">
        <w:r w:rsidDel="00000000" w:rsidR="00000000" w:rsidRPr="00000000">
          <w:rPr>
            <w:rFonts w:ascii="Aptos" w:cs="Aptos" w:eastAsia="Aptos" w:hAnsi="Aptos"/>
            <w:rtl w:val="0"/>
          </w:rPr>
          <w:t xml:space="preserve"> </w:t>
        </w:r>
      </w:hyperlink>
      <w:hyperlink r:id="rId14">
        <w:r w:rsidDel="00000000" w:rsidR="00000000" w:rsidRPr="00000000">
          <w:rPr>
            <w:rFonts w:ascii="Aptos" w:cs="Aptos" w:eastAsia="Aptos" w:hAnsi="Aptos"/>
            <w:color w:val="1155cc"/>
            <w:u w:val="single"/>
            <w:rtl w:val="0"/>
          </w:rPr>
          <w:t xml:space="preserve">https://pubmed.ncbi.nlm.nih.gov/29154506/</w:t>
        </w:r>
      </w:hyperlink>
      <w:r w:rsidDel="00000000" w:rsidR="00000000" w:rsidRPr="00000000">
        <w:rPr>
          <w:rtl w:val="0"/>
        </w:rPr>
      </w:r>
    </w:p>
    <w:p w:rsidR="00000000" w:rsidDel="00000000" w:rsidP="00000000" w:rsidRDefault="00000000" w:rsidRPr="00000000" w14:paraId="0000003F">
      <w:pPr>
        <w:spacing w:after="240" w:before="240" w:line="360" w:lineRule="auto"/>
        <w:rPr>
          <w:rFonts w:ascii="Aptos" w:cs="Aptos" w:eastAsia="Aptos" w:hAnsi="Aptos"/>
        </w:rPr>
      </w:pPr>
      <w:r w:rsidDel="00000000" w:rsidR="00000000" w:rsidRPr="00000000">
        <w:rPr>
          <w:rFonts w:ascii="Aptos" w:cs="Aptos" w:eastAsia="Aptos" w:hAnsi="Aptos"/>
          <w:rtl w:val="0"/>
        </w:rPr>
        <w:t xml:space="preserve">Booth, A., Sutton, A. and Papaioannou, D. (2021) </w:t>
      </w:r>
      <w:r w:rsidDel="00000000" w:rsidR="00000000" w:rsidRPr="00000000">
        <w:rPr>
          <w:rFonts w:ascii="Aptos" w:cs="Aptos" w:eastAsia="Aptos" w:hAnsi="Aptos"/>
          <w:i w:val="1"/>
          <w:iCs w:val="1"/>
          <w:rtl w:val="0"/>
        </w:rPr>
        <w:t xml:space="preserve">Systematic Approaches to a Successful Literature Review</w:t>
      </w:r>
      <w:r w:rsidDel="00000000" w:rsidR="00000000" w:rsidRPr="00000000">
        <w:rPr>
          <w:rFonts w:ascii="Aptos" w:cs="Aptos" w:eastAsia="Aptos" w:hAnsi="Aptos"/>
          <w:rtl w:val="0"/>
        </w:rPr>
        <w:t xml:space="preserve">. 3rd edn. London: Sage.</w:t>
      </w:r>
    </w:p>
    <w:p w:rsidR="00000000" w:rsidDel="00000000" w:rsidP="00000000" w:rsidRDefault="00000000" w:rsidRPr="00000000" w14:paraId="00000040">
      <w:pPr>
        <w:spacing w:after="240" w:before="240" w:line="360" w:lineRule="auto"/>
        <w:rPr/>
        <w:sectPr>
          <w:type w:val="nextPage"/>
          <w:pgSz w:h="12240" w:w="15840" w:orient="landscape"/>
          <w:pgMar w:bottom="576" w:top="720" w:left="720" w:right="720" w:header="432" w:footer="288"/>
          <w:titlePg w:val="1"/>
        </w:sectPr>
      </w:pPr>
      <w:r w:rsidDel="00000000" w:rsidR="00000000" w:rsidRPr="00000000">
        <w:rPr>
          <w:rFonts w:ascii="Aptos" w:cs="Aptos" w:eastAsia="Aptos" w:hAnsi="Aptos"/>
          <w:rtl w:val="0"/>
        </w:rPr>
        <w:t xml:space="preserve">Braun, V. and Clarke, V. (2006) ‘Using thematic analysis in psychology’, </w:t>
      </w:r>
      <w:r w:rsidDel="00000000" w:rsidR="00000000" w:rsidRPr="00000000">
        <w:rPr>
          <w:rFonts w:ascii="Aptos" w:cs="Aptos" w:eastAsia="Aptos" w:hAnsi="Aptos"/>
          <w:i w:val="1"/>
          <w:iCs w:val="1"/>
          <w:rtl w:val="0"/>
        </w:rPr>
        <w:t xml:space="preserve">Qualitative Research in Psychology</w:t>
      </w:r>
      <w:r w:rsidDel="00000000" w:rsidR="00000000" w:rsidRPr="00000000">
        <w:rPr>
          <w:rFonts w:ascii="Aptos" w:cs="Aptos" w:eastAsia="Aptos" w:hAnsi="Aptos"/>
          <w:rtl w:val="0"/>
        </w:rPr>
        <w:t xml:space="preserve">, 3(2), pp. 77–101. Available at:</w:t>
      </w:r>
      <w:hyperlink r:id="rId15">
        <w:r w:rsidDel="00000000" w:rsidR="00000000" w:rsidRPr="00000000">
          <w:rPr>
            <w:rFonts w:ascii="Aptos" w:cs="Aptos" w:eastAsia="Aptos" w:hAnsi="Aptos"/>
            <w:rtl w:val="0"/>
          </w:rPr>
          <w:t xml:space="preserve"> </w:t>
        </w:r>
      </w:hyperlink>
      <w:hyperlink r:id="rId16">
        <w:r w:rsidDel="00000000" w:rsidR="00000000" w:rsidRPr="00000000">
          <w:rPr>
            <w:rFonts w:ascii="Aptos" w:cs="Aptos" w:eastAsia="Aptos" w:hAnsi="Aptos"/>
            <w:color w:val="1155cc"/>
            <w:u w:val="single"/>
            <w:rtl w:val="0"/>
          </w:rPr>
          <w:t xml:space="preserve">https://doi.org/10.1191/1478088706qp063oa</w:t>
        </w:r>
      </w:hyperlink>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20" w:before="0" w:line="360" w:lineRule="auto"/>
        <w:ind w:left="0" w:right="0" w:firstLine="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tl w:val="0"/>
        </w:rPr>
      </w:r>
    </w:p>
    <w:sectPr>
      <w:type w:val="nextPage"/>
      <w:pgSz w:h="15840" w:w="12240" w:orient="portrait"/>
      <w:pgMar w:bottom="720" w:top="720" w:left="720" w:right="576" w:header="432" w:footer="288"/>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ptos"/>
  <w:font w:name="Century Schoolbook">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Pr>
    </w:pPr>
    <w:r w:rsidDel="00000000" w:rsidR="00000000" w:rsidRPr="00000000">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tl w:val="0"/>
      </w:rPr>
      <w:t xml:space="preserve">`</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entury Schoolbook" w:cs="Century Schoolbook" w:eastAsia="Century Schoolbook" w:hAnsi="Century Schoolbook"/>
        <w:sz w:val="22"/>
        <w:szCs w:val="22"/>
        <w:lang w:val="en"/>
      </w:rPr>
    </w:rPrDefault>
    <w:pPrDefault>
      <w:pPr>
        <w:spacing w:after="22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240" w:lineRule="auto"/>
    </w:pPr>
    <w:rPr>
      <w:rFonts w:ascii="Century Schoolbook" w:cs="Century Schoolbook" w:eastAsia="Century Schoolbook" w:hAnsi="Century Schoolbook"/>
      <w:b w:val="1"/>
      <w:bCs w:val="1"/>
      <w:color w:val="44546a"/>
      <w:sz w:val="28"/>
      <w:szCs w:val="28"/>
    </w:rPr>
  </w:style>
  <w:style w:type="paragraph" w:styleId="Heading2">
    <w:name w:val="heading 2"/>
    <w:basedOn w:val="Normal"/>
    <w:next w:val="Normal"/>
    <w:pPr>
      <w:spacing w:after="240" w:lineRule="auto"/>
    </w:pPr>
    <w:rPr>
      <w:rFonts w:ascii="Century Schoolbook" w:cs="Century Schoolbook" w:eastAsia="Century Schoolbook" w:hAnsi="Century Schoolbook"/>
      <w:b w:val="1"/>
      <w:bCs w:val="1"/>
      <w:color w:val="ffffff"/>
      <w:sz w:val="28"/>
      <w:szCs w:val="28"/>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pPr>
    <w:rPr>
      <w:rFonts w:ascii="Century Schoolbook" w:cs="Century Schoolbook" w:eastAsia="Century Schoolbook" w:hAnsi="Century Schoolbook"/>
      <w:b w:val="1"/>
      <w:bCs w:val="1"/>
      <w:i w:val="0"/>
      <w:iCs w:val="0"/>
      <w:smallCaps w:val="0"/>
      <w:strike w:val="0"/>
      <w:color w:val="ed7d31"/>
      <w:sz w:val="28"/>
      <w:szCs w:val="28"/>
      <w:u w:val="none"/>
      <w:shd w:fill="auto" w:val="clear"/>
      <w:vertAlign w:val="baseline"/>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200" w:lineRule="auto"/>
      <w:jc w:val="center"/>
    </w:pPr>
    <w:rPr>
      <w:rFonts w:ascii="Century Schoolbook" w:cs="Century Schoolbook" w:eastAsia="Century Schoolbook" w:hAnsi="Century Schoolbook"/>
      <w:b w:val="1"/>
      <w:bCs w:val="1"/>
      <w:color w:val="ffffff"/>
      <w:sz w:val="48"/>
      <w:szCs w:val="4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1D6CC4"/>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4Char" w:customStyle="1">
    <w:name w:val="Heading 4 Char"/>
    <w:basedOn w:val="DefaultParagraphFont"/>
    <w:link w:val="Heading4"/>
    <w:semiHidden w:val="1"/>
    <w:rsid w:val="00A70A62"/>
    <w:rPr>
      <w:rFonts w:cs="Arial" w:eastAsia="Times New Roman"/>
      <w:b w:val="1"/>
      <w:noProof w:val="1"/>
      <w:color w:val="ed7d31" w:themeColor="accent2"/>
      <w:spacing w:val="10"/>
      <w:sz w:val="28"/>
      <w:szCs w:val="32"/>
    </w:rPr>
  </w:style>
  <w:style w:type="character" w:styleId="TitleChar" w:customStyle="1">
    <w:name w:val="Title Char"/>
    <w:basedOn w:val="DefaultParagraphFont"/>
    <w:link w:val="Title"/>
    <w:uiPriority w:val="10"/>
    <w:rsid w:val="00990E76"/>
    <w:rPr>
      <w:rFonts w:asciiTheme="majorHAnsi" w:cstheme="majorBidi" w:eastAsiaTheme="majorEastAsia" w:hAnsiTheme="majorHAnsi"/>
      <w:b w:val="1"/>
      <w:color w:val="ffffff" w:themeColor="background1"/>
      <w:spacing w:val="-10"/>
      <w:kern w:val="28"/>
      <w:sz w:val="48"/>
      <w:szCs w:val="56"/>
    </w:rPr>
  </w:style>
  <w:style w:type="paragraph" w:styleId="ListParagraph">
    <w:name w:val="List Paragraph"/>
    <w:basedOn w:val="Normal"/>
    <w:uiPriority w:val="34"/>
    <w:qFormat w:val="1"/>
    <w:rsid w:val="00877A91"/>
    <w:pPr>
      <w:ind w:left="720"/>
      <w:contextualSpacing w:val="1"/>
    </w:pPr>
  </w:style>
  <w:style w:type="character" w:styleId="Strong">
    <w:name w:val="Strong"/>
    <w:basedOn w:val="DefaultParagraphFont"/>
    <w:uiPriority w:val="22"/>
    <w:semiHidden w:val="1"/>
    <w:rsid w:val="00967DAB"/>
    <w:rPr>
      <w:b w:val="1"/>
      <w:bCs w:val="1"/>
    </w:rPr>
  </w:style>
  <w:style w:type="character" w:styleId="Heading1Char" w:customStyle="1">
    <w:name w:val="Heading 1 Char"/>
    <w:basedOn w:val="DefaultParagraphFont"/>
    <w:link w:val="Heading1"/>
    <w:uiPriority w:val="9"/>
    <w:rsid w:val="00990E76"/>
    <w:rPr>
      <w:rFonts w:asciiTheme="majorHAnsi" w:hAnsiTheme="majorHAnsi"/>
      <w:b w:val="1"/>
      <w:color w:val="44546a" w:themeColor="text2"/>
      <w:spacing w:val="10"/>
      <w:sz w:val="28"/>
    </w:rPr>
  </w:style>
  <w:style w:type="character" w:styleId="Hashtag">
    <w:name w:val="Hashtag"/>
    <w:basedOn w:val="DefaultParagraphFont"/>
    <w:uiPriority w:val="99"/>
    <w:semiHidden w:val="1"/>
    <w:rsid w:val="00967DAB"/>
    <w:rPr>
      <w:color w:val="2b579a"/>
      <w:shd w:color="auto" w:fill="e6e6e6" w:val="clear"/>
    </w:rPr>
  </w:style>
  <w:style w:type="character" w:styleId="IntenseEmphasis">
    <w:name w:val="Intense Emphasis"/>
    <w:basedOn w:val="DefaultParagraphFont"/>
    <w:uiPriority w:val="21"/>
    <w:semiHidden w:val="1"/>
    <w:rsid w:val="00967DAB"/>
    <w:rPr>
      <w:i w:val="1"/>
      <w:iCs w:val="1"/>
      <w:color w:val="4472c4" w:themeColor="accent1"/>
    </w:rPr>
  </w:style>
  <w:style w:type="paragraph" w:styleId="IntenseQuote">
    <w:name w:val="Intense Quote"/>
    <w:basedOn w:val="Normal"/>
    <w:next w:val="Normal"/>
    <w:link w:val="IntenseQuoteChar"/>
    <w:uiPriority w:val="30"/>
    <w:semiHidden w:val="1"/>
    <w:rsid w:val="00967DAB"/>
    <w:pPr>
      <w:pBdr>
        <w:top w:color="4472c4" w:space="10" w:sz="4" w:themeColor="accent1" w:val="single"/>
        <w:bottom w:color="4472c4" w:space="10" w:sz="4" w:themeColor="accent1" w:val="single"/>
      </w:pBdr>
      <w:spacing w:after="360" w:before="360"/>
      <w:ind w:left="864" w:right="864"/>
      <w:jc w:val="center"/>
    </w:pPr>
    <w:rPr>
      <w:i w:val="1"/>
      <w:iCs w:val="1"/>
      <w:color w:val="4472c4" w:themeColor="accent1"/>
    </w:rPr>
  </w:style>
  <w:style w:type="character" w:styleId="IntenseQuoteChar" w:customStyle="1">
    <w:name w:val="Intense Quote Char"/>
    <w:basedOn w:val="DefaultParagraphFont"/>
    <w:link w:val="IntenseQuote"/>
    <w:uiPriority w:val="30"/>
    <w:semiHidden w:val="1"/>
    <w:rsid w:val="00967DAB"/>
    <w:rPr>
      <w:rFonts w:cs="Times New Roman" w:eastAsia="Times New Roman"/>
      <w:i w:val="1"/>
      <w:iCs w:val="1"/>
      <w:color w:val="4472c4" w:themeColor="accent1"/>
      <w:sz w:val="21"/>
    </w:rPr>
  </w:style>
  <w:style w:type="character" w:styleId="IntenseReference">
    <w:name w:val="Intense Reference"/>
    <w:basedOn w:val="DefaultParagraphFont"/>
    <w:uiPriority w:val="32"/>
    <w:semiHidden w:val="1"/>
    <w:rsid w:val="00967DAB"/>
    <w:rPr>
      <w:b w:val="1"/>
      <w:bCs w:val="1"/>
      <w:smallCaps w:val="1"/>
      <w:color w:val="4472c4" w:themeColor="accent1"/>
      <w:spacing w:val="5"/>
    </w:rPr>
  </w:style>
  <w:style w:type="character" w:styleId="SubtleReference">
    <w:name w:val="Subtle Reference"/>
    <w:basedOn w:val="DefaultParagraphFont"/>
    <w:uiPriority w:val="31"/>
    <w:semiHidden w:val="1"/>
    <w:rsid w:val="00967DAB"/>
    <w:rPr>
      <w:smallCaps w:val="1"/>
      <w:color w:val="5a5a5a" w:themeColor="text1" w:themeTint="0000A5"/>
    </w:rPr>
  </w:style>
  <w:style w:type="character" w:styleId="UnresolvedMention">
    <w:name w:val="Unresolved Mention"/>
    <w:basedOn w:val="DefaultParagraphFont"/>
    <w:uiPriority w:val="99"/>
    <w:semiHidden w:val="1"/>
    <w:rsid w:val="00967DAB"/>
    <w:rPr>
      <w:color w:val="808080"/>
      <w:shd w:color="auto" w:fill="e6e6e6" w:val="clear"/>
    </w:rPr>
  </w:style>
  <w:style w:type="character" w:styleId="Heading2Char" w:customStyle="1">
    <w:name w:val="Heading 2 Char"/>
    <w:basedOn w:val="DefaultParagraphFont"/>
    <w:link w:val="Heading2"/>
    <w:uiPriority w:val="9"/>
    <w:rsid w:val="00990E76"/>
    <w:rPr>
      <w:rFonts w:asciiTheme="majorHAnsi" w:hAnsiTheme="majorHAnsi"/>
      <w:b w:val="1"/>
      <w:color w:val="ffffff" w:themeColor="background1"/>
      <w:spacing w:val="10"/>
      <w:sz w:val="28"/>
    </w:rPr>
  </w:style>
  <w:style w:type="paragraph" w:styleId="NormalTextDarkBackground" w:customStyle="1">
    <w:name w:val="Normal Text Dark Background"/>
    <w:basedOn w:val="Normal"/>
    <w:qFormat w:val="1"/>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val="1"/>
    <w:rsid w:val="00C46111"/>
    <w:pPr>
      <w:spacing w:after="0"/>
    </w:pPr>
  </w:style>
  <w:style w:type="character" w:styleId="FooterChar" w:customStyle="1">
    <w:name w:val="Footer Char"/>
    <w:basedOn w:val="DefaultParagraphFont"/>
    <w:link w:val="Footer"/>
    <w:uiPriority w:val="99"/>
    <w:semiHidden w:val="1"/>
    <w:rsid w:val="00C46111"/>
  </w:style>
  <w:style w:type="paragraph" w:styleId="NoSpacing">
    <w:name w:val="No Spacing"/>
    <w:uiPriority w:val="1"/>
    <w:semiHidden w:val="1"/>
    <w:qFormat w:val="1"/>
    <w:rsid w:val="00CC0A8F"/>
    <w:rPr>
      <w:rFonts w:cs="Times New Roman" w:eastAsia="Times New Roman"/>
    </w:rPr>
  </w:style>
  <w:style w:type="character" w:styleId="PlaceholderText">
    <w:name w:val="Placeholder Text"/>
    <w:basedOn w:val="DefaultParagraphFont"/>
    <w:uiPriority w:val="99"/>
    <w:semiHidden w:val="1"/>
    <w:rsid w:val="00206405"/>
    <w:rPr>
      <w:color w:val="808080"/>
    </w:rPr>
  </w:style>
  <w:style w:type="paragraph" w:styleId="Quote">
    <w:name w:val="Quote"/>
    <w:basedOn w:val="Normal"/>
    <w:next w:val="Normal"/>
    <w:link w:val="QuoteChar"/>
    <w:uiPriority w:val="29"/>
    <w:qFormat w:val="1"/>
    <w:rsid w:val="00C46111"/>
    <w:pPr>
      <w:spacing w:after="200"/>
      <w:jc w:val="center"/>
    </w:pPr>
    <w:rPr>
      <w:rFonts w:asciiTheme="majorHAnsi" w:hAnsiTheme="majorHAnsi"/>
      <w:b w:val="1"/>
      <w:noProof w:val="1"/>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val="1"/>
      <w:noProof w:val="1"/>
      <w:color w:val="44546a" w:themeColor="text2"/>
      <w:spacing w:val="-10"/>
      <w:sz w:val="48"/>
      <w:szCs w:val="10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topol.hee.nhs.uk" TargetMode="External"/><Relationship Id="rId10" Type="http://schemas.openxmlformats.org/officeDocument/2006/relationships/image" Target="media/image2.jpg"/><Relationship Id="rId13" Type="http://schemas.openxmlformats.org/officeDocument/2006/relationships/hyperlink" Target="https://pubmed.ncbi.nlm.nih.gov/29154506/" TargetMode="External"/><Relationship Id="rId12" Type="http://schemas.openxmlformats.org/officeDocument/2006/relationships/hyperlink" Target="https://topol.hee.nhs.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15" Type="http://schemas.openxmlformats.org/officeDocument/2006/relationships/hyperlink" Target="https://doi.org/10.1191/1478088706qp063oa" TargetMode="External"/><Relationship Id="rId14" Type="http://schemas.openxmlformats.org/officeDocument/2006/relationships/hyperlink" Target="https://pubmed.ncbi.nlm.nih.gov/29154506/" TargetMode="External"/><Relationship Id="rId16" Type="http://schemas.openxmlformats.org/officeDocument/2006/relationships/hyperlink" Target="https://doi.org/10.1191/1478088706qp063oa"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CenturySchoolbook-regular.ttf"/><Relationship Id="rId2" Type="http://schemas.openxmlformats.org/officeDocument/2006/relationships/font" Target="fonts/CenturySchoolbook-bold.ttf"/><Relationship Id="rId3" Type="http://schemas.openxmlformats.org/officeDocument/2006/relationships/font" Target="fonts/CenturySchoolbook-italic.ttf"/><Relationship Id="rId4" Type="http://schemas.openxmlformats.org/officeDocument/2006/relationships/font" Target="fonts/CenturySchoolbook-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ncqX17wFTj7FnMqJsnEBgpsQMA==">CgMxLjA4AHIhMTBKdmtFYjI2Um54V28wTGNIQ205SC04UFpHbEY4MFVH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2024-08-13T19:18:00Z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