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490E3B" w14:textId="77777777" w:rsidR="00750B2E" w:rsidRPr="000E5D92" w:rsidRDefault="00750B2E" w:rsidP="000E5D92">
      <w:pPr>
        <w:jc w:val="center"/>
        <w:rPr>
          <w:rFonts w:cs="Times New Roman"/>
          <w:sz w:val="32"/>
          <w:szCs w:val="32"/>
        </w:rPr>
      </w:pPr>
      <w:r w:rsidRPr="000E5D92">
        <w:rPr>
          <w:rFonts w:cs="Times New Roman"/>
          <w:sz w:val="32"/>
          <w:szCs w:val="32"/>
        </w:rPr>
        <w:t>University of Wales Trinity Saint David</w:t>
      </w:r>
    </w:p>
    <w:p w14:paraId="26B3CEB1" w14:textId="77777777" w:rsidR="00750B2E" w:rsidRPr="000E5D92" w:rsidRDefault="00750B2E" w:rsidP="000E5D92">
      <w:pPr>
        <w:jc w:val="center"/>
        <w:rPr>
          <w:rFonts w:cs="Times New Roman"/>
          <w:sz w:val="32"/>
          <w:szCs w:val="32"/>
        </w:rPr>
      </w:pPr>
    </w:p>
    <w:p w14:paraId="5B0D2D72" w14:textId="77777777" w:rsidR="00750B2E" w:rsidRPr="000E5D92" w:rsidRDefault="00750B2E" w:rsidP="000E5D92">
      <w:pPr>
        <w:jc w:val="center"/>
        <w:rPr>
          <w:rFonts w:cs="Times New Roman"/>
          <w:sz w:val="32"/>
          <w:szCs w:val="32"/>
        </w:rPr>
      </w:pPr>
      <w:r w:rsidRPr="000E5D92">
        <w:rPr>
          <w:rFonts w:cs="Times New Roman"/>
          <w:noProof/>
        </w:rPr>
        <w:drawing>
          <wp:anchor distT="0" distB="0" distL="114300" distR="114300" simplePos="0" relativeHeight="251659264" behindDoc="1" locked="0" layoutInCell="1" allowOverlap="1" wp14:anchorId="6EAE5D2C" wp14:editId="32395101">
            <wp:simplePos x="0" y="0"/>
            <wp:positionH relativeFrom="margin">
              <wp:align>center</wp:align>
            </wp:positionH>
            <wp:positionV relativeFrom="paragraph">
              <wp:posOffset>375920</wp:posOffset>
            </wp:positionV>
            <wp:extent cx="1912620" cy="2456180"/>
            <wp:effectExtent l="0" t="0" r="0" b="1270"/>
            <wp:wrapSquare wrapText="bothSides"/>
            <wp:docPr id="1" name="Picture 1"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rotWithShape="1">
                    <a:blip r:embed="rId8">
                      <a:extLst>
                        <a:ext uri="{28A0092B-C50C-407E-A947-70E740481C1C}">
                          <a14:useLocalDpi xmlns:a14="http://schemas.microsoft.com/office/drawing/2010/main" val="0"/>
                        </a:ext>
                      </a:extLst>
                    </a:blip>
                    <a:srcRect l="18927" t="14406" r="19491" b="6498"/>
                    <a:stretch/>
                  </pic:blipFill>
                  <pic:spPr bwMode="auto">
                    <a:xfrm>
                      <a:off x="0" y="0"/>
                      <a:ext cx="1912620" cy="2456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E5D92">
        <w:rPr>
          <w:rFonts w:cs="Times New Roman"/>
          <w:sz w:val="32"/>
          <w:szCs w:val="32"/>
        </w:rPr>
        <w:t>Wales Institute of Science &amp; Arts</w:t>
      </w:r>
    </w:p>
    <w:p w14:paraId="239563C1" w14:textId="77777777" w:rsidR="00750B2E" w:rsidRPr="000E5D92" w:rsidRDefault="00750B2E" w:rsidP="000E5D92">
      <w:pPr>
        <w:jc w:val="center"/>
        <w:rPr>
          <w:rFonts w:cs="Times New Roman"/>
          <w:sz w:val="32"/>
          <w:szCs w:val="32"/>
        </w:rPr>
      </w:pPr>
    </w:p>
    <w:p w14:paraId="3520A7D3" w14:textId="77777777" w:rsidR="00750B2E" w:rsidRPr="000E5D92" w:rsidRDefault="00750B2E" w:rsidP="000E5D92">
      <w:pPr>
        <w:jc w:val="center"/>
        <w:rPr>
          <w:rFonts w:cs="Times New Roman"/>
          <w:sz w:val="32"/>
          <w:szCs w:val="32"/>
        </w:rPr>
      </w:pPr>
    </w:p>
    <w:p w14:paraId="40D312C8" w14:textId="77777777" w:rsidR="00750B2E" w:rsidRPr="000E5D92" w:rsidRDefault="00750B2E" w:rsidP="000E5D92">
      <w:pPr>
        <w:jc w:val="center"/>
        <w:rPr>
          <w:rFonts w:cs="Times New Roman"/>
          <w:sz w:val="32"/>
          <w:szCs w:val="32"/>
        </w:rPr>
      </w:pPr>
    </w:p>
    <w:p w14:paraId="7C846748" w14:textId="77777777" w:rsidR="00750B2E" w:rsidRPr="000E5D92" w:rsidRDefault="00750B2E" w:rsidP="000E5D92">
      <w:pPr>
        <w:jc w:val="center"/>
        <w:rPr>
          <w:rFonts w:cs="Times New Roman"/>
          <w:sz w:val="32"/>
          <w:szCs w:val="32"/>
        </w:rPr>
      </w:pPr>
    </w:p>
    <w:p w14:paraId="7E7B332F" w14:textId="77777777" w:rsidR="00750B2E" w:rsidRPr="000E5D92" w:rsidRDefault="00750B2E" w:rsidP="000E5D92">
      <w:pPr>
        <w:jc w:val="center"/>
        <w:rPr>
          <w:rFonts w:cs="Times New Roman"/>
          <w:sz w:val="32"/>
          <w:szCs w:val="32"/>
        </w:rPr>
      </w:pPr>
    </w:p>
    <w:p w14:paraId="57677FFE" w14:textId="77777777" w:rsidR="00750B2E" w:rsidRPr="000E5D92" w:rsidRDefault="00750B2E" w:rsidP="000E5D92">
      <w:pPr>
        <w:jc w:val="center"/>
        <w:rPr>
          <w:rFonts w:cs="Times New Roman"/>
          <w:sz w:val="32"/>
          <w:szCs w:val="32"/>
        </w:rPr>
      </w:pPr>
    </w:p>
    <w:p w14:paraId="38A61F19" w14:textId="77777777" w:rsidR="00750B2E" w:rsidRPr="000E5D92" w:rsidRDefault="00750B2E" w:rsidP="000E5D92">
      <w:pPr>
        <w:jc w:val="center"/>
        <w:rPr>
          <w:rFonts w:cs="Times New Roman"/>
          <w:sz w:val="32"/>
          <w:szCs w:val="32"/>
        </w:rPr>
      </w:pPr>
    </w:p>
    <w:p w14:paraId="5803C42B" w14:textId="3CF985CB" w:rsidR="00750B2E" w:rsidRPr="000E5D92" w:rsidRDefault="003F5088" w:rsidP="000E5D92">
      <w:pPr>
        <w:jc w:val="center"/>
        <w:rPr>
          <w:rFonts w:cs="Times New Roman"/>
          <w:sz w:val="52"/>
          <w:szCs w:val="52"/>
        </w:rPr>
      </w:pPr>
      <w:r w:rsidRPr="000E5D92">
        <w:rPr>
          <w:rFonts w:cs="Times New Roman"/>
          <w:color w:val="000000"/>
          <w:sz w:val="52"/>
          <w:szCs w:val="52"/>
        </w:rPr>
        <w:t>Risk Assessment Technical Report</w:t>
      </w:r>
    </w:p>
    <w:p w14:paraId="23898768" w14:textId="6DDF3C18" w:rsidR="00750B2E" w:rsidRPr="000E5D92" w:rsidRDefault="003F5088" w:rsidP="000E5D92">
      <w:pPr>
        <w:jc w:val="center"/>
        <w:rPr>
          <w:rFonts w:cs="Times New Roman"/>
          <w:sz w:val="32"/>
          <w:szCs w:val="32"/>
        </w:rPr>
      </w:pPr>
      <w:r w:rsidRPr="000E5D92">
        <w:rPr>
          <w:rFonts w:cs="Times New Roman"/>
          <w:sz w:val="32"/>
          <w:szCs w:val="32"/>
        </w:rPr>
        <w:t>Workshop and Practise, ACHA 4011</w:t>
      </w:r>
    </w:p>
    <w:p w14:paraId="6E1C55D4" w14:textId="77777777" w:rsidR="00750B2E" w:rsidRPr="000E5D92" w:rsidRDefault="00750B2E" w:rsidP="000E5D92">
      <w:pPr>
        <w:rPr>
          <w:rFonts w:cs="Times New Roman"/>
          <w:sz w:val="32"/>
          <w:szCs w:val="32"/>
        </w:rPr>
      </w:pPr>
    </w:p>
    <w:p w14:paraId="501596EF" w14:textId="77777777" w:rsidR="00750B2E" w:rsidRPr="000E5D92" w:rsidRDefault="00750B2E" w:rsidP="000E5D92">
      <w:pPr>
        <w:jc w:val="center"/>
        <w:rPr>
          <w:rFonts w:cs="Times New Roman"/>
          <w:sz w:val="32"/>
          <w:szCs w:val="32"/>
        </w:rPr>
      </w:pPr>
    </w:p>
    <w:p w14:paraId="674C1E79" w14:textId="77777777" w:rsidR="00750B2E" w:rsidRPr="000E5D92" w:rsidRDefault="00750B2E" w:rsidP="000E5D92">
      <w:pPr>
        <w:jc w:val="center"/>
        <w:rPr>
          <w:rFonts w:cs="Times New Roman"/>
          <w:sz w:val="32"/>
          <w:szCs w:val="32"/>
        </w:rPr>
      </w:pPr>
      <w:r w:rsidRPr="000E5D92">
        <w:rPr>
          <w:rFonts w:cs="Times New Roman"/>
          <w:sz w:val="32"/>
          <w:szCs w:val="32"/>
        </w:rPr>
        <w:t>Rhys Williams</w:t>
      </w:r>
    </w:p>
    <w:p w14:paraId="6E39E504" w14:textId="77777777" w:rsidR="00750B2E" w:rsidRPr="000E5D92" w:rsidRDefault="00750B2E" w:rsidP="000E5D92">
      <w:pPr>
        <w:jc w:val="center"/>
        <w:rPr>
          <w:rFonts w:cs="Times New Roman"/>
          <w:sz w:val="32"/>
          <w:szCs w:val="32"/>
        </w:rPr>
      </w:pPr>
      <w:r w:rsidRPr="000E5D92">
        <w:rPr>
          <w:rFonts w:cs="Times New Roman"/>
          <w:sz w:val="32"/>
          <w:szCs w:val="32"/>
        </w:rPr>
        <w:t>2004443</w:t>
      </w:r>
    </w:p>
    <w:p w14:paraId="3E13BB38" w14:textId="77777777" w:rsidR="00750B2E" w:rsidRPr="000E5D92" w:rsidRDefault="00750B2E" w:rsidP="000E5D92">
      <w:pPr>
        <w:jc w:val="center"/>
        <w:rPr>
          <w:rFonts w:cs="Times New Roman"/>
          <w:sz w:val="32"/>
          <w:szCs w:val="32"/>
        </w:rPr>
      </w:pPr>
    </w:p>
    <w:p w14:paraId="16023B6C" w14:textId="7DB7CB9D" w:rsidR="00750B2E" w:rsidRPr="000E5D92" w:rsidRDefault="003F5088" w:rsidP="000E5D92">
      <w:pPr>
        <w:jc w:val="center"/>
        <w:rPr>
          <w:rFonts w:cs="Times New Roman"/>
          <w:sz w:val="32"/>
          <w:szCs w:val="32"/>
        </w:rPr>
      </w:pPr>
      <w:r w:rsidRPr="000E5D92">
        <w:rPr>
          <w:rFonts w:cs="Times New Roman"/>
          <w:sz w:val="32"/>
          <w:szCs w:val="32"/>
        </w:rPr>
        <w:t>0</w:t>
      </w:r>
      <w:r w:rsidR="00A46913">
        <w:rPr>
          <w:rFonts w:cs="Times New Roman"/>
          <w:sz w:val="32"/>
          <w:szCs w:val="32"/>
        </w:rPr>
        <w:t>3</w:t>
      </w:r>
      <w:r w:rsidRPr="000E5D92">
        <w:rPr>
          <w:rFonts w:cs="Times New Roman"/>
          <w:sz w:val="32"/>
          <w:szCs w:val="32"/>
        </w:rPr>
        <w:t>/2021</w:t>
      </w:r>
    </w:p>
    <w:sdt>
      <w:sdtPr>
        <w:rPr>
          <w:rFonts w:eastAsiaTheme="minorHAnsi" w:cstheme="minorBidi"/>
          <w:b w:val="0"/>
          <w:bCs w:val="0"/>
          <w:sz w:val="22"/>
          <w:szCs w:val="22"/>
          <w:lang w:val="en-GB"/>
        </w:rPr>
        <w:id w:val="-1418550459"/>
        <w:docPartObj>
          <w:docPartGallery w:val="Table of Contents"/>
          <w:docPartUnique/>
        </w:docPartObj>
      </w:sdtPr>
      <w:sdtEndPr>
        <w:rPr>
          <w:noProof/>
          <w:sz w:val="24"/>
        </w:rPr>
      </w:sdtEndPr>
      <w:sdtContent>
        <w:p w14:paraId="0263E04C" w14:textId="352D966B" w:rsidR="00750B2E" w:rsidRPr="000E5D92" w:rsidRDefault="00750B2E" w:rsidP="000E5D92">
          <w:pPr>
            <w:pStyle w:val="TOCHeading"/>
          </w:pPr>
          <w:r w:rsidRPr="000E5D92">
            <w:t>Contents</w:t>
          </w:r>
        </w:p>
        <w:p w14:paraId="5F2491C8" w14:textId="1759AF68" w:rsidR="00822306" w:rsidRDefault="000A67A8">
          <w:pPr>
            <w:pStyle w:val="TOC1"/>
            <w:tabs>
              <w:tab w:val="right" w:leader="dot" w:pos="9016"/>
            </w:tabs>
            <w:rPr>
              <w:rFonts w:asciiTheme="minorHAnsi" w:eastAsiaTheme="minorEastAsia" w:hAnsiTheme="minorHAnsi"/>
              <w:noProof/>
              <w:sz w:val="22"/>
              <w:lang w:eastAsia="en-GB"/>
            </w:rPr>
          </w:pPr>
          <w:r w:rsidRPr="000E5D92">
            <w:fldChar w:fldCharType="begin"/>
          </w:r>
          <w:r w:rsidRPr="000E5D92">
            <w:instrText xml:space="preserve"> TOC \o "1-3" \h \z \u </w:instrText>
          </w:r>
          <w:r w:rsidRPr="000E5D92">
            <w:fldChar w:fldCharType="separate"/>
          </w:r>
          <w:hyperlink w:anchor="_Toc66119838" w:history="1">
            <w:r w:rsidR="00822306" w:rsidRPr="009E7303">
              <w:rPr>
                <w:rStyle w:val="Hyperlink"/>
                <w:noProof/>
              </w:rPr>
              <w:t>Introduction</w:t>
            </w:r>
            <w:r w:rsidR="00822306">
              <w:rPr>
                <w:noProof/>
                <w:webHidden/>
              </w:rPr>
              <w:tab/>
            </w:r>
            <w:r w:rsidR="00822306">
              <w:rPr>
                <w:noProof/>
                <w:webHidden/>
              </w:rPr>
              <w:fldChar w:fldCharType="begin"/>
            </w:r>
            <w:r w:rsidR="00822306">
              <w:rPr>
                <w:noProof/>
                <w:webHidden/>
              </w:rPr>
              <w:instrText xml:space="preserve"> PAGEREF _Toc66119838 \h </w:instrText>
            </w:r>
            <w:r w:rsidR="00822306">
              <w:rPr>
                <w:noProof/>
                <w:webHidden/>
              </w:rPr>
            </w:r>
            <w:r w:rsidR="00822306">
              <w:rPr>
                <w:noProof/>
                <w:webHidden/>
              </w:rPr>
              <w:fldChar w:fldCharType="separate"/>
            </w:r>
            <w:r w:rsidR="00822306">
              <w:rPr>
                <w:noProof/>
                <w:webHidden/>
              </w:rPr>
              <w:t>3</w:t>
            </w:r>
            <w:r w:rsidR="00822306">
              <w:rPr>
                <w:noProof/>
                <w:webHidden/>
              </w:rPr>
              <w:fldChar w:fldCharType="end"/>
            </w:r>
          </w:hyperlink>
        </w:p>
        <w:p w14:paraId="18F99D9F" w14:textId="07A0AA98" w:rsidR="00822306" w:rsidRDefault="00822306">
          <w:pPr>
            <w:pStyle w:val="TOC1"/>
            <w:tabs>
              <w:tab w:val="right" w:leader="dot" w:pos="9016"/>
            </w:tabs>
            <w:rPr>
              <w:rFonts w:asciiTheme="minorHAnsi" w:eastAsiaTheme="minorEastAsia" w:hAnsiTheme="minorHAnsi"/>
              <w:noProof/>
              <w:sz w:val="22"/>
              <w:lang w:eastAsia="en-GB"/>
            </w:rPr>
          </w:pPr>
          <w:hyperlink w:anchor="_Toc66119839" w:history="1">
            <w:r w:rsidRPr="009E7303">
              <w:rPr>
                <w:rStyle w:val="Hyperlink"/>
                <w:noProof/>
              </w:rPr>
              <w:t>Literature Review</w:t>
            </w:r>
            <w:r>
              <w:rPr>
                <w:noProof/>
                <w:webHidden/>
              </w:rPr>
              <w:tab/>
            </w:r>
            <w:r>
              <w:rPr>
                <w:noProof/>
                <w:webHidden/>
              </w:rPr>
              <w:fldChar w:fldCharType="begin"/>
            </w:r>
            <w:r>
              <w:rPr>
                <w:noProof/>
                <w:webHidden/>
              </w:rPr>
              <w:instrText xml:space="preserve"> PAGEREF _Toc66119839 \h </w:instrText>
            </w:r>
            <w:r>
              <w:rPr>
                <w:noProof/>
                <w:webHidden/>
              </w:rPr>
            </w:r>
            <w:r>
              <w:rPr>
                <w:noProof/>
                <w:webHidden/>
              </w:rPr>
              <w:fldChar w:fldCharType="separate"/>
            </w:r>
            <w:r>
              <w:rPr>
                <w:noProof/>
                <w:webHidden/>
              </w:rPr>
              <w:t>4</w:t>
            </w:r>
            <w:r>
              <w:rPr>
                <w:noProof/>
                <w:webHidden/>
              </w:rPr>
              <w:fldChar w:fldCharType="end"/>
            </w:r>
          </w:hyperlink>
        </w:p>
        <w:p w14:paraId="3B2088D2" w14:textId="45F93DEF" w:rsidR="00822306" w:rsidRDefault="00822306">
          <w:pPr>
            <w:pStyle w:val="TOC1"/>
            <w:tabs>
              <w:tab w:val="right" w:leader="dot" w:pos="9016"/>
            </w:tabs>
            <w:rPr>
              <w:rFonts w:asciiTheme="minorHAnsi" w:eastAsiaTheme="minorEastAsia" w:hAnsiTheme="minorHAnsi"/>
              <w:noProof/>
              <w:sz w:val="22"/>
              <w:lang w:eastAsia="en-GB"/>
            </w:rPr>
          </w:pPr>
          <w:hyperlink w:anchor="_Toc66119840" w:history="1">
            <w:r w:rsidRPr="009E7303">
              <w:rPr>
                <w:rStyle w:val="Hyperlink"/>
                <w:noProof/>
              </w:rPr>
              <w:t>Initial FMEA</w:t>
            </w:r>
            <w:r>
              <w:rPr>
                <w:noProof/>
                <w:webHidden/>
              </w:rPr>
              <w:tab/>
            </w:r>
            <w:r>
              <w:rPr>
                <w:noProof/>
                <w:webHidden/>
              </w:rPr>
              <w:fldChar w:fldCharType="begin"/>
            </w:r>
            <w:r>
              <w:rPr>
                <w:noProof/>
                <w:webHidden/>
              </w:rPr>
              <w:instrText xml:space="preserve"> PAGEREF _Toc66119840 \h </w:instrText>
            </w:r>
            <w:r>
              <w:rPr>
                <w:noProof/>
                <w:webHidden/>
              </w:rPr>
            </w:r>
            <w:r>
              <w:rPr>
                <w:noProof/>
                <w:webHidden/>
              </w:rPr>
              <w:fldChar w:fldCharType="separate"/>
            </w:r>
            <w:r>
              <w:rPr>
                <w:noProof/>
                <w:webHidden/>
              </w:rPr>
              <w:t>5</w:t>
            </w:r>
            <w:r>
              <w:rPr>
                <w:noProof/>
                <w:webHidden/>
              </w:rPr>
              <w:fldChar w:fldCharType="end"/>
            </w:r>
          </w:hyperlink>
        </w:p>
        <w:p w14:paraId="6A2DB2A2" w14:textId="174FF935" w:rsidR="00822306" w:rsidRDefault="00822306">
          <w:pPr>
            <w:pStyle w:val="TOC1"/>
            <w:tabs>
              <w:tab w:val="right" w:leader="dot" w:pos="9016"/>
            </w:tabs>
            <w:rPr>
              <w:rFonts w:asciiTheme="minorHAnsi" w:eastAsiaTheme="minorEastAsia" w:hAnsiTheme="minorHAnsi"/>
              <w:noProof/>
              <w:sz w:val="22"/>
              <w:lang w:eastAsia="en-GB"/>
            </w:rPr>
          </w:pPr>
          <w:hyperlink w:anchor="_Toc66119841" w:history="1">
            <w:r w:rsidRPr="009E7303">
              <w:rPr>
                <w:rStyle w:val="Hyperlink"/>
                <w:noProof/>
              </w:rPr>
              <w:t>Post-mitigation FMEA</w:t>
            </w:r>
            <w:r>
              <w:rPr>
                <w:noProof/>
                <w:webHidden/>
              </w:rPr>
              <w:tab/>
            </w:r>
            <w:r>
              <w:rPr>
                <w:noProof/>
                <w:webHidden/>
              </w:rPr>
              <w:fldChar w:fldCharType="begin"/>
            </w:r>
            <w:r>
              <w:rPr>
                <w:noProof/>
                <w:webHidden/>
              </w:rPr>
              <w:instrText xml:space="preserve"> PAGEREF _Toc66119841 \h </w:instrText>
            </w:r>
            <w:r>
              <w:rPr>
                <w:noProof/>
                <w:webHidden/>
              </w:rPr>
            </w:r>
            <w:r>
              <w:rPr>
                <w:noProof/>
                <w:webHidden/>
              </w:rPr>
              <w:fldChar w:fldCharType="separate"/>
            </w:r>
            <w:r>
              <w:rPr>
                <w:noProof/>
                <w:webHidden/>
              </w:rPr>
              <w:t>7</w:t>
            </w:r>
            <w:r>
              <w:rPr>
                <w:noProof/>
                <w:webHidden/>
              </w:rPr>
              <w:fldChar w:fldCharType="end"/>
            </w:r>
          </w:hyperlink>
        </w:p>
        <w:p w14:paraId="762AE297" w14:textId="76D508F0" w:rsidR="00822306" w:rsidRDefault="00822306">
          <w:pPr>
            <w:pStyle w:val="TOC1"/>
            <w:tabs>
              <w:tab w:val="right" w:leader="dot" w:pos="9016"/>
            </w:tabs>
            <w:rPr>
              <w:rFonts w:asciiTheme="minorHAnsi" w:eastAsiaTheme="minorEastAsia" w:hAnsiTheme="minorHAnsi"/>
              <w:noProof/>
              <w:sz w:val="22"/>
              <w:lang w:eastAsia="en-GB"/>
            </w:rPr>
          </w:pPr>
          <w:hyperlink w:anchor="_Toc66119842" w:history="1">
            <w:r w:rsidRPr="009E7303">
              <w:rPr>
                <w:rStyle w:val="Hyperlink"/>
                <w:noProof/>
              </w:rPr>
              <w:t>Conclusion</w:t>
            </w:r>
            <w:r>
              <w:rPr>
                <w:noProof/>
                <w:webHidden/>
              </w:rPr>
              <w:tab/>
            </w:r>
            <w:r>
              <w:rPr>
                <w:noProof/>
                <w:webHidden/>
              </w:rPr>
              <w:fldChar w:fldCharType="begin"/>
            </w:r>
            <w:r>
              <w:rPr>
                <w:noProof/>
                <w:webHidden/>
              </w:rPr>
              <w:instrText xml:space="preserve"> PAGEREF _Toc66119842 \h </w:instrText>
            </w:r>
            <w:r>
              <w:rPr>
                <w:noProof/>
                <w:webHidden/>
              </w:rPr>
            </w:r>
            <w:r>
              <w:rPr>
                <w:noProof/>
                <w:webHidden/>
              </w:rPr>
              <w:fldChar w:fldCharType="separate"/>
            </w:r>
            <w:r>
              <w:rPr>
                <w:noProof/>
                <w:webHidden/>
              </w:rPr>
              <w:t>9</w:t>
            </w:r>
            <w:r>
              <w:rPr>
                <w:noProof/>
                <w:webHidden/>
              </w:rPr>
              <w:fldChar w:fldCharType="end"/>
            </w:r>
          </w:hyperlink>
        </w:p>
        <w:p w14:paraId="6643B0B7" w14:textId="28E5236F" w:rsidR="00822306" w:rsidRDefault="00822306">
          <w:pPr>
            <w:pStyle w:val="TOC1"/>
            <w:tabs>
              <w:tab w:val="right" w:leader="dot" w:pos="9016"/>
            </w:tabs>
            <w:rPr>
              <w:rFonts w:asciiTheme="minorHAnsi" w:eastAsiaTheme="minorEastAsia" w:hAnsiTheme="minorHAnsi"/>
              <w:noProof/>
              <w:sz w:val="22"/>
              <w:lang w:eastAsia="en-GB"/>
            </w:rPr>
          </w:pPr>
          <w:hyperlink w:anchor="_Toc66119843" w:history="1">
            <w:r w:rsidRPr="009E7303">
              <w:rPr>
                <w:rStyle w:val="Hyperlink"/>
                <w:noProof/>
              </w:rPr>
              <w:t>Bibliography</w:t>
            </w:r>
            <w:r>
              <w:rPr>
                <w:noProof/>
                <w:webHidden/>
              </w:rPr>
              <w:tab/>
            </w:r>
            <w:r>
              <w:rPr>
                <w:noProof/>
                <w:webHidden/>
              </w:rPr>
              <w:fldChar w:fldCharType="begin"/>
            </w:r>
            <w:r>
              <w:rPr>
                <w:noProof/>
                <w:webHidden/>
              </w:rPr>
              <w:instrText xml:space="preserve"> PAGEREF _Toc66119843 \h </w:instrText>
            </w:r>
            <w:r>
              <w:rPr>
                <w:noProof/>
                <w:webHidden/>
              </w:rPr>
            </w:r>
            <w:r>
              <w:rPr>
                <w:noProof/>
                <w:webHidden/>
              </w:rPr>
              <w:fldChar w:fldCharType="separate"/>
            </w:r>
            <w:r>
              <w:rPr>
                <w:noProof/>
                <w:webHidden/>
              </w:rPr>
              <w:t>10</w:t>
            </w:r>
            <w:r>
              <w:rPr>
                <w:noProof/>
                <w:webHidden/>
              </w:rPr>
              <w:fldChar w:fldCharType="end"/>
            </w:r>
          </w:hyperlink>
        </w:p>
        <w:p w14:paraId="4DDF520B" w14:textId="197077C8" w:rsidR="00822306" w:rsidRDefault="00822306">
          <w:pPr>
            <w:pStyle w:val="TOC2"/>
            <w:tabs>
              <w:tab w:val="right" w:leader="dot" w:pos="9016"/>
            </w:tabs>
            <w:rPr>
              <w:rFonts w:asciiTheme="minorHAnsi" w:eastAsiaTheme="minorEastAsia" w:hAnsiTheme="minorHAnsi"/>
              <w:noProof/>
              <w:sz w:val="22"/>
              <w:lang w:eastAsia="en-GB"/>
            </w:rPr>
          </w:pPr>
          <w:hyperlink w:anchor="_Toc66119844" w:history="1">
            <w:r w:rsidRPr="009E7303">
              <w:rPr>
                <w:rStyle w:val="Hyperlink"/>
                <w:noProof/>
              </w:rPr>
              <w:t>References</w:t>
            </w:r>
            <w:r>
              <w:rPr>
                <w:noProof/>
                <w:webHidden/>
              </w:rPr>
              <w:tab/>
            </w:r>
            <w:r>
              <w:rPr>
                <w:noProof/>
                <w:webHidden/>
              </w:rPr>
              <w:fldChar w:fldCharType="begin"/>
            </w:r>
            <w:r>
              <w:rPr>
                <w:noProof/>
                <w:webHidden/>
              </w:rPr>
              <w:instrText xml:space="preserve"> PAGEREF _Toc66119844 \h </w:instrText>
            </w:r>
            <w:r>
              <w:rPr>
                <w:noProof/>
                <w:webHidden/>
              </w:rPr>
            </w:r>
            <w:r>
              <w:rPr>
                <w:noProof/>
                <w:webHidden/>
              </w:rPr>
              <w:fldChar w:fldCharType="separate"/>
            </w:r>
            <w:r>
              <w:rPr>
                <w:noProof/>
                <w:webHidden/>
              </w:rPr>
              <w:t>10</w:t>
            </w:r>
            <w:r>
              <w:rPr>
                <w:noProof/>
                <w:webHidden/>
              </w:rPr>
              <w:fldChar w:fldCharType="end"/>
            </w:r>
          </w:hyperlink>
        </w:p>
        <w:p w14:paraId="4CA08027" w14:textId="0B5B499D" w:rsidR="00750B2E" w:rsidRPr="000E5D92" w:rsidRDefault="000A67A8" w:rsidP="000E5D92">
          <w:r w:rsidRPr="000E5D92">
            <w:rPr>
              <w:b/>
              <w:bCs/>
              <w:noProof/>
              <w:lang w:val="en-US"/>
            </w:rPr>
            <w:fldChar w:fldCharType="end"/>
          </w:r>
        </w:p>
      </w:sdtContent>
    </w:sdt>
    <w:p w14:paraId="17C365DB" w14:textId="77777777" w:rsidR="000E5D92" w:rsidRDefault="00820032" w:rsidP="000E5D92">
      <w:pPr>
        <w:pStyle w:val="Heading1"/>
      </w:pPr>
      <w:r w:rsidRPr="000E5D92">
        <w:br w:type="page"/>
      </w:r>
      <w:bookmarkStart w:id="0" w:name="_Toc66119838"/>
      <w:r w:rsidR="000E5D92">
        <w:lastRenderedPageBreak/>
        <w:t>Introduction</w:t>
      </w:r>
      <w:bookmarkEnd w:id="0"/>
    </w:p>
    <w:p w14:paraId="03842F99" w14:textId="77777777" w:rsidR="000E5D92" w:rsidRDefault="000E5D92" w:rsidP="0019410C"/>
    <w:p w14:paraId="733EA4FF" w14:textId="77777777" w:rsidR="00AB34F2" w:rsidRDefault="00D148AC" w:rsidP="000E5D92">
      <w:r>
        <w:t>Within this report, I will be investigating</w:t>
      </w:r>
      <w:r w:rsidR="008E4044">
        <w:t>,</w:t>
      </w:r>
      <w:r>
        <w:t xml:space="preserve"> and outlining</w:t>
      </w:r>
      <w:r w:rsidR="008E4044">
        <w:t>,</w:t>
      </w:r>
      <w:r>
        <w:t xml:space="preserve"> the importance of a risk assessment, when applied to the automotive engineering sector. To illustrate, I have completed an FMEA (Failure Mode and Effective Analysis) </w:t>
      </w:r>
      <w:r w:rsidR="008E4044">
        <w:t xml:space="preserve">for a process within the production line of a motorcycle. This configures a breakdown of the potential failures that could go wrong within that section, alongside any mitigating actions I feel necessary to add that will reduce the </w:t>
      </w:r>
      <w:r w:rsidR="00D611E1">
        <w:t>opportunity</w:t>
      </w:r>
      <w:r w:rsidR="008E4044">
        <w:t xml:space="preserve"> of the failures occurring.</w:t>
      </w:r>
    </w:p>
    <w:p w14:paraId="6FA00D25" w14:textId="3E7C5E2E" w:rsidR="00F8513E" w:rsidRDefault="00F8513E" w:rsidP="000E5D92">
      <w:r>
        <w:t xml:space="preserve">FMEA is a </w:t>
      </w:r>
      <w:r w:rsidR="00AB34F2">
        <w:t xml:space="preserve">method of analysing a task, step by step, and highlighting any area that has the potential to fail in any form. Once areas of imperfection are found, </w:t>
      </w:r>
      <w:r w:rsidR="00835D8D">
        <w:t>they are given a basic measurement, between one and ten, for how likely it is that the failure will reoccur; how severe the damage could be once the customer receives the product, with the failure not being resolved and the likelihood of detecting the failure before it has left the factory. The three numbers a person might allocate to a potential failure would also be multiplied to generate a risk priority number (RPN). The RPN provides an indication for the manufacturer as to which tasks could cause the most damage and to</w:t>
      </w:r>
      <w:r w:rsidR="00947569">
        <w:t xml:space="preserve"> identify the tasks that require</w:t>
      </w:r>
      <w:r w:rsidR="00835D8D">
        <w:t xml:space="preserve"> prioritis</w:t>
      </w:r>
      <w:r w:rsidR="00947569">
        <w:t>ation to</w:t>
      </w:r>
      <w:r w:rsidR="00835D8D">
        <w:t xml:space="preserve"> resolving </w:t>
      </w:r>
      <w:r w:rsidR="00947569">
        <w:t>any potential failures.</w:t>
      </w:r>
    </w:p>
    <w:p w14:paraId="4435E1DA" w14:textId="127CD2B6" w:rsidR="00947569" w:rsidRDefault="00947569" w:rsidP="000E5D92">
      <w:r>
        <w:t xml:space="preserve">Once the tasks that have the opportunity to fail are noted, and are given their individual rankings of severity, </w:t>
      </w:r>
      <w:r w:rsidR="00B9520E">
        <w:t>the assessor will note down any mitigating actions to suppress the opportunity of the tasks failing. Although many potential failures may have no known resolutions to suppress their damage, it is always useful to track them as FMEA is a brilliant visual aid to show which tasks are either near perfect and have the slimmest possibility of collapsing, or which are too dangerous to be attempted by the manufacturer and should be completely ruled out.</w:t>
      </w:r>
    </w:p>
    <w:p w14:paraId="5618AEA1" w14:textId="3D6AA71B" w:rsidR="00820032" w:rsidRDefault="00DE5B67" w:rsidP="000E5D92">
      <w:r>
        <w:t>To</w:t>
      </w:r>
      <w:r w:rsidR="00F8513E">
        <w:t xml:space="preserve"> highlight the importance of an FMEA in the automotive sector of engineering, I have completed </w:t>
      </w:r>
      <w:r w:rsidR="00B9520E">
        <w:t>a template of one</w:t>
      </w:r>
      <w:r w:rsidR="00F8513E">
        <w:t xml:space="preserve"> for the process of installing the brake system on a motorcycle. I listed four areas that have a potential of failing the production line.</w:t>
      </w:r>
      <w:r w:rsidR="00947569">
        <w:t xml:space="preserve"> Each task</w:t>
      </w:r>
      <w:r w:rsidR="00B9520E">
        <w:t xml:space="preserve"> contains </w:t>
      </w:r>
      <w:r w:rsidR="00CD24C0">
        <w:t>its</w:t>
      </w:r>
      <w:r w:rsidR="00B9520E">
        <w:t xml:space="preserve"> relevant rankings of severity under the three columns mentioned previously; followed by the mitigating actions</w:t>
      </w:r>
      <w:r w:rsidR="00A46913">
        <w:t xml:space="preserve">. Alongside this, I completed the template FMEA with identical tasks however, theorising that my mitigating actions were taken in full effect I reattempted </w:t>
      </w:r>
      <w:r w:rsidR="00096242">
        <w:t xml:space="preserve">the rankings for each of the categories to generate a new RPN </w:t>
      </w:r>
      <w:r w:rsidR="00096242">
        <w:lastRenderedPageBreak/>
        <w:t xml:space="preserve">value. Once </w:t>
      </w:r>
      <w:r w:rsidR="0064698C">
        <w:t xml:space="preserve">completed, </w:t>
      </w:r>
      <w:r w:rsidR="00B73A9D">
        <w:t>I</w:t>
      </w:r>
      <w:r w:rsidR="0064698C">
        <w:t xml:space="preserve"> manufacturer will have a deeper understanding as to which sections of their process line are susceptible to failure. </w:t>
      </w:r>
    </w:p>
    <w:p w14:paraId="130F4701" w14:textId="654FF5D0" w:rsidR="0064698C" w:rsidRPr="000E5D92" w:rsidRDefault="0064698C" w:rsidP="000E5D92"/>
    <w:p w14:paraId="60FCCA3D" w14:textId="62D959FC" w:rsidR="00CD24C0" w:rsidRDefault="00CD24C0" w:rsidP="00BC0154">
      <w:pPr>
        <w:pStyle w:val="Heading1"/>
      </w:pPr>
      <w:bookmarkStart w:id="1" w:name="_Toc66119839"/>
      <w:r>
        <w:t>Literature Review</w:t>
      </w:r>
      <w:bookmarkEnd w:id="1"/>
    </w:p>
    <w:p w14:paraId="1C1C99C6" w14:textId="37E84445" w:rsidR="00CD24C0" w:rsidRDefault="00CD24C0" w:rsidP="00CD24C0"/>
    <w:p w14:paraId="648FCE46" w14:textId="7961D302" w:rsidR="007A3AEC" w:rsidRDefault="007A3AEC" w:rsidP="00CD24C0">
      <w:r>
        <w:t xml:space="preserve">In order to conduct this report, I first had to understand the demand for risk management and how it can protect overspending and injuries to staff. As you could imagine, working in a manufacturing </w:t>
      </w:r>
      <w:r w:rsidR="00FC5CCC">
        <w:t xml:space="preserve">plant or an assembling factory </w:t>
      </w:r>
      <w:r w:rsidR="009E1670">
        <w:t>comes with numerous amounts of dangers, especially if someone is working with heavy machinery.</w:t>
      </w:r>
      <w:r w:rsidR="00E34CC3">
        <w:t xml:space="preserve"> Back in 2011, a man by the name of Matthew Lowe was caught in a horrific incident which </w:t>
      </w:r>
      <w:r w:rsidR="00A81D25">
        <w:t>led</w:t>
      </w:r>
      <w:r w:rsidR="00E34CC3">
        <w:t xml:space="preserve"> to him being </w:t>
      </w:r>
      <w:r w:rsidR="00B73A9D">
        <w:t>“</w:t>
      </w:r>
      <w:r w:rsidR="00E34CC3">
        <w:t>dragged through a machine for processing heavy steel beams</w:t>
      </w:r>
      <w:r w:rsidR="00A81D25">
        <w:t xml:space="preserve"> at a factory in Barnsley, South Yorkshire</w:t>
      </w:r>
      <w:r w:rsidR="00B73A9D">
        <w:t>”</w:t>
      </w:r>
      <w:r w:rsidR="00A81D25">
        <w:t xml:space="preserve"> </w:t>
      </w:r>
      <w:r w:rsidR="00E34CC3">
        <w:t>(Engineering firms plead guilty to health and safety breach, 2011)</w:t>
      </w:r>
      <w:r w:rsidR="00A81D25">
        <w:t>. The fault of the incident includes two engineering firms that had not setup the correct safety equipment around the machine for the worker. This is a prime example that represents the need for risk management, as well as health and safety in the work place.</w:t>
      </w:r>
    </w:p>
    <w:p w14:paraId="526FF43A" w14:textId="5DB7D2BB" w:rsidR="00A81D25" w:rsidRDefault="00281D5F" w:rsidP="00CD24C0">
      <w:r>
        <w:t xml:space="preserve">In the United Kingdom, the Government enforced the Health and Safety at Work Act in 1974 </w:t>
      </w:r>
      <w:r w:rsidR="00B73A9D">
        <w:t xml:space="preserve">which is </w:t>
      </w:r>
      <w:r>
        <w:t>designed to protect companies and their workers. The act contains hundreds of passages, each specific to a different requirement from either side of the chain, however under section 6 of th</w:t>
      </w:r>
      <w:r w:rsidR="00BD7048">
        <w:t xml:space="preserve">is act it mentions numerous times </w:t>
      </w:r>
      <w:r w:rsidR="00ED2C4E">
        <w:t xml:space="preserve">that it is the </w:t>
      </w:r>
      <w:r w:rsidR="004936FF">
        <w:t>employer’s</w:t>
      </w:r>
      <w:r w:rsidR="00ED2C4E">
        <w:t xml:space="preserve"> responsibility </w:t>
      </w:r>
      <w:r w:rsidR="008F7355">
        <w:t>“</w:t>
      </w:r>
      <w:r w:rsidR="008F7355" w:rsidRPr="008F7355">
        <w:rPr>
          <w:rFonts w:cs="Arial"/>
          <w:color w:val="000000"/>
          <w:szCs w:val="24"/>
          <w:shd w:val="clear" w:color="auto" w:fill="FFFFFF"/>
        </w:rPr>
        <w:t>so far as is reasonably practicable, the elimination or minimisation of any risks to health or safety</w:t>
      </w:r>
      <w:r w:rsidR="008F7355">
        <w:rPr>
          <w:rFonts w:cs="Arial"/>
          <w:color w:val="000000"/>
          <w:szCs w:val="24"/>
          <w:shd w:val="clear" w:color="auto" w:fill="FFFFFF"/>
        </w:rPr>
        <w:t>”</w:t>
      </w:r>
      <w:r w:rsidR="008F7355" w:rsidRPr="008F7355">
        <w:rPr>
          <w:rFonts w:cs="Arial"/>
          <w:color w:val="000000"/>
          <w:sz w:val="32"/>
          <w:szCs w:val="32"/>
          <w:shd w:val="clear" w:color="auto" w:fill="FFFFFF"/>
        </w:rPr>
        <w:t xml:space="preserve"> </w:t>
      </w:r>
      <w:r w:rsidR="008F7355" w:rsidRPr="008F7355">
        <w:rPr>
          <w:rFonts w:cs="Arial"/>
          <w:color w:val="000000"/>
          <w:szCs w:val="24"/>
          <w:shd w:val="clear" w:color="auto" w:fill="FFFFFF"/>
        </w:rPr>
        <w:t>(Health and Safety at Work etc. Act 1974, 1974)</w:t>
      </w:r>
      <w:r w:rsidR="00B73A9D">
        <w:rPr>
          <w:rFonts w:cs="Arial"/>
          <w:color w:val="000000"/>
          <w:szCs w:val="24"/>
          <w:shd w:val="clear" w:color="auto" w:fill="FFFFFF"/>
        </w:rPr>
        <w:t>.</w:t>
      </w:r>
    </w:p>
    <w:p w14:paraId="702D86F5" w14:textId="4032E1D3" w:rsidR="002F2522" w:rsidRPr="00CD24C0" w:rsidRDefault="002F2522" w:rsidP="00CD24C0">
      <w:r>
        <w:t xml:space="preserve">Following upon the Health and Safety at Work etc Act 1974, a new law was later enforced: </w:t>
      </w:r>
      <w:r w:rsidR="00C33168">
        <w:t>The</w:t>
      </w:r>
      <w:r>
        <w:t xml:space="preserve"> Management of Health and Safety at Work Regulations</w:t>
      </w:r>
      <w:r w:rsidR="00C33168">
        <w:t xml:space="preserve"> 1999. </w:t>
      </w:r>
      <w:r w:rsidR="005C6095">
        <w:t>Section 3 of this regulation</w:t>
      </w:r>
      <w:r w:rsidR="00C33168">
        <w:t xml:space="preserve"> requires any employer, including self-employed, to assess their work place </w:t>
      </w:r>
      <w:r w:rsidR="008F7355">
        <w:t>of anything that poses a risk to either an employee or visitor. These risk</w:t>
      </w:r>
      <w:r w:rsidR="00AB76FB">
        <w:t>s</w:t>
      </w:r>
      <w:r w:rsidR="008F7355">
        <w:t xml:space="preserve"> would have to be documented, alongside how dangerous they could be </w:t>
      </w:r>
      <w:r w:rsidR="00AB76FB">
        <w:t>and what will be done to minimise or extinguish the risk. Failing to complete a risk assessment before commencing work can lead to legal action and companies are likely to be prosecuted and fined.</w:t>
      </w:r>
    </w:p>
    <w:p w14:paraId="35885895" w14:textId="3F373C79" w:rsidR="00CD24C0" w:rsidRDefault="007569CF" w:rsidP="00CD24C0">
      <w:pPr>
        <w:rPr>
          <w:rFonts w:cs="Arial"/>
          <w:color w:val="000000"/>
          <w:szCs w:val="24"/>
          <w:shd w:val="clear" w:color="auto" w:fill="FFFFFF"/>
        </w:rPr>
      </w:pPr>
      <w:r>
        <w:lastRenderedPageBreak/>
        <w:t xml:space="preserve">The Institute of Mechanical Engineers are a group of people that uphold the standards that engineering should adhere to. Their foundations are based on protecting the public, their members and the organisations reputation. </w:t>
      </w:r>
      <w:proofErr w:type="spellStart"/>
      <w:r>
        <w:t>Imeche</w:t>
      </w:r>
      <w:proofErr w:type="spellEnd"/>
      <w:r>
        <w:t xml:space="preserve"> </w:t>
      </w:r>
      <w:r w:rsidR="001A00CA">
        <w:t>states on their website that they “promote high standards of ethical conduct”</w:t>
      </w:r>
      <w:r w:rsidR="001A00CA" w:rsidRPr="00B73A9D">
        <w:rPr>
          <w:sz w:val="32"/>
          <w:szCs w:val="32"/>
        </w:rPr>
        <w:t xml:space="preserve"> </w:t>
      </w:r>
      <w:r w:rsidR="00B73A9D" w:rsidRPr="00B73A9D">
        <w:rPr>
          <w:rFonts w:cs="Arial"/>
          <w:color w:val="000000"/>
          <w:szCs w:val="24"/>
          <w:shd w:val="clear" w:color="auto" w:fill="FFFFFF"/>
        </w:rPr>
        <w:t>(Code of Conduct explained - IMechE, 2021)</w:t>
      </w:r>
      <w:r w:rsidR="001A00CA">
        <w:rPr>
          <w:rFonts w:cs="Arial"/>
          <w:color w:val="000000"/>
          <w:szCs w:val="24"/>
          <w:shd w:val="clear" w:color="auto" w:fill="FFFFFF"/>
        </w:rPr>
        <w:t>, which is also reflected in their code of conduct. When regarding risk management, section 6.4 of the code of conduct regulations states that all members are to “</w:t>
      </w:r>
      <w:r w:rsidR="001A00CA">
        <w:t>identify and quantify all risks and hazards associated with their work and manage them in conformity with accepted engineering and environmental standards</w:t>
      </w:r>
      <w:r w:rsidR="001A00CA">
        <w:t>”</w:t>
      </w:r>
      <w:r w:rsidR="001A00CA" w:rsidRPr="001A00CA">
        <w:rPr>
          <w:sz w:val="32"/>
          <w:szCs w:val="28"/>
        </w:rPr>
        <w:t xml:space="preserve"> </w:t>
      </w:r>
      <w:r w:rsidR="001A00CA" w:rsidRPr="001A00CA">
        <w:rPr>
          <w:rFonts w:cs="Arial"/>
          <w:color w:val="000000"/>
          <w:szCs w:val="24"/>
          <w:shd w:val="clear" w:color="auto" w:fill="FFFFFF"/>
        </w:rPr>
        <w:t>(Royal Charter &amp; By-Laws, 2014)</w:t>
      </w:r>
      <w:r w:rsidR="001A00CA">
        <w:rPr>
          <w:rFonts w:cs="Arial"/>
          <w:color w:val="000000"/>
          <w:szCs w:val="24"/>
          <w:shd w:val="clear" w:color="auto" w:fill="FFFFFF"/>
        </w:rPr>
        <w:t>. Consequently, members are expected to follow the code of conduct to a strict standard to uphold the organisation’s professionality, where penalties can get a member disbanded from the association.</w:t>
      </w:r>
    </w:p>
    <w:p w14:paraId="4517BDFB" w14:textId="77777777" w:rsidR="00E0730B" w:rsidRDefault="00E0730B" w:rsidP="00CD24C0"/>
    <w:p w14:paraId="5D150152" w14:textId="62DA7924" w:rsidR="00BC0154" w:rsidRDefault="00BC0154" w:rsidP="00BC0154">
      <w:pPr>
        <w:pStyle w:val="Heading1"/>
      </w:pPr>
      <w:bookmarkStart w:id="2" w:name="_Toc66119840"/>
      <w:r>
        <w:t>Initial FMEA</w:t>
      </w:r>
      <w:bookmarkEnd w:id="2"/>
    </w:p>
    <w:p w14:paraId="38802048" w14:textId="0CF25CCB" w:rsidR="00DE4182" w:rsidRDefault="00DE4182" w:rsidP="00DE4182"/>
    <w:p w14:paraId="765A58D0" w14:textId="4950700D" w:rsidR="00DE4182" w:rsidRDefault="00DE4182" w:rsidP="00DE4182">
      <w:r>
        <w:t>When analysing the video provided of the BMW motorcycle production line, I admit to not noting too much of the processes, however this was just used as an example to illustrate the pathway of a process engineer inside their role at ensuring the assemblies</w:t>
      </w:r>
      <w:r w:rsidR="0011317A">
        <w:t xml:space="preserve"> are carried out as per the specifications.</w:t>
      </w:r>
    </w:p>
    <w:p w14:paraId="2637C231" w14:textId="125DE4F0" w:rsidR="00520A0B" w:rsidRDefault="00E0730B" w:rsidP="00BC0154">
      <w:r>
        <w:rPr>
          <w:noProof/>
        </w:rPr>
        <mc:AlternateContent>
          <mc:Choice Requires="wps">
            <w:drawing>
              <wp:anchor distT="0" distB="0" distL="114300" distR="114300" simplePos="0" relativeHeight="251662336" behindDoc="0" locked="0" layoutInCell="1" allowOverlap="1" wp14:anchorId="2FDDC7DC" wp14:editId="3FF41888">
                <wp:simplePos x="0" y="0"/>
                <wp:positionH relativeFrom="margin">
                  <wp:align>left</wp:align>
                </wp:positionH>
                <wp:positionV relativeFrom="paragraph">
                  <wp:posOffset>1231265</wp:posOffset>
                </wp:positionV>
                <wp:extent cx="1181100" cy="198120"/>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1181100" cy="198120"/>
                        </a:xfrm>
                        <a:prstGeom prst="rect">
                          <a:avLst/>
                        </a:prstGeom>
                        <a:solidFill>
                          <a:prstClr val="white"/>
                        </a:solidFill>
                        <a:ln>
                          <a:noFill/>
                        </a:ln>
                      </wps:spPr>
                      <wps:txbx>
                        <w:txbxContent>
                          <w:p w14:paraId="7F9D25B2" w14:textId="0C85ED09" w:rsidR="00E01E0D" w:rsidRPr="00483ADB" w:rsidRDefault="00E01E0D" w:rsidP="00E01E0D">
                            <w:pPr>
                              <w:pStyle w:val="Caption"/>
                              <w:rPr>
                                <w:noProof/>
                                <w:sz w:val="24"/>
                              </w:rPr>
                            </w:pPr>
                            <w:r>
                              <w:t xml:space="preserve">Table </w:t>
                            </w:r>
                            <w:fldSimple w:instr=" SEQ Table \* ARABIC ">
                              <w:r w:rsidR="00E1054A">
                                <w:rPr>
                                  <w:noProof/>
                                </w:rPr>
                                <w:t>1</w:t>
                              </w:r>
                            </w:fldSimple>
                            <w:r>
                              <w:t xml:space="preserve"> - Primary FMEA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DDC7DC" id="_x0000_t202" coordsize="21600,21600" o:spt="202" path="m,l,21600r21600,l21600,xe">
                <v:stroke joinstyle="miter"/>
                <v:path gradientshapeok="t" o:connecttype="rect"/>
              </v:shapetype>
              <v:shape id="Text Box 8" o:spid="_x0000_s1026" type="#_x0000_t202" style="position:absolute;left:0;text-align:left;margin-left:0;margin-top:96.95pt;width:93pt;height:15.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" stroked="f">
                <v:textbox inset="0,0,0,0">
                  <w:txbxContent>
                    <w:p w14:paraId="7F9D25B2" w14:textId="0C85ED09" w:rsidR="00E01E0D" w:rsidRPr="00483ADB" w:rsidRDefault="00E01E0D" w:rsidP="00E01E0D">
                      <w:pPr>
                        <w:pStyle w:val="Caption"/>
                        <w:rPr>
                          <w:noProof/>
                          <w:sz w:val="24"/>
                        </w:rPr>
                      </w:pPr>
                      <w:r>
                        <w:t xml:space="preserve">Table </w:t>
                      </w:r>
                      <w:fldSimple w:instr=" SEQ Table \* ARABIC ">
                        <w:r w:rsidR="00E1054A">
                          <w:rPr>
                            <w:noProof/>
                          </w:rPr>
                          <w:t>1</w:t>
                        </w:r>
                      </w:fldSimple>
                      <w:r>
                        <w:t xml:space="preserve"> - Primary FMEA</w:t>
                      </w:r>
                    </w:p>
                  </w:txbxContent>
                </v:textbox>
                <w10:wrap type="topAndBottom" anchorx="margin"/>
              </v:shape>
            </w:pict>
          </mc:Fallback>
        </mc:AlternateContent>
      </w:r>
      <w:r>
        <w:rPr>
          <w:noProof/>
        </w:rPr>
        <w:drawing>
          <wp:anchor distT="0" distB="0" distL="114300" distR="114300" simplePos="0" relativeHeight="251663360" behindDoc="0" locked="0" layoutInCell="1" allowOverlap="1" wp14:anchorId="7467F90B" wp14:editId="087CD2D1">
            <wp:simplePos x="0" y="0"/>
            <wp:positionH relativeFrom="margin">
              <wp:posOffset>-635</wp:posOffset>
            </wp:positionH>
            <wp:positionV relativeFrom="paragraph">
              <wp:posOffset>1424305</wp:posOffset>
            </wp:positionV>
            <wp:extent cx="5304790" cy="206502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781" t="28983" r="19035" b="16217"/>
                    <a:stretch/>
                  </pic:blipFill>
                  <pic:spPr bwMode="auto">
                    <a:xfrm>
                      <a:off x="0" y="0"/>
                      <a:ext cx="5304790" cy="2065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4182">
        <w:t>Below is t</w:t>
      </w:r>
      <w:r w:rsidR="00FC5CCC">
        <w:t xml:space="preserve">able 1, of which </w:t>
      </w:r>
      <w:r w:rsidR="00DE4182">
        <w:t>I had completed</w:t>
      </w:r>
      <w:r w:rsidR="00201DF9">
        <w:t xml:space="preserve"> four tasks within the installing of the motorcycle’s brakes. The rankings provided were based from the ‘1 to 10’ scale as mentioned previously: ‘1’ would be ranked as either not likely to occur</w:t>
      </w:r>
      <w:r w:rsidR="0046434A">
        <w:t xml:space="preserve">, easy to </w:t>
      </w:r>
      <w:r w:rsidR="00201DF9">
        <w:t xml:space="preserve">detect </w:t>
      </w:r>
      <w:r w:rsidR="0046434A">
        <w:t>and</w:t>
      </w:r>
      <w:r w:rsidR="00201DF9">
        <w:t xml:space="preserve"> not s</w:t>
      </w:r>
      <w:r w:rsidR="00E01E0D">
        <w:t xml:space="preserve">evere for the customer, whereas ‘10’ represents that the task is nearly impossible to </w:t>
      </w:r>
      <w:r w:rsidR="00E01E0D">
        <w:lastRenderedPageBreak/>
        <w:t>avoid</w:t>
      </w:r>
      <w:r>
        <w:t>, will be very dangerous on the customers end and</w:t>
      </w:r>
      <w:r>
        <w:t xml:space="preserve"> is likely to leave the factory </w:t>
      </w:r>
      <w:r>
        <w:t>undetected.</w:t>
      </w:r>
      <w:r w:rsidR="00E01E0D">
        <w:t xml:space="preserve"> To complete this fairly, I created the initial FMEA as if the production line had not been designed before risk analysis was established, therefore no production line existed before</w:t>
      </w:r>
      <w:r w:rsidR="00FA51AF">
        <w:t>.</w:t>
      </w:r>
    </w:p>
    <w:p w14:paraId="6C8421E6" w14:textId="4328D22B" w:rsidR="00E54A36" w:rsidRDefault="00FA51AF" w:rsidP="00BC0154">
      <w:r>
        <w:t xml:space="preserve">To break down </w:t>
      </w:r>
      <w:r w:rsidR="00E54A36">
        <w:t>each task individually</w:t>
      </w:r>
      <w:r>
        <w:t xml:space="preserve">, I assumed that all the staff had a minimum level of knowledge and understanding to assembling any variant of car, hence marking the </w:t>
      </w:r>
      <w:r w:rsidR="00E54A36">
        <w:t xml:space="preserve">likelihood of occurrence to </w:t>
      </w:r>
      <w:r>
        <w:t>torquing of brake calliper mounting bolts as a 7. Not always a fault of the workers in the bay, however missing this could happen every so often</w:t>
      </w:r>
      <w:r w:rsidR="0046434A">
        <w:t>. For example, if staff in the bay are torquing multiple components</w:t>
      </w:r>
      <w:r w:rsidR="00A71B70">
        <w:t xml:space="preserve"> throughout a day</w:t>
      </w:r>
      <w:r w:rsidR="0046434A">
        <w:t xml:space="preserve"> it would not be difficult to have one or two bolts slip the mind, especially if the torque values vary across a few different parts. </w:t>
      </w:r>
      <w:r w:rsidR="00E54A36">
        <w:t>If the calliper mounting bolts were not torqued correctly before the customer obtained the motorcycle then this could be very dangerous</w:t>
      </w:r>
      <w:r w:rsidR="00957F74">
        <w:t xml:space="preserve"> and has the potential to be the cause of a crash</w:t>
      </w:r>
      <w:r w:rsidR="00E54A36">
        <w:t xml:space="preserve"> as the braking system may not function as should, hence the severity marked as 9. </w:t>
      </w:r>
      <w:r w:rsidR="00957F74">
        <w:t>Likelihood of detection is also noted high on the scale as the bolts w</w:t>
      </w:r>
      <w:r w:rsidR="00E0730B">
        <w:t>ould not</w:t>
      </w:r>
      <w:r w:rsidR="00957F74">
        <w:t xml:space="preserve"> be expected to be double checked as they should be completed to the standard set by the manufacturer at a first pass. I believe that if the engineers had the correct tools for the parts they are assembling, with torque settings </w:t>
      </w:r>
      <w:r w:rsidR="00B0336E">
        <w:t>pre-set</w:t>
      </w:r>
      <w:r w:rsidR="00957F74">
        <w:t xml:space="preserve"> on the torquing tools, then this should minimise the possibility of brakes being fitted incorrectly to a minimum</w:t>
      </w:r>
      <w:r w:rsidR="00B0336E">
        <w:t>.</w:t>
      </w:r>
    </w:p>
    <w:p w14:paraId="26346BB0" w14:textId="2DFD5DE0" w:rsidR="00A71B70" w:rsidRDefault="00A71B70" w:rsidP="00BC0154">
      <w:r>
        <w:t xml:space="preserve">Brake lines not being fully tightened </w:t>
      </w:r>
      <w:r w:rsidR="00E16791">
        <w:t>has been placed toward the centre of the scale</w:t>
      </w:r>
      <w:r w:rsidR="00B0336E">
        <w:t xml:space="preserve"> for the first category</w:t>
      </w:r>
      <w:r w:rsidR="00E16791">
        <w:t xml:space="preserve">; although not impossible to </w:t>
      </w:r>
      <w:r w:rsidR="00B0336E">
        <w:t>avoid</w:t>
      </w:r>
      <w:r w:rsidR="00E16791">
        <w:t>, staff may get distracted while tightening the hoses and forget to finish the job.</w:t>
      </w:r>
      <w:r w:rsidR="00B0336E">
        <w:t xml:space="preserve"> Furthermore, this could also lead to a failing brake system as the hydraulic fluid has odds-on to leak, which prevents the brake pads being able to grip the brake disc when the lever is pulled, however this is always dependent on how loose the hose is compared to the specifications. Severity is marked as an 8 as this would likely prevent the brake system to function and would certainly be an inconvenience for the customer to find that the brake fluid has leaked on to their driveway/garage floor. Possibility of detection was noted as a 9 as </w:t>
      </w:r>
      <w:r w:rsidR="00E77217">
        <w:t>the brake lines are not likely to be double checked, especially once the wheels are installed.</w:t>
      </w:r>
      <w:r w:rsidR="00B0336E">
        <w:t xml:space="preserve"> </w:t>
      </w:r>
    </w:p>
    <w:p w14:paraId="6EEB700F" w14:textId="6954044D" w:rsidR="00BC0154" w:rsidRDefault="0046434A" w:rsidP="00BC0154">
      <w:r>
        <w:t>On the other end of the scale is installing the incorrect disc size and fitting the brake pads inverted</w:t>
      </w:r>
      <w:r w:rsidR="00A71B70">
        <w:t>ly</w:t>
      </w:r>
      <w:r>
        <w:t xml:space="preserve">; I believe that these </w:t>
      </w:r>
      <w:r w:rsidR="000317E5">
        <w:t xml:space="preserve">would be easily noticed as it is likely that only one motorbike model would be going through the bay, until notified, hence the tools and parts </w:t>
      </w:r>
      <w:r w:rsidR="000317E5">
        <w:lastRenderedPageBreak/>
        <w:t>should theoretically be the same throughout. Installing brake pads the wrong way would be near impossible as any mechanic/automotive engineer understands how each component works, hence knowing which direction it should be orientated to the bike.</w:t>
      </w:r>
      <w:r w:rsidR="00E77217">
        <w:t xml:space="preserve"> Although both activities have a slim chance of being performed incorrectly, it would be detrimental to the customer as the brake system may not function at all, for incorrect brake pad orientation at a minimum. With my current knowledge around brake discs, the problem I could visualise is if the engineer installed the wrong design brake disc. A lot of motorbike models will carry similar sized discs; however, the design of the disc can vary between bikes for braking efficiency and life length. </w:t>
      </w:r>
      <w:r w:rsidR="00AB136A">
        <w:t>The main problem that may occur would be installing a disc which is too thick, or small, to fit inside the brake calliper, nevertheless this would be picked up on along the production line as certain parts won’t fit to the bike and they could back track it to the discs.</w:t>
      </w:r>
      <w:r w:rsidR="00520A0B">
        <w:t xml:space="preserve"> Due to this, I have noted the likelihood of detection fairly low as they should definitely be picked up on, if the mistake was made.</w:t>
      </w:r>
    </w:p>
    <w:p w14:paraId="4432EE7C" w14:textId="26D1E2D4" w:rsidR="00BD7821" w:rsidRDefault="00BD7821" w:rsidP="00BC0154">
      <w:r>
        <w:t xml:space="preserve">Based off the initial FMEA, the manufacturer can understand what tasks in the brake system section of the assembly line will require more attention and how they can improve the quality and outcome </w:t>
      </w:r>
      <w:r w:rsidR="00DC34BF">
        <w:t>from said</w:t>
      </w:r>
      <w:r>
        <w:t xml:space="preserve"> sector</w:t>
      </w:r>
      <w:r w:rsidR="00DC34BF">
        <w:t>.</w:t>
      </w:r>
    </w:p>
    <w:p w14:paraId="6468784F" w14:textId="77777777" w:rsidR="00E1054A" w:rsidRPr="00BC0154" w:rsidRDefault="00E1054A" w:rsidP="00BC0154"/>
    <w:p w14:paraId="2A3E9ABB" w14:textId="19C97FEC" w:rsidR="00BC0154" w:rsidRDefault="00BC0154" w:rsidP="00E0730B">
      <w:pPr>
        <w:pStyle w:val="Heading1"/>
      </w:pPr>
      <w:bookmarkStart w:id="3" w:name="_Toc66119841"/>
      <w:r>
        <w:t>Post-mitigation FMEA</w:t>
      </w:r>
      <w:bookmarkEnd w:id="3"/>
    </w:p>
    <w:p w14:paraId="62CF0E25" w14:textId="77654C7C" w:rsidR="00C763F6" w:rsidRDefault="00E0730B" w:rsidP="00BC0154">
      <w:r>
        <w:rPr>
          <w:noProof/>
        </w:rPr>
        <mc:AlternateContent>
          <mc:Choice Requires="wps">
            <w:drawing>
              <wp:anchor distT="0" distB="0" distL="114300" distR="114300" simplePos="0" relativeHeight="251666432" behindDoc="0" locked="0" layoutInCell="1" allowOverlap="1" wp14:anchorId="0976A5E1" wp14:editId="043435D3">
                <wp:simplePos x="0" y="0"/>
                <wp:positionH relativeFrom="margin">
                  <wp:align>left</wp:align>
                </wp:positionH>
                <wp:positionV relativeFrom="paragraph">
                  <wp:posOffset>619125</wp:posOffset>
                </wp:positionV>
                <wp:extent cx="1447800" cy="182880"/>
                <wp:effectExtent l="0" t="0" r="0" b="7620"/>
                <wp:wrapTopAndBottom/>
                <wp:docPr id="12" name="Text Box 12"/>
                <wp:cNvGraphicFramePr/>
                <a:graphic xmlns:a="http://schemas.openxmlformats.org/drawingml/2006/main">
                  <a:graphicData uri="http://schemas.microsoft.com/office/word/2010/wordprocessingShape">
                    <wps:wsp>
                      <wps:cNvSpPr txBox="1"/>
                      <wps:spPr>
                        <a:xfrm>
                          <a:off x="0" y="0"/>
                          <a:ext cx="1447800" cy="182880"/>
                        </a:xfrm>
                        <a:prstGeom prst="rect">
                          <a:avLst/>
                        </a:prstGeom>
                        <a:solidFill>
                          <a:prstClr val="white"/>
                        </a:solidFill>
                        <a:ln>
                          <a:noFill/>
                        </a:ln>
                      </wps:spPr>
                      <wps:txbx>
                        <w:txbxContent>
                          <w:p w14:paraId="208C45E4" w14:textId="5C666A1B" w:rsidR="00E1054A" w:rsidRPr="0031115E" w:rsidRDefault="00E1054A" w:rsidP="00E1054A">
                            <w:pPr>
                              <w:pStyle w:val="Caption"/>
                              <w:rPr>
                                <w:noProof/>
                                <w:sz w:val="24"/>
                              </w:rPr>
                            </w:pPr>
                            <w:r>
                              <w:t xml:space="preserve">Table </w:t>
                            </w:r>
                            <w:fldSimple w:instr=" SEQ Table \* ARABIC ">
                              <w:r>
                                <w:rPr>
                                  <w:noProof/>
                                </w:rPr>
                                <w:t>2</w:t>
                              </w:r>
                            </w:fldSimple>
                            <w:r>
                              <w:t xml:space="preserve"> - Secondary FMEA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76A5E1" id="Text Box 12" o:spid="_x0000_s1027" type="#_x0000_t202" style="position:absolute;left:0;text-align:left;margin-left:0;margin-top:48.75pt;width:114pt;height:14.4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" stroked="f">
                <v:textbox inset="0,0,0,0">
                  <w:txbxContent>
                    <w:p w14:paraId="208C45E4" w14:textId="5C666A1B" w:rsidR="00E1054A" w:rsidRPr="0031115E" w:rsidRDefault="00E1054A" w:rsidP="00E1054A">
                      <w:pPr>
                        <w:pStyle w:val="Caption"/>
                        <w:rPr>
                          <w:noProof/>
                          <w:sz w:val="24"/>
                        </w:rPr>
                      </w:pPr>
                      <w:r>
                        <w:t xml:space="preserve">Table </w:t>
                      </w:r>
                      <w:fldSimple w:instr=" SEQ Table \* ARABIC ">
                        <w:r>
                          <w:rPr>
                            <w:noProof/>
                          </w:rPr>
                          <w:t>2</w:t>
                        </w:r>
                      </w:fldSimple>
                      <w:r>
                        <w:t xml:space="preserve"> - Secondary FMEA</w:t>
                      </w:r>
                    </w:p>
                  </w:txbxContent>
                </v:textbox>
                <w10:wrap type="topAndBottom" anchorx="margin"/>
              </v:shape>
            </w:pict>
          </mc:Fallback>
        </mc:AlternateContent>
      </w:r>
      <w:r w:rsidR="0065262A">
        <w:rPr>
          <w:noProof/>
        </w:rPr>
        <w:drawing>
          <wp:anchor distT="0" distB="0" distL="114300" distR="114300" simplePos="0" relativeHeight="251664384" behindDoc="0" locked="0" layoutInCell="1" allowOverlap="1" wp14:anchorId="689C521E" wp14:editId="05AAECB5">
            <wp:simplePos x="0" y="0"/>
            <wp:positionH relativeFrom="margin">
              <wp:posOffset>0</wp:posOffset>
            </wp:positionH>
            <wp:positionV relativeFrom="paragraph">
              <wp:posOffset>964565</wp:posOffset>
            </wp:positionV>
            <wp:extent cx="5502275" cy="2240280"/>
            <wp:effectExtent l="0" t="0" r="3175" b="762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729" t="28837" r="19034" b="13810"/>
                    <a:stretch/>
                  </pic:blipFill>
                  <pic:spPr bwMode="auto">
                    <a:xfrm>
                      <a:off x="0" y="0"/>
                      <a:ext cx="5502275" cy="2240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054A">
        <w:t xml:space="preserve">Below is the secondary FMEA I completed, assuming that all the mitigations in the primary FMEA had been taken out in full effect. </w:t>
      </w:r>
    </w:p>
    <w:p w14:paraId="32876ABE" w14:textId="04D557F3" w:rsidR="00E1054A" w:rsidRDefault="00E1054A" w:rsidP="00BC0154"/>
    <w:p w14:paraId="56081E6E" w14:textId="37624BA1" w:rsidR="00E1054A" w:rsidRDefault="00E1054A" w:rsidP="00BC0154">
      <w:r>
        <w:t>At an initial glance, the most noticeable feature is that there are fewer red boxes, meaning lower rankings of severity, across the table. All of the categories carry identical severity rankings</w:t>
      </w:r>
      <w:r w:rsidR="0058062F">
        <w:t>, in comparison to my initial table,</w:t>
      </w:r>
      <w:r>
        <w:t xml:space="preserve"> as I believe that if the problem was to still occur, with all the changes made before, it should still have the same variant of damage on the customers end of the bargain.</w:t>
      </w:r>
    </w:p>
    <w:p w14:paraId="25958594" w14:textId="2AB7715E" w:rsidR="00DC34BF" w:rsidRDefault="00DC34BF" w:rsidP="00BC0154">
      <w:r>
        <w:t>As the two tasks that were already least likely to happen, I was able to remark the probability of occurrence to a level 1. Although this is the lowest I can mark the task, it will always carry a potential to fail: fractional.</w:t>
      </w:r>
      <w:r w:rsidR="0058062F">
        <w:t xml:space="preserve"> Following this pattern, the figures representing the likelihood of occurrence have also been marked as the lowest allowed number. I would presume that, even without the mitigating actions, mechanics should almost never make the mistake of installing the false brake disc or disorientated brake pad as it would be considered a ‘rookie’s mistake’. </w:t>
      </w:r>
    </w:p>
    <w:p w14:paraId="5A84DE74" w14:textId="78936497" w:rsidR="0065262A" w:rsidRDefault="0065262A" w:rsidP="00BC0154">
      <w:r>
        <w:t xml:space="preserve">The installation of the brake lines and ensuring that they are tightened to specification has also been remarked lower in the likelihood of occurrence. Despite the ranking still remaining the highest out of the four tasks, I expect the task to be carried out correctly providing the staff acknowledge how tight each line is required to be. There is not much that is changeable to correct the perfection of this task, however any minor details missed, or provided, can always make the difference. The possibility of detection was lowered but remains in the middle of the scale as the brake lines are typically hidden behind the wheels or suspension. The </w:t>
      </w:r>
      <w:r w:rsidR="00DB12A8">
        <w:t>foremost action that should be carried out is marking parts with a pen to signal that they do not require anymore attention. Doing this provides a visual for the entirety of the workforce that are involved with assembling the bikes and acts as a checklist to note the part has been fitted.</w:t>
      </w:r>
    </w:p>
    <w:p w14:paraId="4986F715" w14:textId="369B0C09" w:rsidR="005D5C73" w:rsidRDefault="00193B09" w:rsidP="00BC0154">
      <w:r>
        <w:t xml:space="preserve">Lastly is the torquing of the brake calliper bolts. Although it was ranked between the brake lines and the brake disc/pads, it would be something to look out for by the engineers in the bay. </w:t>
      </w:r>
      <w:r w:rsidR="00306494">
        <w:t xml:space="preserve">I was able to remark the initial category by five points, however the task still presents the opportunity to fail. Similar to the brake lines, I expect that if the bolts were to be marked by a pen this would allow me to further lower the probability of occurrence as it is a very useful visual for the surrounding staff. I was also able to denote the possibility of detection by a few points as the tools provided via mitigations should </w:t>
      </w:r>
      <w:r w:rsidR="00306494">
        <w:lastRenderedPageBreak/>
        <w:t xml:space="preserve">allow the staff to torque the bolts down with higher probability of it reaching the specification. However, </w:t>
      </w:r>
      <w:r w:rsidR="00804D8D">
        <w:t>as I mentioned in the table, the equipment provided may cause some faults of their own as staff may forget to alternate between torque settings across different parts.</w:t>
      </w:r>
    </w:p>
    <w:p w14:paraId="51A619BB" w14:textId="18CC7CD7" w:rsidR="00BC0154" w:rsidRPr="00BC0154" w:rsidRDefault="00BC0154" w:rsidP="00BC0154"/>
    <w:p w14:paraId="18E0BA93" w14:textId="5E0C0C4F" w:rsidR="00D148AC" w:rsidRDefault="00BC0154" w:rsidP="00BC0154">
      <w:pPr>
        <w:pStyle w:val="Heading1"/>
      </w:pPr>
      <w:bookmarkStart w:id="4" w:name="_Toc66119842"/>
      <w:r>
        <w:t>Conclusion</w:t>
      </w:r>
      <w:bookmarkEnd w:id="4"/>
    </w:p>
    <w:p w14:paraId="702F5CBE" w14:textId="637BA3FB" w:rsidR="00BC0154" w:rsidRDefault="00BC0154" w:rsidP="00BC0154"/>
    <w:p w14:paraId="6ED38293" w14:textId="16140E41" w:rsidR="00F53830" w:rsidRDefault="005C6095" w:rsidP="00BC0154">
      <w:r>
        <w:t>Through my research and application methods, I believe that FMEA</w:t>
      </w:r>
      <w:r w:rsidR="000C7515">
        <w:t>,</w:t>
      </w:r>
      <w:r>
        <w:t xml:space="preserve"> as a tool</w:t>
      </w:r>
      <w:r w:rsidR="000C7515">
        <w:t>,</w:t>
      </w:r>
      <w:r>
        <w:t xml:space="preserve"> is a brilliant way of identifying risk as a larger spectrum</w:t>
      </w:r>
      <w:r w:rsidR="000E7E21">
        <w:t>: t</w:t>
      </w:r>
      <w:r>
        <w:t>he simple design makes them easy to understand</w:t>
      </w:r>
      <w:r w:rsidR="000E7E21">
        <w:t>.</w:t>
      </w:r>
      <w:r>
        <w:t xml:space="preserve"> </w:t>
      </w:r>
      <w:r w:rsidR="00510B3D">
        <w:t xml:space="preserve"> It benefits from having its form of severity scale and creates rankings for each task. This makes an employer’s work easier as they can quickly identify wh</w:t>
      </w:r>
      <w:r w:rsidR="000C7515">
        <w:t>ich</w:t>
      </w:r>
      <w:r w:rsidR="00510B3D">
        <w:t xml:space="preserve"> tasks are likely to fail first, as well as having a list of the area that it most likely failed in.</w:t>
      </w:r>
    </w:p>
    <w:p w14:paraId="4D9FDD33" w14:textId="24B238EC" w:rsidR="00BC0154" w:rsidRDefault="000E7E21" w:rsidP="00BC0154">
      <w:r>
        <w:t>H</w:t>
      </w:r>
      <w:r w:rsidR="005C6095">
        <w:t>owever</w:t>
      </w:r>
      <w:r>
        <w:t>,</w:t>
      </w:r>
      <w:r w:rsidR="005C6095">
        <w:t xml:space="preserve"> they lack the detail that other risk assessments may employ. I personally think that the use of FMEA </w:t>
      </w:r>
      <w:r>
        <w:t>is</w:t>
      </w:r>
      <w:r w:rsidR="005C6095">
        <w:t xml:space="preserve"> optim</w:t>
      </w:r>
      <w:r>
        <w:t>al</w:t>
      </w:r>
      <w:r w:rsidR="005C6095">
        <w:t xml:space="preserve"> for smaller industry</w:t>
      </w:r>
      <w:r>
        <w:t>/factory</w:t>
      </w:r>
      <w:r w:rsidR="00DC61B4">
        <w:t xml:space="preserve"> work where the amount of detail may not be needed, although an employer can modify these to make them suitable for larger amounts of detail.</w:t>
      </w:r>
      <w:r>
        <w:t xml:space="preserve"> FMEA would also work in large warehouse when numerous assessments are carried out </w:t>
      </w:r>
      <w:r w:rsidR="00F53830">
        <w:t>to break down risks across multiple sectors.</w:t>
      </w:r>
      <w:r w:rsidR="00510B3D">
        <w:t xml:space="preserve"> Although this creates many assessment tables to view, it imposes each of them to be significant to its own area of speciality. </w:t>
      </w:r>
    </w:p>
    <w:p w14:paraId="643E7B6A" w14:textId="2EE5EDCD" w:rsidR="00510B3D" w:rsidRPr="00BC0154" w:rsidRDefault="00510B3D" w:rsidP="00BC0154">
      <w:r>
        <w:t>In summary, FMEA is a highly useful tool</w:t>
      </w:r>
      <w:r w:rsidR="000C7515">
        <w:t xml:space="preserve"> </w:t>
      </w:r>
      <w:r>
        <w:t>within the automotive sector and</w:t>
      </w:r>
      <w:r w:rsidR="000C7515">
        <w:t xml:space="preserve">, </w:t>
      </w:r>
      <w:r w:rsidR="000C7515">
        <w:t>especially</w:t>
      </w:r>
      <w:r w:rsidR="000C7515">
        <w:t>,</w:t>
      </w:r>
      <w:r>
        <w:t xml:space="preserve"> when associated to an assembly line that may contain numerous dangers. </w:t>
      </w:r>
      <w:r w:rsidR="00976B94">
        <w:t>It can be implanted into start up businesses or large businesses that have relocated to a bigger factory</w:t>
      </w:r>
      <w:r w:rsidR="000C7515">
        <w:t>:</w:t>
      </w:r>
      <w:r w:rsidR="00976B94">
        <w:t xml:space="preserve"> FMEA is a universal tool that engineers will always have a use for.</w:t>
      </w:r>
    </w:p>
    <w:p w14:paraId="738A4C54" w14:textId="45523CC5" w:rsidR="00BC0154" w:rsidRDefault="00BC0154">
      <w:pPr>
        <w:rPr>
          <w:rFonts w:eastAsiaTheme="majorEastAsia" w:cstheme="majorBidi"/>
          <w:b/>
          <w:bCs/>
          <w:sz w:val="32"/>
          <w:szCs w:val="32"/>
        </w:rPr>
      </w:pPr>
      <w:r>
        <w:br w:type="page"/>
      </w:r>
    </w:p>
    <w:p w14:paraId="5D2FE21C" w14:textId="1F69D9DC" w:rsidR="0064698C" w:rsidRDefault="00456380" w:rsidP="00F340AF">
      <w:pPr>
        <w:pStyle w:val="Heading1"/>
      </w:pPr>
      <w:bookmarkStart w:id="5" w:name="_Toc66119843"/>
      <w:r w:rsidRPr="000E5D92">
        <w:lastRenderedPageBreak/>
        <w:t>Bibliography</w:t>
      </w:r>
      <w:bookmarkEnd w:id="5"/>
    </w:p>
    <w:p w14:paraId="3AD79C1F" w14:textId="7C8D2ADF" w:rsidR="0064698C" w:rsidRDefault="0064698C" w:rsidP="00F340AF"/>
    <w:p w14:paraId="4EB2B681" w14:textId="043885A0" w:rsidR="0064698C" w:rsidRDefault="00F340AF" w:rsidP="00E34CC3">
      <w:pPr>
        <w:pStyle w:val="Heading2"/>
      </w:pPr>
      <w:bookmarkStart w:id="6" w:name="_Toc66119844"/>
      <w:r>
        <w:t>References</w:t>
      </w:r>
      <w:bookmarkEnd w:id="6"/>
    </w:p>
    <w:p w14:paraId="076AEAAC" w14:textId="2A2F168B" w:rsidR="00F340AF" w:rsidRPr="00E7136F" w:rsidRDefault="00F340AF" w:rsidP="00E7136F">
      <w:pPr>
        <w:pStyle w:val="ListParagraph"/>
        <w:numPr>
          <w:ilvl w:val="0"/>
          <w:numId w:val="7"/>
        </w:numPr>
        <w:jc w:val="left"/>
      </w:pPr>
      <w:r w:rsidRPr="00E7136F">
        <w:rPr>
          <w:shd w:val="clear" w:color="auto" w:fill="FFFFFF"/>
        </w:rPr>
        <w:t>2014. </w:t>
      </w:r>
      <w:r w:rsidRPr="00E7136F">
        <w:rPr>
          <w:i/>
          <w:iCs/>
          <w:shd w:val="clear" w:color="auto" w:fill="FFFFFF"/>
        </w:rPr>
        <w:t>Royal Charter &amp; By-Laws</w:t>
      </w:r>
      <w:r w:rsidRPr="00E7136F">
        <w:rPr>
          <w:shd w:val="clear" w:color="auto" w:fill="FFFFFF"/>
        </w:rPr>
        <w:t>. [</w:t>
      </w:r>
      <w:r w:rsidR="00E34CC3" w:rsidRPr="00E7136F">
        <w:rPr>
          <w:shd w:val="clear" w:color="auto" w:fill="FFFFFF"/>
        </w:rPr>
        <w:t>pdf</w:t>
      </w:r>
      <w:r w:rsidRPr="00E7136F">
        <w:rPr>
          <w:shd w:val="clear" w:color="auto" w:fill="FFFFFF"/>
        </w:rPr>
        <w:t>] Institution of Mechanical Engineers, p.2. Available at: &lt;https://www.imeche.org/docs/default-source/1-oscar/About-us/royal-charter-and-by-laws-2014.pdf&gt; [Accessed 3 March 2021].</w:t>
      </w:r>
    </w:p>
    <w:p w14:paraId="5911DB46" w14:textId="208DB2CC" w:rsidR="009E1670" w:rsidRPr="00E7136F" w:rsidRDefault="009E1670" w:rsidP="00E7136F">
      <w:pPr>
        <w:pStyle w:val="ListParagraph"/>
        <w:numPr>
          <w:ilvl w:val="0"/>
          <w:numId w:val="7"/>
        </w:numPr>
        <w:jc w:val="left"/>
      </w:pPr>
      <w:proofErr w:type="spellStart"/>
      <w:r w:rsidRPr="00E7136F">
        <w:rPr>
          <w:shd w:val="clear" w:color="auto" w:fill="FFFFFF"/>
        </w:rPr>
        <w:t>Smentowski</w:t>
      </w:r>
      <w:proofErr w:type="spellEnd"/>
      <w:r w:rsidRPr="00E7136F">
        <w:rPr>
          <w:shd w:val="clear" w:color="auto" w:fill="FFFFFF"/>
        </w:rPr>
        <w:t>, L., 2017. Risk Management in Automotive Manufacturing: Stop Problems at Their Roots. </w:t>
      </w:r>
      <w:r w:rsidRPr="00E7136F">
        <w:rPr>
          <w:i/>
          <w:iCs/>
          <w:shd w:val="clear" w:color="auto" w:fill="FFFFFF"/>
        </w:rPr>
        <w:t>Industry Week</w:t>
      </w:r>
      <w:r w:rsidRPr="00E7136F">
        <w:rPr>
          <w:shd w:val="clear" w:color="auto" w:fill="FFFFFF"/>
        </w:rPr>
        <w:t>, [online] Available at: &lt;https://www.industryweek.com/the-connected-enterprise/article/22024456/risk-management-in-automotive-manufacturing-stop-problems-at-their-roots#:~:text=In%20automotive%20manufacturing%20operations%2C%20risks,safety%20incidents%20and%20vehicle%20recalls.&amp;text=To%20prevent%20risks%20from%20reaching,controlled%3A%20your%20industrial%20automation%20infrastructure.&gt; [Accessed 6 March 2021].</w:t>
      </w:r>
    </w:p>
    <w:p w14:paraId="7710EF0F" w14:textId="6C347B97" w:rsidR="00E34CC3" w:rsidRPr="00E7136F" w:rsidRDefault="00E34CC3" w:rsidP="00E7136F">
      <w:pPr>
        <w:pStyle w:val="ListParagraph"/>
        <w:numPr>
          <w:ilvl w:val="0"/>
          <w:numId w:val="7"/>
        </w:numPr>
        <w:jc w:val="left"/>
        <w:rPr>
          <w:sz w:val="32"/>
          <w:szCs w:val="32"/>
        </w:rPr>
      </w:pPr>
      <w:r w:rsidRPr="00E7136F">
        <w:rPr>
          <w:shd w:val="clear" w:color="auto" w:fill="FFFFFF"/>
        </w:rPr>
        <w:t>Imeche.org. 2011. </w:t>
      </w:r>
      <w:r w:rsidRPr="00E7136F">
        <w:rPr>
          <w:i/>
          <w:iCs/>
          <w:shd w:val="clear" w:color="auto" w:fill="FFFFFF"/>
        </w:rPr>
        <w:t>Engineering firms plead guilty to health and safety breach</w:t>
      </w:r>
      <w:r w:rsidRPr="00E7136F">
        <w:rPr>
          <w:shd w:val="clear" w:color="auto" w:fill="FFFFFF"/>
        </w:rPr>
        <w:t>. [online] Available at: &lt;https://www.imeche.org/news/news-article/engineering-firms-plead-guilty-to-health-and-safety-breach&gt; [Accessed 6 March 2021].</w:t>
      </w:r>
    </w:p>
    <w:p w14:paraId="34763D54" w14:textId="3EE5F7D7" w:rsidR="008F7355" w:rsidRPr="00E7136F" w:rsidRDefault="008F7355" w:rsidP="00E7136F">
      <w:pPr>
        <w:pStyle w:val="ListParagraph"/>
        <w:numPr>
          <w:ilvl w:val="0"/>
          <w:numId w:val="7"/>
        </w:numPr>
        <w:jc w:val="left"/>
        <w:rPr>
          <w:sz w:val="40"/>
          <w:szCs w:val="40"/>
        </w:rPr>
      </w:pPr>
      <w:r w:rsidRPr="00E7136F">
        <w:rPr>
          <w:shd w:val="clear" w:color="auto" w:fill="FFFFFF"/>
        </w:rPr>
        <w:t>Legislation.gov.uk. 1974. </w:t>
      </w:r>
      <w:r w:rsidRPr="00E7136F">
        <w:rPr>
          <w:i/>
          <w:iCs/>
          <w:shd w:val="clear" w:color="auto" w:fill="FFFFFF"/>
        </w:rPr>
        <w:t>Health and Safety at Work etc. Act 1974</w:t>
      </w:r>
      <w:r w:rsidRPr="00E7136F">
        <w:rPr>
          <w:shd w:val="clear" w:color="auto" w:fill="FFFFFF"/>
        </w:rPr>
        <w:t>. [online] Available at: &lt;https://www.legislation.gov.uk/ukpga/1974/37/section/6&gt; [Accessed 7 March 2021].</w:t>
      </w:r>
    </w:p>
    <w:p w14:paraId="1761CA06" w14:textId="631C2985" w:rsidR="005C6095" w:rsidRPr="00E7136F" w:rsidRDefault="00DC61B4" w:rsidP="00E7136F">
      <w:pPr>
        <w:pStyle w:val="ListParagraph"/>
        <w:numPr>
          <w:ilvl w:val="0"/>
          <w:numId w:val="7"/>
        </w:numPr>
        <w:jc w:val="left"/>
      </w:pPr>
      <w:r w:rsidRPr="00E7136F">
        <w:rPr>
          <w:shd w:val="clear" w:color="auto" w:fill="FFFFFF"/>
        </w:rPr>
        <w:t>Legislation.gov.uk. 1999. </w:t>
      </w:r>
      <w:r w:rsidRPr="00E7136F">
        <w:rPr>
          <w:i/>
          <w:iCs/>
          <w:shd w:val="clear" w:color="auto" w:fill="FFFFFF"/>
        </w:rPr>
        <w:t>The Management of Health and Safety at Work Regulations 1999</w:t>
      </w:r>
      <w:r w:rsidRPr="00E7136F">
        <w:rPr>
          <w:shd w:val="clear" w:color="auto" w:fill="FFFFFF"/>
        </w:rPr>
        <w:t>. [online] Available at: &lt;https://www.legislation.gov.uk/uksi/1999/3242/regulation/3/made&gt; [Accessed 7 March 2021].</w:t>
      </w:r>
    </w:p>
    <w:p w14:paraId="4A71D026" w14:textId="271DA360" w:rsidR="007569CF" w:rsidRPr="00E7136F" w:rsidRDefault="007569CF" w:rsidP="00E7136F">
      <w:pPr>
        <w:pStyle w:val="ListParagraph"/>
        <w:numPr>
          <w:ilvl w:val="0"/>
          <w:numId w:val="7"/>
        </w:numPr>
        <w:jc w:val="left"/>
        <w:rPr>
          <w:sz w:val="32"/>
          <w:szCs w:val="32"/>
        </w:rPr>
      </w:pPr>
      <w:r w:rsidRPr="00E7136F">
        <w:rPr>
          <w:shd w:val="clear" w:color="auto" w:fill="FFFFFF"/>
        </w:rPr>
        <w:t>Imeche.org. 2021. </w:t>
      </w:r>
      <w:r w:rsidRPr="00E7136F">
        <w:rPr>
          <w:i/>
          <w:iCs/>
          <w:shd w:val="clear" w:color="auto" w:fill="FFFFFF"/>
        </w:rPr>
        <w:t>Code of Conduct explained - IMechE</w:t>
      </w:r>
      <w:r w:rsidRPr="00E7136F">
        <w:rPr>
          <w:shd w:val="clear" w:color="auto" w:fill="FFFFFF"/>
        </w:rPr>
        <w:t>. [online] Available at: &lt;https://www.imeche.org/about-us/imeche-governance/governance-and-finance-reviews/code-of-conduct-explained&gt; [Accessed 7 March 2021].</w:t>
      </w:r>
    </w:p>
    <w:sectPr w:rsidR="007569CF" w:rsidRPr="00E7136F" w:rsidSect="000E5D92">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1005CF" w14:textId="77777777" w:rsidR="00C52129" w:rsidRDefault="00C52129" w:rsidP="00750B2E">
      <w:pPr>
        <w:spacing w:after="0" w:line="240" w:lineRule="auto"/>
      </w:pPr>
      <w:r>
        <w:separator/>
      </w:r>
    </w:p>
  </w:endnote>
  <w:endnote w:type="continuationSeparator" w:id="0">
    <w:p w14:paraId="35E1FDE3" w14:textId="77777777" w:rsidR="00C52129" w:rsidRDefault="00C52129" w:rsidP="00750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1890630"/>
      <w:docPartObj>
        <w:docPartGallery w:val="Page Numbers (Bottom of Page)"/>
        <w:docPartUnique/>
      </w:docPartObj>
    </w:sdtPr>
    <w:sdtEndPr>
      <w:rPr>
        <w:noProof/>
      </w:rPr>
    </w:sdtEndPr>
    <w:sdtContent>
      <w:p w14:paraId="6975A2F5" w14:textId="5C790725" w:rsidR="00CD24C0" w:rsidRDefault="00CD24C0">
        <w:pPr>
          <w:pStyle w:val="Footer"/>
        </w:pPr>
        <w:r>
          <w:fldChar w:fldCharType="begin"/>
        </w:r>
        <w:r>
          <w:instrText xml:space="preserve"> PAGE   \* MERGEFORMAT </w:instrText>
        </w:r>
        <w:r>
          <w:fldChar w:fldCharType="separate"/>
        </w:r>
        <w:r>
          <w:rPr>
            <w:noProof/>
          </w:rPr>
          <w:t>2</w:t>
        </w:r>
        <w:r>
          <w:rPr>
            <w:noProof/>
          </w:rPr>
          <w:fldChar w:fldCharType="end"/>
        </w:r>
      </w:p>
    </w:sdtContent>
  </w:sdt>
  <w:p w14:paraId="05FCAC98" w14:textId="230DF4D0" w:rsidR="00CD24C0" w:rsidRDefault="00CD2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36AE1" w14:textId="77777777" w:rsidR="00C52129" w:rsidRDefault="00C52129" w:rsidP="00750B2E">
      <w:pPr>
        <w:spacing w:after="0" w:line="240" w:lineRule="auto"/>
      </w:pPr>
      <w:r>
        <w:separator/>
      </w:r>
    </w:p>
  </w:footnote>
  <w:footnote w:type="continuationSeparator" w:id="0">
    <w:p w14:paraId="6AE0229D" w14:textId="77777777" w:rsidR="00C52129" w:rsidRDefault="00C52129" w:rsidP="00750B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94413"/>
    <w:multiLevelType w:val="hybridMultilevel"/>
    <w:tmpl w:val="9636386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4D3F31"/>
    <w:multiLevelType w:val="hybridMultilevel"/>
    <w:tmpl w:val="F57E6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E683D"/>
    <w:multiLevelType w:val="hybridMultilevel"/>
    <w:tmpl w:val="7598D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934DD8"/>
    <w:multiLevelType w:val="hybridMultilevel"/>
    <w:tmpl w:val="403A6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170696"/>
    <w:multiLevelType w:val="hybridMultilevel"/>
    <w:tmpl w:val="AE66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0D7C48"/>
    <w:multiLevelType w:val="hybridMultilevel"/>
    <w:tmpl w:val="74F8BE1C"/>
    <w:lvl w:ilvl="0" w:tplc="B25C0B8E">
      <w:start w:val="1"/>
      <w:numFmt w:val="bullet"/>
      <w:lvlText w:val=""/>
      <w:lvlJc w:val="left"/>
      <w:pPr>
        <w:ind w:left="720" w:hanging="360"/>
      </w:pPr>
      <w:rPr>
        <w:rFonts w:ascii="Symbol" w:hAnsi="Symbol" w:hint="default"/>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CB787B"/>
    <w:multiLevelType w:val="hybridMultilevel"/>
    <w:tmpl w:val="8688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B2E"/>
    <w:rsid w:val="00023F0B"/>
    <w:rsid w:val="000317E5"/>
    <w:rsid w:val="00096242"/>
    <w:rsid w:val="000A67A8"/>
    <w:rsid w:val="000C7515"/>
    <w:rsid w:val="000E5D92"/>
    <w:rsid w:val="000E7E21"/>
    <w:rsid w:val="0011317A"/>
    <w:rsid w:val="00126687"/>
    <w:rsid w:val="00193B09"/>
    <w:rsid w:val="0019410C"/>
    <w:rsid w:val="001A00CA"/>
    <w:rsid w:val="00201DF9"/>
    <w:rsid w:val="002773A5"/>
    <w:rsid w:val="00281D5F"/>
    <w:rsid w:val="002F2522"/>
    <w:rsid w:val="00306494"/>
    <w:rsid w:val="00352F6C"/>
    <w:rsid w:val="003F4156"/>
    <w:rsid w:val="003F4D51"/>
    <w:rsid w:val="003F5088"/>
    <w:rsid w:val="00445F1C"/>
    <w:rsid w:val="00456380"/>
    <w:rsid w:val="0046434A"/>
    <w:rsid w:val="0048702C"/>
    <w:rsid w:val="004936FF"/>
    <w:rsid w:val="00510B3D"/>
    <w:rsid w:val="00520A0B"/>
    <w:rsid w:val="0058062F"/>
    <w:rsid w:val="005C6095"/>
    <w:rsid w:val="005D5C73"/>
    <w:rsid w:val="0064698C"/>
    <w:rsid w:val="0065262A"/>
    <w:rsid w:val="006E752B"/>
    <w:rsid w:val="00705030"/>
    <w:rsid w:val="00750B2E"/>
    <w:rsid w:val="007569CF"/>
    <w:rsid w:val="007A3AEC"/>
    <w:rsid w:val="007A721C"/>
    <w:rsid w:val="00804D8D"/>
    <w:rsid w:val="00820032"/>
    <w:rsid w:val="00822306"/>
    <w:rsid w:val="00830DA0"/>
    <w:rsid w:val="00835D8D"/>
    <w:rsid w:val="00893061"/>
    <w:rsid w:val="008E4044"/>
    <w:rsid w:val="008F7355"/>
    <w:rsid w:val="00947569"/>
    <w:rsid w:val="00957F74"/>
    <w:rsid w:val="00976B94"/>
    <w:rsid w:val="009A2301"/>
    <w:rsid w:val="009E1670"/>
    <w:rsid w:val="00A46913"/>
    <w:rsid w:val="00A71B70"/>
    <w:rsid w:val="00A81D25"/>
    <w:rsid w:val="00AB136A"/>
    <w:rsid w:val="00AB34F2"/>
    <w:rsid w:val="00AB76FB"/>
    <w:rsid w:val="00AC2A4E"/>
    <w:rsid w:val="00B0336E"/>
    <w:rsid w:val="00B5651D"/>
    <w:rsid w:val="00B73A9D"/>
    <w:rsid w:val="00B9520E"/>
    <w:rsid w:val="00BC0154"/>
    <w:rsid w:val="00BD7048"/>
    <w:rsid w:val="00BD7821"/>
    <w:rsid w:val="00C33168"/>
    <w:rsid w:val="00C52129"/>
    <w:rsid w:val="00C763F6"/>
    <w:rsid w:val="00CA36BC"/>
    <w:rsid w:val="00CD24C0"/>
    <w:rsid w:val="00D11648"/>
    <w:rsid w:val="00D148AC"/>
    <w:rsid w:val="00D611E1"/>
    <w:rsid w:val="00DB12A8"/>
    <w:rsid w:val="00DC34BF"/>
    <w:rsid w:val="00DC61B4"/>
    <w:rsid w:val="00DE4182"/>
    <w:rsid w:val="00DE5B67"/>
    <w:rsid w:val="00E01E0D"/>
    <w:rsid w:val="00E0730B"/>
    <w:rsid w:val="00E1054A"/>
    <w:rsid w:val="00E16791"/>
    <w:rsid w:val="00E34CC3"/>
    <w:rsid w:val="00E54A36"/>
    <w:rsid w:val="00E7136F"/>
    <w:rsid w:val="00E77217"/>
    <w:rsid w:val="00E83977"/>
    <w:rsid w:val="00ED2C4E"/>
    <w:rsid w:val="00F340AF"/>
    <w:rsid w:val="00F53830"/>
    <w:rsid w:val="00F8513E"/>
    <w:rsid w:val="00FA51AF"/>
    <w:rsid w:val="00FC5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2CCBD"/>
  <w15:chartTrackingRefBased/>
  <w15:docId w15:val="{2A948F2F-382A-4835-8FA1-638AD3F13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D92"/>
    <w:rPr>
      <w:rFonts w:ascii="Cambria" w:hAnsi="Cambria"/>
      <w:sz w:val="24"/>
    </w:rPr>
  </w:style>
  <w:style w:type="paragraph" w:styleId="Heading1">
    <w:name w:val="heading 1"/>
    <w:basedOn w:val="Normal"/>
    <w:next w:val="Normal"/>
    <w:link w:val="Heading1Char"/>
    <w:uiPriority w:val="9"/>
    <w:qFormat/>
    <w:rsid w:val="000E5D92"/>
    <w:pPr>
      <w:keepNext/>
      <w:keepLines/>
      <w:spacing w:before="240" w:after="0"/>
      <w:outlineLvl w:val="0"/>
    </w:pPr>
    <w:rPr>
      <w:rFonts w:eastAsiaTheme="majorEastAsia" w:cstheme="majorBidi"/>
      <w:b/>
      <w:bCs/>
      <w:sz w:val="32"/>
      <w:szCs w:val="32"/>
    </w:rPr>
  </w:style>
  <w:style w:type="paragraph" w:styleId="Heading2">
    <w:name w:val="heading 2"/>
    <w:basedOn w:val="Normal"/>
    <w:next w:val="Normal"/>
    <w:link w:val="Heading2Char"/>
    <w:uiPriority w:val="9"/>
    <w:unhideWhenUsed/>
    <w:qFormat/>
    <w:rsid w:val="0064698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D92"/>
    <w:rPr>
      <w:rFonts w:ascii="Cambria" w:eastAsiaTheme="majorEastAsia" w:hAnsi="Cambria" w:cstheme="majorBidi"/>
      <w:b/>
      <w:bCs/>
      <w:sz w:val="32"/>
      <w:szCs w:val="32"/>
    </w:rPr>
  </w:style>
  <w:style w:type="paragraph" w:styleId="TOCHeading">
    <w:name w:val="TOC Heading"/>
    <w:basedOn w:val="Heading1"/>
    <w:next w:val="Normal"/>
    <w:uiPriority w:val="39"/>
    <w:unhideWhenUsed/>
    <w:qFormat/>
    <w:rsid w:val="00750B2E"/>
    <w:pPr>
      <w:outlineLvl w:val="9"/>
    </w:pPr>
    <w:rPr>
      <w:lang w:val="en-US"/>
    </w:rPr>
  </w:style>
  <w:style w:type="paragraph" w:styleId="Header">
    <w:name w:val="header"/>
    <w:basedOn w:val="Normal"/>
    <w:link w:val="HeaderChar"/>
    <w:uiPriority w:val="99"/>
    <w:unhideWhenUsed/>
    <w:rsid w:val="00750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B2E"/>
    <w:rPr>
      <w:rFonts w:ascii="Times New Roman" w:hAnsi="Times New Roman"/>
    </w:rPr>
  </w:style>
  <w:style w:type="paragraph" w:styleId="Footer">
    <w:name w:val="footer"/>
    <w:basedOn w:val="Normal"/>
    <w:link w:val="FooterChar"/>
    <w:uiPriority w:val="99"/>
    <w:unhideWhenUsed/>
    <w:rsid w:val="00750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B2E"/>
    <w:rPr>
      <w:rFonts w:ascii="Times New Roman" w:hAnsi="Times New Roman"/>
    </w:rPr>
  </w:style>
  <w:style w:type="paragraph" w:styleId="TOC1">
    <w:name w:val="toc 1"/>
    <w:basedOn w:val="Normal"/>
    <w:next w:val="Normal"/>
    <w:autoRedefine/>
    <w:uiPriority w:val="39"/>
    <w:unhideWhenUsed/>
    <w:rsid w:val="000E5D92"/>
    <w:pPr>
      <w:spacing w:after="100"/>
    </w:pPr>
  </w:style>
  <w:style w:type="character" w:styleId="Hyperlink">
    <w:name w:val="Hyperlink"/>
    <w:basedOn w:val="DefaultParagraphFont"/>
    <w:uiPriority w:val="99"/>
    <w:unhideWhenUsed/>
    <w:rsid w:val="000E5D92"/>
    <w:rPr>
      <w:color w:val="0563C1" w:themeColor="hyperlink"/>
      <w:u w:val="single"/>
    </w:rPr>
  </w:style>
  <w:style w:type="character" w:customStyle="1" w:styleId="Heading2Char">
    <w:name w:val="Heading 2 Char"/>
    <w:basedOn w:val="DefaultParagraphFont"/>
    <w:link w:val="Heading2"/>
    <w:uiPriority w:val="9"/>
    <w:rsid w:val="0064698C"/>
    <w:rPr>
      <w:rFonts w:ascii="Cambria" w:eastAsiaTheme="majorEastAsia" w:hAnsi="Cambria" w:cstheme="majorBidi"/>
      <w:b/>
      <w:sz w:val="26"/>
      <w:szCs w:val="26"/>
    </w:rPr>
  </w:style>
  <w:style w:type="paragraph" w:styleId="ListParagraph">
    <w:name w:val="List Paragraph"/>
    <w:basedOn w:val="Normal"/>
    <w:uiPriority w:val="34"/>
    <w:qFormat/>
    <w:rsid w:val="00F340AF"/>
    <w:pPr>
      <w:ind w:left="720"/>
      <w:contextualSpacing/>
    </w:pPr>
  </w:style>
  <w:style w:type="paragraph" w:styleId="TOC2">
    <w:name w:val="toc 2"/>
    <w:basedOn w:val="Normal"/>
    <w:next w:val="Normal"/>
    <w:autoRedefine/>
    <w:uiPriority w:val="39"/>
    <w:unhideWhenUsed/>
    <w:rsid w:val="00F340AF"/>
    <w:pPr>
      <w:spacing w:after="100"/>
      <w:ind w:left="240"/>
    </w:pPr>
  </w:style>
  <w:style w:type="paragraph" w:styleId="Caption">
    <w:name w:val="caption"/>
    <w:basedOn w:val="Normal"/>
    <w:next w:val="Normal"/>
    <w:uiPriority w:val="35"/>
    <w:unhideWhenUsed/>
    <w:qFormat/>
    <w:rsid w:val="00DE418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2D773-626D-4190-A70A-996C31470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3020</TotalTime>
  <Pages>10</Pages>
  <Words>2515</Words>
  <Characters>14338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Williams (2004443)</dc:creator>
  <cp:keywords/>
  <dc:description/>
  <cp:lastModifiedBy>Rhys Williams (2004443)</cp:lastModifiedBy>
  <cp:revision>8</cp:revision>
  <dcterms:created xsi:type="dcterms:W3CDTF">2021-03-06T16:16:00Z</dcterms:created>
  <dcterms:modified xsi:type="dcterms:W3CDTF">2021-03-08T18:17:00Z</dcterms:modified>
</cp:coreProperties>
</file>