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12EF" w:rsidRPr="007012EF" w:rsidRDefault="007012EF">
      <w:pPr>
        <w:rPr>
          <w:rFonts w:ascii="Myriad Pro" w:hAnsi="Myriad Pro"/>
        </w:rPr>
      </w:pPr>
      <w:bookmarkStart w:id="0" w:name="_GoBack"/>
      <w:bookmarkEnd w:id="0"/>
    </w:p>
    <w:p w:rsidR="001A25C6" w:rsidRDefault="001A25C6" w:rsidP="001A25C6">
      <w:pPr>
        <w:widowControl w:val="0"/>
        <w:autoSpaceDE w:val="0"/>
        <w:autoSpaceDN w:val="0"/>
        <w:adjustRightInd w:val="0"/>
        <w:spacing w:before="220" w:after="100" w:line="240" w:lineRule="auto"/>
        <w:rPr>
          <w:rFonts w:ascii="serif" w:hAnsi="serif" w:cs="serif"/>
          <w:b/>
          <w:bCs/>
          <w:color w:val="3A3A3A"/>
          <w:sz w:val="36"/>
          <w:szCs w:val="36"/>
        </w:rPr>
      </w:pPr>
      <w:r>
        <w:rPr>
          <w:rFonts w:ascii="serif" w:hAnsi="serif" w:cs="serif"/>
          <w:b/>
          <w:bCs/>
          <w:color w:val="3A3A3A"/>
          <w:sz w:val="36"/>
          <w:szCs w:val="36"/>
        </w:rPr>
        <w:t>Lock, Bear Scotland and other holiday pay cases</w:t>
      </w:r>
    </w:p>
    <w:p w:rsidR="001A25C6" w:rsidRDefault="001A25C6" w:rsidP="001A25C6">
      <w:pPr>
        <w:widowControl w:val="0"/>
        <w:autoSpaceDE w:val="0"/>
        <w:autoSpaceDN w:val="0"/>
        <w:adjustRightInd w:val="0"/>
        <w:spacing w:after="0" w:line="240" w:lineRule="auto"/>
        <w:jc w:val="both"/>
        <w:rPr>
          <w:rFonts w:ascii="serif" w:hAnsi="serif" w:cs="serif"/>
          <w:color w:val="0000FF"/>
          <w:sz w:val="20"/>
          <w:szCs w:val="20"/>
        </w:rPr>
      </w:pPr>
      <w:bookmarkStart w:id="1" w:name="co_anchor_a867159_1"/>
      <w:bookmarkEnd w:id="1"/>
    </w:p>
    <w:p w:rsidR="001A25C6" w:rsidRDefault="001A25C6" w:rsidP="001A25C6">
      <w:pPr>
        <w:widowControl w:val="0"/>
        <w:autoSpaceDE w:val="0"/>
        <w:autoSpaceDN w:val="0"/>
        <w:adjustRightInd w:val="0"/>
        <w:spacing w:before="280" w:after="0" w:line="240" w:lineRule="auto"/>
        <w:jc w:val="both"/>
        <w:rPr>
          <w:rFonts w:ascii="serif" w:hAnsi="serif" w:cs="serif"/>
          <w:b/>
          <w:bCs/>
          <w:color w:val="212121"/>
          <w:sz w:val="28"/>
          <w:szCs w:val="28"/>
        </w:rPr>
      </w:pPr>
      <w:r>
        <w:rPr>
          <w:rFonts w:ascii="serif" w:hAnsi="serif" w:cs="serif"/>
          <w:b/>
          <w:bCs/>
          <w:color w:val="212121"/>
          <w:sz w:val="28"/>
          <w:szCs w:val="28"/>
        </w:rPr>
        <w:t>The ECJ’s decisions in Williams and Lock</w:t>
      </w:r>
    </w:p>
    <w:p w:rsidR="009E78EF" w:rsidRDefault="009E78EF" w:rsidP="001A25C6">
      <w:pPr>
        <w:widowControl w:val="0"/>
        <w:autoSpaceDE w:val="0"/>
        <w:autoSpaceDN w:val="0"/>
        <w:adjustRightInd w:val="0"/>
        <w:spacing w:before="280" w:after="0" w:line="240" w:lineRule="auto"/>
        <w:jc w:val="both"/>
        <w:rPr>
          <w:rFonts w:ascii="serif" w:hAnsi="serif" w:cs="serif"/>
          <w:b/>
          <w:bCs/>
          <w:color w:val="212121"/>
          <w:sz w:val="28"/>
          <w:szCs w:val="28"/>
        </w:rPr>
      </w:pP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In</w:t>
      </w:r>
      <w:r w:rsidR="00E41117">
        <w:rPr>
          <w:rFonts w:ascii="serif" w:hAnsi="serif" w:cs="serif"/>
          <w:i/>
          <w:iCs/>
          <w:color w:val="000000"/>
          <w:sz w:val="20"/>
          <w:szCs w:val="20"/>
        </w:rPr>
        <w:t xml:space="preserve"> Williams &amp; Others v British Airways Plc </w:t>
      </w:r>
      <w:r>
        <w:rPr>
          <w:rFonts w:ascii="serif" w:hAnsi="serif" w:cs="serif"/>
          <w:color w:val="000000"/>
          <w:sz w:val="20"/>
          <w:szCs w:val="20"/>
        </w:rPr>
        <w:t>the ECJ held that pilots’ holiday pay entitlement under the Aviation Directive (</w:t>
      </w:r>
      <w:r>
        <w:rPr>
          <w:rFonts w:ascii="serif" w:hAnsi="serif" w:cs="serif"/>
          <w:i/>
          <w:iCs/>
          <w:color w:val="000000"/>
          <w:sz w:val="20"/>
          <w:szCs w:val="20"/>
        </w:rPr>
        <w:t>2000/79/EC</w:t>
      </w:r>
      <w:r>
        <w:rPr>
          <w:rFonts w:ascii="serif" w:hAnsi="serif" w:cs="serif"/>
          <w:color w:val="000000"/>
          <w:sz w:val="20"/>
          <w:szCs w:val="20"/>
        </w:rPr>
        <w:t>) should not be limited to basic salary but must correspond to “</w:t>
      </w:r>
      <w:r w:rsidRPr="00503E87">
        <w:rPr>
          <w:rFonts w:ascii="serif" w:hAnsi="serif" w:cs="serif"/>
          <w:color w:val="000000"/>
          <w:sz w:val="20"/>
          <w:szCs w:val="20"/>
          <w:u w:val="single"/>
        </w:rPr>
        <w:t>normal remuneration</w:t>
      </w:r>
      <w:r>
        <w:rPr>
          <w:rFonts w:ascii="serif" w:hAnsi="serif" w:cs="serif"/>
          <w:color w:val="000000"/>
          <w:sz w:val="20"/>
          <w:szCs w:val="20"/>
        </w:rPr>
        <w:t>”. This means that pilots should be entitled to holiday pay in respect of:</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numPr>
          <w:ilvl w:val="0"/>
          <w:numId w:val="1"/>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 xml:space="preserve">Remuneration that is </w:t>
      </w:r>
      <w:r w:rsidRPr="00503E87">
        <w:rPr>
          <w:rFonts w:ascii="serif" w:hAnsi="serif" w:cs="serif"/>
          <w:color w:val="000000"/>
          <w:sz w:val="20"/>
          <w:szCs w:val="20"/>
          <w:u w:val="single"/>
        </w:rPr>
        <w:t xml:space="preserve">linked intrinsically </w:t>
      </w:r>
      <w:r>
        <w:rPr>
          <w:rFonts w:ascii="serif" w:hAnsi="serif" w:cs="serif"/>
          <w:color w:val="000000"/>
          <w:sz w:val="20"/>
          <w:szCs w:val="20"/>
        </w:rPr>
        <w:t>to the performance of tasks which they are contractually obliged to perform.</w:t>
      </w:r>
    </w:p>
    <w:p w:rsidR="001A25C6" w:rsidRDefault="001A25C6" w:rsidP="001A25C6">
      <w:pPr>
        <w:widowControl w:val="0"/>
        <w:numPr>
          <w:ilvl w:val="0"/>
          <w:numId w:val="2"/>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Payments that relate to their professional or personal status. This would include payments relating to a worker’s seniority, length of service or professional qualifications.</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Although </w:t>
      </w:r>
      <w:r>
        <w:rPr>
          <w:rFonts w:ascii="serif" w:hAnsi="serif" w:cs="serif"/>
          <w:i/>
          <w:iCs/>
          <w:color w:val="000000"/>
          <w:sz w:val="20"/>
          <w:szCs w:val="20"/>
        </w:rPr>
        <w:t>Williams</w:t>
      </w:r>
      <w:r>
        <w:rPr>
          <w:rFonts w:ascii="serif" w:hAnsi="serif" w:cs="serif"/>
          <w:color w:val="000000"/>
          <w:sz w:val="20"/>
          <w:szCs w:val="20"/>
        </w:rPr>
        <w:t xml:space="preserve"> concerned the Aviation Directive and not the Working Time Directive (</w:t>
      </w:r>
      <w:r>
        <w:rPr>
          <w:rFonts w:ascii="serif" w:hAnsi="serif" w:cs="serif"/>
          <w:i/>
          <w:iCs/>
          <w:color w:val="000000"/>
          <w:sz w:val="20"/>
          <w:szCs w:val="20"/>
        </w:rPr>
        <w:t>2003/88/EC</w:t>
      </w:r>
      <w:r>
        <w:rPr>
          <w:rFonts w:ascii="serif" w:hAnsi="serif" w:cs="serif"/>
          <w:color w:val="000000"/>
          <w:sz w:val="20"/>
          <w:szCs w:val="20"/>
        </w:rPr>
        <w:t>), the ECJ ruled that the same principles apply to each.</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E41117"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In the subsequent case </w:t>
      </w:r>
      <w:r w:rsidR="00E41117">
        <w:rPr>
          <w:rFonts w:ascii="serif" w:hAnsi="serif" w:cs="serif"/>
          <w:color w:val="000000"/>
          <w:sz w:val="20"/>
          <w:szCs w:val="20"/>
        </w:rPr>
        <w:t xml:space="preserve">of </w:t>
      </w:r>
      <w:r w:rsidR="00E41117" w:rsidRPr="00503E87">
        <w:rPr>
          <w:rFonts w:ascii="serif" w:hAnsi="serif" w:cs="serif"/>
          <w:i/>
          <w:color w:val="000000"/>
          <w:sz w:val="20"/>
          <w:szCs w:val="20"/>
        </w:rPr>
        <w:t xml:space="preserve">Lock v British Gas Trading </w:t>
      </w:r>
      <w:r w:rsidR="00E41117">
        <w:rPr>
          <w:rFonts w:ascii="serif" w:hAnsi="serif" w:cs="serif"/>
          <w:color w:val="000000"/>
          <w:sz w:val="20"/>
          <w:szCs w:val="20"/>
        </w:rPr>
        <w:t xml:space="preserve">the </w:t>
      </w:r>
      <w:r>
        <w:rPr>
          <w:rFonts w:ascii="serif" w:hAnsi="serif" w:cs="serif"/>
          <w:color w:val="000000"/>
          <w:sz w:val="20"/>
          <w:szCs w:val="20"/>
        </w:rPr>
        <w:t xml:space="preserve">ECJ applied its earlier decision in </w:t>
      </w:r>
      <w:r>
        <w:rPr>
          <w:rFonts w:ascii="serif" w:hAnsi="serif" w:cs="serif"/>
          <w:i/>
          <w:iCs/>
          <w:color w:val="000000"/>
          <w:sz w:val="20"/>
          <w:szCs w:val="20"/>
        </w:rPr>
        <w:t>Williams</w:t>
      </w:r>
      <w:r>
        <w:rPr>
          <w:rFonts w:ascii="serif" w:hAnsi="serif" w:cs="serif"/>
          <w:color w:val="000000"/>
          <w:sz w:val="20"/>
          <w:szCs w:val="20"/>
        </w:rPr>
        <w:t xml:space="preserve"> to the Working Time Directive. It held that holiday pay under the Working Time Directive cannot be calculated based on basic salary alone where a worker’s remuneration includes commission determined with reference to sales achieved. If commission is not taken into account, the worker will be placed at a financial disadvantage when taking statutory annual leave, since no commission will be generated during their holiday period. In such circumstances, the worker might be deterred from exercising the right to annual leave, which would be contrary to the Directive’s purpose</w:t>
      </w:r>
      <w:r w:rsidR="00E41117">
        <w:rPr>
          <w:rFonts w:ascii="serif" w:hAnsi="serif" w:cs="serif"/>
          <w:color w:val="000000"/>
          <w:sz w:val="20"/>
          <w:szCs w:val="20"/>
        </w:rPr>
        <w:t>.</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FF"/>
          <w:sz w:val="20"/>
          <w:szCs w:val="20"/>
        </w:rPr>
      </w:pPr>
      <w:bookmarkStart w:id="2" w:name="co_anchor_a550038_1"/>
      <w:bookmarkEnd w:id="2"/>
    </w:p>
    <w:p w:rsidR="001A25C6" w:rsidRDefault="001A25C6" w:rsidP="001A25C6">
      <w:pPr>
        <w:widowControl w:val="0"/>
        <w:autoSpaceDE w:val="0"/>
        <w:autoSpaceDN w:val="0"/>
        <w:adjustRightInd w:val="0"/>
        <w:spacing w:before="280" w:after="0" w:line="240" w:lineRule="auto"/>
        <w:jc w:val="both"/>
        <w:rPr>
          <w:rFonts w:ascii="serif" w:hAnsi="serif" w:cs="serif"/>
          <w:b/>
          <w:bCs/>
          <w:color w:val="000000"/>
          <w:sz w:val="28"/>
          <w:szCs w:val="28"/>
        </w:rPr>
      </w:pPr>
      <w:r>
        <w:rPr>
          <w:rFonts w:ascii="serif" w:hAnsi="serif" w:cs="serif"/>
          <w:b/>
          <w:bCs/>
          <w:color w:val="000000"/>
          <w:sz w:val="28"/>
          <w:szCs w:val="28"/>
        </w:rPr>
        <w:t>The effect of Williams and Lock on UK law</w:t>
      </w:r>
    </w:p>
    <w:p w:rsidR="00925EF7" w:rsidRDefault="00925EF7" w:rsidP="001A25C6">
      <w:pPr>
        <w:widowControl w:val="0"/>
        <w:autoSpaceDE w:val="0"/>
        <w:autoSpaceDN w:val="0"/>
        <w:adjustRightInd w:val="0"/>
        <w:spacing w:after="0" w:line="240" w:lineRule="auto"/>
        <w:jc w:val="both"/>
        <w:rPr>
          <w:rFonts w:ascii="serif" w:hAnsi="serif" w:cs="serif"/>
          <w:color w:val="000000"/>
          <w:sz w:val="20"/>
          <w:szCs w:val="20"/>
        </w:rPr>
      </w:pP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The </w:t>
      </w:r>
      <w:r w:rsidR="00925EF7">
        <w:rPr>
          <w:rFonts w:ascii="serif" w:hAnsi="serif" w:cs="serif"/>
          <w:color w:val="000000"/>
          <w:sz w:val="20"/>
          <w:szCs w:val="20"/>
        </w:rPr>
        <w:t>Working Time Regulations (“</w:t>
      </w:r>
      <w:r>
        <w:rPr>
          <w:rFonts w:ascii="serif" w:hAnsi="serif" w:cs="serif"/>
          <w:color w:val="000000"/>
          <w:sz w:val="20"/>
          <w:szCs w:val="20"/>
        </w:rPr>
        <w:t>WTR</w:t>
      </w:r>
      <w:r w:rsidR="00925EF7">
        <w:rPr>
          <w:rFonts w:ascii="serif" w:hAnsi="serif" w:cs="serif"/>
          <w:color w:val="000000"/>
          <w:sz w:val="20"/>
          <w:szCs w:val="20"/>
        </w:rPr>
        <w:t>”)</w:t>
      </w:r>
      <w:r>
        <w:rPr>
          <w:rFonts w:ascii="serif" w:hAnsi="serif" w:cs="serif"/>
          <w:color w:val="000000"/>
          <w:sz w:val="20"/>
          <w:szCs w:val="20"/>
        </w:rPr>
        <w:t xml:space="preserve"> 1998 provide that a worker must receive a week’s pay for a week’s holiday, using the concept of a week’s pay set out in </w:t>
      </w:r>
      <w:r w:rsidRPr="00503E87">
        <w:rPr>
          <w:rFonts w:ascii="serif" w:hAnsi="serif" w:cs="serif"/>
          <w:i/>
          <w:color w:val="000000"/>
          <w:sz w:val="20"/>
          <w:szCs w:val="20"/>
        </w:rPr>
        <w:t>sections 221 to 224</w:t>
      </w:r>
      <w:r>
        <w:rPr>
          <w:rFonts w:ascii="serif" w:hAnsi="serif" w:cs="serif"/>
          <w:color w:val="000000"/>
          <w:sz w:val="20"/>
          <w:szCs w:val="20"/>
        </w:rPr>
        <w:t xml:space="preserve"> of the ERA 1996, with a small modification. The difficulty is that the definition of a week’s pay differs depending on the circumstances:</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925EF7" w:rsidRDefault="001A25C6" w:rsidP="00925EF7">
      <w:pPr>
        <w:widowControl w:val="0"/>
        <w:numPr>
          <w:ilvl w:val="0"/>
          <w:numId w:val="3"/>
        </w:numPr>
        <w:autoSpaceDE w:val="0"/>
        <w:autoSpaceDN w:val="0"/>
        <w:adjustRightInd w:val="0"/>
        <w:spacing w:after="0" w:line="240" w:lineRule="auto"/>
        <w:ind w:left="480"/>
        <w:jc w:val="both"/>
        <w:rPr>
          <w:rFonts w:ascii="serif" w:hAnsi="serif" w:cs="serif"/>
          <w:color w:val="000000"/>
          <w:sz w:val="20"/>
          <w:szCs w:val="20"/>
        </w:rPr>
      </w:pPr>
      <w:r w:rsidRPr="00925EF7">
        <w:rPr>
          <w:rFonts w:ascii="serif" w:hAnsi="serif" w:cs="serif"/>
          <w:b/>
          <w:bCs/>
          <w:color w:val="000000"/>
          <w:sz w:val="20"/>
          <w:szCs w:val="20"/>
        </w:rPr>
        <w:t>No normal working hours.</w:t>
      </w:r>
      <w:r w:rsidRPr="00925EF7">
        <w:rPr>
          <w:rFonts w:ascii="serif" w:hAnsi="serif" w:cs="serif"/>
          <w:color w:val="000000"/>
          <w:sz w:val="20"/>
          <w:szCs w:val="20"/>
        </w:rPr>
        <w:t xml:space="preserve"> If the worker has no normal working hours, a week’s pay is calculated according</w:t>
      </w:r>
      <w:r w:rsidR="00E41117" w:rsidRPr="00925EF7">
        <w:rPr>
          <w:rFonts w:ascii="serif" w:hAnsi="serif" w:cs="serif"/>
          <w:color w:val="000000"/>
          <w:sz w:val="20"/>
          <w:szCs w:val="20"/>
        </w:rPr>
        <w:t xml:space="preserve"> to section 224</w:t>
      </w:r>
      <w:r w:rsidRPr="00925EF7">
        <w:rPr>
          <w:rFonts w:ascii="serif" w:hAnsi="serif" w:cs="serif"/>
          <w:color w:val="000000"/>
          <w:sz w:val="20"/>
          <w:szCs w:val="20"/>
        </w:rPr>
        <w:t xml:space="preserve"> as an average of all remuneration earned in the </w:t>
      </w:r>
      <w:r w:rsidRPr="00503E87">
        <w:rPr>
          <w:rFonts w:ascii="serif" w:hAnsi="serif" w:cs="serif"/>
          <w:color w:val="000000"/>
          <w:sz w:val="20"/>
          <w:szCs w:val="20"/>
          <w:u w:val="single"/>
        </w:rPr>
        <w:t>previous 12 working weeks</w:t>
      </w:r>
      <w:r w:rsidRPr="00925EF7">
        <w:rPr>
          <w:rFonts w:ascii="serif" w:hAnsi="serif" w:cs="serif"/>
          <w:color w:val="000000"/>
          <w:sz w:val="20"/>
          <w:szCs w:val="20"/>
        </w:rPr>
        <w:t xml:space="preserve">. This includes any bonuses, overtime, commission etc. </w:t>
      </w:r>
    </w:p>
    <w:p w:rsidR="001A25C6" w:rsidRPr="00925EF7" w:rsidRDefault="001A25C6" w:rsidP="00925EF7">
      <w:pPr>
        <w:widowControl w:val="0"/>
        <w:numPr>
          <w:ilvl w:val="0"/>
          <w:numId w:val="3"/>
        </w:numPr>
        <w:autoSpaceDE w:val="0"/>
        <w:autoSpaceDN w:val="0"/>
        <w:adjustRightInd w:val="0"/>
        <w:spacing w:after="0" w:line="240" w:lineRule="auto"/>
        <w:ind w:left="480"/>
        <w:jc w:val="both"/>
        <w:rPr>
          <w:rFonts w:ascii="serif" w:hAnsi="serif" w:cs="serif"/>
          <w:color w:val="000000"/>
          <w:sz w:val="20"/>
          <w:szCs w:val="20"/>
        </w:rPr>
      </w:pPr>
      <w:r w:rsidRPr="00925EF7">
        <w:rPr>
          <w:rFonts w:ascii="serif" w:hAnsi="serif" w:cs="serif"/>
          <w:b/>
          <w:bCs/>
          <w:color w:val="000000"/>
          <w:sz w:val="20"/>
          <w:szCs w:val="20"/>
        </w:rPr>
        <w:t>Normal working hours.</w:t>
      </w:r>
      <w:r w:rsidRPr="00925EF7">
        <w:rPr>
          <w:rFonts w:ascii="serif" w:hAnsi="serif" w:cs="serif"/>
          <w:color w:val="000000"/>
          <w:sz w:val="20"/>
          <w:szCs w:val="20"/>
        </w:rPr>
        <w:t xml:space="preserve"> Generally, a worker who has “normal working hours” will have their week’s pay calculated with reference to those normal hours. This usually means basic salary, disregarding any overtime hours (except guaranteed, compulsory overtime) and without any additional bonuses, commission payments, overtime premiums or allowances (</w:t>
      </w:r>
      <w:r w:rsidR="00E41117" w:rsidRPr="00925EF7">
        <w:rPr>
          <w:rFonts w:ascii="serif" w:hAnsi="serif" w:cs="serif"/>
          <w:i/>
          <w:iCs/>
          <w:color w:val="000000"/>
          <w:sz w:val="20"/>
          <w:szCs w:val="20"/>
        </w:rPr>
        <w:t>section 221, 222, 223 (3)</w:t>
      </w:r>
      <w:r w:rsidRPr="00925EF7">
        <w:rPr>
          <w:rFonts w:ascii="serif" w:hAnsi="serif" w:cs="serif"/>
          <w:i/>
          <w:iCs/>
          <w:color w:val="000000"/>
          <w:sz w:val="20"/>
          <w:szCs w:val="20"/>
        </w:rPr>
        <w:t xml:space="preserve"> ERA 1996</w:t>
      </w:r>
      <w:r w:rsidRPr="00925EF7">
        <w:rPr>
          <w:rFonts w:ascii="serif" w:hAnsi="serif" w:cs="serif"/>
          <w:color w:val="000000"/>
          <w:sz w:val="20"/>
          <w:szCs w:val="20"/>
        </w:rPr>
        <w:t xml:space="preserve">). For employees with normal working hours whose pay varies, either by reference to the hours worked or the amount of work done, a week’s pay is calculated using the employee’s average remuneration over the previous 12 working weeks. However, bonuses and commission will not always fall into the category of remuneration that varies with the amount of work done. Variable elements are only included if it can be said that pay varies with the amount of work done (such as piece work), rather than with the success or otherwise of that work. </w:t>
      </w:r>
    </w:p>
    <w:tbl>
      <w:tblPr>
        <w:tblW w:w="0" w:type="auto"/>
        <w:tblInd w:w="600" w:type="dxa"/>
        <w:tblLayout w:type="fixed"/>
        <w:tblCellMar>
          <w:left w:w="0" w:type="dxa"/>
          <w:right w:w="0" w:type="dxa"/>
        </w:tblCellMar>
        <w:tblLook w:val="0000" w:firstRow="0" w:lastRow="0" w:firstColumn="0" w:lastColumn="0" w:noHBand="0" w:noVBand="0"/>
      </w:tblPr>
      <w:tblGrid>
        <w:gridCol w:w="10091"/>
      </w:tblGrid>
      <w:tr w:rsidR="001A25C6" w:rsidTr="001A25C6">
        <w:tc>
          <w:tcPr>
            <w:tcW w:w="10091" w:type="dxa"/>
            <w:tcBorders>
              <w:top w:val="single" w:sz="8" w:space="0" w:color="000000"/>
              <w:left w:val="single" w:sz="8" w:space="0" w:color="000000"/>
              <w:bottom w:val="single" w:sz="8" w:space="0" w:color="000000"/>
              <w:right w:val="single" w:sz="8" w:space="0" w:color="000000"/>
            </w:tcBorders>
            <w:shd w:val="clear" w:color="auto" w:fill="F6F6F6"/>
            <w:tcMar>
              <w:top w:w="600" w:type="dxa"/>
              <w:left w:w="600" w:type="dxa"/>
              <w:bottom w:w="600" w:type="dxa"/>
              <w:right w:w="600" w:type="dxa"/>
            </w:tcMar>
          </w:tcPr>
          <w:p w:rsidR="001A25C6" w:rsidRDefault="001A25C6" w:rsidP="001A25C6">
            <w:pPr>
              <w:widowControl w:val="0"/>
              <w:autoSpaceDE w:val="0"/>
              <w:autoSpaceDN w:val="0"/>
              <w:adjustRightInd w:val="0"/>
              <w:spacing w:after="0" w:line="240" w:lineRule="auto"/>
              <w:jc w:val="both"/>
              <w:rPr>
                <w:rFonts w:ascii="serif" w:hAnsi="serif" w:cs="serif"/>
                <w:color w:val="505050"/>
                <w:sz w:val="20"/>
                <w:szCs w:val="20"/>
              </w:rPr>
            </w:pPr>
          </w:p>
        </w:tc>
      </w:tr>
    </w:tbl>
    <w:p w:rsidR="001A25C6" w:rsidRDefault="001A25C6" w:rsidP="001A25C6">
      <w:pPr>
        <w:widowControl w:val="0"/>
        <w:autoSpaceDE w:val="0"/>
        <w:autoSpaceDN w:val="0"/>
        <w:adjustRightInd w:val="0"/>
        <w:spacing w:before="280" w:after="0" w:line="240" w:lineRule="auto"/>
        <w:jc w:val="both"/>
        <w:rPr>
          <w:rFonts w:ascii="serif" w:hAnsi="serif" w:cs="serif"/>
          <w:b/>
          <w:bCs/>
          <w:color w:val="212121"/>
          <w:sz w:val="28"/>
          <w:szCs w:val="28"/>
        </w:rPr>
      </w:pPr>
      <w:bookmarkStart w:id="3" w:name="co_anchor_a799180_1"/>
      <w:bookmarkStart w:id="4" w:name="co_anchor_a203597_1"/>
      <w:bookmarkEnd w:id="3"/>
      <w:bookmarkEnd w:id="4"/>
      <w:r>
        <w:rPr>
          <w:rFonts w:ascii="serif" w:hAnsi="serif" w:cs="serif"/>
          <w:b/>
          <w:bCs/>
          <w:color w:val="212121"/>
          <w:sz w:val="28"/>
          <w:szCs w:val="28"/>
        </w:rPr>
        <w:t>The EAT’s decision in Bear Scotland</w:t>
      </w:r>
    </w:p>
    <w:p w:rsidR="0040738B" w:rsidRDefault="0040738B" w:rsidP="001A25C6">
      <w:pPr>
        <w:widowControl w:val="0"/>
        <w:autoSpaceDE w:val="0"/>
        <w:autoSpaceDN w:val="0"/>
        <w:adjustRightInd w:val="0"/>
        <w:spacing w:after="0" w:line="240" w:lineRule="auto"/>
        <w:jc w:val="both"/>
        <w:rPr>
          <w:rFonts w:ascii="serif" w:hAnsi="serif" w:cs="serif"/>
          <w:color w:val="000000"/>
          <w:sz w:val="20"/>
          <w:szCs w:val="20"/>
        </w:rPr>
      </w:pPr>
    </w:p>
    <w:p w:rsidR="001A25C6" w:rsidRDefault="0040738B"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T</w:t>
      </w:r>
      <w:r w:rsidR="001A25C6">
        <w:rPr>
          <w:rFonts w:ascii="serif" w:hAnsi="serif" w:cs="serif"/>
          <w:color w:val="000000"/>
          <w:sz w:val="20"/>
          <w:szCs w:val="20"/>
        </w:rPr>
        <w:t xml:space="preserve">he EAT considered how overtime and certain travel-related allowances should be treated for the calculation of statutory holiday pay provided for by the Working Time Directive, in the light of </w:t>
      </w:r>
      <w:r w:rsidR="001A25C6">
        <w:rPr>
          <w:rFonts w:ascii="serif" w:hAnsi="serif" w:cs="serif"/>
          <w:i/>
          <w:iCs/>
          <w:color w:val="000000"/>
          <w:sz w:val="20"/>
          <w:szCs w:val="20"/>
        </w:rPr>
        <w:t>Williams</w:t>
      </w:r>
      <w:r w:rsidR="001A25C6">
        <w:rPr>
          <w:rFonts w:ascii="serif" w:hAnsi="serif" w:cs="serif"/>
          <w:color w:val="000000"/>
          <w:sz w:val="20"/>
          <w:szCs w:val="20"/>
        </w:rPr>
        <w:t xml:space="preserve"> and </w:t>
      </w:r>
      <w:r w:rsidR="001A25C6">
        <w:rPr>
          <w:rFonts w:ascii="serif" w:hAnsi="serif" w:cs="serif"/>
          <w:i/>
          <w:iCs/>
          <w:color w:val="000000"/>
          <w:sz w:val="20"/>
          <w:szCs w:val="20"/>
        </w:rPr>
        <w:t>Lock</w:t>
      </w:r>
      <w:r w:rsidR="001A25C6">
        <w:rPr>
          <w:rFonts w:ascii="serif" w:hAnsi="serif" w:cs="serif"/>
          <w:color w:val="000000"/>
          <w:sz w:val="20"/>
          <w:szCs w:val="20"/>
        </w:rPr>
        <w:t>. The EAT held that:</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numPr>
          <w:ilvl w:val="0"/>
          <w:numId w:val="9"/>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Article 7 of the Working Time Directive requires normal remuneration (that is, pay which is “normally received”) to be paid during periods of holiday. Payment has to be made for a sufficient period of time for it to qualify as “normal”. Where there is a settled pattern of work, it should be easy to identify normal remuneration. Where there is no settled pattern, it is appropriate to use an average taken over a reference period determined by national legislation.</w:t>
      </w:r>
    </w:p>
    <w:p w:rsidR="001A25C6" w:rsidRDefault="001A25C6" w:rsidP="001A25C6">
      <w:pPr>
        <w:widowControl w:val="0"/>
        <w:numPr>
          <w:ilvl w:val="0"/>
          <w:numId w:val="10"/>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 xml:space="preserve">There should be an </w:t>
      </w:r>
      <w:r>
        <w:rPr>
          <w:rFonts w:ascii="serif" w:hAnsi="serif" w:cs="serif"/>
          <w:b/>
          <w:bCs/>
          <w:color w:val="000000"/>
          <w:sz w:val="20"/>
          <w:szCs w:val="20"/>
        </w:rPr>
        <w:t>intrinsic or direct link</w:t>
      </w:r>
      <w:r>
        <w:rPr>
          <w:rFonts w:ascii="serif" w:hAnsi="serif" w:cs="serif"/>
          <w:color w:val="000000"/>
          <w:sz w:val="20"/>
          <w:szCs w:val="20"/>
        </w:rPr>
        <w:t xml:space="preserve"> between the payment claimed and the work a worker is </w:t>
      </w:r>
      <w:r>
        <w:rPr>
          <w:rFonts w:ascii="serif" w:hAnsi="serif" w:cs="serif"/>
          <w:b/>
          <w:bCs/>
          <w:color w:val="000000"/>
          <w:sz w:val="20"/>
          <w:szCs w:val="20"/>
        </w:rPr>
        <w:t>required to carry out</w:t>
      </w:r>
      <w:r>
        <w:rPr>
          <w:rFonts w:ascii="serif" w:hAnsi="serif" w:cs="serif"/>
          <w:color w:val="000000"/>
          <w:sz w:val="20"/>
          <w:szCs w:val="20"/>
        </w:rPr>
        <w:t>. Where overtime is required, it would be perverse to hold that the resulting overtime pay was not intrinsically or directly linked to the work. Therefore, Article 7 requires non-guaranteed overtime (that is, where the employer is not obliged to provide the overtime, but the worker is obliged to work it if requested) to be paid during annual leave. The position regarding voluntary overtime is less clear.</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The “normal remuneration” approach, as described above, has now displaced the ERA 1996 definition of a week’s pay for the purposes of calculating statutory holiday pay under the Working Time Directive (that is, the four weeks of annual leave under</w:t>
      </w:r>
      <w:r w:rsidR="0040738B">
        <w:rPr>
          <w:rFonts w:ascii="serif" w:hAnsi="serif" w:cs="serif"/>
          <w:color w:val="000000"/>
          <w:sz w:val="20"/>
          <w:szCs w:val="20"/>
        </w:rPr>
        <w:t xml:space="preserve"> regulation 13 </w:t>
      </w:r>
      <w:r>
        <w:rPr>
          <w:rFonts w:ascii="serif" w:hAnsi="serif" w:cs="serif"/>
          <w:color w:val="000000"/>
          <w:sz w:val="20"/>
          <w:szCs w:val="20"/>
        </w:rPr>
        <w:t>of the WTR 1998), at least in respect of employees with normal working hours. This has led to the unsatisfactory consequence of there being a distinction between holiday taken under regulation 13 (for which the week’s pay provisions of ERA 1996 are essentially obsolete) and regulation 13A (for which they can still be used).</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It should be noted that the position as regards employees without normal working hours has not changed, since their holiday pay is calculated in line with the “normal remuneration” approach under section 224 of the ERA 1996.</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925EF7" w:rsidRDefault="00925EF7" w:rsidP="001A25C6">
      <w:pPr>
        <w:widowControl w:val="0"/>
        <w:autoSpaceDE w:val="0"/>
        <w:autoSpaceDN w:val="0"/>
        <w:adjustRightInd w:val="0"/>
        <w:spacing w:before="280" w:after="0" w:line="240" w:lineRule="auto"/>
        <w:jc w:val="both"/>
        <w:rPr>
          <w:rFonts w:ascii="serif" w:hAnsi="serif" w:cs="serif"/>
          <w:b/>
          <w:bCs/>
          <w:color w:val="000000"/>
          <w:sz w:val="28"/>
          <w:szCs w:val="28"/>
        </w:rPr>
      </w:pPr>
      <w:bookmarkStart w:id="5" w:name="co_anchor_a518721_1"/>
      <w:bookmarkEnd w:id="5"/>
    </w:p>
    <w:p w:rsidR="001A25C6" w:rsidRDefault="001A25C6" w:rsidP="001A25C6">
      <w:pPr>
        <w:widowControl w:val="0"/>
        <w:autoSpaceDE w:val="0"/>
        <w:autoSpaceDN w:val="0"/>
        <w:adjustRightInd w:val="0"/>
        <w:spacing w:before="280" w:after="0" w:line="240" w:lineRule="auto"/>
        <w:jc w:val="both"/>
        <w:rPr>
          <w:rFonts w:ascii="serif" w:hAnsi="serif" w:cs="serif"/>
          <w:b/>
          <w:bCs/>
          <w:color w:val="000000"/>
          <w:sz w:val="28"/>
          <w:szCs w:val="28"/>
        </w:rPr>
      </w:pPr>
      <w:r>
        <w:rPr>
          <w:rFonts w:ascii="serif" w:hAnsi="serif" w:cs="serif"/>
          <w:b/>
          <w:bCs/>
          <w:color w:val="000000"/>
          <w:sz w:val="28"/>
          <w:szCs w:val="28"/>
        </w:rPr>
        <w:t>Implications for calculating holiday pay</w:t>
      </w:r>
    </w:p>
    <w:p w:rsidR="001A25C6" w:rsidRDefault="001A25C6" w:rsidP="001A25C6">
      <w:pPr>
        <w:widowControl w:val="0"/>
        <w:autoSpaceDE w:val="0"/>
        <w:autoSpaceDN w:val="0"/>
        <w:adjustRightInd w:val="0"/>
        <w:spacing w:after="0" w:line="240" w:lineRule="auto"/>
        <w:jc w:val="both"/>
        <w:rPr>
          <w:rFonts w:ascii="serif" w:hAnsi="serif" w:cs="serif"/>
          <w:color w:val="0000FF"/>
          <w:sz w:val="20"/>
          <w:szCs w:val="20"/>
        </w:rPr>
      </w:pPr>
      <w:bookmarkStart w:id="6" w:name="co_anchor_a204393_1"/>
      <w:bookmarkEnd w:id="6"/>
    </w:p>
    <w:p w:rsidR="0040738B" w:rsidRDefault="0040738B" w:rsidP="001A25C6">
      <w:pPr>
        <w:widowControl w:val="0"/>
        <w:autoSpaceDE w:val="0"/>
        <w:autoSpaceDN w:val="0"/>
        <w:adjustRightInd w:val="0"/>
        <w:spacing w:before="240" w:after="0" w:line="240" w:lineRule="auto"/>
        <w:jc w:val="both"/>
        <w:rPr>
          <w:rFonts w:ascii="serif" w:hAnsi="serif" w:cs="serif"/>
          <w:b/>
          <w:bCs/>
          <w:color w:val="000000"/>
          <w:sz w:val="24"/>
          <w:szCs w:val="24"/>
        </w:rPr>
      </w:pP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Following the EAT’s decision in </w:t>
      </w:r>
      <w:r>
        <w:rPr>
          <w:rFonts w:ascii="serif" w:hAnsi="serif" w:cs="serif"/>
          <w:i/>
          <w:iCs/>
          <w:color w:val="000000"/>
          <w:sz w:val="20"/>
          <w:szCs w:val="20"/>
        </w:rPr>
        <w:t xml:space="preserve">Bear Scotland </w:t>
      </w:r>
      <w:r>
        <w:rPr>
          <w:rFonts w:ascii="serif" w:hAnsi="serif" w:cs="serif"/>
          <w:color w:val="000000"/>
          <w:sz w:val="20"/>
          <w:szCs w:val="20"/>
        </w:rPr>
        <w:t xml:space="preserve">and the Court of Appeal’s decision in </w:t>
      </w:r>
      <w:r>
        <w:rPr>
          <w:rFonts w:ascii="serif" w:hAnsi="serif" w:cs="serif"/>
          <w:i/>
          <w:iCs/>
          <w:color w:val="000000"/>
          <w:sz w:val="20"/>
          <w:szCs w:val="20"/>
        </w:rPr>
        <w:t>Lock</w:t>
      </w:r>
      <w:r>
        <w:rPr>
          <w:rFonts w:ascii="serif" w:hAnsi="serif" w:cs="serif"/>
          <w:color w:val="000000"/>
          <w:sz w:val="20"/>
          <w:szCs w:val="20"/>
        </w:rPr>
        <w:t xml:space="preserve">, statutory holiday pay derived from the Working Time Directive must be calculated in accordance with the tests laid down in the ECJ case law, whereby holiday pay is based on </w:t>
      </w:r>
      <w:r>
        <w:rPr>
          <w:rFonts w:ascii="serif" w:hAnsi="serif" w:cs="serif"/>
          <w:b/>
          <w:bCs/>
          <w:color w:val="000000"/>
          <w:sz w:val="20"/>
          <w:szCs w:val="20"/>
        </w:rPr>
        <w:t>pay that is normally received</w:t>
      </w:r>
      <w:r>
        <w:rPr>
          <w:rFonts w:ascii="serif" w:hAnsi="serif" w:cs="serif"/>
          <w:color w:val="000000"/>
          <w:sz w:val="20"/>
          <w:szCs w:val="20"/>
        </w:rPr>
        <w:t xml:space="preserve"> and must include:</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numPr>
          <w:ilvl w:val="0"/>
          <w:numId w:val="12"/>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Payments linked intrinsically to the performance of the tasks which the worker is required to carry out under their contract of employment.</w:t>
      </w:r>
    </w:p>
    <w:p w:rsidR="001A25C6" w:rsidRDefault="001A25C6" w:rsidP="001A25C6">
      <w:pPr>
        <w:widowControl w:val="0"/>
        <w:numPr>
          <w:ilvl w:val="0"/>
          <w:numId w:val="13"/>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Payments which relate to the worker’s professional and personal status.</w:t>
      </w:r>
    </w:p>
    <w:p w:rsidR="001A25C6" w:rsidRDefault="001A25C6" w:rsidP="001A25C6">
      <w:pPr>
        <w:widowControl w:val="0"/>
        <w:numPr>
          <w:ilvl w:val="0"/>
          <w:numId w:val="14"/>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 xml:space="preserve">An amount to reflect the contractual results-based commission a worker ordinarily receives </w:t>
      </w:r>
    </w:p>
    <w:p w:rsidR="00503E87" w:rsidRDefault="00503E87" w:rsidP="001A25C6">
      <w:pPr>
        <w:widowControl w:val="0"/>
        <w:autoSpaceDE w:val="0"/>
        <w:autoSpaceDN w:val="0"/>
        <w:adjustRightInd w:val="0"/>
        <w:spacing w:before="200" w:after="0" w:line="240" w:lineRule="auto"/>
        <w:jc w:val="both"/>
        <w:rPr>
          <w:rFonts w:ascii="serif" w:hAnsi="serif" w:cs="serif"/>
          <w:color w:val="000000"/>
          <w:sz w:val="20"/>
          <w:szCs w:val="20"/>
        </w:rPr>
      </w:pPr>
    </w:p>
    <w:p w:rsidR="00503E87" w:rsidRDefault="00503E87" w:rsidP="001A25C6">
      <w:pPr>
        <w:widowControl w:val="0"/>
        <w:autoSpaceDE w:val="0"/>
        <w:autoSpaceDN w:val="0"/>
        <w:adjustRightInd w:val="0"/>
        <w:spacing w:before="200" w:after="0" w:line="240" w:lineRule="auto"/>
        <w:jc w:val="both"/>
        <w:rPr>
          <w:rFonts w:ascii="serif" w:hAnsi="serif" w:cs="serif"/>
          <w:color w:val="000000"/>
          <w:sz w:val="20"/>
          <w:szCs w:val="20"/>
        </w:rPr>
      </w:pPr>
    </w:p>
    <w:p w:rsidR="00503E87" w:rsidRDefault="00503E87" w:rsidP="001A25C6">
      <w:pPr>
        <w:widowControl w:val="0"/>
        <w:autoSpaceDE w:val="0"/>
        <w:autoSpaceDN w:val="0"/>
        <w:adjustRightInd w:val="0"/>
        <w:spacing w:before="200" w:after="0" w:line="240" w:lineRule="auto"/>
        <w:jc w:val="both"/>
        <w:rPr>
          <w:rFonts w:ascii="serif" w:hAnsi="serif" w:cs="serif"/>
          <w:color w:val="000000"/>
          <w:sz w:val="20"/>
          <w:szCs w:val="20"/>
        </w:rPr>
      </w:pPr>
    </w:p>
    <w:p w:rsidR="001A25C6" w:rsidRDefault="00503E87" w:rsidP="001A25C6">
      <w:pPr>
        <w:widowControl w:val="0"/>
        <w:autoSpaceDE w:val="0"/>
        <w:autoSpaceDN w:val="0"/>
        <w:adjustRightInd w:val="0"/>
        <w:spacing w:before="200" w:after="0" w:line="240" w:lineRule="auto"/>
        <w:jc w:val="both"/>
        <w:rPr>
          <w:rFonts w:ascii="serif" w:hAnsi="serif" w:cs="serif"/>
          <w:color w:val="000000"/>
          <w:sz w:val="20"/>
          <w:szCs w:val="20"/>
        </w:rPr>
      </w:pPr>
      <w:r>
        <w:rPr>
          <w:rFonts w:ascii="serif" w:hAnsi="serif" w:cs="serif"/>
          <w:color w:val="000000"/>
          <w:sz w:val="20"/>
          <w:szCs w:val="20"/>
        </w:rPr>
        <w:t xml:space="preserve">The ECJ tests return us to </w:t>
      </w:r>
      <w:r w:rsidR="001A25C6">
        <w:rPr>
          <w:rFonts w:ascii="serif" w:hAnsi="serif" w:cs="serif"/>
          <w:color w:val="000000"/>
          <w:sz w:val="20"/>
          <w:szCs w:val="20"/>
        </w:rPr>
        <w:t>two types of case:</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numPr>
          <w:ilvl w:val="0"/>
          <w:numId w:val="15"/>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b/>
          <w:bCs/>
          <w:color w:val="000000"/>
          <w:sz w:val="20"/>
          <w:szCs w:val="20"/>
        </w:rPr>
        <w:t>Cases where there is a settled pattern of work.</w:t>
      </w:r>
      <w:r>
        <w:rPr>
          <w:rFonts w:ascii="serif" w:hAnsi="serif" w:cs="serif"/>
          <w:color w:val="000000"/>
          <w:sz w:val="20"/>
          <w:szCs w:val="20"/>
        </w:rPr>
        <w:t xml:space="preserve"> In such cases, normal remuneration is easily identified, as it is pay which is normally received. Payment has to be made for a sufficient period of time to justify the label “normal”. The EAT did not specify what period of time would be regarded as “sufficient”.</w:t>
      </w:r>
    </w:p>
    <w:p w:rsidR="001A25C6" w:rsidRDefault="001A25C6" w:rsidP="001A25C6">
      <w:pPr>
        <w:widowControl w:val="0"/>
        <w:numPr>
          <w:ilvl w:val="0"/>
          <w:numId w:val="16"/>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b/>
          <w:bCs/>
          <w:color w:val="000000"/>
          <w:sz w:val="20"/>
          <w:szCs w:val="20"/>
        </w:rPr>
        <w:t>Cases where there is no settled pattern of work.</w:t>
      </w:r>
      <w:r>
        <w:rPr>
          <w:rFonts w:ascii="serif" w:hAnsi="serif" w:cs="serif"/>
          <w:color w:val="000000"/>
          <w:sz w:val="20"/>
          <w:szCs w:val="20"/>
        </w:rPr>
        <w:t xml:space="preserve"> In such cases, average remuneration should be calculated over an appropriate reference period, determined by national legislation. The EAT did not comment on the 12-week reference period set down by </w:t>
      </w:r>
      <w:r w:rsidR="0040738B">
        <w:rPr>
          <w:rFonts w:ascii="serif" w:hAnsi="serif" w:cs="serif"/>
          <w:i/>
          <w:iCs/>
          <w:color w:val="000000"/>
          <w:sz w:val="20"/>
          <w:szCs w:val="20"/>
        </w:rPr>
        <w:t xml:space="preserve">section 221 - </w:t>
      </w:r>
      <w:r>
        <w:rPr>
          <w:rFonts w:ascii="serif" w:hAnsi="serif" w:cs="serif"/>
          <w:color w:val="000000"/>
          <w:sz w:val="20"/>
          <w:szCs w:val="20"/>
        </w:rPr>
        <w:t>ERA 1996.</w:t>
      </w:r>
    </w:p>
    <w:p w:rsidR="00925EF7" w:rsidRDefault="00925EF7" w:rsidP="001A25C6">
      <w:pPr>
        <w:widowControl w:val="0"/>
        <w:autoSpaceDE w:val="0"/>
        <w:autoSpaceDN w:val="0"/>
        <w:adjustRightInd w:val="0"/>
        <w:spacing w:after="0" w:line="240" w:lineRule="auto"/>
        <w:jc w:val="both"/>
        <w:rPr>
          <w:rFonts w:ascii="serif" w:hAnsi="serif" w:cs="serif"/>
          <w:color w:val="000000"/>
          <w:sz w:val="20"/>
          <w:szCs w:val="20"/>
        </w:rPr>
      </w:pPr>
    </w:p>
    <w:p w:rsidR="00503E87" w:rsidRDefault="00503E87" w:rsidP="00503E87">
      <w:pPr>
        <w:widowControl w:val="0"/>
        <w:autoSpaceDE w:val="0"/>
        <w:autoSpaceDN w:val="0"/>
        <w:adjustRightInd w:val="0"/>
        <w:spacing w:before="240" w:after="0" w:line="240" w:lineRule="auto"/>
        <w:jc w:val="both"/>
        <w:rPr>
          <w:rFonts w:ascii="serif" w:hAnsi="serif" w:cs="serif"/>
          <w:b/>
          <w:bCs/>
          <w:color w:val="000000"/>
          <w:sz w:val="24"/>
          <w:szCs w:val="24"/>
        </w:rPr>
      </w:pPr>
      <w:r>
        <w:rPr>
          <w:rFonts w:ascii="serif" w:hAnsi="serif" w:cs="serif"/>
          <w:b/>
          <w:bCs/>
          <w:color w:val="000000"/>
          <w:sz w:val="24"/>
          <w:szCs w:val="24"/>
        </w:rPr>
        <w:t>What should now be included in holiday pay under the Working Time Directive?</w:t>
      </w:r>
    </w:p>
    <w:p w:rsidR="00503E87" w:rsidRDefault="00503E87" w:rsidP="001A25C6">
      <w:pPr>
        <w:widowControl w:val="0"/>
        <w:autoSpaceDE w:val="0"/>
        <w:autoSpaceDN w:val="0"/>
        <w:adjustRightInd w:val="0"/>
        <w:spacing w:after="0" w:line="240" w:lineRule="auto"/>
        <w:jc w:val="both"/>
        <w:rPr>
          <w:rFonts w:ascii="serif" w:hAnsi="serif" w:cs="serif"/>
          <w:color w:val="000000"/>
          <w:sz w:val="20"/>
          <w:szCs w:val="20"/>
        </w:rPr>
      </w:pPr>
    </w:p>
    <w:p w:rsidR="001A25C6" w:rsidRDefault="001A25C6" w:rsidP="001A25C6">
      <w:pPr>
        <w:widowControl w:val="0"/>
        <w:autoSpaceDE w:val="0"/>
        <w:autoSpaceDN w:val="0"/>
        <w:adjustRightInd w:val="0"/>
        <w:spacing w:before="500" w:line="240" w:lineRule="auto"/>
        <w:jc w:val="both"/>
        <w:rPr>
          <w:rFonts w:ascii="serif" w:hAnsi="serif" w:cs="serif"/>
          <w:b/>
          <w:bCs/>
          <w:color w:val="212121"/>
        </w:rPr>
      </w:pPr>
      <w:bookmarkStart w:id="7" w:name="co_anchor_a872134_1"/>
      <w:bookmarkEnd w:id="7"/>
      <w:r>
        <w:rPr>
          <w:rFonts w:ascii="serif" w:hAnsi="serif" w:cs="serif"/>
          <w:b/>
          <w:bCs/>
          <w:color w:val="212121"/>
        </w:rPr>
        <w:t>Commission?</w:t>
      </w:r>
    </w:p>
    <w:p w:rsidR="0040738B"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Yes. The ECJ in </w:t>
      </w:r>
      <w:r>
        <w:rPr>
          <w:rFonts w:ascii="serif" w:hAnsi="serif" w:cs="serif"/>
          <w:i/>
          <w:iCs/>
          <w:color w:val="000000"/>
          <w:sz w:val="20"/>
          <w:szCs w:val="20"/>
        </w:rPr>
        <w:t>Lock</w:t>
      </w:r>
      <w:r>
        <w:rPr>
          <w:rFonts w:ascii="serif" w:hAnsi="serif" w:cs="serif"/>
          <w:color w:val="000000"/>
          <w:sz w:val="20"/>
          <w:szCs w:val="20"/>
        </w:rPr>
        <w:t xml:space="preserve"> ruled that commission must be included as it was intrinsically linked to the performance of tasks under the worker’s contract. Mr Lock’s pay during holiday periods generally included commission earned on previous sales (which was paid in arrears), but he suffered a financial disadvantage after the holiday as a result of not having earned commission during that time. The ECJ ruled that his holiday pay must include an element to offset this disadvantage. While the calculation is left up to national courts to determine under national law, it must be based on average commission earned “over a reference period which is considered to be representative”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On remittal, an employment tribunal subsequently held that words should be read into the WTD to allow for the holiday pay of a worker in Mr Lock’s position to include a commission element.</w:t>
      </w:r>
    </w:p>
    <w:p w:rsidR="00925EF7" w:rsidRDefault="00925EF7" w:rsidP="001A25C6">
      <w:pPr>
        <w:widowControl w:val="0"/>
        <w:autoSpaceDE w:val="0"/>
        <w:autoSpaceDN w:val="0"/>
        <w:adjustRightInd w:val="0"/>
        <w:spacing w:after="0" w:line="240" w:lineRule="auto"/>
        <w:jc w:val="both"/>
        <w:rPr>
          <w:rFonts w:ascii="serif" w:hAnsi="serif" w:cs="serif"/>
          <w:color w:val="000000"/>
          <w:sz w:val="20"/>
          <w:szCs w:val="20"/>
        </w:rPr>
      </w:pPr>
    </w:p>
    <w:p w:rsidR="00925EF7" w:rsidRDefault="00925EF7"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British Gas subsequently appealed.</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In October 2016, the Court of Appeal dismissed British Gas’ appeal. </w:t>
      </w:r>
    </w:p>
    <w:p w:rsidR="001A25C6" w:rsidRDefault="001A25C6" w:rsidP="001A25C6">
      <w:pPr>
        <w:widowControl w:val="0"/>
        <w:autoSpaceDE w:val="0"/>
        <w:autoSpaceDN w:val="0"/>
        <w:adjustRightInd w:val="0"/>
        <w:spacing w:before="220" w:line="240" w:lineRule="auto"/>
        <w:jc w:val="both"/>
        <w:rPr>
          <w:rFonts w:ascii="serif" w:hAnsi="serif" w:cs="serif"/>
          <w:b/>
          <w:bCs/>
          <w:color w:val="212121"/>
        </w:rPr>
      </w:pPr>
      <w:bookmarkStart w:id="8" w:name="co_anchor_a275434_1"/>
      <w:bookmarkEnd w:id="8"/>
      <w:r>
        <w:rPr>
          <w:rFonts w:ascii="serif" w:hAnsi="serif" w:cs="serif"/>
          <w:b/>
          <w:bCs/>
          <w:color w:val="212121"/>
        </w:rPr>
        <w:t>Overtime pay?</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C37768"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Following the EAT’s decision in </w:t>
      </w:r>
      <w:r w:rsidR="00C37768">
        <w:rPr>
          <w:rFonts w:ascii="serif" w:hAnsi="serif" w:cs="serif"/>
          <w:i/>
          <w:iCs/>
          <w:color w:val="000000"/>
          <w:sz w:val="20"/>
          <w:szCs w:val="20"/>
        </w:rPr>
        <w:t xml:space="preserve">Bear Scotland </w:t>
      </w:r>
      <w:r>
        <w:rPr>
          <w:rFonts w:ascii="serif" w:hAnsi="serif" w:cs="serif"/>
          <w:color w:val="000000"/>
          <w:sz w:val="20"/>
          <w:szCs w:val="20"/>
        </w:rPr>
        <w:t xml:space="preserve">(and conjoined cases), it is clear that “non-guaranteed” overtime (should also be included in leave taken under the Working Time Directive, as it is required by the employer and therefore intrinsically or directly linked to a worker’s work </w:t>
      </w:r>
    </w:p>
    <w:p w:rsidR="00C37768" w:rsidRDefault="00C37768" w:rsidP="001A25C6">
      <w:pPr>
        <w:widowControl w:val="0"/>
        <w:autoSpaceDE w:val="0"/>
        <w:autoSpaceDN w:val="0"/>
        <w:adjustRightInd w:val="0"/>
        <w:spacing w:after="0" w:line="240" w:lineRule="auto"/>
        <w:jc w:val="both"/>
        <w:rPr>
          <w:rFonts w:ascii="serif" w:hAnsi="serif" w:cs="serif"/>
          <w:color w:val="000000"/>
          <w:sz w:val="20"/>
          <w:szCs w:val="20"/>
        </w:rPr>
      </w:pPr>
    </w:p>
    <w:p w:rsidR="001A25C6" w:rsidRDefault="001A25C6" w:rsidP="001A25C6">
      <w:pPr>
        <w:widowControl w:val="0"/>
        <w:autoSpaceDE w:val="0"/>
        <w:autoSpaceDN w:val="0"/>
        <w:adjustRightInd w:val="0"/>
        <w:spacing w:after="0" w:line="240" w:lineRule="auto"/>
        <w:jc w:val="both"/>
        <w:rPr>
          <w:rFonts w:ascii="serif" w:hAnsi="serif" w:cs="serif"/>
          <w:color w:val="0000FF"/>
          <w:sz w:val="20"/>
          <w:szCs w:val="20"/>
        </w:rPr>
      </w:pPr>
      <w:bookmarkStart w:id="9" w:name="co_anchor_a735493_1"/>
      <w:bookmarkEnd w:id="9"/>
    </w:p>
    <w:p w:rsidR="001A25C6" w:rsidRDefault="001A25C6" w:rsidP="001A25C6">
      <w:pPr>
        <w:widowControl w:val="0"/>
        <w:autoSpaceDE w:val="0"/>
        <w:autoSpaceDN w:val="0"/>
        <w:adjustRightInd w:val="0"/>
        <w:spacing w:before="220" w:line="240" w:lineRule="auto"/>
        <w:jc w:val="both"/>
        <w:rPr>
          <w:rFonts w:ascii="serif" w:hAnsi="serif" w:cs="serif"/>
          <w:b/>
          <w:bCs/>
          <w:color w:val="212121"/>
        </w:rPr>
      </w:pPr>
      <w:r>
        <w:rPr>
          <w:rFonts w:ascii="serif" w:hAnsi="serif" w:cs="serif"/>
          <w:b/>
          <w:bCs/>
          <w:color w:val="212121"/>
        </w:rPr>
        <w:t>What about voluntary overtime?</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Voluntary overtime (where there is no obligation on either side) was not dealt with definitively by the EAT in </w:t>
      </w:r>
      <w:r>
        <w:rPr>
          <w:rFonts w:ascii="serif" w:hAnsi="serif" w:cs="serif"/>
          <w:i/>
          <w:iCs/>
          <w:color w:val="000000"/>
          <w:sz w:val="20"/>
          <w:szCs w:val="20"/>
        </w:rPr>
        <w:t>Bear Scotland</w:t>
      </w:r>
      <w:r>
        <w:rPr>
          <w:rFonts w:ascii="serif" w:hAnsi="serif" w:cs="serif"/>
          <w:color w:val="000000"/>
          <w:sz w:val="20"/>
          <w:szCs w:val="20"/>
        </w:rPr>
        <w:t>, and so the position is less clear. However, it is possible that tribunals will interpret voluntary overtime as forming part of normal remuneration if a settled pattern has developed over a sufficient period of time to justify the label of “normal” pay.</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This was the conclusion of the employment judge </w:t>
      </w:r>
      <w:r w:rsidR="00C37768">
        <w:rPr>
          <w:rFonts w:ascii="serif" w:hAnsi="serif" w:cs="serif"/>
          <w:color w:val="000000"/>
          <w:sz w:val="20"/>
          <w:szCs w:val="20"/>
        </w:rPr>
        <w:t>in Neal</w:t>
      </w:r>
      <w:r>
        <w:rPr>
          <w:rFonts w:ascii="serif" w:hAnsi="serif" w:cs="serif"/>
          <w:color w:val="000000"/>
          <w:sz w:val="20"/>
          <w:szCs w:val="20"/>
        </w:rPr>
        <w:t xml:space="preserve">, a case in which the worker was not contractually obliged to work overtime if asked by the employer. The fact that Mr Neal might have volunteered to perform tasks outside his contractual hours did not mean that his </w:t>
      </w:r>
      <w:r>
        <w:rPr>
          <w:rFonts w:ascii="serif" w:hAnsi="serif" w:cs="serif"/>
          <w:color w:val="000000"/>
          <w:sz w:val="20"/>
          <w:szCs w:val="20"/>
        </w:rPr>
        <w:lastRenderedPageBreak/>
        <w:t xml:space="preserve">performance was no longer “intrinsically linked” for the purposes of the </w:t>
      </w:r>
      <w:r>
        <w:rPr>
          <w:rFonts w:ascii="serif" w:hAnsi="serif" w:cs="serif"/>
          <w:i/>
          <w:iCs/>
          <w:color w:val="000000"/>
          <w:sz w:val="20"/>
          <w:szCs w:val="20"/>
        </w:rPr>
        <w:t>Williams</w:t>
      </w:r>
      <w:r>
        <w:rPr>
          <w:rFonts w:ascii="serif" w:hAnsi="serif" w:cs="serif"/>
          <w:color w:val="000000"/>
          <w:sz w:val="20"/>
          <w:szCs w:val="20"/>
        </w:rPr>
        <w:t xml:space="preserve"> “normal remuneration” test. Although </w:t>
      </w:r>
      <w:r>
        <w:rPr>
          <w:rFonts w:ascii="serif" w:hAnsi="serif" w:cs="serif"/>
          <w:i/>
          <w:iCs/>
          <w:color w:val="000000"/>
          <w:sz w:val="20"/>
          <w:szCs w:val="20"/>
        </w:rPr>
        <w:t>Neal</w:t>
      </w:r>
      <w:r>
        <w:rPr>
          <w:rFonts w:ascii="serif" w:hAnsi="serif" w:cs="serif"/>
          <w:color w:val="000000"/>
          <w:sz w:val="20"/>
          <w:szCs w:val="20"/>
        </w:rPr>
        <w:t xml:space="preserve"> was initially joined with the other cases in </w:t>
      </w:r>
      <w:r>
        <w:rPr>
          <w:rFonts w:ascii="serif" w:hAnsi="serif" w:cs="serif"/>
          <w:i/>
          <w:iCs/>
          <w:color w:val="000000"/>
          <w:sz w:val="20"/>
          <w:szCs w:val="20"/>
        </w:rPr>
        <w:t>Bear Scotland</w:t>
      </w:r>
      <w:r>
        <w:rPr>
          <w:rFonts w:ascii="serif" w:hAnsi="serif" w:cs="serif"/>
          <w:color w:val="000000"/>
          <w:sz w:val="20"/>
          <w:szCs w:val="20"/>
        </w:rPr>
        <w:t>, it settled before the hearing, and so the EAT did not have to expressly determine whether voluntary overtime should be included in holiday pay.</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It should be noted that, at first instance, the tribunal in </w:t>
      </w:r>
      <w:r w:rsidR="00C37768">
        <w:rPr>
          <w:rFonts w:ascii="serif" w:hAnsi="serif" w:cs="serif"/>
          <w:i/>
          <w:iCs/>
          <w:color w:val="000000"/>
          <w:sz w:val="20"/>
          <w:szCs w:val="20"/>
        </w:rPr>
        <w:t xml:space="preserve">Fulton </w:t>
      </w:r>
      <w:r>
        <w:rPr>
          <w:rFonts w:ascii="serif" w:hAnsi="serif" w:cs="serif"/>
          <w:color w:val="000000"/>
          <w:sz w:val="20"/>
          <w:szCs w:val="20"/>
        </w:rPr>
        <w:t xml:space="preserve">found that overtime that the workers could refuse on reasonable grounds </w:t>
      </w:r>
      <w:r>
        <w:rPr>
          <w:rFonts w:ascii="serif" w:hAnsi="serif" w:cs="serif"/>
          <w:b/>
          <w:bCs/>
          <w:color w:val="000000"/>
          <w:sz w:val="20"/>
          <w:szCs w:val="20"/>
        </w:rPr>
        <w:t>should</w:t>
      </w:r>
      <w:r>
        <w:rPr>
          <w:rFonts w:ascii="serif" w:hAnsi="serif" w:cs="serif"/>
          <w:color w:val="000000"/>
          <w:sz w:val="20"/>
          <w:szCs w:val="20"/>
        </w:rPr>
        <w:t xml:space="preserve"> be included in the calculation of statutory holiday pay. The tribunal found that the fact that, theoretically, the workers could have refused the overtime if they had reasonable grounds did not mean that the components of pay were any less intrinsically linked to the performance of the tasks set out in the contracts. The EAT did not comment specifically on this finding, although it appeared to accept that compulsion is not necessary for there to be an “intrinsic link”.</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In the light of </w:t>
      </w:r>
      <w:r>
        <w:rPr>
          <w:rFonts w:ascii="serif" w:hAnsi="serif" w:cs="serif"/>
          <w:i/>
          <w:iCs/>
          <w:color w:val="000000"/>
          <w:sz w:val="20"/>
          <w:szCs w:val="20"/>
        </w:rPr>
        <w:t>Bear Scotland</w:t>
      </w:r>
      <w:r>
        <w:rPr>
          <w:rFonts w:ascii="serif" w:hAnsi="serif" w:cs="serif"/>
          <w:color w:val="000000"/>
          <w:sz w:val="20"/>
          <w:szCs w:val="20"/>
        </w:rPr>
        <w:t>, therefore, employers should not assume that all voluntary overtime will be excluded from the calculation of statutory holiday pay under regulation 13 of the WTR 1998. Indeed, there have already been some cases on this particular issue which have found that voluntary overtime should be included in the calculation.</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In</w:t>
      </w:r>
      <w:r w:rsidR="00C37768">
        <w:rPr>
          <w:rFonts w:ascii="serif" w:hAnsi="serif" w:cs="serif"/>
          <w:i/>
          <w:iCs/>
          <w:color w:val="000000"/>
          <w:sz w:val="20"/>
          <w:szCs w:val="20"/>
        </w:rPr>
        <w:t xml:space="preserve"> Patterson v Castlereagh Borough Council  </w:t>
      </w:r>
      <w:r>
        <w:rPr>
          <w:rFonts w:ascii="serif" w:hAnsi="serif" w:cs="serif"/>
          <w:color w:val="000000"/>
          <w:sz w:val="20"/>
          <w:szCs w:val="20"/>
        </w:rPr>
        <w:t xml:space="preserve"> the Northern Ireland Court of Appeal held that there is no reason in principle why voluntary overtime should not be included in the calculation of statutory annual leave. It will be a question of fact for the tribunal whether voluntary overtime should count as normal remuneration in a particular case. However, the decision should be read with a degree of caution as the court did not hear full argument from the parties on the main point of principle in the case.</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503E87">
      <w:pPr>
        <w:widowControl w:val="0"/>
        <w:autoSpaceDE w:val="0"/>
        <w:autoSpaceDN w:val="0"/>
        <w:adjustRightInd w:val="0"/>
        <w:spacing w:after="0" w:line="240" w:lineRule="auto"/>
        <w:jc w:val="both"/>
        <w:rPr>
          <w:rFonts w:ascii="serif" w:hAnsi="serif" w:cs="serif"/>
          <w:color w:val="0000FF"/>
          <w:sz w:val="20"/>
          <w:szCs w:val="20"/>
        </w:rPr>
      </w:pPr>
      <w:r>
        <w:rPr>
          <w:rFonts w:ascii="serif" w:hAnsi="serif" w:cs="serif"/>
          <w:color w:val="000000"/>
          <w:sz w:val="20"/>
          <w:szCs w:val="20"/>
        </w:rPr>
        <w:t xml:space="preserve">In </w:t>
      </w:r>
      <w:proofErr w:type="spellStart"/>
      <w:r>
        <w:rPr>
          <w:rFonts w:ascii="serif" w:hAnsi="serif" w:cs="serif"/>
          <w:i/>
          <w:iCs/>
          <w:color w:val="000000"/>
          <w:sz w:val="20"/>
          <w:szCs w:val="20"/>
        </w:rPr>
        <w:t>Brettle</w:t>
      </w:r>
      <w:proofErr w:type="spellEnd"/>
      <w:r>
        <w:rPr>
          <w:rFonts w:ascii="serif" w:hAnsi="serif" w:cs="serif"/>
          <w:i/>
          <w:iCs/>
          <w:color w:val="000000"/>
          <w:sz w:val="20"/>
          <w:szCs w:val="20"/>
        </w:rPr>
        <w:t xml:space="preserve"> v Dudley Metropolitan Borough Council ET/1300537/16 </w:t>
      </w:r>
      <w:r>
        <w:rPr>
          <w:rFonts w:ascii="serif" w:hAnsi="serif" w:cs="serif"/>
          <w:color w:val="000000"/>
          <w:sz w:val="20"/>
          <w:szCs w:val="20"/>
        </w:rPr>
        <w:t xml:space="preserve">an employment tribunal held that voluntary overtime should be included in the calculation of statutory holiday pay (regulation 13 leave only) where council workers regularly worked overtime on the basis that it was part of their normal remuneration. Working overtime one in every four or five weeks was considered regular enough for these purposes </w:t>
      </w:r>
      <w:bookmarkStart w:id="10" w:name="co_anchor_a499554_1"/>
      <w:bookmarkEnd w:id="10"/>
    </w:p>
    <w:p w:rsidR="001A25C6" w:rsidRDefault="001A25C6" w:rsidP="001A25C6">
      <w:pPr>
        <w:widowControl w:val="0"/>
        <w:autoSpaceDE w:val="0"/>
        <w:autoSpaceDN w:val="0"/>
        <w:adjustRightInd w:val="0"/>
        <w:spacing w:before="700" w:line="240" w:lineRule="auto"/>
        <w:jc w:val="both"/>
        <w:rPr>
          <w:rFonts w:ascii="serif" w:hAnsi="serif" w:cs="serif"/>
          <w:b/>
          <w:bCs/>
          <w:color w:val="212121"/>
        </w:rPr>
      </w:pPr>
      <w:r>
        <w:rPr>
          <w:rFonts w:ascii="serif" w:hAnsi="serif" w:cs="serif"/>
          <w:b/>
          <w:bCs/>
          <w:color w:val="212121"/>
        </w:rPr>
        <w:t>Does overtime have to be regularly worked in order to be included?</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This is something of a grey area, although the first instance decisions in </w:t>
      </w:r>
      <w:proofErr w:type="spellStart"/>
      <w:r>
        <w:rPr>
          <w:rFonts w:ascii="serif" w:hAnsi="serif" w:cs="serif"/>
          <w:i/>
          <w:iCs/>
          <w:color w:val="000000"/>
          <w:sz w:val="20"/>
          <w:szCs w:val="20"/>
        </w:rPr>
        <w:t>Brettle</w:t>
      </w:r>
      <w:proofErr w:type="spellEnd"/>
      <w:r>
        <w:rPr>
          <w:rFonts w:ascii="serif" w:hAnsi="serif" w:cs="serif"/>
          <w:color w:val="000000"/>
          <w:sz w:val="20"/>
          <w:szCs w:val="20"/>
        </w:rPr>
        <w:t xml:space="preserve"> considered this in the context of voluntary overtime. According to the EAT in </w:t>
      </w:r>
      <w:r>
        <w:rPr>
          <w:rFonts w:ascii="serif" w:hAnsi="serif" w:cs="serif"/>
          <w:i/>
          <w:iCs/>
          <w:color w:val="000000"/>
          <w:sz w:val="20"/>
          <w:szCs w:val="20"/>
        </w:rPr>
        <w:t>Bear Scotland</w:t>
      </w:r>
      <w:r>
        <w:rPr>
          <w:rFonts w:ascii="serif" w:hAnsi="serif" w:cs="serif"/>
          <w:color w:val="000000"/>
          <w:sz w:val="20"/>
          <w:szCs w:val="20"/>
        </w:rPr>
        <w:t xml:space="preserve">, in order to be included in the calculation of holiday pay, workers will need to show that payment has been made for a sufficient period of time to justify the label “normal remuneration”. Indeed, this was the basis of the tribunal’s decision in </w:t>
      </w:r>
      <w:r>
        <w:rPr>
          <w:rFonts w:ascii="serif" w:hAnsi="serif" w:cs="serif"/>
          <w:i/>
          <w:iCs/>
          <w:color w:val="000000"/>
          <w:sz w:val="20"/>
          <w:szCs w:val="20"/>
        </w:rPr>
        <w:t>Butt</w:t>
      </w:r>
      <w:r w:rsidR="00925EF7">
        <w:rPr>
          <w:rFonts w:ascii="serif" w:hAnsi="serif" w:cs="serif"/>
          <w:i/>
          <w:iCs/>
          <w:color w:val="000000"/>
          <w:sz w:val="20"/>
          <w:szCs w:val="20"/>
        </w:rPr>
        <w:t xml:space="preserve"> v </w:t>
      </w:r>
      <w:proofErr w:type="spellStart"/>
      <w:r w:rsidR="00925EF7">
        <w:rPr>
          <w:rFonts w:ascii="serif" w:hAnsi="serif" w:cs="serif"/>
          <w:i/>
          <w:iCs/>
          <w:color w:val="000000"/>
          <w:sz w:val="20"/>
          <w:szCs w:val="20"/>
        </w:rPr>
        <w:t>Avdel</w:t>
      </w:r>
      <w:proofErr w:type="spellEnd"/>
      <w:r w:rsidR="00925EF7">
        <w:rPr>
          <w:rFonts w:ascii="serif" w:hAnsi="serif" w:cs="serif"/>
          <w:i/>
          <w:iCs/>
          <w:color w:val="000000"/>
          <w:sz w:val="20"/>
          <w:szCs w:val="20"/>
        </w:rPr>
        <w:t xml:space="preserve"> UK </w:t>
      </w:r>
      <w:proofErr w:type="gramStart"/>
      <w:r w:rsidR="00925EF7">
        <w:rPr>
          <w:rFonts w:ascii="serif" w:hAnsi="serif" w:cs="serif"/>
          <w:i/>
          <w:iCs/>
          <w:color w:val="000000"/>
          <w:sz w:val="20"/>
          <w:szCs w:val="20"/>
        </w:rPr>
        <w:t xml:space="preserve">Ltd </w:t>
      </w:r>
      <w:r>
        <w:rPr>
          <w:rFonts w:ascii="serif" w:hAnsi="serif" w:cs="serif"/>
          <w:color w:val="000000"/>
          <w:sz w:val="20"/>
          <w:szCs w:val="20"/>
        </w:rPr>
        <w:t xml:space="preserve"> where</w:t>
      </w:r>
      <w:proofErr w:type="gramEnd"/>
      <w:r>
        <w:rPr>
          <w:rFonts w:ascii="serif" w:hAnsi="serif" w:cs="serif"/>
          <w:color w:val="000000"/>
          <w:sz w:val="20"/>
          <w:szCs w:val="20"/>
        </w:rPr>
        <w:t xml:space="preserve"> the tribunal found that his overtime pay was normally received and so justified being included in his holiday pay calculation. This would suggest that isolated occasions of working overtime do not count. However, in the absence of guidance about what is a “sufficient period”, this would need to be decided on a case-by-case basis. In addition, this is difficult to reconcile with the ECJ’s decision in </w:t>
      </w:r>
      <w:r>
        <w:rPr>
          <w:rFonts w:ascii="serif" w:hAnsi="serif" w:cs="serif"/>
          <w:i/>
          <w:iCs/>
          <w:color w:val="000000"/>
          <w:sz w:val="20"/>
          <w:szCs w:val="20"/>
        </w:rPr>
        <w:t>Williams</w:t>
      </w:r>
      <w:r>
        <w:rPr>
          <w:rFonts w:ascii="serif" w:hAnsi="serif" w:cs="serif"/>
          <w:color w:val="000000"/>
          <w:sz w:val="20"/>
          <w:szCs w:val="20"/>
        </w:rPr>
        <w:t xml:space="preserve">. Unfortunately, the Northern Ireland Court of Appeal did not consider this issue in </w:t>
      </w:r>
      <w:r>
        <w:rPr>
          <w:rFonts w:ascii="serif" w:hAnsi="serif" w:cs="serif"/>
          <w:i/>
          <w:iCs/>
          <w:color w:val="000000"/>
          <w:sz w:val="20"/>
          <w:szCs w:val="20"/>
        </w:rPr>
        <w:t>Patterson</w:t>
      </w:r>
      <w:r>
        <w:rPr>
          <w:rFonts w:ascii="serif" w:hAnsi="serif" w:cs="serif"/>
          <w:color w:val="000000"/>
          <w:sz w:val="20"/>
          <w:szCs w:val="20"/>
        </w:rPr>
        <w:t>.</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before="500" w:line="240" w:lineRule="auto"/>
        <w:jc w:val="both"/>
        <w:rPr>
          <w:rFonts w:ascii="serif" w:hAnsi="serif" w:cs="serif"/>
          <w:b/>
          <w:bCs/>
          <w:color w:val="212121"/>
        </w:rPr>
      </w:pPr>
      <w:bookmarkStart w:id="11" w:name="co_anchor_a268798_1"/>
      <w:bookmarkEnd w:id="11"/>
      <w:r>
        <w:rPr>
          <w:rFonts w:ascii="serif" w:hAnsi="serif" w:cs="serif"/>
          <w:b/>
          <w:bCs/>
          <w:color w:val="212121"/>
        </w:rPr>
        <w:t>Annual discretionary (and other) bonuses?</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Bonuses are potentially one of the biggest grey areas and are likely to give rise to some creative arguments in future litigation. On the one hand, bonuses are generally intrinsically linked to performance of some element of the worker’s contract (it is rare to see a bonus that is entirely unrelated to past or future services, although a Christmas bonus paid equally to all staff, regardless of service, might qualify). On the other, is it right to say that an annual discretionary bonus is within the scope of “normal remuneration”?</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If annual bonus is to be included, it also throws up the additional problem that anything </w:t>
      </w:r>
      <w:r>
        <w:rPr>
          <w:rFonts w:ascii="serif" w:hAnsi="serif" w:cs="serif"/>
          <w:color w:val="000000"/>
          <w:sz w:val="20"/>
          <w:szCs w:val="20"/>
        </w:rPr>
        <w:lastRenderedPageBreak/>
        <w:t>shorter than a 12-month reference period will not be sufficiently representative. An employee may well run an argument that the reference period prescribed by the ERA 1996 should not be relied on.</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Some commentators take the view that, provided the bonus received is unaffected by the taking of holiday, the worker will already have received the relevant bonus payment in respect of the period of holiday and will not be entitled to more However, bonuses (especially discretionary bonuses) are often linked to performance and there is a risk that a worker who takes less holiday may perform better over the year and achieve a higher bonus. It may be possible to make some creative changes to the terms of bonus schemes to reduce the future cost.</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Where a bonus is based solely on company performance, there is a strong argument that, provided there is no financial disincentive to taking holiday, the principles set out by the ECJ in </w:t>
      </w:r>
      <w:r>
        <w:rPr>
          <w:rFonts w:ascii="serif" w:hAnsi="serif" w:cs="serif"/>
          <w:i/>
          <w:iCs/>
          <w:color w:val="000000"/>
          <w:sz w:val="20"/>
          <w:szCs w:val="20"/>
        </w:rPr>
        <w:t>Lock</w:t>
      </w:r>
      <w:r>
        <w:rPr>
          <w:rFonts w:ascii="serif" w:hAnsi="serif" w:cs="serif"/>
          <w:color w:val="000000"/>
          <w:sz w:val="20"/>
          <w:szCs w:val="20"/>
        </w:rPr>
        <w:t xml:space="preserve"> are not engaged.</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The Court of Appeal in </w:t>
      </w:r>
      <w:r w:rsidR="00C37768">
        <w:rPr>
          <w:rFonts w:ascii="serif" w:hAnsi="serif" w:cs="serif"/>
          <w:i/>
          <w:iCs/>
          <w:color w:val="000000"/>
          <w:sz w:val="20"/>
          <w:szCs w:val="20"/>
        </w:rPr>
        <w:t>Lock, considered</w:t>
      </w:r>
      <w:r>
        <w:rPr>
          <w:rFonts w:ascii="serif" w:hAnsi="serif" w:cs="serif"/>
          <w:color w:val="000000"/>
          <w:sz w:val="20"/>
          <w:szCs w:val="20"/>
        </w:rPr>
        <w:t xml:space="preserve"> whether a salaried banker who receives a large results-based bonus in March should have an amount referable to that bonus in his summer holiday pay? However, the court declined to answer the question, making it clear that “nothing in this judgment” was intended to answer that question. </w:t>
      </w:r>
    </w:p>
    <w:p w:rsidR="001A25C6" w:rsidRDefault="001A25C6" w:rsidP="001A25C6">
      <w:pPr>
        <w:widowControl w:val="0"/>
        <w:autoSpaceDE w:val="0"/>
        <w:autoSpaceDN w:val="0"/>
        <w:adjustRightInd w:val="0"/>
        <w:spacing w:after="0" w:line="240" w:lineRule="auto"/>
        <w:jc w:val="both"/>
        <w:rPr>
          <w:rFonts w:ascii="serif" w:hAnsi="serif" w:cs="serif"/>
          <w:color w:val="0000FF"/>
          <w:sz w:val="20"/>
          <w:szCs w:val="20"/>
        </w:rPr>
      </w:pPr>
      <w:bookmarkStart w:id="12" w:name="co_anchor_a494559_1"/>
      <w:bookmarkEnd w:id="12"/>
    </w:p>
    <w:p w:rsidR="001A25C6" w:rsidRDefault="001A25C6" w:rsidP="001A25C6">
      <w:pPr>
        <w:widowControl w:val="0"/>
        <w:autoSpaceDE w:val="0"/>
        <w:autoSpaceDN w:val="0"/>
        <w:adjustRightInd w:val="0"/>
        <w:spacing w:before="500" w:line="240" w:lineRule="auto"/>
        <w:jc w:val="both"/>
        <w:rPr>
          <w:rFonts w:ascii="serif" w:hAnsi="serif" w:cs="serif"/>
          <w:b/>
          <w:bCs/>
          <w:color w:val="212121"/>
        </w:rPr>
      </w:pPr>
      <w:bookmarkStart w:id="13" w:name="co_anchor_a457459_1"/>
      <w:bookmarkEnd w:id="13"/>
      <w:r>
        <w:rPr>
          <w:rFonts w:ascii="serif" w:hAnsi="serif" w:cs="serif"/>
          <w:b/>
          <w:bCs/>
          <w:color w:val="212121"/>
        </w:rPr>
        <w:t>Tips and service charges?</w:t>
      </w:r>
    </w:p>
    <w:p w:rsidR="00C37768"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Tips and service charges are something of a grey area. Case law suggests that a tip counts as remuneration under the week’s pay provisions of ERA 1996 if it is paid through the employer’s payroll (as with tips paid via credit card), but not if the customer pays it in cash or if it is handled by a </w:t>
      </w:r>
      <w:proofErr w:type="spellStart"/>
      <w:r>
        <w:rPr>
          <w:rFonts w:ascii="serif" w:hAnsi="serif" w:cs="serif"/>
          <w:color w:val="000000"/>
          <w:sz w:val="20"/>
          <w:szCs w:val="20"/>
        </w:rPr>
        <w:t>troncmaster</w:t>
      </w:r>
      <w:proofErr w:type="spellEnd"/>
      <w:r>
        <w:rPr>
          <w:rFonts w:ascii="serif" w:hAnsi="serif" w:cs="serif"/>
          <w:color w:val="000000"/>
          <w:sz w:val="20"/>
          <w:szCs w:val="20"/>
        </w:rPr>
        <w:t>, because in that case it is not paid by the employer</w:t>
      </w:r>
      <w:r w:rsidR="00C37768">
        <w:rPr>
          <w:rFonts w:ascii="serif" w:hAnsi="serif" w:cs="serif"/>
          <w:color w:val="000000"/>
          <w:sz w:val="20"/>
          <w:szCs w:val="20"/>
        </w:rPr>
        <w:t>.</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It is possible that the same logic would be applied to the calculation of normal remuneration under the WTD using the principles derived from </w:t>
      </w:r>
      <w:r>
        <w:rPr>
          <w:rFonts w:ascii="serif" w:hAnsi="serif" w:cs="serif"/>
          <w:i/>
          <w:iCs/>
          <w:color w:val="000000"/>
          <w:sz w:val="20"/>
          <w:szCs w:val="20"/>
        </w:rPr>
        <w:t>Williams</w:t>
      </w:r>
      <w:r>
        <w:rPr>
          <w:rFonts w:ascii="serif" w:hAnsi="serif" w:cs="serif"/>
          <w:color w:val="000000"/>
          <w:sz w:val="20"/>
          <w:szCs w:val="20"/>
        </w:rPr>
        <w:t xml:space="preserve"> and </w:t>
      </w:r>
      <w:r>
        <w:rPr>
          <w:rFonts w:ascii="serif" w:hAnsi="serif" w:cs="serif"/>
          <w:i/>
          <w:iCs/>
          <w:color w:val="000000"/>
          <w:sz w:val="20"/>
          <w:szCs w:val="20"/>
        </w:rPr>
        <w:t>Lock</w:t>
      </w:r>
      <w:r>
        <w:rPr>
          <w:rFonts w:ascii="serif" w:hAnsi="serif" w:cs="serif"/>
          <w:color w:val="000000"/>
          <w:sz w:val="20"/>
          <w:szCs w:val="20"/>
        </w:rPr>
        <w:t xml:space="preserve">, and that tips paid directly to staff or through a </w:t>
      </w:r>
      <w:proofErr w:type="spellStart"/>
      <w:r>
        <w:rPr>
          <w:rFonts w:ascii="serif" w:hAnsi="serif" w:cs="serif"/>
          <w:color w:val="000000"/>
          <w:sz w:val="20"/>
          <w:szCs w:val="20"/>
        </w:rPr>
        <w:t>troncmaster</w:t>
      </w:r>
      <w:proofErr w:type="spellEnd"/>
      <w:r>
        <w:rPr>
          <w:rFonts w:ascii="serif" w:hAnsi="serif" w:cs="serif"/>
          <w:color w:val="000000"/>
          <w:sz w:val="20"/>
          <w:szCs w:val="20"/>
        </w:rPr>
        <w:t xml:space="preserve"> would be excluded. However, this point has not been addressed in case law and could be arguable either way.</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FF"/>
          <w:sz w:val="20"/>
          <w:szCs w:val="20"/>
        </w:rPr>
      </w:pPr>
      <w:bookmarkStart w:id="14" w:name="co_anchor_a158256_1"/>
      <w:bookmarkEnd w:id="14"/>
    </w:p>
    <w:p w:rsidR="001A25C6" w:rsidRDefault="001A25C6" w:rsidP="001A25C6">
      <w:pPr>
        <w:widowControl w:val="0"/>
        <w:autoSpaceDE w:val="0"/>
        <w:autoSpaceDN w:val="0"/>
        <w:adjustRightInd w:val="0"/>
        <w:spacing w:before="480" w:after="0" w:line="240" w:lineRule="auto"/>
        <w:jc w:val="both"/>
        <w:rPr>
          <w:rFonts w:ascii="serif" w:hAnsi="serif" w:cs="serif"/>
          <w:b/>
          <w:bCs/>
          <w:color w:val="212121"/>
          <w:sz w:val="24"/>
          <w:szCs w:val="24"/>
        </w:rPr>
      </w:pPr>
      <w:r w:rsidRPr="009E78EF">
        <w:rPr>
          <w:rFonts w:ascii="serif" w:hAnsi="serif" w:cs="serif"/>
          <w:b/>
          <w:bCs/>
          <w:color w:val="212121"/>
          <w:sz w:val="24"/>
          <w:szCs w:val="24"/>
        </w:rPr>
        <w:t>What is the correct reference period for averaging pay?</w:t>
      </w:r>
    </w:p>
    <w:p w:rsidR="009E78EF" w:rsidRDefault="009E78EF" w:rsidP="001A25C6">
      <w:pPr>
        <w:widowControl w:val="0"/>
        <w:autoSpaceDE w:val="0"/>
        <w:autoSpaceDN w:val="0"/>
        <w:adjustRightInd w:val="0"/>
        <w:spacing w:before="480" w:after="0" w:line="240" w:lineRule="auto"/>
        <w:jc w:val="both"/>
        <w:rPr>
          <w:rFonts w:ascii="serif" w:hAnsi="serif" w:cs="serif"/>
          <w:b/>
          <w:bCs/>
          <w:color w:val="212121"/>
          <w:sz w:val="24"/>
          <w:szCs w:val="24"/>
        </w:rPr>
      </w:pP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The ERA 1996 uses a reference period of the last 12 working weeks to calculate pay where necessary (for example, in cases where the worker has no normal working hours, or has normal working hours but their pay varies according to amount of work done or the time of work). It is now not clear if that is the appropriate reference period to comply with the Working Time Directive.</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There is no simple answer, but to comply with the decisions in </w:t>
      </w:r>
      <w:r>
        <w:rPr>
          <w:rFonts w:ascii="serif" w:hAnsi="serif" w:cs="serif"/>
          <w:i/>
          <w:iCs/>
          <w:color w:val="000000"/>
          <w:sz w:val="20"/>
          <w:szCs w:val="20"/>
        </w:rPr>
        <w:t>Lock</w:t>
      </w:r>
      <w:r>
        <w:rPr>
          <w:rFonts w:ascii="serif" w:hAnsi="serif" w:cs="serif"/>
          <w:color w:val="000000"/>
          <w:sz w:val="20"/>
          <w:szCs w:val="20"/>
        </w:rPr>
        <w:t xml:space="preserve"> and </w:t>
      </w:r>
      <w:r>
        <w:rPr>
          <w:rFonts w:ascii="serif" w:hAnsi="serif" w:cs="serif"/>
          <w:i/>
          <w:iCs/>
          <w:color w:val="000000"/>
          <w:sz w:val="20"/>
          <w:szCs w:val="20"/>
        </w:rPr>
        <w:t>Williams</w:t>
      </w:r>
      <w:r>
        <w:rPr>
          <w:rFonts w:ascii="serif" w:hAnsi="serif" w:cs="serif"/>
          <w:color w:val="000000"/>
          <w:sz w:val="20"/>
          <w:szCs w:val="20"/>
        </w:rPr>
        <w:t xml:space="preserve"> the reference period must be a representative normal period, in other words, one which reflects normal working. The Advocate General in </w:t>
      </w:r>
      <w:r>
        <w:rPr>
          <w:rFonts w:ascii="serif" w:hAnsi="serif" w:cs="serif"/>
          <w:i/>
          <w:iCs/>
          <w:color w:val="000000"/>
          <w:sz w:val="20"/>
          <w:szCs w:val="20"/>
        </w:rPr>
        <w:t>Lock</w:t>
      </w:r>
      <w:r>
        <w:rPr>
          <w:rFonts w:ascii="serif" w:hAnsi="serif" w:cs="serif"/>
          <w:color w:val="000000"/>
          <w:sz w:val="20"/>
          <w:szCs w:val="20"/>
        </w:rPr>
        <w:t xml:space="preserve"> suggested 12 months. The ECJ did not take that suggestion forward, but ruled that holiday pay must correspond to the worker’s “normal remuneration” and it is for the national court to work that out by taking an average over a reference period that is “considered to be representative”.</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The issue was not taken much further by the EAT in </w:t>
      </w:r>
      <w:r>
        <w:rPr>
          <w:rFonts w:ascii="serif" w:hAnsi="serif" w:cs="serif"/>
          <w:i/>
          <w:iCs/>
          <w:color w:val="000000"/>
          <w:sz w:val="20"/>
          <w:szCs w:val="20"/>
        </w:rPr>
        <w:t>Bear Scotland</w:t>
      </w:r>
      <w:r>
        <w:rPr>
          <w:rFonts w:ascii="serif" w:hAnsi="serif" w:cs="serif"/>
          <w:color w:val="000000"/>
          <w:sz w:val="20"/>
          <w:szCs w:val="20"/>
        </w:rPr>
        <w:t xml:space="preserve">. It stated simply (drawing on the Advocate General’s Opinion in </w:t>
      </w:r>
      <w:r>
        <w:rPr>
          <w:rFonts w:ascii="serif" w:hAnsi="serif" w:cs="serif"/>
          <w:i/>
          <w:iCs/>
          <w:color w:val="000000"/>
          <w:sz w:val="20"/>
          <w:szCs w:val="20"/>
        </w:rPr>
        <w:t>Williams</w:t>
      </w:r>
      <w:r>
        <w:rPr>
          <w:rFonts w:ascii="serif" w:hAnsi="serif" w:cs="serif"/>
          <w:color w:val="000000"/>
          <w:sz w:val="20"/>
          <w:szCs w:val="20"/>
        </w:rPr>
        <w:t xml:space="preserve">) that where there is no normal remuneration, an average taken over a reference period determined by the Member State is appropriate (paragraph 44). It did not comment directly on whether the 12-week reference period in </w:t>
      </w:r>
      <w:hyperlink r:id="rId6" w:history="1">
        <w:r>
          <w:rPr>
            <w:rFonts w:ascii="serif" w:hAnsi="serif" w:cs="serif"/>
            <w:i/>
            <w:iCs/>
            <w:color w:val="0000FF"/>
            <w:sz w:val="20"/>
            <w:szCs w:val="20"/>
          </w:rPr>
          <w:t>section 221(3)</w:t>
        </w:r>
      </w:hyperlink>
      <w:r>
        <w:rPr>
          <w:rFonts w:ascii="serif" w:hAnsi="serif" w:cs="serif"/>
          <w:color w:val="000000"/>
          <w:sz w:val="20"/>
          <w:szCs w:val="20"/>
        </w:rPr>
        <w:t xml:space="preserve"> of the ERA 1996 met this test, although this can be implied from the judgment, which did not overturn the tribunal’s finding in this regard.</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The Court of Appeal in </w:t>
      </w:r>
      <w:r>
        <w:rPr>
          <w:rFonts w:ascii="serif" w:hAnsi="serif" w:cs="serif"/>
          <w:i/>
          <w:iCs/>
          <w:color w:val="000000"/>
          <w:sz w:val="20"/>
          <w:szCs w:val="20"/>
        </w:rPr>
        <w:t xml:space="preserve">Lock </w:t>
      </w:r>
      <w:r>
        <w:rPr>
          <w:rFonts w:ascii="serif" w:hAnsi="serif" w:cs="serif"/>
          <w:color w:val="000000"/>
          <w:sz w:val="20"/>
          <w:szCs w:val="20"/>
        </w:rPr>
        <w:t>chose not to address the issue</w:t>
      </w:r>
      <w:r w:rsidR="00C37768">
        <w:rPr>
          <w:rFonts w:ascii="serif" w:hAnsi="serif" w:cs="serif"/>
          <w:color w:val="000000"/>
          <w:sz w:val="20"/>
          <w:szCs w:val="20"/>
        </w:rPr>
        <w:t xml:space="preserve">. </w:t>
      </w:r>
      <w:r>
        <w:rPr>
          <w:rFonts w:ascii="serif" w:hAnsi="serif" w:cs="serif"/>
          <w:color w:val="000000"/>
          <w:sz w:val="20"/>
          <w:szCs w:val="20"/>
        </w:rPr>
        <w:t>It is hoped that the Supreme Court will address the issue should British Gas be granted leave to appeal. In the meantime, tribunals will have to approach this question on a case-by-case basis and may choose a different reference period depending on the circumstances. It is arguable that if commission or overtime payments fluctuate widely during the year (for example in the case of casual and seasonal workers), a 12-week period may not be representative.</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Arguably, if the 12-week period set out in the ERA 1996 is not representative in a given case, it is not inconceivable that tribunals would find a way to read words into the WTR 1998 to enable a more appropriate reference period to be substituted. However, it should be noted that this has not happened so far. </w:t>
      </w:r>
    </w:p>
    <w:p w:rsidR="001A25C6" w:rsidRDefault="001A25C6" w:rsidP="001A25C6">
      <w:pPr>
        <w:widowControl w:val="0"/>
        <w:autoSpaceDE w:val="0"/>
        <w:autoSpaceDN w:val="0"/>
        <w:adjustRightInd w:val="0"/>
        <w:spacing w:after="0" w:line="240" w:lineRule="auto"/>
        <w:jc w:val="both"/>
        <w:rPr>
          <w:rFonts w:ascii="serif" w:hAnsi="serif" w:cs="serif"/>
          <w:color w:val="0000FF"/>
          <w:sz w:val="20"/>
          <w:szCs w:val="20"/>
        </w:rPr>
      </w:pPr>
      <w:bookmarkStart w:id="15" w:name="co_anchor_a236141_1"/>
      <w:bookmarkEnd w:id="15"/>
    </w:p>
    <w:p w:rsidR="001A25C6" w:rsidRDefault="001A25C6" w:rsidP="001A25C6">
      <w:pPr>
        <w:widowControl w:val="0"/>
        <w:autoSpaceDE w:val="0"/>
        <w:autoSpaceDN w:val="0"/>
        <w:adjustRightInd w:val="0"/>
        <w:spacing w:before="520" w:after="0" w:line="240" w:lineRule="auto"/>
        <w:jc w:val="both"/>
        <w:rPr>
          <w:rFonts w:ascii="serif" w:hAnsi="serif" w:cs="serif"/>
          <w:b/>
          <w:bCs/>
          <w:color w:val="000000"/>
          <w:sz w:val="24"/>
          <w:szCs w:val="24"/>
        </w:rPr>
      </w:pPr>
      <w:bookmarkStart w:id="16" w:name="co_anchor_a167801_1"/>
      <w:bookmarkEnd w:id="16"/>
      <w:r>
        <w:rPr>
          <w:rFonts w:ascii="serif" w:hAnsi="serif" w:cs="serif"/>
          <w:b/>
          <w:bCs/>
          <w:color w:val="000000"/>
          <w:sz w:val="24"/>
          <w:szCs w:val="24"/>
        </w:rPr>
        <w:t>Do these rules apply to the 5.6 weeks holiday under WTR or just the four weeks under the Working Time Directive?</w:t>
      </w:r>
    </w:p>
    <w:p w:rsidR="009E78EF" w:rsidRDefault="009E78EF" w:rsidP="001A25C6">
      <w:pPr>
        <w:widowControl w:val="0"/>
        <w:autoSpaceDE w:val="0"/>
        <w:autoSpaceDN w:val="0"/>
        <w:adjustRightInd w:val="0"/>
        <w:spacing w:before="520" w:after="0" w:line="240" w:lineRule="auto"/>
        <w:jc w:val="both"/>
        <w:rPr>
          <w:rFonts w:ascii="serif" w:hAnsi="serif" w:cs="serif"/>
          <w:b/>
          <w:bCs/>
          <w:color w:val="000000"/>
          <w:sz w:val="24"/>
          <w:szCs w:val="24"/>
        </w:rPr>
      </w:pP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Four weeks, according to the prevailing view of the courts, most recently the EAT </w:t>
      </w:r>
      <w:r w:rsidR="003E28E5">
        <w:rPr>
          <w:rFonts w:ascii="serif" w:hAnsi="serif" w:cs="serif"/>
          <w:color w:val="000000"/>
          <w:sz w:val="20"/>
          <w:szCs w:val="20"/>
        </w:rPr>
        <w:t xml:space="preserve">Bear </w:t>
      </w:r>
      <w:r>
        <w:rPr>
          <w:rFonts w:ascii="serif" w:hAnsi="serif" w:cs="serif"/>
          <w:color w:val="000000"/>
          <w:sz w:val="20"/>
          <w:szCs w:val="20"/>
        </w:rPr>
        <w:t>and the Court of Appeal i</w:t>
      </w:r>
      <w:r w:rsidR="003E28E5">
        <w:rPr>
          <w:rFonts w:ascii="serif" w:hAnsi="serif" w:cs="serif"/>
          <w:color w:val="000000"/>
          <w:sz w:val="20"/>
          <w:szCs w:val="20"/>
        </w:rPr>
        <w:t>n Lock</w:t>
      </w:r>
      <w:r>
        <w:rPr>
          <w:rFonts w:ascii="serif" w:hAnsi="serif" w:cs="serif"/>
          <w:color w:val="000000"/>
          <w:sz w:val="20"/>
          <w:szCs w:val="20"/>
        </w:rPr>
        <w:t>. The issue has also been explored in a recent line of cases concerning sickness absence and holiday in both the ECJ and EAT.</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before="500" w:line="240" w:lineRule="auto"/>
        <w:jc w:val="both"/>
        <w:rPr>
          <w:rFonts w:ascii="serif" w:hAnsi="serif" w:cs="serif"/>
          <w:b/>
          <w:bCs/>
          <w:color w:val="212121"/>
        </w:rPr>
      </w:pPr>
      <w:bookmarkStart w:id="17" w:name="co_anchor_a811271_1"/>
      <w:bookmarkEnd w:id="17"/>
      <w:r>
        <w:rPr>
          <w:rFonts w:ascii="serif" w:hAnsi="serif" w:cs="serif"/>
          <w:b/>
          <w:bCs/>
          <w:color w:val="212121"/>
        </w:rPr>
        <w:t>If it is only four weeks, which four weeks is it?</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Does the employer have to pay commission, overtime or bonus for the first four weeks of the year, or the last? If it is neither of those, should it be four weeks chosen by the worker, or by the employer?</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In</w:t>
      </w:r>
      <w:r w:rsidR="003E28E5">
        <w:rPr>
          <w:rFonts w:ascii="serif" w:hAnsi="serif" w:cs="serif"/>
          <w:i/>
          <w:iCs/>
          <w:color w:val="000000"/>
          <w:sz w:val="20"/>
          <w:szCs w:val="20"/>
        </w:rPr>
        <w:t xml:space="preserve"> Bear </w:t>
      </w:r>
      <w:r>
        <w:rPr>
          <w:rFonts w:ascii="serif" w:hAnsi="serif" w:cs="serif"/>
          <w:color w:val="000000"/>
          <w:sz w:val="20"/>
          <w:szCs w:val="20"/>
        </w:rPr>
        <w:t xml:space="preserve">the EAT suggested (albeit in </w:t>
      </w:r>
      <w:r>
        <w:rPr>
          <w:rFonts w:ascii="serif" w:hAnsi="serif" w:cs="serif"/>
          <w:i/>
          <w:iCs/>
          <w:color w:val="000000"/>
          <w:sz w:val="20"/>
          <w:szCs w:val="20"/>
        </w:rPr>
        <w:t>obiter</w:t>
      </w:r>
      <w:r>
        <w:rPr>
          <w:rFonts w:ascii="serif" w:hAnsi="serif" w:cs="serif"/>
          <w:color w:val="000000"/>
          <w:sz w:val="20"/>
          <w:szCs w:val="20"/>
        </w:rPr>
        <w:t xml:space="preserve"> comments) that it is for employers to choose which type of leave is taken when (that is</w:t>
      </w:r>
      <w:r w:rsidR="003E28E5">
        <w:rPr>
          <w:rFonts w:ascii="serif" w:hAnsi="serif" w:cs="serif"/>
          <w:color w:val="000000"/>
          <w:sz w:val="20"/>
          <w:szCs w:val="20"/>
        </w:rPr>
        <w:t xml:space="preserve"> regulation 13 </w:t>
      </w:r>
      <w:r>
        <w:rPr>
          <w:rFonts w:ascii="serif" w:hAnsi="serif" w:cs="serif"/>
          <w:color w:val="000000"/>
          <w:sz w:val="20"/>
          <w:szCs w:val="20"/>
        </w:rPr>
        <w:t>leave or</w:t>
      </w:r>
      <w:r w:rsidR="003E28E5">
        <w:rPr>
          <w:rFonts w:ascii="serif" w:hAnsi="serif" w:cs="serif"/>
          <w:color w:val="000000"/>
          <w:sz w:val="20"/>
          <w:szCs w:val="20"/>
        </w:rPr>
        <w:t xml:space="preserve"> regulation 13A </w:t>
      </w:r>
      <w:r>
        <w:rPr>
          <w:rFonts w:ascii="serif" w:hAnsi="serif" w:cs="serif"/>
          <w:color w:val="000000"/>
          <w:sz w:val="20"/>
          <w:szCs w:val="20"/>
        </w:rPr>
        <w:t>leave).</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The EAT took into account the fact that an employer has an inherent right to direct when holiday is taken within a leave year</w:t>
      </w:r>
      <w:r w:rsidR="009E78EF">
        <w:rPr>
          <w:rFonts w:ascii="serif" w:hAnsi="serif" w:cs="serif"/>
          <w:color w:val="000000"/>
          <w:sz w:val="20"/>
          <w:szCs w:val="20"/>
        </w:rPr>
        <w:t xml:space="preserve"> (Regulation 15)</w:t>
      </w:r>
      <w:r>
        <w:rPr>
          <w:rFonts w:ascii="serif" w:hAnsi="serif" w:cs="serif"/>
          <w:color w:val="000000"/>
          <w:sz w:val="20"/>
          <w:szCs w:val="20"/>
        </w:rPr>
        <w:t xml:space="preserve">. It follows that employers can direct when </w:t>
      </w:r>
      <w:r w:rsidR="003E28E5">
        <w:rPr>
          <w:rFonts w:ascii="serif" w:hAnsi="serif" w:cs="serif"/>
          <w:i/>
          <w:iCs/>
          <w:color w:val="000000"/>
          <w:sz w:val="20"/>
          <w:szCs w:val="20"/>
        </w:rPr>
        <w:t xml:space="preserve">regulation 13 </w:t>
      </w:r>
      <w:r>
        <w:rPr>
          <w:rFonts w:ascii="serif" w:hAnsi="serif" w:cs="serif"/>
          <w:color w:val="000000"/>
          <w:sz w:val="20"/>
          <w:szCs w:val="20"/>
        </w:rPr>
        <w:t xml:space="preserve">holiday should be taken. In addition, holiday under </w:t>
      </w:r>
      <w:r w:rsidR="003E28E5">
        <w:rPr>
          <w:rFonts w:ascii="serif" w:hAnsi="serif" w:cs="serif"/>
          <w:i/>
          <w:iCs/>
          <w:color w:val="000000"/>
          <w:sz w:val="20"/>
          <w:szCs w:val="20"/>
        </w:rPr>
        <w:t>regulation 13A</w:t>
      </w:r>
      <w:r w:rsidR="00503E87">
        <w:rPr>
          <w:rFonts w:ascii="serif" w:hAnsi="serif" w:cs="serif"/>
          <w:i/>
          <w:iCs/>
          <w:color w:val="000000"/>
          <w:sz w:val="20"/>
          <w:szCs w:val="20"/>
        </w:rPr>
        <w:t xml:space="preserve"> i</w:t>
      </w:r>
      <w:r>
        <w:rPr>
          <w:rFonts w:ascii="serif" w:hAnsi="serif" w:cs="serif"/>
          <w:color w:val="000000"/>
          <w:sz w:val="20"/>
          <w:szCs w:val="20"/>
        </w:rPr>
        <w:t>s described as “additional leave”, suggesting that the dates of it should be the last to be agreed on during the course of a leave year. It seems that this will be the default position, although it could be varied by agreement.</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It should also be noted that, if the reference period for working out average pay is 12 months rather than 12 weeks, the peaks and troughs in commission or overtime will be evened out and so the choice of which four weeks to choose becomes much less of an issue.</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FF"/>
          <w:sz w:val="20"/>
          <w:szCs w:val="20"/>
        </w:rPr>
      </w:pPr>
      <w:bookmarkStart w:id="18" w:name="co_anchor_a146438_1"/>
      <w:bookmarkEnd w:id="18"/>
    </w:p>
    <w:p w:rsidR="009E78EF" w:rsidRDefault="009E78EF" w:rsidP="001A25C6">
      <w:pPr>
        <w:widowControl w:val="0"/>
        <w:autoSpaceDE w:val="0"/>
        <w:autoSpaceDN w:val="0"/>
        <w:adjustRightInd w:val="0"/>
        <w:spacing w:before="280" w:after="0" w:line="240" w:lineRule="auto"/>
        <w:jc w:val="both"/>
        <w:rPr>
          <w:rFonts w:ascii="serif" w:hAnsi="serif" w:cs="serif"/>
          <w:b/>
          <w:bCs/>
          <w:color w:val="000000"/>
          <w:sz w:val="28"/>
          <w:szCs w:val="28"/>
        </w:rPr>
      </w:pPr>
    </w:p>
    <w:p w:rsidR="009E78EF" w:rsidRDefault="009E78EF" w:rsidP="001A25C6">
      <w:pPr>
        <w:widowControl w:val="0"/>
        <w:autoSpaceDE w:val="0"/>
        <w:autoSpaceDN w:val="0"/>
        <w:adjustRightInd w:val="0"/>
        <w:spacing w:before="280" w:after="0" w:line="240" w:lineRule="auto"/>
        <w:jc w:val="both"/>
        <w:rPr>
          <w:rFonts w:ascii="serif" w:hAnsi="serif" w:cs="serif"/>
          <w:b/>
          <w:bCs/>
          <w:color w:val="000000"/>
          <w:sz w:val="28"/>
          <w:szCs w:val="28"/>
        </w:rPr>
      </w:pPr>
    </w:p>
    <w:p w:rsidR="009E78EF" w:rsidRDefault="009E78EF" w:rsidP="001A25C6">
      <w:pPr>
        <w:widowControl w:val="0"/>
        <w:autoSpaceDE w:val="0"/>
        <w:autoSpaceDN w:val="0"/>
        <w:adjustRightInd w:val="0"/>
        <w:spacing w:before="280" w:after="0" w:line="240" w:lineRule="auto"/>
        <w:jc w:val="both"/>
        <w:rPr>
          <w:rFonts w:ascii="serif" w:hAnsi="serif" w:cs="serif"/>
          <w:b/>
          <w:bCs/>
          <w:color w:val="000000"/>
          <w:sz w:val="28"/>
          <w:szCs w:val="28"/>
        </w:rPr>
      </w:pPr>
    </w:p>
    <w:p w:rsidR="001A25C6" w:rsidRDefault="001A25C6" w:rsidP="001A25C6">
      <w:pPr>
        <w:widowControl w:val="0"/>
        <w:autoSpaceDE w:val="0"/>
        <w:autoSpaceDN w:val="0"/>
        <w:adjustRightInd w:val="0"/>
        <w:spacing w:before="280" w:after="0" w:line="240" w:lineRule="auto"/>
        <w:jc w:val="both"/>
        <w:rPr>
          <w:rFonts w:ascii="serif" w:hAnsi="serif" w:cs="serif"/>
          <w:b/>
          <w:bCs/>
          <w:color w:val="000000"/>
          <w:sz w:val="28"/>
          <w:szCs w:val="28"/>
        </w:rPr>
      </w:pPr>
      <w:r>
        <w:rPr>
          <w:rFonts w:ascii="serif" w:hAnsi="serif" w:cs="serif"/>
          <w:b/>
          <w:bCs/>
          <w:color w:val="000000"/>
          <w:sz w:val="28"/>
          <w:szCs w:val="28"/>
        </w:rPr>
        <w:lastRenderedPageBreak/>
        <w:t>Historical liability for unlawful deductions</w:t>
      </w:r>
    </w:p>
    <w:p w:rsidR="003E28E5" w:rsidRDefault="003E28E5" w:rsidP="001A25C6">
      <w:pPr>
        <w:widowControl w:val="0"/>
        <w:autoSpaceDE w:val="0"/>
        <w:autoSpaceDN w:val="0"/>
        <w:adjustRightInd w:val="0"/>
        <w:spacing w:before="280" w:after="0" w:line="240" w:lineRule="auto"/>
        <w:jc w:val="both"/>
        <w:rPr>
          <w:rFonts w:ascii="serif" w:hAnsi="serif" w:cs="serif"/>
          <w:b/>
          <w:bCs/>
          <w:color w:val="000000"/>
          <w:sz w:val="28"/>
          <w:szCs w:val="28"/>
        </w:rPr>
      </w:pPr>
    </w:p>
    <w:p w:rsidR="001A25C6" w:rsidRDefault="003E28E5"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There is </w:t>
      </w:r>
      <w:r w:rsidR="001A25C6">
        <w:rPr>
          <w:rFonts w:ascii="serif" w:hAnsi="serif" w:cs="serif"/>
          <w:color w:val="000000"/>
          <w:sz w:val="20"/>
          <w:szCs w:val="20"/>
        </w:rPr>
        <w:t>a new statutory limit on retrospective unlawful deduction from wages claims, which applies to claims pr</w:t>
      </w:r>
      <w:r w:rsidR="009E78EF">
        <w:rPr>
          <w:rFonts w:ascii="serif" w:hAnsi="serif" w:cs="serif"/>
          <w:color w:val="000000"/>
          <w:sz w:val="20"/>
          <w:szCs w:val="20"/>
        </w:rPr>
        <w:t>esented on or after 1 July 2015 – claims can now only go back 2 years as opposed to 6 years previously.</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FF"/>
          <w:sz w:val="20"/>
          <w:szCs w:val="20"/>
        </w:rPr>
      </w:pPr>
      <w:bookmarkStart w:id="19" w:name="co_anchor_a431719_1"/>
      <w:bookmarkEnd w:id="19"/>
    </w:p>
    <w:p w:rsidR="001A25C6" w:rsidRPr="009E78EF" w:rsidRDefault="001A25C6" w:rsidP="001A25C6">
      <w:pPr>
        <w:widowControl w:val="0"/>
        <w:autoSpaceDE w:val="0"/>
        <w:autoSpaceDN w:val="0"/>
        <w:adjustRightInd w:val="0"/>
        <w:spacing w:before="200" w:after="0" w:line="240" w:lineRule="auto"/>
        <w:jc w:val="both"/>
        <w:rPr>
          <w:rFonts w:ascii="serif" w:hAnsi="serif" w:cs="serif"/>
          <w:b/>
          <w:bCs/>
          <w:color w:val="212121"/>
        </w:rPr>
      </w:pPr>
      <w:r w:rsidRPr="009E78EF">
        <w:rPr>
          <w:rFonts w:ascii="serif" w:hAnsi="serif" w:cs="serif"/>
          <w:b/>
          <w:bCs/>
          <w:color w:val="212121"/>
        </w:rPr>
        <w:t>Bear Scotland: what is a “series of deductions”?</w:t>
      </w:r>
    </w:p>
    <w:p w:rsidR="009E78EF" w:rsidRDefault="009E78EF" w:rsidP="001A25C6">
      <w:pPr>
        <w:widowControl w:val="0"/>
        <w:autoSpaceDE w:val="0"/>
        <w:autoSpaceDN w:val="0"/>
        <w:adjustRightInd w:val="0"/>
        <w:spacing w:before="200" w:after="0" w:line="240" w:lineRule="auto"/>
        <w:jc w:val="both"/>
        <w:rPr>
          <w:rFonts w:ascii="serif" w:hAnsi="serif" w:cs="serif"/>
          <w:b/>
          <w:bCs/>
          <w:color w:val="212121"/>
          <w:sz w:val="20"/>
          <w:szCs w:val="20"/>
        </w:rPr>
      </w:pP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The ability to claim historical underpaid holiday by bringing an unlawful deduction claim based on a series has, in some circumstances, been curtailed by the EAT’s judgment in </w:t>
      </w:r>
      <w:r>
        <w:rPr>
          <w:rFonts w:ascii="serif" w:hAnsi="serif" w:cs="serif"/>
          <w:i/>
          <w:iCs/>
          <w:color w:val="000000"/>
          <w:sz w:val="20"/>
          <w:szCs w:val="20"/>
        </w:rPr>
        <w:t>Bear Scotland</w:t>
      </w:r>
      <w:r>
        <w:rPr>
          <w:rFonts w:ascii="serif" w:hAnsi="serif" w:cs="serif"/>
          <w:color w:val="000000"/>
          <w:sz w:val="20"/>
          <w:szCs w:val="20"/>
        </w:rPr>
        <w:t>, in particular the decision on what forms part of a series and when a series may be broken. The EAT found that in order to establish a “series”, there needs to be a factual and temporal link between the elements in the series. It set out its reasoning in relation to the temporal link only and concluded that:</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numPr>
          <w:ilvl w:val="0"/>
          <w:numId w:val="24"/>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 xml:space="preserve">Underpaid holiday pay cannot be claimed as the last in a series of deductions where </w:t>
      </w:r>
      <w:r>
        <w:rPr>
          <w:rFonts w:ascii="serif" w:hAnsi="serif" w:cs="serif"/>
          <w:b/>
          <w:bCs/>
          <w:color w:val="000000"/>
          <w:sz w:val="20"/>
          <w:szCs w:val="20"/>
        </w:rPr>
        <w:t>more than three months has elapsed between deductions</w:t>
      </w:r>
      <w:r>
        <w:rPr>
          <w:rFonts w:ascii="serif" w:hAnsi="serif" w:cs="serif"/>
          <w:color w:val="000000"/>
          <w:sz w:val="20"/>
          <w:szCs w:val="20"/>
        </w:rPr>
        <w:t>. The EAT considered that the existence of a statutory limitation period of three months in the ERA 1996 means that any gap of more than three months has the effect of breaking the series. This limits the scope for many workers to bring claims for underpaid holiday pay stretching back to previous holiday years.</w:t>
      </w:r>
    </w:p>
    <w:p w:rsidR="001A25C6" w:rsidRDefault="001A25C6" w:rsidP="001A25C6">
      <w:pPr>
        <w:widowControl w:val="0"/>
        <w:numPr>
          <w:ilvl w:val="0"/>
          <w:numId w:val="25"/>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It is for employers to determine which type of leave (that is, regulation 13 or regulation 13A) is being taken. Therefore, in the absence of an agreement to the contrary, employers can determine that the four weeks of Working Time Directive holiday is taken first, with the “additional” leave being the last to be agreed on (and presumably taken) during the holiday year.</w:t>
      </w:r>
    </w:p>
    <w:p w:rsidR="009E78EF" w:rsidRDefault="009E78EF" w:rsidP="009E78EF">
      <w:pPr>
        <w:widowControl w:val="0"/>
        <w:autoSpaceDE w:val="0"/>
        <w:autoSpaceDN w:val="0"/>
        <w:adjustRightInd w:val="0"/>
        <w:spacing w:after="0" w:line="240" w:lineRule="auto"/>
        <w:jc w:val="both"/>
        <w:rPr>
          <w:rFonts w:ascii="serif" w:hAnsi="serif" w:cs="serif"/>
          <w:color w:val="000000"/>
          <w:sz w:val="20"/>
          <w:szCs w:val="20"/>
        </w:rPr>
      </w:pPr>
    </w:p>
    <w:p w:rsidR="009E78EF" w:rsidRDefault="009E78EF" w:rsidP="009E78EF">
      <w:pPr>
        <w:widowControl w:val="0"/>
        <w:autoSpaceDE w:val="0"/>
        <w:autoSpaceDN w:val="0"/>
        <w:adjustRightInd w:val="0"/>
        <w:spacing w:after="0" w:line="240" w:lineRule="auto"/>
        <w:jc w:val="both"/>
        <w:rPr>
          <w:rFonts w:ascii="serif" w:hAnsi="serif" w:cs="serif"/>
          <w:color w:val="000000"/>
          <w:sz w:val="20"/>
          <w:szCs w:val="20"/>
        </w:rPr>
      </w:pPr>
    </w:p>
    <w:p w:rsidR="001A25C6" w:rsidRPr="009E78EF" w:rsidRDefault="001A25C6" w:rsidP="001A25C6">
      <w:pPr>
        <w:widowControl w:val="0"/>
        <w:autoSpaceDE w:val="0"/>
        <w:autoSpaceDN w:val="0"/>
        <w:adjustRightInd w:val="0"/>
        <w:spacing w:before="480" w:after="0" w:line="240" w:lineRule="auto"/>
        <w:jc w:val="both"/>
        <w:rPr>
          <w:rFonts w:ascii="serif" w:hAnsi="serif" w:cs="serif"/>
          <w:b/>
          <w:bCs/>
          <w:color w:val="212121"/>
        </w:rPr>
      </w:pPr>
      <w:bookmarkStart w:id="20" w:name="co_anchor_a452151_1"/>
      <w:bookmarkEnd w:id="20"/>
      <w:r w:rsidRPr="009E78EF">
        <w:rPr>
          <w:rFonts w:ascii="serif" w:hAnsi="serif" w:cs="serif"/>
          <w:b/>
          <w:bCs/>
          <w:color w:val="212121"/>
        </w:rPr>
        <w:t>Does one instance of correct payment break a series of deductions?</w:t>
      </w:r>
    </w:p>
    <w:p w:rsidR="009E78EF" w:rsidRDefault="009E78EF" w:rsidP="001A25C6">
      <w:pPr>
        <w:widowControl w:val="0"/>
        <w:autoSpaceDE w:val="0"/>
        <w:autoSpaceDN w:val="0"/>
        <w:adjustRightInd w:val="0"/>
        <w:spacing w:before="480" w:after="0" w:line="240" w:lineRule="auto"/>
        <w:jc w:val="both"/>
        <w:rPr>
          <w:rFonts w:ascii="serif" w:hAnsi="serif" w:cs="serif"/>
          <w:b/>
          <w:bCs/>
          <w:color w:val="212121"/>
          <w:sz w:val="20"/>
          <w:szCs w:val="20"/>
        </w:rPr>
      </w:pP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Probably not, but this is a grey area, and it was not explicitly dealt with in the EAT’s judgment in </w:t>
      </w:r>
      <w:r>
        <w:rPr>
          <w:rFonts w:ascii="serif" w:hAnsi="serif" w:cs="serif"/>
          <w:i/>
          <w:iCs/>
          <w:color w:val="000000"/>
          <w:sz w:val="20"/>
          <w:szCs w:val="20"/>
        </w:rPr>
        <w:t>Bear Scotland</w:t>
      </w:r>
      <w:r>
        <w:rPr>
          <w:rFonts w:ascii="serif" w:hAnsi="serif" w:cs="serif"/>
          <w:color w:val="000000"/>
          <w:sz w:val="20"/>
          <w:szCs w:val="20"/>
        </w:rPr>
        <w:t>.</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For the time being, therefore, an employer that wants to protect itself from future claims and minimise the likelihood of any retrospective claims will need to consider ending, rather than interrupting, the series of deductions. This could be achieved by starting to pay Working Time Directive holiday pay correctly, and continuing to do so. Workers would need to bring a claim within three months of the last salary payment from which a deduction had been made. Provided the employer does not then start making the unlawful deductions again, any worker who has not brought a claim will be time-barred from doing so (leaving aside any argument for granting an extension of time; </w:t>
      </w:r>
    </w:p>
    <w:p w:rsidR="001A25C6" w:rsidRDefault="001A25C6" w:rsidP="001A25C6">
      <w:pPr>
        <w:widowControl w:val="0"/>
        <w:autoSpaceDE w:val="0"/>
        <w:autoSpaceDN w:val="0"/>
        <w:adjustRightInd w:val="0"/>
        <w:spacing w:after="0" w:line="240" w:lineRule="auto"/>
        <w:jc w:val="both"/>
        <w:rPr>
          <w:rFonts w:ascii="serif" w:hAnsi="serif" w:cs="serif"/>
          <w:color w:val="0000FF"/>
          <w:sz w:val="20"/>
          <w:szCs w:val="20"/>
        </w:rPr>
      </w:pPr>
      <w:bookmarkStart w:id="21" w:name="co_anchor_a652579_1"/>
      <w:bookmarkStart w:id="22" w:name="co_anchor_a501175_1"/>
      <w:bookmarkEnd w:id="21"/>
      <w:bookmarkEnd w:id="22"/>
    </w:p>
    <w:p w:rsidR="001A25C6" w:rsidRPr="009E78EF" w:rsidRDefault="001A25C6" w:rsidP="001A25C6">
      <w:pPr>
        <w:widowControl w:val="0"/>
        <w:autoSpaceDE w:val="0"/>
        <w:autoSpaceDN w:val="0"/>
        <w:adjustRightInd w:val="0"/>
        <w:spacing w:before="480" w:after="0" w:line="240" w:lineRule="auto"/>
        <w:jc w:val="both"/>
        <w:rPr>
          <w:rFonts w:ascii="serif" w:hAnsi="serif" w:cs="serif"/>
          <w:b/>
          <w:bCs/>
          <w:color w:val="212121"/>
        </w:rPr>
      </w:pPr>
      <w:bookmarkStart w:id="23" w:name="co_anchor_a56942_1"/>
      <w:bookmarkEnd w:id="23"/>
      <w:r w:rsidRPr="009E78EF">
        <w:rPr>
          <w:rFonts w:ascii="serif" w:hAnsi="serif" w:cs="serif"/>
          <w:b/>
          <w:bCs/>
          <w:color w:val="212121"/>
        </w:rPr>
        <w:t>Can workers bring civil claims to avoid the three-month time limit?</w:t>
      </w:r>
    </w:p>
    <w:p w:rsidR="009E78EF" w:rsidRDefault="009E78EF" w:rsidP="001A25C6">
      <w:pPr>
        <w:widowControl w:val="0"/>
        <w:autoSpaceDE w:val="0"/>
        <w:autoSpaceDN w:val="0"/>
        <w:adjustRightInd w:val="0"/>
        <w:spacing w:before="480" w:after="0" w:line="240" w:lineRule="auto"/>
        <w:jc w:val="both"/>
        <w:rPr>
          <w:rFonts w:ascii="serif" w:hAnsi="serif" w:cs="serif"/>
          <w:b/>
          <w:bCs/>
          <w:color w:val="212121"/>
          <w:sz w:val="20"/>
          <w:szCs w:val="20"/>
        </w:rPr>
      </w:pP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Probably not. In most cases of non-payment or underpayment of wages the worker (or former worker) has the choice of bringing an unlawful deductions claim or, if the three-month time limit has passed, a debt claim in the civil courts. The reason the civil route is available in </w:t>
      </w:r>
      <w:r>
        <w:rPr>
          <w:rFonts w:ascii="serif" w:hAnsi="serif" w:cs="serif"/>
          <w:color w:val="000000"/>
          <w:sz w:val="20"/>
          <w:szCs w:val="20"/>
        </w:rPr>
        <w:lastRenderedPageBreak/>
        <w:t>those cases is because the worker is claiming sums which are due under the contract of employment, over which the civil courts have an inherent jurisdiction.</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xml:space="preserve">Claims for underpayment of </w:t>
      </w:r>
      <w:r>
        <w:rPr>
          <w:rFonts w:ascii="serif" w:hAnsi="serif" w:cs="serif"/>
          <w:b/>
          <w:bCs/>
          <w:color w:val="000000"/>
          <w:sz w:val="20"/>
          <w:szCs w:val="20"/>
        </w:rPr>
        <w:t>statutory</w:t>
      </w:r>
      <w:r>
        <w:rPr>
          <w:rFonts w:ascii="serif" w:hAnsi="serif" w:cs="serif"/>
          <w:color w:val="000000"/>
          <w:sz w:val="20"/>
          <w:szCs w:val="20"/>
        </w:rPr>
        <w:t xml:space="preserve"> holiday pay do not involve a claim for sums due under the contract as such. Rather, the sums are due by virtue of a statutory right in the WTR 1998, which Parliament has decided should be enforced in the employment tribunals, subject to a three-month time limit. However, unlike such payments, contractual holiday pay can be sued for in the courts, as well as in the employment tribunal, where it would be subject to a six-year limitation period under the Limitation Act 1980”.</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Pr="009E78EF" w:rsidRDefault="001A25C6" w:rsidP="001A25C6">
      <w:pPr>
        <w:widowControl w:val="0"/>
        <w:autoSpaceDE w:val="0"/>
        <w:autoSpaceDN w:val="0"/>
        <w:adjustRightInd w:val="0"/>
        <w:spacing w:before="560" w:after="0" w:line="240" w:lineRule="auto"/>
        <w:jc w:val="both"/>
        <w:rPr>
          <w:rFonts w:ascii="serif" w:hAnsi="serif" w:cs="serif"/>
          <w:b/>
          <w:bCs/>
          <w:color w:val="212121"/>
        </w:rPr>
      </w:pPr>
      <w:r w:rsidRPr="009E78EF">
        <w:rPr>
          <w:rFonts w:ascii="serif" w:hAnsi="serif" w:cs="serif"/>
          <w:b/>
          <w:bCs/>
          <w:color w:val="212121"/>
        </w:rPr>
        <w:t>Is income tax payable on arrears of holiday pay?</w:t>
      </w:r>
    </w:p>
    <w:p w:rsidR="009E78EF" w:rsidRDefault="009E78EF" w:rsidP="001A25C6">
      <w:pPr>
        <w:widowControl w:val="0"/>
        <w:autoSpaceDE w:val="0"/>
        <w:autoSpaceDN w:val="0"/>
        <w:adjustRightInd w:val="0"/>
        <w:spacing w:before="560" w:after="0" w:line="240" w:lineRule="auto"/>
        <w:jc w:val="both"/>
        <w:rPr>
          <w:rFonts w:ascii="serif" w:hAnsi="serif" w:cs="serif"/>
          <w:b/>
          <w:bCs/>
          <w:color w:val="212121"/>
          <w:sz w:val="28"/>
          <w:szCs w:val="28"/>
        </w:rPr>
      </w:pP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Yes. HMRC takes the view that arrears of pay are “earnings”. This position is likely to extend to arrears of holiday pay, even if paid under a settlement agreement or pursuant to an order or a court or tribunal, and whether paid before or after termination of employment. HMRC would be likely to challenge any attempt to treat the payment as a termination payment (whereby only the excess over £30,000 would be taxable).</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Pr="009E78EF" w:rsidRDefault="001A25C6" w:rsidP="001A25C6">
      <w:pPr>
        <w:widowControl w:val="0"/>
        <w:autoSpaceDE w:val="0"/>
        <w:autoSpaceDN w:val="0"/>
        <w:adjustRightInd w:val="0"/>
        <w:spacing w:before="560" w:after="0" w:line="240" w:lineRule="auto"/>
        <w:jc w:val="both"/>
        <w:rPr>
          <w:rFonts w:ascii="serif" w:hAnsi="serif" w:cs="serif"/>
          <w:b/>
          <w:bCs/>
          <w:color w:val="212121"/>
        </w:rPr>
      </w:pPr>
      <w:bookmarkStart w:id="24" w:name="co_anchor_a427459_1"/>
      <w:bookmarkEnd w:id="24"/>
      <w:r w:rsidRPr="009E78EF">
        <w:rPr>
          <w:rFonts w:ascii="serif" w:hAnsi="serif" w:cs="serif"/>
          <w:b/>
          <w:bCs/>
          <w:color w:val="212121"/>
        </w:rPr>
        <w:t>Can workers claim interest on awards of holiday pay?</w:t>
      </w:r>
    </w:p>
    <w:p w:rsidR="009E78EF" w:rsidRDefault="009E78EF" w:rsidP="001A25C6">
      <w:pPr>
        <w:widowControl w:val="0"/>
        <w:autoSpaceDE w:val="0"/>
        <w:autoSpaceDN w:val="0"/>
        <w:adjustRightInd w:val="0"/>
        <w:spacing w:before="560" w:after="0" w:line="240" w:lineRule="auto"/>
        <w:jc w:val="both"/>
        <w:rPr>
          <w:rFonts w:ascii="serif" w:hAnsi="serif" w:cs="serif"/>
          <w:b/>
          <w:bCs/>
          <w:color w:val="212121"/>
          <w:sz w:val="28"/>
          <w:szCs w:val="28"/>
        </w:rPr>
      </w:pP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Probably not. In an unlawful deductions claim, an employment tribunal may award a sum that it “considers appropriate” to compensate the worker for “any financial loss sustained by him which is attributable to the matter complained of”. In theory, this could allow a successful claimant to recover interest on their award. However, in practice it is unlikely that workers will be able to point to actual financial loss flowing from the failure to pay holiday pay at the correct rate.</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FF"/>
          <w:sz w:val="20"/>
          <w:szCs w:val="20"/>
        </w:rPr>
      </w:pPr>
      <w:bookmarkStart w:id="25" w:name="co_anchor_a696882_1"/>
      <w:bookmarkEnd w:id="25"/>
    </w:p>
    <w:p w:rsidR="001A25C6" w:rsidRDefault="001A25C6" w:rsidP="001A25C6">
      <w:pPr>
        <w:widowControl w:val="0"/>
        <w:autoSpaceDE w:val="0"/>
        <w:autoSpaceDN w:val="0"/>
        <w:adjustRightInd w:val="0"/>
        <w:spacing w:after="0" w:line="240" w:lineRule="auto"/>
        <w:jc w:val="both"/>
        <w:rPr>
          <w:rFonts w:ascii="serif" w:hAnsi="serif" w:cs="serif"/>
          <w:color w:val="0000FF"/>
          <w:sz w:val="20"/>
          <w:szCs w:val="20"/>
        </w:rPr>
      </w:pPr>
      <w:bookmarkStart w:id="26" w:name="co_anchor_a337481_1"/>
      <w:bookmarkEnd w:id="26"/>
    </w:p>
    <w:p w:rsidR="001A25C6" w:rsidRDefault="001A25C6" w:rsidP="001A25C6">
      <w:pPr>
        <w:widowControl w:val="0"/>
        <w:autoSpaceDE w:val="0"/>
        <w:autoSpaceDN w:val="0"/>
        <w:adjustRightInd w:val="0"/>
        <w:spacing w:before="200" w:after="0" w:line="240" w:lineRule="auto"/>
        <w:jc w:val="both"/>
        <w:rPr>
          <w:rFonts w:ascii="serif" w:hAnsi="serif" w:cs="serif"/>
          <w:b/>
          <w:bCs/>
          <w:color w:val="212121"/>
          <w:sz w:val="24"/>
          <w:szCs w:val="24"/>
        </w:rPr>
      </w:pPr>
      <w:r w:rsidRPr="009E78EF">
        <w:rPr>
          <w:rFonts w:ascii="serif" w:hAnsi="serif" w:cs="serif"/>
          <w:b/>
          <w:bCs/>
          <w:color w:val="212121"/>
          <w:sz w:val="24"/>
          <w:szCs w:val="24"/>
        </w:rPr>
        <w:t>Employment tribunal practice directions on amending claims</w:t>
      </w:r>
    </w:p>
    <w:p w:rsidR="009E78EF" w:rsidRPr="009E78EF" w:rsidRDefault="009E78EF" w:rsidP="001A25C6">
      <w:pPr>
        <w:widowControl w:val="0"/>
        <w:autoSpaceDE w:val="0"/>
        <w:autoSpaceDN w:val="0"/>
        <w:adjustRightInd w:val="0"/>
        <w:spacing w:before="200" w:after="0" w:line="240" w:lineRule="auto"/>
        <w:jc w:val="both"/>
        <w:rPr>
          <w:rFonts w:ascii="serif" w:hAnsi="serif" w:cs="serif"/>
          <w:b/>
          <w:bCs/>
          <w:color w:val="212121"/>
          <w:sz w:val="24"/>
          <w:szCs w:val="24"/>
        </w:rPr>
      </w:pP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On 11 December 2014, practice directions were issued by the Employment Tribunals of England and Wales and Scotland relating to holiday pay claims. The two practice directions allow claimants to amend previously presented holiday pay claims to add further complaints that have accrued or arisen after the presentation of the original claim, if the new claims could not have been included in the original claim. Any application to amend the claim will then be considered by a judge in accordance with the usual principles for amendment.</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This is designed to assist with case management and means that, where there are instances of ongoing underpaid holiday pay, claimants will not need to incur additional tribunal fees by submitting a fresh tribunal claim for each unlawful deduction, where there is or may be a gap of more than three months between deductions.</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The practice directions were updated on 27 March 2015. The following minor changes are of note:</w:t>
      </w:r>
    </w:p>
    <w:p w:rsidR="001A25C6" w:rsidRDefault="001A25C6" w:rsidP="001A25C6">
      <w:pPr>
        <w:widowControl w:val="0"/>
        <w:autoSpaceDE w:val="0"/>
        <w:autoSpaceDN w:val="0"/>
        <w:adjustRightInd w:val="0"/>
        <w:spacing w:after="0" w:line="240" w:lineRule="auto"/>
        <w:jc w:val="both"/>
        <w:rPr>
          <w:rFonts w:ascii="serif" w:hAnsi="serif" w:cs="serif"/>
          <w:color w:val="000000"/>
          <w:sz w:val="20"/>
          <w:szCs w:val="20"/>
        </w:rPr>
      </w:pPr>
      <w:r>
        <w:rPr>
          <w:rFonts w:ascii="serif" w:hAnsi="serif" w:cs="serif"/>
          <w:color w:val="000000"/>
          <w:sz w:val="20"/>
          <w:szCs w:val="20"/>
        </w:rPr>
        <w:t> </w:t>
      </w:r>
    </w:p>
    <w:p w:rsidR="001A25C6" w:rsidRDefault="001A25C6" w:rsidP="001A25C6">
      <w:pPr>
        <w:widowControl w:val="0"/>
        <w:numPr>
          <w:ilvl w:val="0"/>
          <w:numId w:val="32"/>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lastRenderedPageBreak/>
        <w:t>The removal of the requirement for the application to set out the basis of the complaint.</w:t>
      </w:r>
    </w:p>
    <w:p w:rsidR="001A25C6" w:rsidRDefault="001A25C6" w:rsidP="001A25C6">
      <w:pPr>
        <w:widowControl w:val="0"/>
        <w:numPr>
          <w:ilvl w:val="0"/>
          <w:numId w:val="33"/>
        </w:numPr>
        <w:autoSpaceDE w:val="0"/>
        <w:autoSpaceDN w:val="0"/>
        <w:adjustRightInd w:val="0"/>
        <w:spacing w:after="0" w:line="240" w:lineRule="auto"/>
        <w:ind w:left="480" w:hanging="360"/>
        <w:jc w:val="both"/>
        <w:rPr>
          <w:rFonts w:ascii="serif" w:hAnsi="serif" w:cs="serif"/>
          <w:color w:val="000000"/>
          <w:sz w:val="20"/>
          <w:szCs w:val="20"/>
        </w:rPr>
      </w:pPr>
      <w:r>
        <w:rPr>
          <w:rFonts w:ascii="serif" w:hAnsi="serif" w:cs="serif"/>
          <w:color w:val="000000"/>
          <w:sz w:val="20"/>
          <w:szCs w:val="20"/>
        </w:rPr>
        <w:t>The introduction of a provision allowing an employment judge to accept an application, even if it does not meet the requirements of the direction, if the application explains the non-compliance and why it would be in the interests of justice to accept it, and the judge considers that it would be in the interests of justice to do so.</w:t>
      </w:r>
    </w:p>
    <w:p w:rsidR="001A25C6" w:rsidRDefault="001A25C6" w:rsidP="001A25C6">
      <w:pPr>
        <w:widowControl w:val="0"/>
        <w:autoSpaceDE w:val="0"/>
        <w:autoSpaceDN w:val="0"/>
        <w:adjustRightInd w:val="0"/>
        <w:spacing w:after="0" w:line="240" w:lineRule="auto"/>
        <w:jc w:val="both"/>
        <w:rPr>
          <w:rFonts w:ascii="serif" w:hAnsi="serif" w:cs="serif"/>
          <w:color w:val="0000FF"/>
          <w:sz w:val="20"/>
          <w:szCs w:val="20"/>
        </w:rPr>
      </w:pPr>
      <w:bookmarkStart w:id="27" w:name="co_anchor_a67466_1"/>
      <w:bookmarkEnd w:id="27"/>
    </w:p>
    <w:sectPr w:rsidR="001A25C6" w:rsidSect="009B7FD2">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Myriad Pro">
    <w:altName w:val="Corbel"/>
    <w:panose1 w:val="00000000000000000000"/>
    <w:charset w:val="00"/>
    <w:family w:val="swiss"/>
    <w:notTrueType/>
    <w:pitch w:val="variable"/>
    <w:sig w:usb0="00000001" w:usb1="5000204B" w:usb2="00000000" w:usb3="00000000" w:csb0="0000009F" w:csb1="00000000"/>
  </w:font>
  <w:font w:name="serif">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8300B8EE"/>
    <w:multiLevelType w:val="singleLevel"/>
    <w:tmpl w:val="E59189EF"/>
    <w:lvl w:ilvl="0">
      <w:numFmt w:val="decimal"/>
      <w:lvlText w:val="•"/>
      <w:lvlJc w:val="left"/>
    </w:lvl>
  </w:abstractNum>
  <w:abstractNum w:abstractNumId="1" w15:restartNumberingAfterBreak="0">
    <w:nsid w:val="8D7670AD"/>
    <w:multiLevelType w:val="singleLevel"/>
    <w:tmpl w:val="FC93C5EB"/>
    <w:lvl w:ilvl="0">
      <w:numFmt w:val="decimal"/>
      <w:lvlText w:val="•"/>
      <w:lvlJc w:val="left"/>
    </w:lvl>
  </w:abstractNum>
  <w:abstractNum w:abstractNumId="2" w15:restartNumberingAfterBreak="0">
    <w:nsid w:val="92A3D088"/>
    <w:multiLevelType w:val="singleLevel"/>
    <w:tmpl w:val="7AD47229"/>
    <w:lvl w:ilvl="0">
      <w:numFmt w:val="decimal"/>
      <w:lvlText w:val="•"/>
      <w:lvlJc w:val="left"/>
    </w:lvl>
  </w:abstractNum>
  <w:abstractNum w:abstractNumId="3" w15:restartNumberingAfterBreak="0">
    <w:nsid w:val="93AC6C32"/>
    <w:multiLevelType w:val="singleLevel"/>
    <w:tmpl w:val="9343BF4C"/>
    <w:lvl w:ilvl="0">
      <w:numFmt w:val="decimal"/>
      <w:lvlText w:val="•"/>
      <w:lvlJc w:val="left"/>
    </w:lvl>
  </w:abstractNum>
  <w:abstractNum w:abstractNumId="4" w15:restartNumberingAfterBreak="0">
    <w:nsid w:val="A2FB6057"/>
    <w:multiLevelType w:val="singleLevel"/>
    <w:tmpl w:val="21D4CE22"/>
    <w:lvl w:ilvl="0">
      <w:numFmt w:val="decimal"/>
      <w:lvlText w:val="•"/>
      <w:lvlJc w:val="left"/>
    </w:lvl>
  </w:abstractNum>
  <w:abstractNum w:abstractNumId="5" w15:restartNumberingAfterBreak="0">
    <w:nsid w:val="A7BD60A0"/>
    <w:multiLevelType w:val="singleLevel"/>
    <w:tmpl w:val="4331EAF2"/>
    <w:lvl w:ilvl="0">
      <w:numFmt w:val="decimal"/>
      <w:lvlText w:val="•"/>
      <w:lvlJc w:val="left"/>
    </w:lvl>
  </w:abstractNum>
  <w:abstractNum w:abstractNumId="6" w15:restartNumberingAfterBreak="0">
    <w:nsid w:val="A94C7B16"/>
    <w:multiLevelType w:val="singleLevel"/>
    <w:tmpl w:val="4CEA9019"/>
    <w:lvl w:ilvl="0">
      <w:numFmt w:val="decimal"/>
      <w:lvlText w:val="•"/>
      <w:lvlJc w:val="left"/>
    </w:lvl>
  </w:abstractNum>
  <w:abstractNum w:abstractNumId="7" w15:restartNumberingAfterBreak="0">
    <w:nsid w:val="AC09CE88"/>
    <w:multiLevelType w:val="singleLevel"/>
    <w:tmpl w:val="6CAB8DD8"/>
    <w:lvl w:ilvl="0">
      <w:numFmt w:val="decimal"/>
      <w:lvlText w:val="•"/>
      <w:lvlJc w:val="left"/>
    </w:lvl>
  </w:abstractNum>
  <w:abstractNum w:abstractNumId="8" w15:restartNumberingAfterBreak="0">
    <w:nsid w:val="B1BEE7AB"/>
    <w:multiLevelType w:val="singleLevel"/>
    <w:tmpl w:val="35C808DD"/>
    <w:lvl w:ilvl="0">
      <w:numFmt w:val="decimal"/>
      <w:lvlText w:val="•"/>
      <w:lvlJc w:val="left"/>
    </w:lvl>
  </w:abstractNum>
  <w:abstractNum w:abstractNumId="9" w15:restartNumberingAfterBreak="0">
    <w:nsid w:val="B277FDDF"/>
    <w:multiLevelType w:val="singleLevel"/>
    <w:tmpl w:val="64402E7C"/>
    <w:lvl w:ilvl="0">
      <w:numFmt w:val="decimal"/>
      <w:lvlText w:val="•"/>
      <w:lvlJc w:val="left"/>
    </w:lvl>
  </w:abstractNum>
  <w:abstractNum w:abstractNumId="10" w15:restartNumberingAfterBreak="0">
    <w:nsid w:val="B33613AE"/>
    <w:multiLevelType w:val="singleLevel"/>
    <w:tmpl w:val="AC2BF9A7"/>
    <w:lvl w:ilvl="0">
      <w:numFmt w:val="decimal"/>
      <w:lvlText w:val="•"/>
      <w:lvlJc w:val="left"/>
    </w:lvl>
  </w:abstractNum>
  <w:abstractNum w:abstractNumId="11" w15:restartNumberingAfterBreak="0">
    <w:nsid w:val="B53AB3E0"/>
    <w:multiLevelType w:val="singleLevel"/>
    <w:tmpl w:val="8CAF1208"/>
    <w:lvl w:ilvl="0">
      <w:numFmt w:val="decimal"/>
      <w:lvlText w:val="•"/>
      <w:lvlJc w:val="left"/>
    </w:lvl>
  </w:abstractNum>
  <w:abstractNum w:abstractNumId="12" w15:restartNumberingAfterBreak="0">
    <w:nsid w:val="C032A568"/>
    <w:multiLevelType w:val="singleLevel"/>
    <w:tmpl w:val="A1A7B68F"/>
    <w:lvl w:ilvl="0">
      <w:numFmt w:val="decimal"/>
      <w:lvlText w:val="•"/>
      <w:lvlJc w:val="left"/>
    </w:lvl>
  </w:abstractNum>
  <w:abstractNum w:abstractNumId="13" w15:restartNumberingAfterBreak="0">
    <w:nsid w:val="CEF85CBA"/>
    <w:multiLevelType w:val="singleLevel"/>
    <w:tmpl w:val="77D7893B"/>
    <w:lvl w:ilvl="0">
      <w:numFmt w:val="decimal"/>
      <w:lvlText w:val="•"/>
      <w:lvlJc w:val="left"/>
    </w:lvl>
  </w:abstractNum>
  <w:abstractNum w:abstractNumId="14" w15:restartNumberingAfterBreak="0">
    <w:nsid w:val="D10DE3E3"/>
    <w:multiLevelType w:val="singleLevel"/>
    <w:tmpl w:val="421D0134"/>
    <w:lvl w:ilvl="0">
      <w:numFmt w:val="decimal"/>
      <w:lvlText w:val="•"/>
      <w:lvlJc w:val="left"/>
    </w:lvl>
  </w:abstractNum>
  <w:abstractNum w:abstractNumId="15" w15:restartNumberingAfterBreak="0">
    <w:nsid w:val="D4F17A82"/>
    <w:multiLevelType w:val="singleLevel"/>
    <w:tmpl w:val="17F8B429"/>
    <w:lvl w:ilvl="0">
      <w:numFmt w:val="decimal"/>
      <w:lvlText w:val="•"/>
      <w:lvlJc w:val="left"/>
    </w:lvl>
  </w:abstractNum>
  <w:abstractNum w:abstractNumId="16" w15:restartNumberingAfterBreak="0">
    <w:nsid w:val="D5813E40"/>
    <w:multiLevelType w:val="singleLevel"/>
    <w:tmpl w:val="ADE06A48"/>
    <w:lvl w:ilvl="0">
      <w:numFmt w:val="decimal"/>
      <w:lvlText w:val="•"/>
      <w:lvlJc w:val="left"/>
    </w:lvl>
  </w:abstractNum>
  <w:abstractNum w:abstractNumId="17" w15:restartNumberingAfterBreak="0">
    <w:nsid w:val="E9638DD3"/>
    <w:multiLevelType w:val="singleLevel"/>
    <w:tmpl w:val="DBE0E8CE"/>
    <w:lvl w:ilvl="0">
      <w:numFmt w:val="decimal"/>
      <w:lvlText w:val="•"/>
      <w:lvlJc w:val="left"/>
    </w:lvl>
  </w:abstractNum>
  <w:abstractNum w:abstractNumId="18" w15:restartNumberingAfterBreak="0">
    <w:nsid w:val="F6FC90E0"/>
    <w:multiLevelType w:val="singleLevel"/>
    <w:tmpl w:val="C524650B"/>
    <w:lvl w:ilvl="0">
      <w:numFmt w:val="decimal"/>
      <w:lvlText w:val="•"/>
      <w:lvlJc w:val="left"/>
    </w:lvl>
  </w:abstractNum>
  <w:abstractNum w:abstractNumId="19" w15:restartNumberingAfterBreak="0">
    <w:nsid w:val="F9581343"/>
    <w:multiLevelType w:val="singleLevel"/>
    <w:tmpl w:val="84904420"/>
    <w:lvl w:ilvl="0">
      <w:numFmt w:val="decimal"/>
      <w:lvlText w:val="•"/>
      <w:lvlJc w:val="left"/>
    </w:lvl>
  </w:abstractNum>
  <w:abstractNum w:abstractNumId="20" w15:restartNumberingAfterBreak="0">
    <w:nsid w:val="00BA98F2"/>
    <w:multiLevelType w:val="singleLevel"/>
    <w:tmpl w:val="FC2A83C0"/>
    <w:lvl w:ilvl="0">
      <w:numFmt w:val="decimal"/>
      <w:lvlText w:val=" "/>
      <w:lvlJc w:val="left"/>
    </w:lvl>
  </w:abstractNum>
  <w:abstractNum w:abstractNumId="21" w15:restartNumberingAfterBreak="0">
    <w:nsid w:val="00EC17CA"/>
    <w:multiLevelType w:val="singleLevel"/>
    <w:tmpl w:val="F0415A68"/>
    <w:lvl w:ilvl="0">
      <w:numFmt w:val="decimal"/>
      <w:lvlText w:val="•"/>
      <w:lvlJc w:val="left"/>
    </w:lvl>
  </w:abstractNum>
  <w:abstractNum w:abstractNumId="22" w15:restartNumberingAfterBreak="0">
    <w:nsid w:val="0AC4B42E"/>
    <w:multiLevelType w:val="singleLevel"/>
    <w:tmpl w:val="9BEA5AC6"/>
    <w:lvl w:ilvl="0">
      <w:numFmt w:val="decimal"/>
      <w:lvlText w:val="•"/>
      <w:lvlJc w:val="left"/>
    </w:lvl>
  </w:abstractNum>
  <w:abstractNum w:abstractNumId="23" w15:restartNumberingAfterBreak="0">
    <w:nsid w:val="183150E3"/>
    <w:multiLevelType w:val="singleLevel"/>
    <w:tmpl w:val="4584922F"/>
    <w:lvl w:ilvl="0">
      <w:numFmt w:val="decimal"/>
      <w:lvlText w:val="•"/>
      <w:lvlJc w:val="left"/>
    </w:lvl>
  </w:abstractNum>
  <w:abstractNum w:abstractNumId="24" w15:restartNumberingAfterBreak="0">
    <w:nsid w:val="195838A9"/>
    <w:multiLevelType w:val="singleLevel"/>
    <w:tmpl w:val="4C3E38CB"/>
    <w:lvl w:ilvl="0">
      <w:numFmt w:val="decimal"/>
      <w:lvlText w:val="•"/>
      <w:lvlJc w:val="left"/>
    </w:lvl>
  </w:abstractNum>
  <w:abstractNum w:abstractNumId="25" w15:restartNumberingAfterBreak="0">
    <w:nsid w:val="1EC1B155"/>
    <w:multiLevelType w:val="singleLevel"/>
    <w:tmpl w:val="5A7D5D0D"/>
    <w:lvl w:ilvl="0">
      <w:numFmt w:val="decimal"/>
      <w:lvlText w:val="•"/>
      <w:lvlJc w:val="left"/>
    </w:lvl>
  </w:abstractNum>
  <w:abstractNum w:abstractNumId="26" w15:restartNumberingAfterBreak="0">
    <w:nsid w:val="247EAD00"/>
    <w:multiLevelType w:val="singleLevel"/>
    <w:tmpl w:val="421D0134"/>
    <w:lvl w:ilvl="0">
      <w:numFmt w:val="decimal"/>
      <w:lvlText w:val="•"/>
      <w:lvlJc w:val="left"/>
    </w:lvl>
  </w:abstractNum>
  <w:abstractNum w:abstractNumId="27" w15:restartNumberingAfterBreak="0">
    <w:nsid w:val="376AC83F"/>
    <w:multiLevelType w:val="singleLevel"/>
    <w:tmpl w:val="F9ACD35B"/>
    <w:lvl w:ilvl="0">
      <w:numFmt w:val="decimal"/>
      <w:lvlText w:val="•"/>
      <w:lvlJc w:val="left"/>
    </w:lvl>
  </w:abstractNum>
  <w:abstractNum w:abstractNumId="28" w15:restartNumberingAfterBreak="0">
    <w:nsid w:val="3EFCD4C5"/>
    <w:multiLevelType w:val="singleLevel"/>
    <w:tmpl w:val="578E5CC3"/>
    <w:lvl w:ilvl="0">
      <w:numFmt w:val="decimal"/>
      <w:lvlText w:val="•"/>
      <w:lvlJc w:val="left"/>
    </w:lvl>
  </w:abstractNum>
  <w:abstractNum w:abstractNumId="29" w15:restartNumberingAfterBreak="0">
    <w:nsid w:val="4496B663"/>
    <w:multiLevelType w:val="singleLevel"/>
    <w:tmpl w:val="D4F86E05"/>
    <w:lvl w:ilvl="0">
      <w:numFmt w:val="decimal"/>
      <w:lvlText w:val="•"/>
      <w:lvlJc w:val="left"/>
    </w:lvl>
  </w:abstractNum>
  <w:abstractNum w:abstractNumId="30" w15:restartNumberingAfterBreak="0">
    <w:nsid w:val="4CDDB28D"/>
    <w:multiLevelType w:val="singleLevel"/>
    <w:tmpl w:val="C639B4AB"/>
    <w:lvl w:ilvl="0">
      <w:numFmt w:val="decimal"/>
      <w:lvlText w:val="•"/>
      <w:lvlJc w:val="left"/>
    </w:lvl>
  </w:abstractNum>
  <w:abstractNum w:abstractNumId="31" w15:restartNumberingAfterBreak="0">
    <w:nsid w:val="56D1F5A3"/>
    <w:multiLevelType w:val="singleLevel"/>
    <w:tmpl w:val="C8BB4E9C"/>
    <w:lvl w:ilvl="0">
      <w:numFmt w:val="decimal"/>
      <w:lvlText w:val="•"/>
      <w:lvlJc w:val="left"/>
    </w:lvl>
  </w:abstractNum>
  <w:abstractNum w:abstractNumId="32" w15:restartNumberingAfterBreak="0">
    <w:nsid w:val="59059FAC"/>
    <w:multiLevelType w:val="singleLevel"/>
    <w:tmpl w:val="48BC695D"/>
    <w:lvl w:ilvl="0">
      <w:numFmt w:val="decimal"/>
      <w:lvlText w:val="•"/>
      <w:lvlJc w:val="left"/>
    </w:lvl>
  </w:abstractNum>
  <w:abstractNum w:abstractNumId="33" w15:restartNumberingAfterBreak="0">
    <w:nsid w:val="5EB5847C"/>
    <w:multiLevelType w:val="singleLevel"/>
    <w:tmpl w:val="16F5B21D"/>
    <w:lvl w:ilvl="0">
      <w:numFmt w:val="decimal"/>
      <w:lvlText w:val="•"/>
      <w:lvlJc w:val="left"/>
    </w:lvl>
  </w:abstractNum>
  <w:abstractNum w:abstractNumId="34" w15:restartNumberingAfterBreak="0">
    <w:nsid w:val="62FDE46D"/>
    <w:multiLevelType w:val="singleLevel"/>
    <w:tmpl w:val="1DD32D37"/>
    <w:lvl w:ilvl="0">
      <w:numFmt w:val="decimal"/>
      <w:lvlText w:val="•"/>
      <w:lvlJc w:val="left"/>
    </w:lvl>
  </w:abstractNum>
  <w:abstractNum w:abstractNumId="35" w15:restartNumberingAfterBreak="0">
    <w:nsid w:val="657FCAFD"/>
    <w:multiLevelType w:val="singleLevel"/>
    <w:tmpl w:val="57C4CD27"/>
    <w:lvl w:ilvl="0">
      <w:numFmt w:val="decimal"/>
      <w:lvlText w:val="•"/>
      <w:lvlJc w:val="left"/>
    </w:lvl>
  </w:abstractNum>
  <w:abstractNum w:abstractNumId="36" w15:restartNumberingAfterBreak="0">
    <w:nsid w:val="69E57D5B"/>
    <w:multiLevelType w:val="singleLevel"/>
    <w:tmpl w:val="36D83C95"/>
    <w:lvl w:ilvl="0">
      <w:numFmt w:val="decimal"/>
      <w:lvlText w:val="•"/>
      <w:lvlJc w:val="left"/>
    </w:lvl>
  </w:abstractNum>
  <w:abstractNum w:abstractNumId="37" w15:restartNumberingAfterBreak="0">
    <w:nsid w:val="749C5CC3"/>
    <w:multiLevelType w:val="singleLevel"/>
    <w:tmpl w:val="5311A2EF"/>
    <w:lvl w:ilvl="0">
      <w:numFmt w:val="decimal"/>
      <w:lvlText w:val="•"/>
      <w:lvlJc w:val="left"/>
    </w:lvl>
  </w:abstractNum>
  <w:num w:numId="1">
    <w:abstractNumId w:val="15"/>
  </w:num>
  <w:num w:numId="2">
    <w:abstractNumId w:val="37"/>
  </w:num>
  <w:num w:numId="3">
    <w:abstractNumId w:val="26"/>
  </w:num>
  <w:num w:numId="4">
    <w:abstractNumId w:val="22"/>
  </w:num>
  <w:num w:numId="5">
    <w:abstractNumId w:val="1"/>
  </w:num>
  <w:num w:numId="6">
    <w:abstractNumId w:val="28"/>
  </w:num>
  <w:num w:numId="7">
    <w:abstractNumId w:val="33"/>
  </w:num>
  <w:num w:numId="8">
    <w:abstractNumId w:val="31"/>
  </w:num>
  <w:num w:numId="9">
    <w:abstractNumId w:val="19"/>
  </w:num>
  <w:num w:numId="10">
    <w:abstractNumId w:val="17"/>
  </w:num>
  <w:num w:numId="11">
    <w:abstractNumId w:val="14"/>
  </w:num>
  <w:num w:numId="12">
    <w:abstractNumId w:val="6"/>
  </w:num>
  <w:num w:numId="13">
    <w:abstractNumId w:val="8"/>
  </w:num>
  <w:num w:numId="14">
    <w:abstractNumId w:val="23"/>
  </w:num>
  <w:num w:numId="15">
    <w:abstractNumId w:val="35"/>
  </w:num>
  <w:num w:numId="16">
    <w:abstractNumId w:val="10"/>
  </w:num>
  <w:num w:numId="17">
    <w:abstractNumId w:val="3"/>
  </w:num>
  <w:num w:numId="18">
    <w:abstractNumId w:val="34"/>
  </w:num>
  <w:num w:numId="19">
    <w:abstractNumId w:val="13"/>
  </w:num>
  <w:num w:numId="20">
    <w:abstractNumId w:val="4"/>
  </w:num>
  <w:num w:numId="21">
    <w:abstractNumId w:val="2"/>
  </w:num>
  <w:num w:numId="22">
    <w:abstractNumId w:val="0"/>
  </w:num>
  <w:num w:numId="23">
    <w:abstractNumId w:val="32"/>
  </w:num>
  <w:num w:numId="24">
    <w:abstractNumId w:val="27"/>
  </w:num>
  <w:num w:numId="25">
    <w:abstractNumId w:val="16"/>
  </w:num>
  <w:num w:numId="26">
    <w:abstractNumId w:val="12"/>
  </w:num>
  <w:num w:numId="27">
    <w:abstractNumId w:val="7"/>
  </w:num>
  <w:num w:numId="28">
    <w:abstractNumId w:val="36"/>
  </w:num>
  <w:num w:numId="29">
    <w:abstractNumId w:val="25"/>
  </w:num>
  <w:num w:numId="30">
    <w:abstractNumId w:val="11"/>
  </w:num>
  <w:num w:numId="31">
    <w:abstractNumId w:val="24"/>
  </w:num>
  <w:num w:numId="32">
    <w:abstractNumId w:val="18"/>
  </w:num>
  <w:num w:numId="33">
    <w:abstractNumId w:val="5"/>
  </w:num>
  <w:num w:numId="34">
    <w:abstractNumId w:val="9"/>
  </w:num>
  <w:num w:numId="35">
    <w:abstractNumId w:val="30"/>
  </w:num>
  <w:num w:numId="36">
    <w:abstractNumId w:val="21"/>
  </w:num>
  <w:num w:numId="37">
    <w:abstractNumId w:val="29"/>
  </w:num>
  <w:num w:numId="3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ForceOverwriteVersion" w:val="False"/>
  </w:docVars>
  <w:rsids>
    <w:rsidRoot w:val="001A25C6"/>
    <w:rsid w:val="00080D3D"/>
    <w:rsid w:val="000A2C31"/>
    <w:rsid w:val="000D5D1F"/>
    <w:rsid w:val="000E4C3A"/>
    <w:rsid w:val="000F7B81"/>
    <w:rsid w:val="001776D0"/>
    <w:rsid w:val="00191321"/>
    <w:rsid w:val="001A25C6"/>
    <w:rsid w:val="001C3DD3"/>
    <w:rsid w:val="00222799"/>
    <w:rsid w:val="002474D8"/>
    <w:rsid w:val="00274DBD"/>
    <w:rsid w:val="002A143D"/>
    <w:rsid w:val="00363203"/>
    <w:rsid w:val="003744DD"/>
    <w:rsid w:val="003D21C0"/>
    <w:rsid w:val="003E28E5"/>
    <w:rsid w:val="0040738B"/>
    <w:rsid w:val="00442016"/>
    <w:rsid w:val="00503E87"/>
    <w:rsid w:val="00646A58"/>
    <w:rsid w:val="006654D5"/>
    <w:rsid w:val="006D69B4"/>
    <w:rsid w:val="007012EF"/>
    <w:rsid w:val="007B50D9"/>
    <w:rsid w:val="007D52E6"/>
    <w:rsid w:val="007F6D1D"/>
    <w:rsid w:val="008521F7"/>
    <w:rsid w:val="00925EF7"/>
    <w:rsid w:val="009B7FD2"/>
    <w:rsid w:val="009C06F6"/>
    <w:rsid w:val="009C627C"/>
    <w:rsid w:val="009E78EF"/>
    <w:rsid w:val="00A37342"/>
    <w:rsid w:val="00A42682"/>
    <w:rsid w:val="00A651FA"/>
    <w:rsid w:val="00BC7671"/>
    <w:rsid w:val="00C307E5"/>
    <w:rsid w:val="00C37768"/>
    <w:rsid w:val="00C54C22"/>
    <w:rsid w:val="00CF7E95"/>
    <w:rsid w:val="00D30A28"/>
    <w:rsid w:val="00D451FE"/>
    <w:rsid w:val="00DB61BE"/>
    <w:rsid w:val="00E41117"/>
    <w:rsid w:val="00E459B1"/>
    <w:rsid w:val="00F24B45"/>
    <w:rsid w:val="00F83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F138731B-7A81-4612-9156-0881A9E02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25C6"/>
    <w:pPr>
      <w:spacing w:after="200" w:line="276" w:lineRule="auto"/>
    </w:pPr>
    <w:rPr>
      <w:rFonts w:asciiTheme="minorHAnsi" w:eastAsiaTheme="minorEastAsia" w:hAnsiTheme="minorHAnsi" w:cstheme="min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5E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uk.practicallaw.thomsonreuters.com/3-509-0517?originationContext=document&amp;vr=3.0&amp;rs=PLUK1.0&amp;transitionType=PLDocumentLink&amp;contextData=(sc.Default)"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61C1302-9844-47E6-9DE6-C9B572DA6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3648</Words>
  <Characters>20794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JCP Solicitors</Company>
  <LinksUpToDate>false</LinksUpToDate>
  <CharactersWithSpaces>24394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Paul.Shuttleworth</dc:creator>
  <cp:lastModifiedBy>Julie Potter</cp:lastModifiedBy>
  <cp:revision>2</cp:revision>
  <cp:lastPrinted>2017-01-30T08:38:00Z</cp:lastPrinted>
  <dcterms:created xsi:type="dcterms:W3CDTF">2017-09-20T13:03:00Z</dcterms:created>
  <dcterms:modified xsi:type="dcterms:W3CDTF">2017-09-20T13:03:00Z</dcterms:modified>
</cp:coreProperties>
</file>