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19DFAD8F" w:rsidR="000264A1" w:rsidRDefault="000264A1" w:rsidP="000264A1">
      <w:r>
        <w:fldChar w:fldCharType="begin"/>
      </w:r>
      <w:r>
        <w:instrText xml:space="preserve"> INCLUDEPICTURE "/Users/biancasanfilippo/Library/Group Containers/UBF8T346G9.ms/WebArchiveCopyPasteTempFiles/com.microsoft.Word/UWTSD-Logo.jpg" \* MERGEFORMATINET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7A5FD469" w14:textId="18197D29" w:rsidR="00041093" w:rsidRDefault="000264A1" w:rsidP="00041093">
      <w:pPr>
        <w:jc w:val="center"/>
        <w:rPr>
          <w:rStyle w:val="Strong"/>
          <w:rFonts w:ascii="Arial" w:hAnsi="Arial" w:cs="Arial"/>
          <w:color w:val="1D2125"/>
          <w:sz w:val="36"/>
          <w:szCs w:val="36"/>
        </w:rPr>
      </w:pPr>
      <w:r w:rsidRPr="000264A1">
        <w:rPr>
          <w:rStyle w:val="Strong"/>
          <w:rFonts w:ascii="Arial" w:hAnsi="Arial" w:cs="Arial"/>
          <w:color w:val="1D2125"/>
          <w:sz w:val="36"/>
          <w:szCs w:val="36"/>
        </w:rPr>
        <w:t>Psychopathological Classifications and Provisions</w:t>
      </w: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Default="000264A1" w:rsidP="000264A1">
      <w:pPr>
        <w:jc w:val="center"/>
        <w:rPr>
          <w:rStyle w:val="Strong"/>
          <w:rFonts w:ascii="Arial" w:hAnsi="Arial" w:cs="Arial"/>
          <w:color w:val="1D2125"/>
          <w:sz w:val="36"/>
          <w:szCs w:val="36"/>
        </w:rPr>
      </w:pPr>
    </w:p>
    <w:p w14:paraId="3EB38F85" w14:textId="677777FB" w:rsidR="00041093" w:rsidRDefault="00041093" w:rsidP="00041093">
      <w:pPr>
        <w:rPr>
          <w:rFonts w:ascii="Arial" w:hAnsi="Arial" w:cs="Arial"/>
          <w:b/>
          <w:bCs/>
          <w:sz w:val="36"/>
          <w:szCs w:val="36"/>
        </w:rPr>
      </w:pPr>
      <w:r w:rsidRPr="00905853">
        <w:rPr>
          <w:rFonts w:ascii="Arial" w:hAnsi="Arial" w:cs="Arial"/>
          <w:b/>
          <w:bCs/>
          <w:sz w:val="36"/>
          <w:szCs w:val="36"/>
        </w:rPr>
        <w:t>Name:</w:t>
      </w:r>
      <w:r>
        <w:rPr>
          <w:rFonts w:ascii="Arial" w:hAnsi="Arial" w:cs="Arial"/>
          <w:b/>
          <w:bCs/>
          <w:sz w:val="36"/>
          <w:szCs w:val="36"/>
        </w:rPr>
        <w:t xml:space="preserve"> Ramsey Nakazibwe </w:t>
      </w:r>
    </w:p>
    <w:p w14:paraId="0995C666" w14:textId="77777777" w:rsidR="00041093" w:rsidRPr="00905853" w:rsidRDefault="00041093" w:rsidP="00041093">
      <w:pPr>
        <w:rPr>
          <w:rFonts w:ascii="Arial" w:hAnsi="Arial" w:cs="Arial"/>
          <w:b/>
          <w:bCs/>
          <w:sz w:val="36"/>
          <w:szCs w:val="36"/>
        </w:rPr>
      </w:pPr>
    </w:p>
    <w:p w14:paraId="51E8EBCE" w14:textId="1E44D278" w:rsidR="00041093" w:rsidRDefault="00041093" w:rsidP="00041093">
      <w:pPr>
        <w:rPr>
          <w:rFonts w:ascii="Arial" w:hAnsi="Arial" w:cs="Arial"/>
          <w:b/>
          <w:bCs/>
          <w:sz w:val="36"/>
          <w:szCs w:val="36"/>
        </w:rPr>
      </w:pPr>
      <w:r w:rsidRPr="00905853">
        <w:rPr>
          <w:rFonts w:ascii="Arial" w:hAnsi="Arial" w:cs="Arial"/>
          <w:b/>
          <w:bCs/>
          <w:sz w:val="36"/>
          <w:szCs w:val="36"/>
        </w:rPr>
        <w:t>Module code:</w:t>
      </w:r>
      <w:r w:rsidR="009263E2">
        <w:rPr>
          <w:rFonts w:ascii="Arial" w:hAnsi="Arial" w:cs="Arial"/>
          <w:b/>
          <w:bCs/>
          <w:sz w:val="36"/>
          <w:szCs w:val="36"/>
        </w:rPr>
        <w:t xml:space="preserve"> BMHP6029</w:t>
      </w:r>
    </w:p>
    <w:p w14:paraId="6FAB12E1" w14:textId="77777777" w:rsidR="00041093" w:rsidRPr="00905853" w:rsidRDefault="00041093" w:rsidP="00041093">
      <w:pPr>
        <w:rPr>
          <w:rFonts w:ascii="Arial" w:hAnsi="Arial" w:cs="Arial"/>
          <w:b/>
          <w:bCs/>
          <w:sz w:val="36"/>
          <w:szCs w:val="36"/>
        </w:rPr>
      </w:pPr>
    </w:p>
    <w:p w14:paraId="110021CD" w14:textId="60F3D1C5" w:rsidR="00041093" w:rsidRDefault="00041093" w:rsidP="00041093">
      <w:pPr>
        <w:rPr>
          <w:rFonts w:ascii="Arial" w:hAnsi="Arial" w:cs="Arial"/>
          <w:b/>
          <w:bCs/>
          <w:sz w:val="36"/>
          <w:szCs w:val="36"/>
        </w:rPr>
      </w:pPr>
      <w:r w:rsidRPr="00905853">
        <w:rPr>
          <w:rFonts w:ascii="Arial" w:hAnsi="Arial" w:cs="Arial"/>
          <w:b/>
          <w:bCs/>
          <w:sz w:val="36"/>
          <w:szCs w:val="36"/>
        </w:rPr>
        <w:t>Assignment</w:t>
      </w:r>
      <w:r w:rsidR="003864C2">
        <w:rPr>
          <w:rFonts w:ascii="Arial" w:hAnsi="Arial" w:cs="Arial"/>
          <w:b/>
          <w:bCs/>
          <w:sz w:val="36"/>
          <w:szCs w:val="36"/>
        </w:rPr>
        <w:t xml:space="preserve">: </w:t>
      </w:r>
      <w:r w:rsidR="00F037CE">
        <w:rPr>
          <w:rFonts w:ascii="Arial" w:hAnsi="Arial" w:cs="Arial"/>
          <w:b/>
          <w:bCs/>
          <w:sz w:val="36"/>
          <w:szCs w:val="36"/>
        </w:rPr>
        <w:t>Component</w:t>
      </w:r>
      <w:r w:rsidR="003864C2">
        <w:rPr>
          <w:rFonts w:ascii="Arial" w:hAnsi="Arial" w:cs="Arial"/>
          <w:b/>
          <w:bCs/>
          <w:sz w:val="36"/>
          <w:szCs w:val="36"/>
        </w:rPr>
        <w:t xml:space="preserve"> </w:t>
      </w:r>
      <w:r w:rsidR="00FF56DA">
        <w:rPr>
          <w:rFonts w:ascii="Arial" w:hAnsi="Arial" w:cs="Arial"/>
          <w:b/>
          <w:bCs/>
          <w:sz w:val="36"/>
          <w:szCs w:val="36"/>
        </w:rPr>
        <w:t xml:space="preserve">2 </w:t>
      </w:r>
      <w:r w:rsidR="00F037CE">
        <w:rPr>
          <w:rFonts w:ascii="Arial" w:hAnsi="Arial" w:cs="Arial"/>
          <w:b/>
          <w:bCs/>
          <w:sz w:val="36"/>
          <w:szCs w:val="36"/>
        </w:rPr>
        <w:t>Report</w:t>
      </w:r>
    </w:p>
    <w:p w14:paraId="4D1D63DA" w14:textId="77777777" w:rsidR="00041093" w:rsidRPr="00905853" w:rsidRDefault="00041093" w:rsidP="00041093">
      <w:pPr>
        <w:rPr>
          <w:rFonts w:ascii="Arial" w:hAnsi="Arial" w:cs="Arial"/>
          <w:b/>
          <w:bCs/>
          <w:sz w:val="36"/>
          <w:szCs w:val="36"/>
        </w:rPr>
      </w:pPr>
    </w:p>
    <w:p w14:paraId="7B8C8CBD" w14:textId="19F869AC" w:rsidR="00041093" w:rsidRDefault="00041093" w:rsidP="00041093">
      <w:pPr>
        <w:rPr>
          <w:rFonts w:ascii="Arial" w:hAnsi="Arial" w:cs="Arial"/>
          <w:b/>
          <w:bCs/>
          <w:sz w:val="36"/>
          <w:szCs w:val="36"/>
        </w:rPr>
      </w:pPr>
      <w:r w:rsidRPr="00905853">
        <w:rPr>
          <w:rFonts w:ascii="Arial" w:hAnsi="Arial" w:cs="Arial"/>
          <w:b/>
          <w:bCs/>
          <w:sz w:val="36"/>
          <w:szCs w:val="36"/>
        </w:rPr>
        <w:t>Lecturer:</w:t>
      </w:r>
      <w:r w:rsidR="00A43533">
        <w:rPr>
          <w:rFonts w:ascii="Arial" w:hAnsi="Arial" w:cs="Arial"/>
          <w:b/>
          <w:bCs/>
          <w:sz w:val="36"/>
          <w:szCs w:val="36"/>
        </w:rPr>
        <w:t xml:space="preserve"> Bianca </w:t>
      </w:r>
      <w:r w:rsidR="00A336CB">
        <w:rPr>
          <w:rFonts w:ascii="Arial" w:hAnsi="Arial" w:cs="Arial"/>
          <w:b/>
          <w:bCs/>
          <w:sz w:val="36"/>
          <w:szCs w:val="36"/>
        </w:rPr>
        <w:t>San</w:t>
      </w:r>
      <w:r w:rsidR="007347E4">
        <w:rPr>
          <w:rFonts w:ascii="Arial" w:hAnsi="Arial" w:cs="Arial"/>
          <w:b/>
          <w:bCs/>
          <w:sz w:val="36"/>
          <w:szCs w:val="36"/>
        </w:rPr>
        <w:t>filippo</w:t>
      </w:r>
    </w:p>
    <w:p w14:paraId="5A003A1A" w14:textId="77777777" w:rsidR="00041093" w:rsidRPr="00905853" w:rsidRDefault="00041093" w:rsidP="00041093">
      <w:pPr>
        <w:rPr>
          <w:rFonts w:ascii="Arial" w:hAnsi="Arial" w:cs="Arial"/>
          <w:b/>
          <w:bCs/>
          <w:sz w:val="36"/>
          <w:szCs w:val="36"/>
        </w:rPr>
      </w:pPr>
    </w:p>
    <w:p w14:paraId="55C1D2A2" w14:textId="77777777" w:rsidR="00041093" w:rsidRDefault="00041093" w:rsidP="00041093">
      <w:pPr>
        <w:rPr>
          <w:rFonts w:ascii="Arial" w:hAnsi="Arial" w:cs="Arial"/>
          <w:b/>
          <w:bCs/>
          <w:sz w:val="36"/>
          <w:szCs w:val="36"/>
        </w:rPr>
      </w:pPr>
      <w:r w:rsidRPr="00905853">
        <w:rPr>
          <w:rFonts w:ascii="Arial" w:hAnsi="Arial" w:cs="Arial"/>
          <w:b/>
          <w:bCs/>
          <w:sz w:val="36"/>
          <w:szCs w:val="36"/>
        </w:rPr>
        <w:t>Student ID:</w:t>
      </w:r>
      <w:r>
        <w:rPr>
          <w:rFonts w:ascii="Arial" w:hAnsi="Arial" w:cs="Arial"/>
          <w:b/>
          <w:bCs/>
          <w:sz w:val="36"/>
          <w:szCs w:val="36"/>
        </w:rPr>
        <w:t xml:space="preserve"> 2325008</w:t>
      </w:r>
    </w:p>
    <w:p w14:paraId="57BDD0C2" w14:textId="77777777" w:rsidR="00FF56DA" w:rsidRDefault="00FF56DA" w:rsidP="00041093">
      <w:pPr>
        <w:rPr>
          <w:rFonts w:ascii="Arial" w:hAnsi="Arial" w:cs="Arial"/>
          <w:b/>
          <w:bCs/>
          <w:sz w:val="36"/>
          <w:szCs w:val="36"/>
        </w:rPr>
      </w:pPr>
    </w:p>
    <w:p w14:paraId="6841C91D" w14:textId="77777777" w:rsidR="00FF56DA" w:rsidRPr="00905853" w:rsidRDefault="00FF56DA" w:rsidP="00041093">
      <w:pPr>
        <w:rPr>
          <w:rFonts w:ascii="Arial" w:hAnsi="Arial" w:cs="Arial"/>
          <w:b/>
          <w:bCs/>
          <w:sz w:val="36"/>
          <w:szCs w:val="36"/>
        </w:rPr>
      </w:pPr>
    </w:p>
    <w:sdt>
      <w:sdtPr>
        <w:rPr>
          <w:rFonts w:asciiTheme="minorHAnsi" w:eastAsiaTheme="minorHAnsi" w:hAnsiTheme="minorHAnsi" w:cstheme="minorBidi"/>
          <w:b w:val="0"/>
          <w:bCs w:val="0"/>
          <w:color w:val="auto"/>
          <w:kern w:val="2"/>
          <w:sz w:val="24"/>
          <w:szCs w:val="24"/>
          <w:lang w:val="en-GB"/>
          <w14:ligatures w14:val="standardContextual"/>
        </w:rPr>
        <w:id w:val="-2035408514"/>
        <w:docPartObj>
          <w:docPartGallery w:val="Table of Contents"/>
          <w:docPartUnique/>
        </w:docPartObj>
      </w:sdtPr>
      <w:sdtEndPr>
        <w:rPr>
          <w:noProof/>
        </w:rPr>
      </w:sdtEndPr>
      <w:sdtContent>
        <w:p w14:paraId="01F8EC89" w14:textId="294125E5" w:rsidR="00F037CE" w:rsidRDefault="00F037CE">
          <w:pPr>
            <w:pStyle w:val="TOCHeading"/>
          </w:pPr>
          <w:r>
            <w:t>Table of Contents</w:t>
          </w:r>
        </w:p>
        <w:p w14:paraId="4F9D060D" w14:textId="77777777" w:rsidR="007347E4" w:rsidRDefault="007347E4"/>
        <w:p w14:paraId="4289C960" w14:textId="6A66DF3B" w:rsidR="007347E4" w:rsidRPr="006106EB" w:rsidRDefault="007347E4">
          <w:pPr>
            <w:rPr>
              <w:rFonts w:ascii="Arial" w:hAnsi="Arial" w:cs="Arial"/>
              <w:b/>
              <w:bCs/>
            </w:rPr>
          </w:pPr>
          <w:r w:rsidRPr="006106EB">
            <w:rPr>
              <w:rFonts w:ascii="Arial" w:hAnsi="Arial" w:cs="Arial"/>
              <w:b/>
              <w:bCs/>
            </w:rPr>
            <w:t>Introduction</w:t>
          </w:r>
        </w:p>
        <w:p w14:paraId="03C1E50B" w14:textId="7CDE05FE" w:rsidR="007347E4" w:rsidRPr="006106EB" w:rsidRDefault="007347E4">
          <w:pPr>
            <w:rPr>
              <w:rFonts w:ascii="Arial" w:hAnsi="Arial" w:cs="Arial"/>
              <w:b/>
              <w:bCs/>
            </w:rPr>
          </w:pPr>
          <w:r w:rsidRPr="006106EB">
            <w:rPr>
              <w:rFonts w:ascii="Arial" w:hAnsi="Arial" w:cs="Arial"/>
              <w:b/>
              <w:bCs/>
            </w:rPr>
            <w:t xml:space="preserve">Classification and </w:t>
          </w:r>
          <w:r w:rsidR="006106EB" w:rsidRPr="006106EB">
            <w:rPr>
              <w:rFonts w:ascii="Arial" w:hAnsi="Arial" w:cs="Arial"/>
              <w:b/>
              <w:bCs/>
            </w:rPr>
            <w:t>Diagnosis</w:t>
          </w:r>
        </w:p>
        <w:p w14:paraId="2E99CB71" w14:textId="77777777" w:rsidR="005355BE" w:rsidRPr="006106EB" w:rsidRDefault="0028606A">
          <w:pPr>
            <w:rPr>
              <w:rFonts w:ascii="Arial" w:hAnsi="Arial" w:cs="Arial"/>
              <w:b/>
              <w:bCs/>
            </w:rPr>
          </w:pPr>
          <w:r w:rsidRPr="006106EB">
            <w:rPr>
              <w:rFonts w:ascii="Arial" w:hAnsi="Arial" w:cs="Arial"/>
              <w:b/>
              <w:bCs/>
            </w:rPr>
            <w:t>C</w:t>
          </w:r>
          <w:r w:rsidR="007347E4" w:rsidRPr="006106EB">
            <w:rPr>
              <w:rFonts w:ascii="Arial" w:hAnsi="Arial" w:cs="Arial"/>
              <w:b/>
              <w:bCs/>
            </w:rPr>
            <w:t>las</w:t>
          </w:r>
          <w:r w:rsidRPr="006106EB">
            <w:rPr>
              <w:rFonts w:ascii="Arial" w:hAnsi="Arial" w:cs="Arial"/>
              <w:b/>
              <w:bCs/>
            </w:rPr>
            <w:t>sification of Dementia</w:t>
          </w:r>
        </w:p>
        <w:p w14:paraId="233D3490" w14:textId="7E164197" w:rsidR="005355BE" w:rsidRPr="006106EB" w:rsidRDefault="005355BE">
          <w:pPr>
            <w:rPr>
              <w:rFonts w:ascii="Arial" w:hAnsi="Arial" w:cs="Arial"/>
              <w:b/>
              <w:bCs/>
              <w:color w:val="222222"/>
              <w:shd w:val="clear" w:color="auto" w:fill="FFFFFF"/>
            </w:rPr>
          </w:pPr>
          <w:r w:rsidRPr="006106EB">
            <w:rPr>
              <w:rFonts w:ascii="Arial" w:hAnsi="Arial" w:cs="Arial"/>
              <w:b/>
              <w:bCs/>
              <w:color w:val="222222"/>
              <w:shd w:val="clear" w:color="auto" w:fill="FFFFFF"/>
            </w:rPr>
            <w:t>Diagnostic Criteria and Processes</w:t>
          </w:r>
        </w:p>
        <w:p w14:paraId="14C1A722" w14:textId="77777777" w:rsidR="00BF35D0" w:rsidRPr="006106EB" w:rsidRDefault="005355BE">
          <w:pPr>
            <w:rPr>
              <w:rFonts w:ascii="Arial" w:hAnsi="Arial" w:cs="Arial"/>
              <w:b/>
              <w:bCs/>
              <w:color w:val="222222"/>
              <w:shd w:val="clear" w:color="auto" w:fill="FFFFFF"/>
            </w:rPr>
          </w:pPr>
          <w:r w:rsidRPr="006106EB">
            <w:rPr>
              <w:rFonts w:ascii="Arial" w:hAnsi="Arial" w:cs="Arial"/>
              <w:b/>
              <w:bCs/>
              <w:color w:val="222222"/>
              <w:shd w:val="clear" w:color="auto" w:fill="FFFFFF"/>
            </w:rPr>
            <w:t>Treatment and Rehabilitation</w:t>
          </w:r>
        </w:p>
        <w:p w14:paraId="330EE1FC" w14:textId="77777777" w:rsidR="00BF35D0" w:rsidRPr="006106EB" w:rsidRDefault="00BF35D0">
          <w:pPr>
            <w:rPr>
              <w:rFonts w:ascii="Arial" w:hAnsi="Arial" w:cs="Arial"/>
              <w:b/>
              <w:bCs/>
              <w:color w:val="222222"/>
              <w:shd w:val="clear" w:color="auto" w:fill="FFFFFF"/>
            </w:rPr>
          </w:pPr>
          <w:r w:rsidRPr="006106EB">
            <w:rPr>
              <w:rFonts w:ascii="Arial" w:hAnsi="Arial" w:cs="Arial"/>
              <w:b/>
              <w:bCs/>
              <w:color w:val="222222"/>
              <w:shd w:val="clear" w:color="auto" w:fill="FFFFFF"/>
            </w:rPr>
            <w:t>Pharmacological Treatment</w:t>
          </w:r>
        </w:p>
        <w:p w14:paraId="328BB24D" w14:textId="34440280" w:rsidR="00BF35D0" w:rsidRPr="006106EB" w:rsidRDefault="00BF35D0">
          <w:pPr>
            <w:rPr>
              <w:rFonts w:ascii="Arial" w:hAnsi="Arial" w:cs="Arial"/>
              <w:b/>
              <w:bCs/>
              <w:color w:val="222222"/>
              <w:shd w:val="clear" w:color="auto" w:fill="FFFFFF"/>
            </w:rPr>
          </w:pPr>
          <w:r w:rsidRPr="006106EB">
            <w:rPr>
              <w:rFonts w:ascii="Arial" w:hAnsi="Arial" w:cs="Arial"/>
              <w:b/>
              <w:bCs/>
              <w:color w:val="222222"/>
              <w:shd w:val="clear" w:color="auto" w:fill="FFFFFF"/>
            </w:rPr>
            <w:t>Non-Pharmacological Interventions</w:t>
          </w:r>
        </w:p>
        <w:p w14:paraId="102FE7FD" w14:textId="18E38D55" w:rsidR="001E66F1" w:rsidRPr="006106EB" w:rsidRDefault="001E66F1">
          <w:pPr>
            <w:rPr>
              <w:rFonts w:ascii="Arial" w:hAnsi="Arial" w:cs="Arial"/>
              <w:b/>
              <w:bCs/>
              <w:color w:val="222222"/>
              <w:shd w:val="clear" w:color="auto" w:fill="FFFFFF"/>
            </w:rPr>
          </w:pPr>
          <w:r w:rsidRPr="006106EB">
            <w:rPr>
              <w:rFonts w:ascii="Arial" w:hAnsi="Arial" w:cs="Arial"/>
              <w:b/>
              <w:bCs/>
              <w:color w:val="222222"/>
              <w:shd w:val="clear" w:color="auto" w:fill="FFFFFF"/>
            </w:rPr>
            <w:t>Rehabilitation Approaches</w:t>
          </w:r>
        </w:p>
        <w:p w14:paraId="3950E2D2" w14:textId="6F1A7651" w:rsidR="001E66F1" w:rsidRPr="006106EB" w:rsidRDefault="001E66F1">
          <w:pPr>
            <w:rPr>
              <w:rFonts w:ascii="Arial" w:hAnsi="Arial" w:cs="Arial"/>
              <w:b/>
              <w:bCs/>
              <w:color w:val="222222"/>
              <w:shd w:val="clear" w:color="auto" w:fill="FFFFFF"/>
            </w:rPr>
          </w:pPr>
          <w:r w:rsidRPr="006106EB">
            <w:rPr>
              <w:rFonts w:ascii="Arial" w:hAnsi="Arial" w:cs="Arial"/>
              <w:b/>
              <w:bCs/>
              <w:color w:val="222222"/>
              <w:shd w:val="clear" w:color="auto" w:fill="FFFFFF"/>
            </w:rPr>
            <w:t>ICD-11 Chapter 06: Mental, Behavioural and Neurodevelopmental Disorders</w:t>
          </w:r>
        </w:p>
        <w:p w14:paraId="7A6F1110" w14:textId="65019ED0" w:rsidR="001E66F1" w:rsidRPr="006106EB" w:rsidRDefault="00405EC4">
          <w:pPr>
            <w:rPr>
              <w:rFonts w:ascii="Arial" w:hAnsi="Arial" w:cs="Arial"/>
              <w:b/>
              <w:bCs/>
              <w:color w:val="222222"/>
              <w:shd w:val="clear" w:color="auto" w:fill="FFFFFF"/>
            </w:rPr>
          </w:pPr>
          <w:r w:rsidRPr="006106EB">
            <w:rPr>
              <w:rFonts w:ascii="Arial" w:hAnsi="Arial" w:cs="Arial"/>
              <w:b/>
              <w:bCs/>
              <w:color w:val="222222"/>
              <w:shd w:val="clear" w:color="auto" w:fill="FFFFFF"/>
            </w:rPr>
            <w:t>Current Debates and Emerging Issues</w:t>
          </w:r>
        </w:p>
        <w:p w14:paraId="00798928" w14:textId="518F6240" w:rsidR="00841B43" w:rsidRPr="006106EB" w:rsidRDefault="00841B43">
          <w:pPr>
            <w:rPr>
              <w:rFonts w:ascii="Arial" w:hAnsi="Arial" w:cs="Arial"/>
              <w:b/>
              <w:bCs/>
              <w:color w:val="222222"/>
              <w:shd w:val="clear" w:color="auto" w:fill="FFFFFF"/>
            </w:rPr>
          </w:pPr>
          <w:r w:rsidRPr="006106EB">
            <w:rPr>
              <w:rFonts w:ascii="Arial" w:hAnsi="Arial" w:cs="Arial"/>
              <w:b/>
              <w:bCs/>
              <w:color w:val="222222"/>
              <w:shd w:val="clear" w:color="auto" w:fill="FFFFFF"/>
            </w:rPr>
            <w:t>Medicalisation of Dementia</w:t>
          </w:r>
        </w:p>
        <w:p w14:paraId="39318039" w14:textId="3B10EDFD" w:rsidR="003C6E23" w:rsidRPr="006106EB" w:rsidRDefault="003C6E23">
          <w:pPr>
            <w:rPr>
              <w:rFonts w:ascii="Arial" w:hAnsi="Arial" w:cs="Arial"/>
              <w:b/>
              <w:bCs/>
              <w:color w:val="222222"/>
              <w:shd w:val="clear" w:color="auto" w:fill="FFFFFF"/>
            </w:rPr>
          </w:pPr>
          <w:r w:rsidRPr="006106EB">
            <w:rPr>
              <w:rFonts w:ascii="Arial" w:hAnsi="Arial" w:cs="Arial"/>
              <w:b/>
              <w:bCs/>
              <w:color w:val="222222"/>
              <w:shd w:val="clear" w:color="auto" w:fill="FFFFFF"/>
            </w:rPr>
            <w:t>Neurodivergence Perspectives</w:t>
          </w:r>
        </w:p>
        <w:p w14:paraId="3CAEBD5D" w14:textId="16A36AFC" w:rsidR="00906621" w:rsidRPr="006106EB" w:rsidRDefault="00906621">
          <w:pPr>
            <w:rPr>
              <w:rFonts w:ascii="Arial" w:hAnsi="Arial" w:cs="Arial"/>
              <w:b/>
              <w:bCs/>
              <w:color w:val="222222"/>
              <w:shd w:val="clear" w:color="auto" w:fill="FFFFFF"/>
            </w:rPr>
          </w:pPr>
          <w:r w:rsidRPr="006106EB">
            <w:rPr>
              <w:rFonts w:ascii="Arial" w:hAnsi="Arial" w:cs="Arial"/>
              <w:b/>
              <w:bCs/>
              <w:color w:val="222222"/>
              <w:shd w:val="clear" w:color="auto" w:fill="FFFFFF"/>
            </w:rPr>
            <w:t>Implications for Policy and Practice</w:t>
          </w:r>
        </w:p>
        <w:p w14:paraId="0E537DE7" w14:textId="3411AEC8" w:rsidR="00906621" w:rsidRPr="006106EB" w:rsidRDefault="00906621">
          <w:pPr>
            <w:rPr>
              <w:rFonts w:ascii="Arial" w:hAnsi="Arial" w:cs="Arial"/>
              <w:b/>
              <w:bCs/>
              <w:color w:val="222222"/>
              <w:shd w:val="clear" w:color="auto" w:fill="FFFFFF"/>
            </w:rPr>
          </w:pPr>
          <w:r w:rsidRPr="006106EB">
            <w:rPr>
              <w:rFonts w:ascii="Arial" w:hAnsi="Arial" w:cs="Arial"/>
              <w:b/>
              <w:bCs/>
              <w:color w:val="222222"/>
              <w:shd w:val="clear" w:color="auto" w:fill="FFFFFF"/>
            </w:rPr>
            <w:t>Conclusion</w:t>
          </w:r>
        </w:p>
        <w:p w14:paraId="48C54E91" w14:textId="5463F321" w:rsidR="006106EB" w:rsidRPr="006106EB" w:rsidRDefault="006106EB">
          <w:pPr>
            <w:rPr>
              <w:rFonts w:ascii="Arial" w:hAnsi="Arial" w:cs="Arial"/>
              <w:b/>
              <w:bCs/>
              <w:color w:val="222222"/>
              <w:shd w:val="clear" w:color="auto" w:fill="FFFFFF"/>
            </w:rPr>
          </w:pPr>
          <w:r w:rsidRPr="006106EB">
            <w:rPr>
              <w:rFonts w:ascii="Arial" w:hAnsi="Arial" w:cs="Arial"/>
              <w:b/>
              <w:bCs/>
              <w:color w:val="222222"/>
              <w:shd w:val="clear" w:color="auto" w:fill="FFFFFF"/>
            </w:rPr>
            <w:t>References</w:t>
          </w:r>
        </w:p>
        <w:p w14:paraId="14155A20" w14:textId="77777777" w:rsidR="00906621" w:rsidRDefault="00906621">
          <w:pPr>
            <w:rPr>
              <w:rFonts w:ascii="Arial" w:hAnsi="Arial" w:cs="Arial"/>
              <w:b/>
              <w:bCs/>
              <w:color w:val="222222"/>
              <w:shd w:val="clear" w:color="auto" w:fill="FFFFFF"/>
            </w:rPr>
          </w:pPr>
        </w:p>
        <w:p w14:paraId="7D1B7BA6" w14:textId="77777777" w:rsidR="00906621" w:rsidRDefault="00906621">
          <w:pPr>
            <w:rPr>
              <w:rFonts w:ascii="Arial" w:hAnsi="Arial" w:cs="Arial"/>
              <w:b/>
              <w:bCs/>
              <w:color w:val="222222"/>
              <w:shd w:val="clear" w:color="auto" w:fill="FFFFFF"/>
            </w:rPr>
          </w:pPr>
        </w:p>
        <w:p w14:paraId="35EF7905" w14:textId="77777777" w:rsidR="003C6E23" w:rsidRDefault="003C6E23">
          <w:pPr>
            <w:rPr>
              <w:rFonts w:ascii="Arial" w:hAnsi="Arial" w:cs="Arial"/>
              <w:b/>
              <w:bCs/>
              <w:color w:val="222222"/>
              <w:shd w:val="clear" w:color="auto" w:fill="FFFFFF"/>
            </w:rPr>
          </w:pPr>
        </w:p>
        <w:p w14:paraId="4CA2EF32" w14:textId="77777777" w:rsidR="00841B43" w:rsidRDefault="00841B43">
          <w:pPr>
            <w:rPr>
              <w:rFonts w:ascii="Arial" w:hAnsi="Arial" w:cs="Arial"/>
              <w:b/>
              <w:bCs/>
              <w:color w:val="222222"/>
              <w:shd w:val="clear" w:color="auto" w:fill="FFFFFF"/>
            </w:rPr>
          </w:pPr>
        </w:p>
        <w:p w14:paraId="6946AC19" w14:textId="77777777" w:rsidR="00405EC4" w:rsidRDefault="00405EC4">
          <w:pPr>
            <w:rPr>
              <w:rFonts w:ascii="Arial" w:hAnsi="Arial" w:cs="Arial"/>
              <w:b/>
              <w:bCs/>
              <w:color w:val="222222"/>
              <w:shd w:val="clear" w:color="auto" w:fill="FFFFFF"/>
            </w:rPr>
          </w:pPr>
        </w:p>
        <w:p w14:paraId="5B629046" w14:textId="77777777" w:rsidR="001E66F1" w:rsidRDefault="001E66F1">
          <w:pPr>
            <w:rPr>
              <w:rFonts w:ascii="Arial" w:hAnsi="Arial" w:cs="Arial"/>
              <w:b/>
              <w:bCs/>
              <w:color w:val="222222"/>
              <w:shd w:val="clear" w:color="auto" w:fill="FFFFFF"/>
            </w:rPr>
          </w:pPr>
        </w:p>
        <w:p w14:paraId="755D542D" w14:textId="720B3576" w:rsidR="005355BE" w:rsidRDefault="005355BE">
          <w:pPr>
            <w:rPr>
              <w:rFonts w:ascii="Arial" w:hAnsi="Arial" w:cs="Arial"/>
              <w:b/>
              <w:bCs/>
              <w:color w:val="222222"/>
              <w:shd w:val="clear" w:color="auto" w:fill="FFFFFF"/>
            </w:rPr>
          </w:pPr>
          <w:r w:rsidRPr="00505AF7">
            <w:rPr>
              <w:rFonts w:ascii="Arial" w:hAnsi="Arial" w:cs="Arial"/>
              <w:b/>
              <w:bCs/>
              <w:color w:val="222222"/>
            </w:rPr>
            <w:br/>
          </w:r>
          <w:r w:rsidRPr="00505AF7">
            <w:rPr>
              <w:rFonts w:ascii="Arial" w:hAnsi="Arial" w:cs="Arial"/>
              <w:b/>
              <w:bCs/>
              <w:color w:val="222222"/>
            </w:rPr>
            <w:br/>
          </w:r>
        </w:p>
        <w:p w14:paraId="26BD9329" w14:textId="77777777" w:rsidR="005355BE" w:rsidRDefault="005355BE"/>
        <w:p w14:paraId="1BFA48E5" w14:textId="77777777" w:rsidR="006106EB" w:rsidRDefault="006106EB" w:rsidP="000264A1"/>
        <w:p w14:paraId="1DC432D4" w14:textId="05BF6E62" w:rsidR="000264A1" w:rsidRPr="006106EB" w:rsidRDefault="00000000" w:rsidP="000264A1"/>
      </w:sdtContent>
    </w:sdt>
    <w:p w14:paraId="6917A1F8" w14:textId="6BCB41DF" w:rsidR="00BD6DD0" w:rsidRDefault="0098383C" w:rsidP="008A6D32">
      <w:pPr>
        <w:pStyle w:val="NormalWeb"/>
        <w:rPr>
          <w:rFonts w:ascii="Arial" w:hAnsi="Arial" w:cs="Arial"/>
          <w:color w:val="222222"/>
          <w:shd w:val="clear" w:color="auto" w:fill="FFFFFF"/>
        </w:rPr>
      </w:pPr>
      <w:r w:rsidRPr="00DE611E">
        <w:rPr>
          <w:rFonts w:ascii="Arial" w:hAnsi="Arial" w:cs="Arial"/>
          <w:b/>
          <w:bCs/>
          <w:color w:val="222222"/>
          <w:shd w:val="clear" w:color="auto" w:fill="FFFFFF"/>
        </w:rPr>
        <w:lastRenderedPageBreak/>
        <w:t>1. Introduction</w:t>
      </w:r>
      <w:r>
        <w:rPr>
          <w:rFonts w:ascii="Arial" w:hAnsi="Arial" w:cs="Arial"/>
          <w:color w:val="222222"/>
        </w:rPr>
        <w:br/>
      </w:r>
      <w:r>
        <w:rPr>
          <w:rFonts w:ascii="Arial" w:hAnsi="Arial" w:cs="Arial"/>
          <w:color w:val="222222"/>
        </w:rPr>
        <w:br/>
      </w:r>
      <w:r>
        <w:rPr>
          <w:rFonts w:ascii="Arial" w:hAnsi="Arial" w:cs="Arial"/>
          <w:color w:val="222222"/>
          <w:shd w:val="clear" w:color="auto" w:fill="FFFFFF"/>
        </w:rPr>
        <w:t>Dementia is recognised as one of the most significant public health challenges affecting ageing populations across the world. The condition involves a progressive decline in cognitive functioning, including memory, reasoning, communication and the ability to perform everyday activities independently. As global life expectancy continues to increase, the prevalence of dementia is rising rapidly, creating substantial social, economic and healthcare challenges. According to the World Health Organization (2021), more than 55 million people worldwide are currently living with dementia, and this number is expected to increase significantly in the coming decades.</w:t>
      </w:r>
      <w:r>
        <w:rPr>
          <w:rFonts w:ascii="Arial" w:hAnsi="Arial" w:cs="Arial"/>
          <w:color w:val="222222"/>
        </w:rPr>
        <w:br/>
      </w:r>
      <w:r>
        <w:rPr>
          <w:rFonts w:ascii="Arial" w:hAnsi="Arial" w:cs="Arial"/>
          <w:color w:val="222222"/>
        </w:rPr>
        <w:br/>
      </w:r>
      <w:r>
        <w:rPr>
          <w:rFonts w:ascii="Arial" w:hAnsi="Arial" w:cs="Arial"/>
          <w:color w:val="222222"/>
          <w:shd w:val="clear" w:color="auto" w:fill="FFFFFF"/>
        </w:rPr>
        <w:t>Dementia does not refer to a single disease but rather to a group of symptoms associated with different underlying conditions, such as Alzheimer’s disease, vascular dementia and dementia with Lewy bodies. These conditions affect brain functioning in ways that significantly influence an individual’s cognitive abilities, behaviour, emotional regulation and social functioning. Consequently, dementia has profound impacts not only on individuals experiencing the condition but also on families, carers and health and social care systems responsible for providing long-term support.</w:t>
      </w:r>
      <w:r>
        <w:rPr>
          <w:rFonts w:ascii="Arial" w:hAnsi="Arial" w:cs="Arial"/>
          <w:color w:val="222222"/>
        </w:rPr>
        <w:br/>
      </w:r>
      <w:r>
        <w:rPr>
          <w:rFonts w:ascii="Arial" w:hAnsi="Arial" w:cs="Arial"/>
          <w:color w:val="222222"/>
        </w:rPr>
        <w:br/>
      </w:r>
      <w:r>
        <w:rPr>
          <w:rFonts w:ascii="Arial" w:hAnsi="Arial" w:cs="Arial"/>
          <w:color w:val="222222"/>
          <w:shd w:val="clear" w:color="auto" w:fill="FFFFFF"/>
        </w:rPr>
        <w:t>Within global health classification systems, dementia is categorised in the International Classification of Diseases, Eleventh Revision (ICD-11) developed by the World Health Organization (WHO, 2019). In this classification system, dementia is included within Chapter 06: Mental, Behavioural and Neurodevelopmental Disorders. This placement reflects an evolving understanding that dementia involves complex interactions between neurological changes, psychological functioning and social factors. The classification highlights the importance of adopting multidisciplinary approaches to dementia care that integrate medical, psychological and social perspectives.</w:t>
      </w:r>
      <w:r>
        <w:rPr>
          <w:rFonts w:ascii="Arial" w:hAnsi="Arial" w:cs="Arial"/>
          <w:color w:val="222222"/>
        </w:rPr>
        <w:br/>
      </w:r>
      <w:r>
        <w:rPr>
          <w:rFonts w:ascii="Arial" w:hAnsi="Arial" w:cs="Arial"/>
          <w:color w:val="222222"/>
        </w:rPr>
        <w:br/>
      </w:r>
      <w:r>
        <w:rPr>
          <w:rFonts w:ascii="Arial" w:hAnsi="Arial" w:cs="Arial"/>
          <w:color w:val="222222"/>
          <w:shd w:val="clear" w:color="auto" w:fill="FFFFFF"/>
        </w:rPr>
        <w:t>The purpose of this report is to critically analyse the classification, diagnosis, treatment and rehabilitation of dementia within the context of ICD-11 Chapter 06. The report will explore how dementia is defined and diagnosed within international classification systems and critically evaluate the effectiveness of current treatment and rehabilitation approaches. In addition, the report will examine contemporary debates surrounding dementia care, including discussions around medicalisation, neurodivergence perspectives and their implications for health and social care practice. Through critical evaluation of current research and policy frameworks, the report aims to highlight both the strengths and limitations of current approaches to dementia care and consider their implications for future policy and practice.</w:t>
      </w:r>
      <w:r>
        <w:rPr>
          <w:rFonts w:ascii="Arial" w:hAnsi="Arial" w:cs="Arial"/>
          <w:color w:val="222222"/>
        </w:rPr>
        <w:br/>
      </w:r>
      <w:r>
        <w:rPr>
          <w:rFonts w:ascii="Arial" w:hAnsi="Arial" w:cs="Arial"/>
          <w:color w:val="222222"/>
        </w:rPr>
        <w:br/>
      </w:r>
      <w:r>
        <w:rPr>
          <w:rFonts w:ascii="Arial" w:hAnsi="Arial" w:cs="Arial"/>
          <w:color w:val="222222"/>
        </w:rPr>
        <w:br/>
      </w:r>
      <w:r w:rsidRPr="00DE611E">
        <w:rPr>
          <w:rFonts w:ascii="Arial" w:hAnsi="Arial" w:cs="Arial"/>
          <w:b/>
          <w:bCs/>
          <w:color w:val="222222"/>
        </w:rPr>
        <w:br/>
      </w:r>
      <w:r w:rsidRPr="00DE611E">
        <w:rPr>
          <w:rFonts w:ascii="Arial" w:hAnsi="Arial" w:cs="Arial"/>
          <w:b/>
          <w:bCs/>
          <w:color w:val="222222"/>
          <w:shd w:val="clear" w:color="auto" w:fill="FFFFFF"/>
        </w:rPr>
        <w:t>2. Classification and Diagnosis</w:t>
      </w:r>
      <w:r w:rsidRPr="00DE611E">
        <w:rPr>
          <w:rFonts w:ascii="Arial" w:hAnsi="Arial" w:cs="Arial"/>
          <w:b/>
          <w:bCs/>
          <w:color w:val="222222"/>
        </w:rPr>
        <w:br/>
      </w:r>
      <w:r w:rsidRPr="00DE611E">
        <w:rPr>
          <w:rFonts w:ascii="Arial" w:hAnsi="Arial" w:cs="Arial"/>
          <w:b/>
          <w:bCs/>
          <w:color w:val="222222"/>
        </w:rPr>
        <w:br/>
      </w:r>
      <w:r w:rsidRPr="00DE611E">
        <w:rPr>
          <w:rFonts w:ascii="Arial" w:hAnsi="Arial" w:cs="Arial"/>
          <w:b/>
          <w:bCs/>
          <w:color w:val="222222"/>
          <w:shd w:val="clear" w:color="auto" w:fill="FFFFFF"/>
        </w:rPr>
        <w:t>2.1 Classification of Dementia within ICD-11</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The International Classification of Diseases (ICD-11) provides a globally recognised framework for identifying and categorising health conditions. Within this framework, </w:t>
      </w:r>
      <w:r>
        <w:rPr>
          <w:rFonts w:ascii="Arial" w:hAnsi="Arial" w:cs="Arial"/>
          <w:color w:val="222222"/>
          <w:shd w:val="clear" w:color="auto" w:fill="FFFFFF"/>
        </w:rPr>
        <w:lastRenderedPageBreak/>
        <w:t>dementia is defined as a neurocognitive disorder characterised by significant decline in cognitive functioning that interferes with independence in daily life (WHO, 2019). The classification system recognises several forms of dementia, including Alzheimer’s disease, vascular dementia, dementia with Lewy bodies and frontotemporal dementia. These categories reflect differences in underlying pathology, progression patterns and clinical presentation.</w:t>
      </w:r>
      <w:r>
        <w:rPr>
          <w:rFonts w:ascii="Arial" w:hAnsi="Arial" w:cs="Arial"/>
          <w:color w:val="222222"/>
        </w:rPr>
        <w:br/>
      </w:r>
      <w:r>
        <w:rPr>
          <w:rFonts w:ascii="Arial" w:hAnsi="Arial" w:cs="Arial"/>
          <w:color w:val="222222"/>
        </w:rPr>
        <w:br/>
      </w:r>
      <w:r>
        <w:rPr>
          <w:rFonts w:ascii="Arial" w:hAnsi="Arial" w:cs="Arial"/>
          <w:color w:val="222222"/>
          <w:shd w:val="clear" w:color="auto" w:fill="FFFFFF"/>
        </w:rPr>
        <w:t>The placement of dementia within Chapter 06: Mental, Behavioural and Neurodevelopmental Disorders is particularly significant because it emphasises the relationship between neurological processes and behavioural or psychological outcomes. Individuals living with dementia frequently experience symptoms such as anxiety, depression, agitation and changes in personality. As a result, dementia cannot be understood solely as a neurological disease but must be viewed through a broader biopsychosocial lens that considers emotional and social wellbeing.</w:t>
      </w:r>
      <w:r>
        <w:rPr>
          <w:rFonts w:ascii="Arial" w:hAnsi="Arial" w:cs="Arial"/>
          <w:color w:val="222222"/>
        </w:rPr>
        <w:br/>
      </w:r>
      <w:r>
        <w:rPr>
          <w:rFonts w:ascii="Arial" w:hAnsi="Arial" w:cs="Arial"/>
          <w:color w:val="222222"/>
        </w:rPr>
        <w:br/>
      </w:r>
      <w:r>
        <w:rPr>
          <w:rFonts w:ascii="Arial" w:hAnsi="Arial" w:cs="Arial"/>
          <w:color w:val="222222"/>
          <w:shd w:val="clear" w:color="auto" w:fill="FFFFFF"/>
        </w:rPr>
        <w:t>However, classification systems also influence how conditions are perceived within society and professional practice. Critics argue that terms such as “disorder” may reinforce deficit-based perspectives that emphasise impairment rather than capability (</w:t>
      </w:r>
      <w:proofErr w:type="spellStart"/>
      <w:r>
        <w:rPr>
          <w:rFonts w:ascii="Arial" w:hAnsi="Arial" w:cs="Arial"/>
          <w:color w:val="222222"/>
          <w:shd w:val="clear" w:color="auto" w:fill="FFFFFF"/>
        </w:rPr>
        <w:t>Zeilig</w:t>
      </w:r>
      <w:proofErr w:type="spellEnd"/>
      <w:r>
        <w:rPr>
          <w:rFonts w:ascii="Arial" w:hAnsi="Arial" w:cs="Arial"/>
          <w:color w:val="222222"/>
          <w:shd w:val="clear" w:color="auto" w:fill="FFFFFF"/>
        </w:rPr>
        <w:t>, 2014). Such terminology can unintentionally contribute to stigma by portraying individuals primarily through the lens of decline. This may affect how professionals interact with individuals living with dementia and influence broader societal attitudes.</w:t>
      </w:r>
      <w:r>
        <w:rPr>
          <w:rFonts w:ascii="Arial" w:hAnsi="Arial" w:cs="Arial"/>
          <w:color w:val="222222"/>
        </w:rPr>
        <w:br/>
      </w:r>
      <w:r>
        <w:rPr>
          <w:rFonts w:ascii="Arial" w:hAnsi="Arial" w:cs="Arial"/>
          <w:color w:val="222222"/>
        </w:rPr>
        <w:br/>
      </w:r>
      <w:r>
        <w:rPr>
          <w:rFonts w:ascii="Arial" w:hAnsi="Arial" w:cs="Arial"/>
          <w:color w:val="222222"/>
          <w:shd w:val="clear" w:color="auto" w:fill="FFFFFF"/>
        </w:rPr>
        <w:t>Despite these concerns, diagnostic classification also plays an essential practical role. Formal diagnostic recognition allows individuals to access healthcare services, social care assessments and specialist support programmes. Without a recognised diagnostic framework, it would be difficult to allocate resources or develop targeted interventions for people living with dementia. Therefore, while classification language may require critical reflection, it remains a necessary component of healthcare systems.</w:t>
      </w:r>
      <w:r>
        <w:rPr>
          <w:rFonts w:ascii="Arial" w:hAnsi="Arial" w:cs="Arial"/>
          <w:color w:val="222222"/>
        </w:rPr>
        <w:br/>
      </w:r>
      <w:r>
        <w:rPr>
          <w:rFonts w:ascii="Arial" w:hAnsi="Arial" w:cs="Arial"/>
          <w:color w:val="222222"/>
        </w:rPr>
        <w:br/>
      </w:r>
      <w:r w:rsidRPr="0064605B">
        <w:rPr>
          <w:rFonts w:ascii="Arial" w:hAnsi="Arial" w:cs="Arial"/>
          <w:b/>
          <w:bCs/>
          <w:color w:val="222222"/>
          <w:shd w:val="clear" w:color="auto" w:fill="FFFFFF"/>
        </w:rPr>
        <w:t>2.2 Diagnostic Criteria and Processes</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The diagnosis of dementia involves identifying persistent cognitive decline affecting multiple domains of functioning. Key cognitive domains assessed during diagnosis include memory, attention, executive functioning, language abilities and visuospatial skills (NICE, 2018). </w:t>
      </w:r>
      <w:r w:rsidR="002B6C3C">
        <w:rPr>
          <w:rFonts w:ascii="Arial" w:hAnsi="Arial" w:cs="Arial"/>
          <w:color w:val="222222"/>
          <w:shd w:val="clear" w:color="auto" w:fill="FFFFFF"/>
        </w:rPr>
        <w:t>For</w:t>
      </w:r>
      <w:r>
        <w:rPr>
          <w:rFonts w:ascii="Arial" w:hAnsi="Arial" w:cs="Arial"/>
          <w:color w:val="222222"/>
          <w:shd w:val="clear" w:color="auto" w:fill="FFFFFF"/>
        </w:rPr>
        <w:t xml:space="preserve"> dementia to be diagnosed, these impairments must represent a significant decline from previous levels of functioning and must interfere with daily activities such as managing finances, preparing meals or maintaining personal hygiene.</w:t>
      </w:r>
      <w:r>
        <w:rPr>
          <w:rFonts w:ascii="Arial" w:hAnsi="Arial" w:cs="Arial"/>
          <w:color w:val="222222"/>
        </w:rPr>
        <w:br/>
      </w:r>
      <w:r>
        <w:rPr>
          <w:rFonts w:ascii="Arial" w:hAnsi="Arial" w:cs="Arial"/>
          <w:color w:val="222222"/>
        </w:rPr>
        <w:br/>
      </w:r>
      <w:r>
        <w:rPr>
          <w:rFonts w:ascii="Arial" w:hAnsi="Arial" w:cs="Arial"/>
          <w:color w:val="222222"/>
          <w:shd w:val="clear" w:color="auto" w:fill="FFFFFF"/>
        </w:rPr>
        <w:t>Diagnostic assessment typically involves a multidisciplinary approach that combines medical evaluation, cognitive testing and social assessment. Initial concerns may arise from family members or healthcare professionals who notice changes in memory, behaviour or decision-making abilities. Following referral to specialist services, clinicians may conduct structured cognitive tests designed to assess memory, orientation and problem-solving abilities.</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In addition to cognitive assessments, clinicians may use brain imaging techniques such as magnetic resonance imaging (MRI) or computed tomography (CT) scans to </w:t>
      </w:r>
      <w:r>
        <w:rPr>
          <w:rFonts w:ascii="Arial" w:hAnsi="Arial" w:cs="Arial"/>
          <w:color w:val="222222"/>
          <w:shd w:val="clear" w:color="auto" w:fill="FFFFFF"/>
        </w:rPr>
        <w:lastRenderedPageBreak/>
        <w:t>identify structural changes within the brain. Laboratory tests may also be conducted to rule out other possible causes of cognitive impairment, including vitamin deficiencies or thyroid disorders. This comprehensive approach aims to ensure that diagnosis is accurate and that reversible causes of cognitive decline are excluded.</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Despite structured diagnostic frameworks, several challenges remain. Cognitive tests may be influenced by educational background, language ability and cultural context. As a result, some individuals may receive delayed diagnoses or may be misdiagnosed entirely. Furthermore, the psychological impact of receiving a dementia diagnosis can be significant. While early diagnosis can enable individuals to access support services and </w:t>
      </w:r>
      <w:proofErr w:type="gramStart"/>
      <w:r>
        <w:rPr>
          <w:rFonts w:ascii="Arial" w:hAnsi="Arial" w:cs="Arial"/>
          <w:color w:val="222222"/>
          <w:shd w:val="clear" w:color="auto" w:fill="FFFFFF"/>
        </w:rPr>
        <w:t>plan for the future</w:t>
      </w:r>
      <w:proofErr w:type="gramEnd"/>
      <w:r>
        <w:rPr>
          <w:rFonts w:ascii="Arial" w:hAnsi="Arial" w:cs="Arial"/>
          <w:color w:val="222222"/>
          <w:shd w:val="clear" w:color="auto" w:fill="FFFFFF"/>
        </w:rPr>
        <w:t>, it can also create anxiety and uncertainty if appropriate support systems are not in place.</w:t>
      </w:r>
      <w:r>
        <w:rPr>
          <w:rFonts w:ascii="Arial" w:hAnsi="Arial" w:cs="Arial"/>
          <w:color w:val="222222"/>
        </w:rPr>
        <w:br/>
      </w:r>
      <w:r>
        <w:rPr>
          <w:rFonts w:ascii="Arial" w:hAnsi="Arial" w:cs="Arial"/>
          <w:color w:val="222222"/>
        </w:rPr>
        <w:br/>
      </w:r>
      <w:r>
        <w:rPr>
          <w:rFonts w:ascii="Arial" w:hAnsi="Arial" w:cs="Arial"/>
          <w:color w:val="222222"/>
          <w:shd w:val="clear" w:color="auto" w:fill="FFFFFF"/>
        </w:rPr>
        <w:t>Consequently, diagnosis must be accompanied by comprehensive post-diagnostic support, including counselling, care planning and guidance for family members. Without this support, the benefits of early diagnosis may not be fully realised.</w:t>
      </w:r>
      <w:r>
        <w:rPr>
          <w:rFonts w:ascii="Arial" w:hAnsi="Arial" w:cs="Arial"/>
          <w:color w:val="222222"/>
        </w:rPr>
        <w:br/>
      </w:r>
      <w:r>
        <w:rPr>
          <w:rFonts w:ascii="Arial" w:hAnsi="Arial" w:cs="Arial"/>
          <w:color w:val="222222"/>
        </w:rPr>
        <w:br/>
      </w:r>
      <w:r>
        <w:rPr>
          <w:rFonts w:ascii="Arial" w:hAnsi="Arial" w:cs="Arial"/>
          <w:color w:val="222222"/>
        </w:rPr>
        <w:br/>
      </w:r>
      <w:r w:rsidRPr="00505AF7">
        <w:rPr>
          <w:rFonts w:ascii="Arial" w:hAnsi="Arial" w:cs="Arial"/>
          <w:b/>
          <w:bCs/>
          <w:color w:val="222222"/>
          <w:shd w:val="clear" w:color="auto" w:fill="FFFFFF"/>
        </w:rPr>
        <w:t>3. Treatment and Rehabilitation</w:t>
      </w:r>
      <w:r w:rsidRPr="00505AF7">
        <w:rPr>
          <w:rFonts w:ascii="Arial" w:hAnsi="Arial" w:cs="Arial"/>
          <w:b/>
          <w:bCs/>
          <w:color w:val="222222"/>
        </w:rPr>
        <w:br/>
      </w:r>
      <w:r w:rsidRPr="00505AF7">
        <w:rPr>
          <w:rFonts w:ascii="Arial" w:hAnsi="Arial" w:cs="Arial"/>
          <w:b/>
          <w:bCs/>
          <w:color w:val="222222"/>
        </w:rPr>
        <w:br/>
      </w:r>
      <w:r w:rsidRPr="00505AF7">
        <w:rPr>
          <w:rFonts w:ascii="Arial" w:hAnsi="Arial" w:cs="Arial"/>
          <w:b/>
          <w:bCs/>
          <w:color w:val="222222"/>
          <w:shd w:val="clear" w:color="auto" w:fill="FFFFFF"/>
        </w:rPr>
        <w:t>3.1 Pharmacological Treatment</w:t>
      </w:r>
      <w:r>
        <w:rPr>
          <w:rFonts w:ascii="Arial" w:hAnsi="Arial" w:cs="Arial"/>
          <w:color w:val="222222"/>
        </w:rPr>
        <w:br/>
      </w:r>
      <w:r>
        <w:rPr>
          <w:rFonts w:ascii="Arial" w:hAnsi="Arial" w:cs="Arial"/>
          <w:color w:val="222222"/>
        </w:rPr>
        <w:br/>
      </w:r>
      <w:r>
        <w:rPr>
          <w:rFonts w:ascii="Arial" w:hAnsi="Arial" w:cs="Arial"/>
          <w:color w:val="222222"/>
          <w:shd w:val="clear" w:color="auto" w:fill="FFFFFF"/>
        </w:rPr>
        <w:t>At present, there is no cure for most forms of dementia. Treatment primarily focuses on managing symptoms and maintaining cognitive functioning for as long as possible. Pharmacological treatments are commonly used for certain forms of dementia, particularly Alzheimer’s disease. Medications such as cholinesterase inhibitors aim to improve communication between nerve cells within the brain and may temporarily slow cognitive decline (Livingston et al., 2020).</w:t>
      </w:r>
      <w:r>
        <w:rPr>
          <w:rFonts w:ascii="Arial" w:hAnsi="Arial" w:cs="Arial"/>
          <w:color w:val="222222"/>
        </w:rPr>
        <w:br/>
      </w:r>
      <w:r>
        <w:rPr>
          <w:rFonts w:ascii="Arial" w:hAnsi="Arial" w:cs="Arial"/>
          <w:color w:val="222222"/>
        </w:rPr>
        <w:br/>
      </w:r>
      <w:r>
        <w:rPr>
          <w:rFonts w:ascii="Arial" w:hAnsi="Arial" w:cs="Arial"/>
          <w:color w:val="222222"/>
          <w:shd w:val="clear" w:color="auto" w:fill="FFFFFF"/>
        </w:rPr>
        <w:t>While these medications can provide modest benefits for some individuals, their effectiveness is limited. Many individuals experience only small improvements, and the benefits often decline as the condition progresses. In addition, side effects such as nausea, dizziness and fatigue can affect quality of life. For older adults who may already be managing multiple chronic conditions, the risk of medication interactions is also a significant concern.</w:t>
      </w:r>
      <w:r>
        <w:rPr>
          <w:rFonts w:ascii="Arial" w:hAnsi="Arial" w:cs="Arial"/>
          <w:color w:val="222222"/>
        </w:rPr>
        <w:br/>
      </w:r>
      <w:r>
        <w:rPr>
          <w:rFonts w:ascii="Arial" w:hAnsi="Arial" w:cs="Arial"/>
          <w:color w:val="222222"/>
        </w:rPr>
        <w:br/>
      </w:r>
      <w:r>
        <w:rPr>
          <w:rFonts w:ascii="Arial" w:hAnsi="Arial" w:cs="Arial"/>
          <w:color w:val="222222"/>
          <w:shd w:val="clear" w:color="auto" w:fill="FFFFFF"/>
        </w:rPr>
        <w:t>Critically, the strong focus on pharmacological treatment reflects the influence of biomedical models within healthcare systems. While medication can play an important role in symptom management, excessive reliance on pharmaceutical interventions may overshadow the importance of psychosocial and environmental approaches to care.</w:t>
      </w:r>
      <w:r>
        <w:rPr>
          <w:rFonts w:ascii="Arial" w:hAnsi="Arial" w:cs="Arial"/>
          <w:color w:val="222222"/>
        </w:rPr>
        <w:br/>
      </w:r>
      <w:r w:rsidRPr="00505AF7">
        <w:rPr>
          <w:rFonts w:ascii="Arial" w:hAnsi="Arial" w:cs="Arial"/>
          <w:b/>
          <w:bCs/>
          <w:color w:val="222222"/>
        </w:rPr>
        <w:br/>
      </w:r>
      <w:r w:rsidRPr="00505AF7">
        <w:rPr>
          <w:rFonts w:ascii="Arial" w:hAnsi="Arial" w:cs="Arial"/>
          <w:b/>
          <w:bCs/>
          <w:color w:val="222222"/>
          <w:shd w:val="clear" w:color="auto" w:fill="FFFFFF"/>
        </w:rPr>
        <w:t>3.2 Non-Pharmacological Interventions</w:t>
      </w:r>
      <w:r>
        <w:rPr>
          <w:rFonts w:ascii="Arial" w:hAnsi="Arial" w:cs="Arial"/>
          <w:color w:val="222222"/>
        </w:rPr>
        <w:br/>
      </w:r>
      <w:r>
        <w:rPr>
          <w:rFonts w:ascii="Arial" w:hAnsi="Arial" w:cs="Arial"/>
          <w:color w:val="222222"/>
        </w:rPr>
        <w:br/>
      </w:r>
      <w:proofErr w:type="gramStart"/>
      <w:r w:rsidR="00505AF7">
        <w:rPr>
          <w:rFonts w:ascii="Arial" w:hAnsi="Arial" w:cs="Arial"/>
          <w:color w:val="222222"/>
          <w:shd w:val="clear" w:color="auto" w:fill="FFFFFF"/>
        </w:rPr>
        <w:t>Non-pharmacological</w:t>
      </w:r>
      <w:proofErr w:type="gramEnd"/>
      <w:r>
        <w:rPr>
          <w:rFonts w:ascii="Arial" w:hAnsi="Arial" w:cs="Arial"/>
          <w:color w:val="222222"/>
          <w:shd w:val="clear" w:color="auto" w:fill="FFFFFF"/>
        </w:rPr>
        <w:t xml:space="preserve"> interventions have gained increasing recognition as essential components of dementia care. These approaches aim to support cognitive functioning, emotional wellbeing and social engagement without relying solely on medication. Examples include cognitive stimulation therapy, reminiscence therapy, music therapy and structured social activities (Brooker and Latham, 2016).</w:t>
      </w:r>
      <w:r>
        <w:rPr>
          <w:rFonts w:ascii="Arial" w:hAnsi="Arial" w:cs="Arial"/>
          <w:color w:val="222222"/>
        </w:rPr>
        <w:br/>
      </w:r>
      <w:r>
        <w:rPr>
          <w:rFonts w:ascii="Arial" w:hAnsi="Arial" w:cs="Arial"/>
          <w:color w:val="222222"/>
        </w:rPr>
        <w:br/>
      </w:r>
      <w:r>
        <w:rPr>
          <w:rFonts w:ascii="Arial" w:hAnsi="Arial" w:cs="Arial"/>
          <w:color w:val="222222"/>
          <w:shd w:val="clear" w:color="auto" w:fill="FFFFFF"/>
        </w:rPr>
        <w:lastRenderedPageBreak/>
        <w:t>Cognitive stimulation therapy, for example, involves structured group activities designed to stimulate memory and thinking skills. Research suggests that these programmes can improve cognitive functioning and enhance quality of life for individuals with mild to moderate dementia. Reminiscence therapy uses personal memories and life experiences to encourage communication and emotional engagement.</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These interventions align closely with person-centred care principles, which emphasise recognising </w:t>
      </w:r>
      <w:r w:rsidR="001957C8">
        <w:rPr>
          <w:rFonts w:ascii="Arial" w:hAnsi="Arial" w:cs="Arial"/>
          <w:color w:val="222222"/>
          <w:shd w:val="clear" w:color="auto" w:fill="FFFFFF"/>
        </w:rPr>
        <w:t>everyone’s</w:t>
      </w:r>
      <w:r>
        <w:rPr>
          <w:rFonts w:ascii="Arial" w:hAnsi="Arial" w:cs="Arial"/>
          <w:color w:val="222222"/>
          <w:shd w:val="clear" w:color="auto" w:fill="FFFFFF"/>
        </w:rPr>
        <w:t xml:space="preserve"> unique history, preferences and identity (</w:t>
      </w:r>
      <w:proofErr w:type="spellStart"/>
      <w:r>
        <w:rPr>
          <w:rFonts w:ascii="Arial" w:hAnsi="Arial" w:cs="Arial"/>
          <w:color w:val="222222"/>
          <w:shd w:val="clear" w:color="auto" w:fill="FFFFFF"/>
        </w:rPr>
        <w:t>Kitwood</w:t>
      </w:r>
      <w:proofErr w:type="spellEnd"/>
      <w:r>
        <w:rPr>
          <w:rFonts w:ascii="Arial" w:hAnsi="Arial" w:cs="Arial"/>
          <w:color w:val="222222"/>
          <w:shd w:val="clear" w:color="auto" w:fill="FFFFFF"/>
        </w:rPr>
        <w:t>, 1997). Rather than focusing solely on cognitive decline, person-centred care aims to maintain dignity, independence and meaningful social relationships.</w:t>
      </w:r>
      <w:r>
        <w:rPr>
          <w:rFonts w:ascii="Arial" w:hAnsi="Arial" w:cs="Arial"/>
          <w:color w:val="222222"/>
        </w:rPr>
        <w:br/>
      </w:r>
      <w:r>
        <w:rPr>
          <w:rFonts w:ascii="Arial" w:hAnsi="Arial" w:cs="Arial"/>
          <w:color w:val="222222"/>
        </w:rPr>
        <w:br/>
      </w:r>
      <w:r w:rsidRPr="00505AF7">
        <w:rPr>
          <w:rFonts w:ascii="Arial" w:hAnsi="Arial" w:cs="Arial"/>
          <w:b/>
          <w:bCs/>
          <w:color w:val="222222"/>
          <w:shd w:val="clear" w:color="auto" w:fill="FFFFFF"/>
        </w:rPr>
        <w:t>3.3 Rehabilitation Approaches</w:t>
      </w:r>
      <w:r>
        <w:rPr>
          <w:rFonts w:ascii="Arial" w:hAnsi="Arial" w:cs="Arial"/>
          <w:color w:val="222222"/>
        </w:rPr>
        <w:br/>
      </w:r>
      <w:r>
        <w:rPr>
          <w:rFonts w:ascii="Arial" w:hAnsi="Arial" w:cs="Arial"/>
          <w:color w:val="222222"/>
        </w:rPr>
        <w:br/>
      </w:r>
      <w:r>
        <w:rPr>
          <w:rFonts w:ascii="Arial" w:hAnsi="Arial" w:cs="Arial"/>
          <w:color w:val="222222"/>
          <w:shd w:val="clear" w:color="auto" w:fill="FFFFFF"/>
        </w:rPr>
        <w:t>Rehabilitation is an essential component of dementia care because it focuses on maintaining independence and functional ability. Occupational therapists may help individuals adapt their daily routines or modify their home environment to enhance safety and independence. Physiotherapists can support mobility and reduce the risk of falls, while speech and language therapists assist with communication difficulties.</w:t>
      </w:r>
      <w:r>
        <w:rPr>
          <w:rFonts w:ascii="Arial" w:hAnsi="Arial" w:cs="Arial"/>
          <w:color w:val="222222"/>
        </w:rPr>
        <w:br/>
      </w:r>
      <w:r>
        <w:rPr>
          <w:rFonts w:ascii="Arial" w:hAnsi="Arial" w:cs="Arial"/>
          <w:color w:val="222222"/>
        </w:rPr>
        <w:br/>
      </w:r>
      <w:r>
        <w:rPr>
          <w:rFonts w:ascii="Arial" w:hAnsi="Arial" w:cs="Arial"/>
          <w:color w:val="222222"/>
          <w:shd w:val="clear" w:color="auto" w:fill="FFFFFF"/>
        </w:rPr>
        <w:t>These interventions emphasise enabling individuals to live as independently as possible despite cognitive challenges. However, access to rehabilitation services remains inconsistent. Many healthcare systems face workforce shortages and limited resources, which can restrict the availability of personalised rehabilitation programmes.</w:t>
      </w:r>
      <w:r>
        <w:rPr>
          <w:rFonts w:ascii="Arial" w:hAnsi="Arial" w:cs="Arial"/>
          <w:color w:val="222222"/>
        </w:rPr>
        <w:br/>
      </w:r>
      <w:r>
        <w:rPr>
          <w:rFonts w:ascii="Arial" w:hAnsi="Arial" w:cs="Arial"/>
          <w:color w:val="222222"/>
        </w:rPr>
        <w:br/>
      </w:r>
      <w:r>
        <w:rPr>
          <w:rFonts w:ascii="Arial" w:hAnsi="Arial" w:cs="Arial"/>
          <w:color w:val="222222"/>
          <w:shd w:val="clear" w:color="auto" w:fill="FFFFFF"/>
        </w:rPr>
        <w:t>As a result, although research supports the benefits of non-pharmacological interventions, implementation within everyday care settings often falls short of policy recommendations.</w:t>
      </w:r>
      <w:r>
        <w:rPr>
          <w:rFonts w:ascii="Arial" w:hAnsi="Arial" w:cs="Arial"/>
          <w:color w:val="222222"/>
        </w:rPr>
        <w:br/>
      </w:r>
      <w:r>
        <w:rPr>
          <w:rFonts w:ascii="Arial" w:hAnsi="Arial" w:cs="Arial"/>
          <w:color w:val="222222"/>
        </w:rPr>
        <w:br/>
      </w:r>
      <w:r>
        <w:rPr>
          <w:rFonts w:ascii="Arial" w:hAnsi="Arial" w:cs="Arial"/>
          <w:color w:val="222222"/>
        </w:rPr>
        <w:br/>
      </w:r>
      <w:r w:rsidRPr="00505AF7">
        <w:rPr>
          <w:rFonts w:ascii="Arial" w:hAnsi="Arial" w:cs="Arial"/>
          <w:b/>
          <w:bCs/>
          <w:color w:val="222222"/>
          <w:shd w:val="clear" w:color="auto" w:fill="FFFFFF"/>
        </w:rPr>
        <w:t>4. ICD-11 Chapter 06: Mental, Behavioural and Neurodevelopmental Disorders</w:t>
      </w:r>
      <w:r>
        <w:rPr>
          <w:rFonts w:ascii="Arial" w:hAnsi="Arial" w:cs="Arial"/>
          <w:color w:val="222222"/>
        </w:rPr>
        <w:br/>
      </w:r>
      <w:r>
        <w:rPr>
          <w:rFonts w:ascii="Arial" w:hAnsi="Arial" w:cs="Arial"/>
          <w:color w:val="222222"/>
        </w:rPr>
        <w:br/>
      </w:r>
      <w:r>
        <w:rPr>
          <w:rFonts w:ascii="Arial" w:hAnsi="Arial" w:cs="Arial"/>
          <w:color w:val="222222"/>
          <w:shd w:val="clear" w:color="auto" w:fill="FFFFFF"/>
        </w:rPr>
        <w:t>Chapter 06 of ICD-11 includes a wide range of conditions affecting mental health, behaviour and cognitive functioning. These conditions include mood disorders, schizophrenia, intellectual developmental disorders and neurodevelopmental disorders such as autism spectrum disorder (WHO, 2019).</w:t>
      </w:r>
      <w:r>
        <w:rPr>
          <w:rFonts w:ascii="Arial" w:hAnsi="Arial" w:cs="Arial"/>
          <w:color w:val="222222"/>
        </w:rPr>
        <w:br/>
      </w:r>
      <w:r>
        <w:rPr>
          <w:rFonts w:ascii="Arial" w:hAnsi="Arial" w:cs="Arial"/>
          <w:color w:val="222222"/>
        </w:rPr>
        <w:br/>
      </w:r>
      <w:r>
        <w:rPr>
          <w:rFonts w:ascii="Arial" w:hAnsi="Arial" w:cs="Arial"/>
          <w:color w:val="222222"/>
          <w:shd w:val="clear" w:color="auto" w:fill="FFFFFF"/>
        </w:rPr>
        <w:t>Although dementia differs from neurodevelopmental disorders in terms of onset and progression, there are important similarities in the need for long-term support and multidisciplinary care. Both groups of conditions require holistic interventions that address social participation, communication and environmental adaptation.</w:t>
      </w:r>
      <w:r>
        <w:rPr>
          <w:rFonts w:ascii="Arial" w:hAnsi="Arial" w:cs="Arial"/>
          <w:color w:val="222222"/>
        </w:rPr>
        <w:br/>
      </w:r>
      <w:r>
        <w:rPr>
          <w:rFonts w:ascii="Arial" w:hAnsi="Arial" w:cs="Arial"/>
          <w:color w:val="222222"/>
        </w:rPr>
        <w:br/>
      </w:r>
      <w:r>
        <w:rPr>
          <w:rFonts w:ascii="Arial" w:hAnsi="Arial" w:cs="Arial"/>
          <w:color w:val="222222"/>
          <w:shd w:val="clear" w:color="auto" w:fill="FFFFFF"/>
        </w:rPr>
        <w:t>The inclusion of dementia within this chapter highlights the importance of integrating mental health perspectives into dementia care. Behavioural and psychological symptoms such as anxiety, aggression or hallucinations are common in dementia and often require psychological or environmental interventions rather than purely medical treatment.</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However, some critics argue that classifying dementia alongside mental health </w:t>
      </w:r>
      <w:r>
        <w:rPr>
          <w:rFonts w:ascii="Arial" w:hAnsi="Arial" w:cs="Arial"/>
          <w:color w:val="222222"/>
          <w:shd w:val="clear" w:color="auto" w:fill="FFFFFF"/>
        </w:rPr>
        <w:lastRenderedPageBreak/>
        <w:t>disorders may contribute to stigma associated with mental illness. This reinforces the need for careful communication and public education to ensure that classification systems do not unintentionally reinforce negative stereotypes.</w:t>
      </w:r>
      <w:r>
        <w:rPr>
          <w:rFonts w:ascii="Arial" w:hAnsi="Arial" w:cs="Arial"/>
          <w:color w:val="222222"/>
        </w:rPr>
        <w:br/>
      </w:r>
      <w:r>
        <w:rPr>
          <w:rFonts w:ascii="Arial" w:hAnsi="Arial" w:cs="Arial"/>
          <w:color w:val="222222"/>
        </w:rPr>
        <w:br/>
      </w:r>
      <w:r>
        <w:rPr>
          <w:rFonts w:ascii="Arial" w:hAnsi="Arial" w:cs="Arial"/>
          <w:color w:val="222222"/>
        </w:rPr>
        <w:br/>
      </w:r>
      <w:r w:rsidRPr="004C7B15">
        <w:rPr>
          <w:rFonts w:ascii="Arial" w:hAnsi="Arial" w:cs="Arial"/>
          <w:b/>
          <w:bCs/>
          <w:color w:val="222222"/>
          <w:shd w:val="clear" w:color="auto" w:fill="FFFFFF"/>
        </w:rPr>
        <w:t>5. Current Debates and Emerging Issues</w:t>
      </w:r>
      <w:r w:rsidRPr="004C7B15">
        <w:rPr>
          <w:rFonts w:ascii="Arial" w:hAnsi="Arial" w:cs="Arial"/>
          <w:b/>
          <w:bCs/>
          <w:color w:val="222222"/>
        </w:rPr>
        <w:br/>
      </w:r>
      <w:r w:rsidRPr="004C7B15">
        <w:rPr>
          <w:rFonts w:ascii="Arial" w:hAnsi="Arial" w:cs="Arial"/>
          <w:b/>
          <w:bCs/>
          <w:color w:val="222222"/>
        </w:rPr>
        <w:br/>
      </w:r>
      <w:r w:rsidRPr="004C7B15">
        <w:rPr>
          <w:rFonts w:ascii="Arial" w:hAnsi="Arial" w:cs="Arial"/>
          <w:b/>
          <w:bCs/>
          <w:color w:val="222222"/>
          <w:shd w:val="clear" w:color="auto" w:fill="FFFFFF"/>
        </w:rPr>
        <w:t>5.1 Medicalisation of Dementia</w:t>
      </w:r>
      <w:r>
        <w:rPr>
          <w:rFonts w:ascii="Arial" w:hAnsi="Arial" w:cs="Arial"/>
          <w:color w:val="222222"/>
        </w:rPr>
        <w:br/>
      </w:r>
      <w:r>
        <w:rPr>
          <w:rFonts w:ascii="Arial" w:hAnsi="Arial" w:cs="Arial"/>
          <w:color w:val="222222"/>
        </w:rPr>
        <w:br/>
      </w:r>
      <w:r>
        <w:rPr>
          <w:rFonts w:ascii="Arial" w:hAnsi="Arial" w:cs="Arial"/>
          <w:color w:val="222222"/>
          <w:shd w:val="clear" w:color="auto" w:fill="FFFFFF"/>
        </w:rPr>
        <w:t>One of the most significant debates surrounding dementia concerns the dominance of biomedical models in research and policy. Biomedical approaches focus primarily on neurological changes within the brain and emphasise diagnosis, pathology and drug development.</w:t>
      </w:r>
      <w:r>
        <w:rPr>
          <w:rFonts w:ascii="Arial" w:hAnsi="Arial" w:cs="Arial"/>
          <w:color w:val="222222"/>
        </w:rPr>
        <w:br/>
      </w:r>
      <w:r>
        <w:rPr>
          <w:rFonts w:ascii="Arial" w:hAnsi="Arial" w:cs="Arial"/>
          <w:color w:val="222222"/>
        </w:rPr>
        <w:br/>
      </w:r>
      <w:r>
        <w:rPr>
          <w:rFonts w:ascii="Arial" w:hAnsi="Arial" w:cs="Arial"/>
          <w:color w:val="222222"/>
          <w:shd w:val="clear" w:color="auto" w:fill="FFFFFF"/>
        </w:rPr>
        <w:t>While biomedical research has significantly improved understanding of dementia, critics argue that excessive focus on biological explanations may overlook social and environmental factors that shape individuals’ experiences. Social models of dementia emphasise the importance of supportive environments, inclusive communities and strong relationships in maintaining quality of life (Sabat, 2001).</w:t>
      </w:r>
      <w:r>
        <w:rPr>
          <w:rFonts w:ascii="Arial" w:hAnsi="Arial" w:cs="Arial"/>
          <w:color w:val="222222"/>
        </w:rPr>
        <w:br/>
      </w:r>
      <w:r>
        <w:rPr>
          <w:rFonts w:ascii="Arial" w:hAnsi="Arial" w:cs="Arial"/>
          <w:color w:val="222222"/>
        </w:rPr>
        <w:br/>
      </w:r>
      <w:r>
        <w:rPr>
          <w:rFonts w:ascii="Arial" w:hAnsi="Arial" w:cs="Arial"/>
          <w:color w:val="222222"/>
          <w:shd w:val="clear" w:color="auto" w:fill="FFFFFF"/>
        </w:rPr>
        <w:t>A more balanced approach that integrates biomedical and social perspectives is increasingly recommended within contemporary dementia care.</w:t>
      </w:r>
      <w:r>
        <w:rPr>
          <w:rFonts w:ascii="Arial" w:hAnsi="Arial" w:cs="Arial"/>
          <w:color w:val="222222"/>
        </w:rPr>
        <w:br/>
      </w:r>
      <w:r>
        <w:rPr>
          <w:rFonts w:ascii="Arial" w:hAnsi="Arial" w:cs="Arial"/>
          <w:color w:val="222222"/>
        </w:rPr>
        <w:br/>
      </w:r>
      <w:r w:rsidRPr="004C7B15">
        <w:rPr>
          <w:rFonts w:ascii="Arial" w:hAnsi="Arial" w:cs="Arial"/>
          <w:b/>
          <w:bCs/>
          <w:color w:val="222222"/>
          <w:shd w:val="clear" w:color="auto" w:fill="FFFFFF"/>
        </w:rPr>
        <w:t>5.2 Neurodivergence Perspectives</w:t>
      </w:r>
      <w:r>
        <w:rPr>
          <w:rFonts w:ascii="Arial" w:hAnsi="Arial" w:cs="Arial"/>
          <w:color w:val="222222"/>
        </w:rPr>
        <w:br/>
      </w:r>
      <w:r>
        <w:rPr>
          <w:rFonts w:ascii="Arial" w:hAnsi="Arial" w:cs="Arial"/>
          <w:color w:val="222222"/>
        </w:rPr>
        <w:br/>
      </w:r>
      <w:r>
        <w:rPr>
          <w:rFonts w:ascii="Arial" w:hAnsi="Arial" w:cs="Arial"/>
          <w:color w:val="222222"/>
          <w:shd w:val="clear" w:color="auto" w:fill="FFFFFF"/>
        </w:rPr>
        <w:t>The concept of neurodivergence challenges traditional views that cognitive differences should always be considered deficits. Although originally associated with autism and other developmental conditions, some researchers have explored its relevance to dementia.</w:t>
      </w:r>
      <w:r>
        <w:rPr>
          <w:rFonts w:ascii="Arial" w:hAnsi="Arial" w:cs="Arial"/>
          <w:color w:val="222222"/>
        </w:rPr>
        <w:br/>
      </w:r>
      <w:r>
        <w:rPr>
          <w:rFonts w:ascii="Arial" w:hAnsi="Arial" w:cs="Arial"/>
          <w:color w:val="222222"/>
        </w:rPr>
        <w:br/>
      </w:r>
      <w:r>
        <w:rPr>
          <w:rFonts w:ascii="Arial" w:hAnsi="Arial" w:cs="Arial"/>
          <w:color w:val="222222"/>
          <w:shd w:val="clear" w:color="auto" w:fill="FFFFFF"/>
        </w:rPr>
        <w:t>Applying neurodivergence perspectives encourages professionals to recognise that individuals living with dementia may experience the world differently rather than simply experiencing loss of ability. This approach emphasises dignity, identity and respect for individual experiences.</w:t>
      </w:r>
      <w:r>
        <w:rPr>
          <w:rFonts w:ascii="Arial" w:hAnsi="Arial" w:cs="Arial"/>
          <w:color w:val="222222"/>
        </w:rPr>
        <w:br/>
      </w:r>
      <w:r>
        <w:rPr>
          <w:rFonts w:ascii="Arial" w:hAnsi="Arial" w:cs="Arial"/>
          <w:color w:val="222222"/>
        </w:rPr>
        <w:br/>
      </w:r>
      <w:r>
        <w:rPr>
          <w:rFonts w:ascii="Arial" w:hAnsi="Arial" w:cs="Arial"/>
          <w:color w:val="222222"/>
          <w:shd w:val="clear" w:color="auto" w:fill="FFFFFF"/>
        </w:rPr>
        <w:t>However, critics argue that dementia differs from neurodevelopmental diversity because it involves progressive neurological deterioration. As such, applying neurodivergence frameworks must be approached cautiously to avoid minimising the challenges associated with the condition.</w:t>
      </w:r>
      <w:r>
        <w:rPr>
          <w:rFonts w:ascii="Arial" w:hAnsi="Arial" w:cs="Arial"/>
          <w:color w:val="222222"/>
        </w:rPr>
        <w:br/>
      </w:r>
      <w:r>
        <w:rPr>
          <w:rFonts w:ascii="Arial" w:hAnsi="Arial" w:cs="Arial"/>
          <w:color w:val="222222"/>
        </w:rPr>
        <w:br/>
      </w:r>
      <w:r w:rsidRPr="004C7B15">
        <w:rPr>
          <w:rFonts w:ascii="Arial" w:hAnsi="Arial" w:cs="Arial"/>
          <w:b/>
          <w:bCs/>
          <w:color w:val="222222"/>
          <w:shd w:val="clear" w:color="auto" w:fill="FFFFFF"/>
        </w:rPr>
        <w:t>5.3 Implications for Policy and Practice</w:t>
      </w:r>
      <w:r>
        <w:rPr>
          <w:rFonts w:ascii="Arial" w:hAnsi="Arial" w:cs="Arial"/>
          <w:color w:val="222222"/>
        </w:rPr>
        <w:br/>
      </w:r>
      <w:r>
        <w:rPr>
          <w:rFonts w:ascii="Arial" w:hAnsi="Arial" w:cs="Arial"/>
          <w:color w:val="222222"/>
        </w:rPr>
        <w:br/>
      </w:r>
      <w:r>
        <w:rPr>
          <w:rFonts w:ascii="Arial" w:hAnsi="Arial" w:cs="Arial"/>
          <w:color w:val="222222"/>
          <w:shd w:val="clear" w:color="auto" w:fill="FFFFFF"/>
        </w:rPr>
        <w:t>Contemporary debates have influenced dementia policy by encouraging more holistic and inclusive approaches to care. Organisations such as Alzheimer’s Society advocate for dementia-friendly communities that promote social participation and reduce stigma (Alzheimer’s Society, 2023).</w:t>
      </w:r>
      <w:r>
        <w:rPr>
          <w:rFonts w:ascii="Arial" w:hAnsi="Arial" w:cs="Arial"/>
          <w:color w:val="222222"/>
        </w:rPr>
        <w:br/>
      </w:r>
      <w:r>
        <w:rPr>
          <w:rFonts w:ascii="Arial" w:hAnsi="Arial" w:cs="Arial"/>
          <w:color w:val="222222"/>
        </w:rPr>
        <w:br/>
      </w:r>
      <w:r>
        <w:rPr>
          <w:rFonts w:ascii="Arial" w:hAnsi="Arial" w:cs="Arial"/>
          <w:color w:val="222222"/>
          <w:shd w:val="clear" w:color="auto" w:fill="FFFFFF"/>
        </w:rPr>
        <w:t>These initiatives highlight the importance of viewing dementia not solely as a medical condition but as a social issue requiring community-based responses and supportive environments.</w:t>
      </w:r>
      <w:r>
        <w:rPr>
          <w:rFonts w:ascii="Arial" w:hAnsi="Arial" w:cs="Arial"/>
          <w:color w:val="222222"/>
        </w:rPr>
        <w:br/>
      </w:r>
      <w:r>
        <w:rPr>
          <w:rFonts w:ascii="Arial" w:hAnsi="Arial" w:cs="Arial"/>
          <w:color w:val="222222"/>
        </w:rPr>
        <w:lastRenderedPageBreak/>
        <w:br/>
      </w:r>
      <w:r>
        <w:rPr>
          <w:rFonts w:ascii="Arial" w:hAnsi="Arial" w:cs="Arial"/>
          <w:color w:val="222222"/>
        </w:rPr>
        <w:br/>
      </w:r>
      <w:r w:rsidRPr="004C7B15">
        <w:rPr>
          <w:rFonts w:ascii="Arial" w:hAnsi="Arial" w:cs="Arial"/>
          <w:b/>
          <w:bCs/>
          <w:color w:val="222222"/>
        </w:rPr>
        <w:br/>
      </w:r>
      <w:r w:rsidRPr="004C7B15">
        <w:rPr>
          <w:rFonts w:ascii="Arial" w:hAnsi="Arial" w:cs="Arial"/>
          <w:b/>
          <w:bCs/>
          <w:color w:val="222222"/>
          <w:shd w:val="clear" w:color="auto" w:fill="FFFFFF"/>
        </w:rPr>
        <w:t>6. Conclusion</w:t>
      </w:r>
      <w:r>
        <w:rPr>
          <w:rFonts w:ascii="Arial" w:hAnsi="Arial" w:cs="Arial"/>
          <w:color w:val="222222"/>
        </w:rPr>
        <w:br/>
      </w:r>
      <w:r>
        <w:rPr>
          <w:rFonts w:ascii="Arial" w:hAnsi="Arial" w:cs="Arial"/>
          <w:color w:val="222222"/>
        </w:rPr>
        <w:br/>
      </w:r>
      <w:r>
        <w:rPr>
          <w:rFonts w:ascii="Arial" w:hAnsi="Arial" w:cs="Arial"/>
          <w:color w:val="222222"/>
          <w:shd w:val="clear" w:color="auto" w:fill="FFFFFF"/>
        </w:rPr>
        <w:t>Dementia represents a complex condition that involves neurological, psychological and social dimensions. Its classification within ICD-11 Chapter 06 reflects an increasing recognition that cognitive decline must be understood within broader mental health and behavioural frameworks.</w:t>
      </w:r>
      <w:r>
        <w:rPr>
          <w:rFonts w:ascii="Arial" w:hAnsi="Arial" w:cs="Arial"/>
          <w:color w:val="222222"/>
        </w:rPr>
        <w:br/>
      </w:r>
      <w:r>
        <w:rPr>
          <w:rFonts w:ascii="Arial" w:hAnsi="Arial" w:cs="Arial"/>
          <w:color w:val="222222"/>
        </w:rPr>
        <w:br/>
      </w:r>
      <w:r>
        <w:rPr>
          <w:rFonts w:ascii="Arial" w:hAnsi="Arial" w:cs="Arial"/>
          <w:color w:val="222222"/>
          <w:shd w:val="clear" w:color="auto" w:fill="FFFFFF"/>
        </w:rPr>
        <w:t>While diagnostic systems provide important structures for identifying and managing dementia, they also shape societal attitudes and professional practices. Pharmacological treatments provide limited benefits, highlighting the importance of non-pharmacological interventions and rehabilitation approaches that support independence and quality of life.</w:t>
      </w:r>
      <w:r>
        <w:rPr>
          <w:rFonts w:ascii="Arial" w:hAnsi="Arial" w:cs="Arial"/>
          <w:color w:val="222222"/>
        </w:rPr>
        <w:br/>
      </w:r>
      <w:r>
        <w:rPr>
          <w:rFonts w:ascii="Arial" w:hAnsi="Arial" w:cs="Arial"/>
          <w:color w:val="222222"/>
        </w:rPr>
        <w:br/>
      </w:r>
      <w:r>
        <w:rPr>
          <w:rFonts w:ascii="Arial" w:hAnsi="Arial" w:cs="Arial"/>
          <w:color w:val="222222"/>
          <w:shd w:val="clear" w:color="auto" w:fill="FFFFFF"/>
        </w:rPr>
        <w:t>Contemporary debates surrounding medicalisation and neurodivergence demonstrate the evolving nature of dementia research and care. Moving forward, healthcare systems must adopt more integrated approaches that combine biomedical knowledge with social and person-centred perspectives.</w:t>
      </w:r>
      <w:r>
        <w:rPr>
          <w:rFonts w:ascii="Arial" w:hAnsi="Arial" w:cs="Arial"/>
          <w:color w:val="222222"/>
        </w:rPr>
        <w:br/>
      </w:r>
      <w:r>
        <w:rPr>
          <w:rFonts w:ascii="Arial" w:hAnsi="Arial" w:cs="Arial"/>
          <w:color w:val="222222"/>
        </w:rPr>
        <w:br/>
      </w:r>
      <w:r>
        <w:rPr>
          <w:rFonts w:ascii="Arial" w:hAnsi="Arial" w:cs="Arial"/>
          <w:color w:val="222222"/>
          <w:shd w:val="clear" w:color="auto" w:fill="FFFFFF"/>
        </w:rPr>
        <w:t>Ultimately, improving dementia care requires coordinated efforts across healthcare, social services and communities to ensure that individuals living with dementia receive compassionate, effective and dignified support throughout the progression of the condition.</w:t>
      </w:r>
      <w:r>
        <w:rPr>
          <w:rFonts w:ascii="Arial" w:hAnsi="Arial" w:cs="Arial"/>
          <w:color w:val="222222"/>
        </w:rPr>
        <w:br/>
      </w:r>
      <w:r>
        <w:rPr>
          <w:rFonts w:ascii="Arial" w:hAnsi="Arial" w:cs="Arial"/>
          <w:color w:val="222222"/>
        </w:rPr>
        <w:br/>
      </w:r>
    </w:p>
    <w:p w14:paraId="6323FD65" w14:textId="77777777" w:rsidR="000A2E33" w:rsidRDefault="000A2E33" w:rsidP="008A6D32">
      <w:pPr>
        <w:pStyle w:val="NormalWeb"/>
        <w:rPr>
          <w:rFonts w:ascii="Arial" w:hAnsi="Arial" w:cs="Arial"/>
          <w:color w:val="222222"/>
        </w:rPr>
      </w:pPr>
    </w:p>
    <w:p w14:paraId="58DCC976" w14:textId="77777777" w:rsidR="00CB583F" w:rsidRDefault="00CB583F" w:rsidP="008A6D32">
      <w:pPr>
        <w:pStyle w:val="NormalWeb"/>
        <w:rPr>
          <w:rFonts w:ascii="Arial" w:hAnsi="Arial" w:cs="Arial"/>
          <w:color w:val="222222"/>
        </w:rPr>
      </w:pPr>
    </w:p>
    <w:p w14:paraId="3E38FBDE" w14:textId="77777777" w:rsidR="00CB583F" w:rsidRDefault="00CB583F" w:rsidP="008A6D32">
      <w:pPr>
        <w:pStyle w:val="NormalWeb"/>
        <w:rPr>
          <w:rFonts w:ascii="Arial" w:hAnsi="Arial" w:cs="Arial"/>
          <w:color w:val="222222"/>
        </w:rPr>
      </w:pPr>
    </w:p>
    <w:p w14:paraId="06323123" w14:textId="77777777" w:rsidR="00CB583F" w:rsidRDefault="00CB583F" w:rsidP="008A6D32">
      <w:pPr>
        <w:pStyle w:val="NormalWeb"/>
        <w:rPr>
          <w:rFonts w:ascii="Arial" w:hAnsi="Arial" w:cs="Arial"/>
          <w:color w:val="222222"/>
        </w:rPr>
      </w:pPr>
    </w:p>
    <w:p w14:paraId="12B927E5" w14:textId="77777777" w:rsidR="00CB583F" w:rsidRDefault="00CB583F" w:rsidP="008A6D32">
      <w:pPr>
        <w:pStyle w:val="NormalWeb"/>
        <w:rPr>
          <w:rFonts w:ascii="Arial" w:hAnsi="Arial" w:cs="Arial"/>
          <w:color w:val="222222"/>
        </w:rPr>
      </w:pPr>
    </w:p>
    <w:p w14:paraId="729ED491" w14:textId="77777777" w:rsidR="00CB583F" w:rsidRDefault="00CB583F" w:rsidP="008A6D32">
      <w:pPr>
        <w:pStyle w:val="NormalWeb"/>
        <w:rPr>
          <w:rFonts w:ascii="Arial" w:hAnsi="Arial" w:cs="Arial"/>
          <w:color w:val="222222"/>
        </w:rPr>
      </w:pPr>
    </w:p>
    <w:p w14:paraId="0C2A8948" w14:textId="77777777" w:rsidR="00CB583F" w:rsidRDefault="00CB583F" w:rsidP="008A6D32">
      <w:pPr>
        <w:pStyle w:val="NormalWeb"/>
        <w:rPr>
          <w:rFonts w:ascii="Arial" w:hAnsi="Arial" w:cs="Arial"/>
          <w:color w:val="222222"/>
        </w:rPr>
      </w:pPr>
    </w:p>
    <w:p w14:paraId="1ADA319F" w14:textId="77777777" w:rsidR="00CB583F" w:rsidRDefault="00CB583F" w:rsidP="008A6D32">
      <w:pPr>
        <w:pStyle w:val="NormalWeb"/>
        <w:rPr>
          <w:rFonts w:ascii="Arial" w:hAnsi="Arial" w:cs="Arial"/>
          <w:color w:val="222222"/>
        </w:rPr>
      </w:pPr>
    </w:p>
    <w:p w14:paraId="1F3E4A30" w14:textId="77777777" w:rsidR="00CB583F" w:rsidRDefault="00CB583F" w:rsidP="008A6D32">
      <w:pPr>
        <w:pStyle w:val="NormalWeb"/>
        <w:rPr>
          <w:rFonts w:ascii="Arial" w:hAnsi="Arial" w:cs="Arial"/>
          <w:color w:val="222222"/>
        </w:rPr>
      </w:pPr>
    </w:p>
    <w:p w14:paraId="0AC0ED46" w14:textId="77777777" w:rsidR="006106EB" w:rsidRDefault="006106EB" w:rsidP="008A6D32">
      <w:pPr>
        <w:pStyle w:val="NormalWeb"/>
        <w:rPr>
          <w:rFonts w:ascii="Arial" w:hAnsi="Arial" w:cs="Arial"/>
          <w:color w:val="222222"/>
        </w:rPr>
      </w:pPr>
    </w:p>
    <w:p w14:paraId="1FBD7154" w14:textId="77777777" w:rsidR="00CB583F" w:rsidRDefault="00CB583F" w:rsidP="008A6D32">
      <w:pPr>
        <w:pStyle w:val="NormalWeb"/>
        <w:rPr>
          <w:rFonts w:ascii="Arial" w:hAnsi="Arial" w:cs="Arial"/>
          <w:color w:val="222222"/>
        </w:rPr>
      </w:pPr>
    </w:p>
    <w:p w14:paraId="41393BD6" w14:textId="16DBDBBF" w:rsidR="008A6D32" w:rsidRPr="008A6D32" w:rsidRDefault="0098383C" w:rsidP="008A6D32">
      <w:pPr>
        <w:pStyle w:val="NormalWeb"/>
        <w:rPr>
          <w:rFonts w:ascii="Arial" w:hAnsi="Arial" w:cs="Arial"/>
          <w:color w:val="000000"/>
        </w:rPr>
      </w:pPr>
      <w:r>
        <w:rPr>
          <w:rFonts w:ascii="Arial" w:hAnsi="Arial" w:cs="Arial"/>
          <w:color w:val="222222"/>
        </w:rPr>
        <w:lastRenderedPageBreak/>
        <w:br/>
      </w:r>
      <w:r w:rsidRPr="000A2E33">
        <w:rPr>
          <w:rFonts w:ascii="Arial" w:hAnsi="Arial" w:cs="Arial"/>
          <w:b/>
          <w:bCs/>
          <w:color w:val="222222"/>
          <w:shd w:val="clear" w:color="auto" w:fill="FFFFFF"/>
        </w:rPr>
        <w:t>References</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Alzheimer’s Society (2023) </w:t>
      </w:r>
      <w:r w:rsidRPr="00395D0E">
        <w:rPr>
          <w:rFonts w:ascii="Arial" w:hAnsi="Arial" w:cs="Arial"/>
          <w:i/>
          <w:iCs/>
          <w:color w:val="222222"/>
          <w:shd w:val="clear" w:color="auto" w:fill="FFFFFF"/>
        </w:rPr>
        <w:t>Dementia statistics</w:t>
      </w:r>
      <w:r>
        <w:rPr>
          <w:rFonts w:ascii="Arial" w:hAnsi="Arial" w:cs="Arial"/>
          <w:color w:val="222222"/>
          <w:shd w:val="clear" w:color="auto" w:fill="FFFFFF"/>
        </w:rPr>
        <w:t>. London: Alzheimer’s Society.</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Banerjee, S. (2010) ‘Living well with dementia’, </w:t>
      </w:r>
      <w:r w:rsidRPr="00395D0E">
        <w:rPr>
          <w:rFonts w:ascii="Arial" w:hAnsi="Arial" w:cs="Arial"/>
          <w:i/>
          <w:iCs/>
          <w:color w:val="222222"/>
          <w:shd w:val="clear" w:color="auto" w:fill="FFFFFF"/>
        </w:rPr>
        <w:t>International Journal of Geriatric Psychiatry</w:t>
      </w:r>
      <w:r>
        <w:rPr>
          <w:rFonts w:ascii="Arial" w:hAnsi="Arial" w:cs="Arial"/>
          <w:color w:val="222222"/>
          <w:shd w:val="clear" w:color="auto" w:fill="FFFFFF"/>
        </w:rPr>
        <w:t>, 25(9), pp. 917-922.</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Brooker, D. and Latham, I. (2016) </w:t>
      </w:r>
      <w:r w:rsidRPr="00395D0E">
        <w:rPr>
          <w:rFonts w:ascii="Arial" w:hAnsi="Arial" w:cs="Arial"/>
          <w:i/>
          <w:iCs/>
          <w:color w:val="222222"/>
          <w:shd w:val="clear" w:color="auto" w:fill="FFFFFF"/>
        </w:rPr>
        <w:t>Person-centred dementia care</w:t>
      </w:r>
      <w:r>
        <w:rPr>
          <w:rFonts w:ascii="Arial" w:hAnsi="Arial" w:cs="Arial"/>
          <w:color w:val="222222"/>
          <w:shd w:val="clear" w:color="auto" w:fill="FFFFFF"/>
        </w:rPr>
        <w:t>. London: Jessica Kingsley.</w:t>
      </w:r>
      <w:r>
        <w:rPr>
          <w:rFonts w:ascii="Arial" w:hAnsi="Arial" w:cs="Arial"/>
          <w:color w:val="222222"/>
        </w:rPr>
        <w:br/>
      </w:r>
      <w:r>
        <w:rPr>
          <w:rFonts w:ascii="Arial" w:hAnsi="Arial" w:cs="Arial"/>
          <w:color w:val="222222"/>
        </w:rPr>
        <w:br/>
      </w:r>
      <w:proofErr w:type="spellStart"/>
      <w:r>
        <w:rPr>
          <w:rFonts w:ascii="Arial" w:hAnsi="Arial" w:cs="Arial"/>
          <w:color w:val="222222"/>
          <w:shd w:val="clear" w:color="auto" w:fill="FFFFFF"/>
        </w:rPr>
        <w:t>Kitwood</w:t>
      </w:r>
      <w:proofErr w:type="spellEnd"/>
      <w:r>
        <w:rPr>
          <w:rFonts w:ascii="Arial" w:hAnsi="Arial" w:cs="Arial"/>
          <w:color w:val="222222"/>
          <w:shd w:val="clear" w:color="auto" w:fill="FFFFFF"/>
        </w:rPr>
        <w:t xml:space="preserve">, T. (1997) </w:t>
      </w:r>
      <w:r w:rsidRPr="00395D0E">
        <w:rPr>
          <w:rFonts w:ascii="Arial" w:hAnsi="Arial" w:cs="Arial"/>
          <w:i/>
          <w:iCs/>
          <w:color w:val="222222"/>
          <w:shd w:val="clear" w:color="auto" w:fill="FFFFFF"/>
        </w:rPr>
        <w:t>Dementia reconsidered: The person comes first</w:t>
      </w:r>
      <w:r>
        <w:rPr>
          <w:rFonts w:ascii="Arial" w:hAnsi="Arial" w:cs="Arial"/>
          <w:color w:val="222222"/>
          <w:shd w:val="clear" w:color="auto" w:fill="FFFFFF"/>
        </w:rPr>
        <w:t>. Buckingham: Open University Press.</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Livingston, G. et al. (2020) ‘Dementia prevention, intervention and care’, </w:t>
      </w:r>
      <w:r w:rsidRPr="00E36A25">
        <w:rPr>
          <w:rFonts w:ascii="Arial" w:hAnsi="Arial" w:cs="Arial"/>
          <w:i/>
          <w:iCs/>
          <w:color w:val="222222"/>
          <w:shd w:val="clear" w:color="auto" w:fill="FFFFFF"/>
        </w:rPr>
        <w:t>The Lancet</w:t>
      </w:r>
      <w:r>
        <w:rPr>
          <w:rFonts w:ascii="Arial" w:hAnsi="Arial" w:cs="Arial"/>
          <w:color w:val="222222"/>
          <w:shd w:val="clear" w:color="auto" w:fill="FFFFFF"/>
        </w:rPr>
        <w:t>, 396(10248), pp. 413-446.</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National Institute for Health and Care Excellence (2018) </w:t>
      </w:r>
      <w:r w:rsidRPr="00E36A25">
        <w:rPr>
          <w:rFonts w:ascii="Arial" w:hAnsi="Arial" w:cs="Arial"/>
          <w:i/>
          <w:iCs/>
          <w:color w:val="222222"/>
          <w:shd w:val="clear" w:color="auto" w:fill="FFFFFF"/>
        </w:rPr>
        <w:t xml:space="preserve">Dementia: assessment, management and support for people living with dementia and their </w:t>
      </w:r>
      <w:r w:rsidR="00E36A25" w:rsidRPr="00E36A25">
        <w:rPr>
          <w:rFonts w:ascii="Arial" w:hAnsi="Arial" w:cs="Arial"/>
          <w:i/>
          <w:iCs/>
          <w:color w:val="222222"/>
          <w:shd w:val="clear" w:color="auto" w:fill="FFFFFF"/>
        </w:rPr>
        <w:t>careers</w:t>
      </w:r>
      <w:r>
        <w:rPr>
          <w:rFonts w:ascii="Arial" w:hAnsi="Arial" w:cs="Arial"/>
          <w:color w:val="222222"/>
          <w:shd w:val="clear" w:color="auto" w:fill="FFFFFF"/>
        </w:rPr>
        <w:t>. London: NICE.</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Sabat, S. (2001) </w:t>
      </w:r>
      <w:r w:rsidRPr="00D67000">
        <w:rPr>
          <w:rFonts w:ascii="Arial" w:hAnsi="Arial" w:cs="Arial"/>
          <w:i/>
          <w:iCs/>
          <w:color w:val="222222"/>
          <w:shd w:val="clear" w:color="auto" w:fill="FFFFFF"/>
        </w:rPr>
        <w:t>The experience of Alzheimer’s disease</w:t>
      </w:r>
      <w:r>
        <w:rPr>
          <w:rFonts w:ascii="Arial" w:hAnsi="Arial" w:cs="Arial"/>
          <w:color w:val="222222"/>
          <w:shd w:val="clear" w:color="auto" w:fill="FFFFFF"/>
        </w:rPr>
        <w:t>. Oxford: Blackwell.</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World Health Organization (2019) </w:t>
      </w:r>
      <w:r w:rsidRPr="00530D05">
        <w:rPr>
          <w:rFonts w:ascii="Arial" w:hAnsi="Arial" w:cs="Arial"/>
          <w:i/>
          <w:iCs/>
          <w:color w:val="222222"/>
          <w:shd w:val="clear" w:color="auto" w:fill="FFFFFF"/>
        </w:rPr>
        <w:t>International classification of diseases</w:t>
      </w:r>
      <w:r>
        <w:rPr>
          <w:rFonts w:ascii="Arial" w:hAnsi="Arial" w:cs="Arial"/>
          <w:color w:val="222222"/>
          <w:shd w:val="clear" w:color="auto" w:fill="FFFFFF"/>
        </w:rPr>
        <w:t xml:space="preserve"> (ICD-11). Geneva: WHO.</w:t>
      </w:r>
      <w:r>
        <w:rPr>
          <w:rFonts w:ascii="Arial" w:hAnsi="Arial" w:cs="Arial"/>
          <w:color w:val="222222"/>
        </w:rPr>
        <w:br/>
      </w:r>
      <w:r>
        <w:rPr>
          <w:rFonts w:ascii="Arial" w:hAnsi="Arial" w:cs="Arial"/>
          <w:color w:val="222222"/>
        </w:rPr>
        <w:br/>
      </w:r>
      <w:r>
        <w:rPr>
          <w:rFonts w:ascii="Arial" w:hAnsi="Arial" w:cs="Arial"/>
          <w:color w:val="222222"/>
          <w:shd w:val="clear" w:color="auto" w:fill="FFFFFF"/>
        </w:rPr>
        <w:t>World Health Organization (2021)</w:t>
      </w:r>
      <w:r w:rsidRPr="00530D05">
        <w:rPr>
          <w:rFonts w:ascii="Arial" w:hAnsi="Arial" w:cs="Arial"/>
          <w:i/>
          <w:iCs/>
          <w:color w:val="222222"/>
          <w:shd w:val="clear" w:color="auto" w:fill="FFFFFF"/>
        </w:rPr>
        <w:t xml:space="preserve"> Global status report on the public health response to dementia</w:t>
      </w:r>
      <w:r>
        <w:rPr>
          <w:rFonts w:ascii="Arial" w:hAnsi="Arial" w:cs="Arial"/>
          <w:color w:val="222222"/>
          <w:shd w:val="clear" w:color="auto" w:fill="FFFFFF"/>
        </w:rPr>
        <w:t>. Geneva: WHO.</w:t>
      </w:r>
      <w:r>
        <w:rPr>
          <w:rFonts w:ascii="Arial" w:hAnsi="Arial" w:cs="Arial"/>
          <w:color w:val="222222"/>
        </w:rPr>
        <w:br/>
      </w:r>
      <w:r>
        <w:rPr>
          <w:rFonts w:ascii="Arial" w:hAnsi="Arial" w:cs="Arial"/>
          <w:color w:val="222222"/>
        </w:rPr>
        <w:br/>
      </w:r>
      <w:proofErr w:type="spellStart"/>
      <w:r>
        <w:rPr>
          <w:rFonts w:ascii="Arial" w:hAnsi="Arial" w:cs="Arial"/>
          <w:color w:val="222222"/>
          <w:shd w:val="clear" w:color="auto" w:fill="FFFFFF"/>
        </w:rPr>
        <w:t>Zeilig</w:t>
      </w:r>
      <w:proofErr w:type="spellEnd"/>
      <w:r>
        <w:rPr>
          <w:rFonts w:ascii="Arial" w:hAnsi="Arial" w:cs="Arial"/>
          <w:color w:val="222222"/>
          <w:shd w:val="clear" w:color="auto" w:fill="FFFFFF"/>
        </w:rPr>
        <w:t xml:space="preserve">, H. (2014) ‘Dementia as a cultural metaphor’, </w:t>
      </w:r>
      <w:r w:rsidRPr="00530D05">
        <w:rPr>
          <w:rFonts w:ascii="Arial" w:hAnsi="Arial" w:cs="Arial"/>
          <w:i/>
          <w:iCs/>
          <w:color w:val="222222"/>
          <w:shd w:val="clear" w:color="auto" w:fill="FFFFFF"/>
        </w:rPr>
        <w:t>The Gerontologist</w:t>
      </w:r>
      <w:r>
        <w:rPr>
          <w:rFonts w:ascii="Arial" w:hAnsi="Arial" w:cs="Arial"/>
          <w:color w:val="222222"/>
          <w:shd w:val="clear" w:color="auto" w:fill="FFFFFF"/>
        </w:rPr>
        <w:t>, 54(2), pp. 258-267.</w:t>
      </w:r>
    </w:p>
    <w:p w14:paraId="6E41165F" w14:textId="77777777" w:rsidR="000264A1" w:rsidRPr="008A6D32" w:rsidRDefault="000264A1" w:rsidP="000264A1">
      <w:pPr>
        <w:rPr>
          <w:rFonts w:ascii="Arial" w:hAnsi="Arial" w:cs="Arial"/>
          <w:sz w:val="36"/>
          <w:szCs w:val="36"/>
        </w:rPr>
      </w:pPr>
    </w:p>
    <w:p w14:paraId="07786E37" w14:textId="77777777" w:rsidR="000264A1" w:rsidRPr="000264A1" w:rsidRDefault="000264A1" w:rsidP="000264A1">
      <w:pPr>
        <w:rPr>
          <w:rFonts w:ascii="Arial" w:hAnsi="Arial" w:cs="Arial"/>
          <w:sz w:val="36"/>
          <w:szCs w:val="36"/>
        </w:rPr>
      </w:pPr>
    </w:p>
    <w:sectPr w:rsidR="000264A1" w:rsidRPr="000264A1">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338726" w14:textId="77777777" w:rsidR="00C72507" w:rsidRDefault="00C72507" w:rsidP="000264A1">
      <w:pPr>
        <w:spacing w:after="0" w:line="240" w:lineRule="auto"/>
      </w:pPr>
      <w:r>
        <w:separator/>
      </w:r>
    </w:p>
  </w:endnote>
  <w:endnote w:type="continuationSeparator" w:id="0">
    <w:p w14:paraId="5B6DEE99" w14:textId="77777777" w:rsidR="00C72507" w:rsidRDefault="00C72507"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3C097F" w14:textId="77777777" w:rsidR="00C72507" w:rsidRDefault="00C72507" w:rsidP="000264A1">
      <w:pPr>
        <w:spacing w:after="0" w:line="240" w:lineRule="auto"/>
      </w:pPr>
      <w:r>
        <w:separator/>
      </w:r>
    </w:p>
  </w:footnote>
  <w:footnote w:type="continuationSeparator" w:id="0">
    <w:p w14:paraId="60C76F94" w14:textId="77777777" w:rsidR="00C72507" w:rsidRDefault="00C72507" w:rsidP="000264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12CFE"/>
    <w:rsid w:val="000264A1"/>
    <w:rsid w:val="00041093"/>
    <w:rsid w:val="00060FB4"/>
    <w:rsid w:val="000A2E33"/>
    <w:rsid w:val="000E2FCC"/>
    <w:rsid w:val="00132C13"/>
    <w:rsid w:val="00140870"/>
    <w:rsid w:val="00176685"/>
    <w:rsid w:val="001957C8"/>
    <w:rsid w:val="001D2700"/>
    <w:rsid w:val="001D6BC4"/>
    <w:rsid w:val="001E66F1"/>
    <w:rsid w:val="0028065C"/>
    <w:rsid w:val="0028606A"/>
    <w:rsid w:val="002B6C3C"/>
    <w:rsid w:val="003864C2"/>
    <w:rsid w:val="00395D0E"/>
    <w:rsid w:val="003C6E23"/>
    <w:rsid w:val="00405EC4"/>
    <w:rsid w:val="00483D98"/>
    <w:rsid w:val="004C7B15"/>
    <w:rsid w:val="004D1658"/>
    <w:rsid w:val="004D3A0B"/>
    <w:rsid w:val="00504F58"/>
    <w:rsid w:val="00505AF7"/>
    <w:rsid w:val="00530D05"/>
    <w:rsid w:val="005355BE"/>
    <w:rsid w:val="00556503"/>
    <w:rsid w:val="005C3DC6"/>
    <w:rsid w:val="005E402E"/>
    <w:rsid w:val="006106EB"/>
    <w:rsid w:val="00637171"/>
    <w:rsid w:val="0064605B"/>
    <w:rsid w:val="00676A63"/>
    <w:rsid w:val="00697425"/>
    <w:rsid w:val="006A7323"/>
    <w:rsid w:val="006C37A5"/>
    <w:rsid w:val="00722ABC"/>
    <w:rsid w:val="007347E4"/>
    <w:rsid w:val="00841B43"/>
    <w:rsid w:val="00843325"/>
    <w:rsid w:val="00881024"/>
    <w:rsid w:val="00881242"/>
    <w:rsid w:val="008A6D32"/>
    <w:rsid w:val="008E501E"/>
    <w:rsid w:val="00906621"/>
    <w:rsid w:val="0092525D"/>
    <w:rsid w:val="009263E2"/>
    <w:rsid w:val="00970CD2"/>
    <w:rsid w:val="0098383C"/>
    <w:rsid w:val="009E3651"/>
    <w:rsid w:val="00A10EC4"/>
    <w:rsid w:val="00A2241F"/>
    <w:rsid w:val="00A336CB"/>
    <w:rsid w:val="00A43533"/>
    <w:rsid w:val="00A732B6"/>
    <w:rsid w:val="00B6743A"/>
    <w:rsid w:val="00BA432D"/>
    <w:rsid w:val="00BD15E0"/>
    <w:rsid w:val="00BD6DD0"/>
    <w:rsid w:val="00BF35D0"/>
    <w:rsid w:val="00C325FE"/>
    <w:rsid w:val="00C3450F"/>
    <w:rsid w:val="00C42B25"/>
    <w:rsid w:val="00C45DD1"/>
    <w:rsid w:val="00C46A41"/>
    <w:rsid w:val="00C72507"/>
    <w:rsid w:val="00C96612"/>
    <w:rsid w:val="00CB583F"/>
    <w:rsid w:val="00D67000"/>
    <w:rsid w:val="00DE611E"/>
    <w:rsid w:val="00E011F8"/>
    <w:rsid w:val="00E11563"/>
    <w:rsid w:val="00E36A25"/>
    <w:rsid w:val="00E632E4"/>
    <w:rsid w:val="00E80C41"/>
    <w:rsid w:val="00E86F32"/>
    <w:rsid w:val="00EE6000"/>
    <w:rsid w:val="00EF008E"/>
    <w:rsid w:val="00F037CE"/>
    <w:rsid w:val="00F413E8"/>
    <w:rsid w:val="00FF5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paragraph" w:styleId="TOCHeading">
    <w:name w:val="TOC Heading"/>
    <w:basedOn w:val="Heading1"/>
    <w:next w:val="Normal"/>
    <w:uiPriority w:val="39"/>
    <w:unhideWhenUsed/>
    <w:qFormat/>
    <w:rsid w:val="006A732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6A7323"/>
    <w:pPr>
      <w:spacing w:before="360" w:after="360"/>
    </w:pPr>
    <w:rPr>
      <w:b/>
      <w:bCs/>
      <w:caps/>
      <w:sz w:val="22"/>
      <w:szCs w:val="22"/>
      <w:u w:val="single"/>
    </w:rPr>
  </w:style>
  <w:style w:type="paragraph" w:styleId="TOC2">
    <w:name w:val="toc 2"/>
    <w:basedOn w:val="Normal"/>
    <w:next w:val="Normal"/>
    <w:autoRedefine/>
    <w:uiPriority w:val="39"/>
    <w:semiHidden/>
    <w:unhideWhenUsed/>
    <w:rsid w:val="006A7323"/>
    <w:pPr>
      <w:spacing w:after="0"/>
    </w:pPr>
    <w:rPr>
      <w:b/>
      <w:bCs/>
      <w:smallCaps/>
      <w:sz w:val="22"/>
      <w:szCs w:val="22"/>
    </w:rPr>
  </w:style>
  <w:style w:type="paragraph" w:styleId="TOC3">
    <w:name w:val="toc 3"/>
    <w:basedOn w:val="Normal"/>
    <w:next w:val="Normal"/>
    <w:autoRedefine/>
    <w:uiPriority w:val="39"/>
    <w:semiHidden/>
    <w:unhideWhenUsed/>
    <w:rsid w:val="006A7323"/>
    <w:pPr>
      <w:spacing w:after="0"/>
    </w:pPr>
    <w:rPr>
      <w:smallCaps/>
      <w:sz w:val="22"/>
      <w:szCs w:val="22"/>
    </w:rPr>
  </w:style>
  <w:style w:type="paragraph" w:styleId="TOC4">
    <w:name w:val="toc 4"/>
    <w:basedOn w:val="Normal"/>
    <w:next w:val="Normal"/>
    <w:autoRedefine/>
    <w:uiPriority w:val="39"/>
    <w:semiHidden/>
    <w:unhideWhenUsed/>
    <w:rsid w:val="006A7323"/>
    <w:pPr>
      <w:spacing w:after="0"/>
    </w:pPr>
    <w:rPr>
      <w:sz w:val="22"/>
      <w:szCs w:val="22"/>
    </w:rPr>
  </w:style>
  <w:style w:type="paragraph" w:styleId="TOC5">
    <w:name w:val="toc 5"/>
    <w:basedOn w:val="Normal"/>
    <w:next w:val="Normal"/>
    <w:autoRedefine/>
    <w:uiPriority w:val="39"/>
    <w:semiHidden/>
    <w:unhideWhenUsed/>
    <w:rsid w:val="006A7323"/>
    <w:pPr>
      <w:spacing w:after="0"/>
    </w:pPr>
    <w:rPr>
      <w:sz w:val="22"/>
      <w:szCs w:val="22"/>
    </w:rPr>
  </w:style>
  <w:style w:type="paragraph" w:styleId="TOC6">
    <w:name w:val="toc 6"/>
    <w:basedOn w:val="Normal"/>
    <w:next w:val="Normal"/>
    <w:autoRedefine/>
    <w:uiPriority w:val="39"/>
    <w:semiHidden/>
    <w:unhideWhenUsed/>
    <w:rsid w:val="006A7323"/>
    <w:pPr>
      <w:spacing w:after="0"/>
    </w:pPr>
    <w:rPr>
      <w:sz w:val="22"/>
      <w:szCs w:val="22"/>
    </w:rPr>
  </w:style>
  <w:style w:type="paragraph" w:styleId="TOC7">
    <w:name w:val="toc 7"/>
    <w:basedOn w:val="Normal"/>
    <w:next w:val="Normal"/>
    <w:autoRedefine/>
    <w:uiPriority w:val="39"/>
    <w:semiHidden/>
    <w:unhideWhenUsed/>
    <w:rsid w:val="006A7323"/>
    <w:pPr>
      <w:spacing w:after="0"/>
    </w:pPr>
    <w:rPr>
      <w:sz w:val="22"/>
      <w:szCs w:val="22"/>
    </w:rPr>
  </w:style>
  <w:style w:type="paragraph" w:styleId="TOC8">
    <w:name w:val="toc 8"/>
    <w:basedOn w:val="Normal"/>
    <w:next w:val="Normal"/>
    <w:autoRedefine/>
    <w:uiPriority w:val="39"/>
    <w:semiHidden/>
    <w:unhideWhenUsed/>
    <w:rsid w:val="006A7323"/>
    <w:pPr>
      <w:spacing w:after="0"/>
    </w:pPr>
    <w:rPr>
      <w:sz w:val="22"/>
      <w:szCs w:val="22"/>
    </w:rPr>
  </w:style>
  <w:style w:type="paragraph" w:styleId="TOC9">
    <w:name w:val="toc 9"/>
    <w:basedOn w:val="Normal"/>
    <w:next w:val="Normal"/>
    <w:autoRedefine/>
    <w:uiPriority w:val="39"/>
    <w:semiHidden/>
    <w:unhideWhenUsed/>
    <w:rsid w:val="006A7323"/>
    <w:pPr>
      <w:spacing w:after="0"/>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156</TotalTime>
  <Pages>9</Pages>
  <Words>2601</Words>
  <Characters>14832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Ramsey Nakazibwe (2315008)</cp:lastModifiedBy>
  <cp:revision>66</cp:revision>
  <dcterms:created xsi:type="dcterms:W3CDTF">2026-03-03T11:36:00Z</dcterms:created>
  <dcterms:modified xsi:type="dcterms:W3CDTF">2026-04-22T22:44:00Z</dcterms:modified>
</cp:coreProperties>
</file>