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A73A2" w14:textId="77777777" w:rsidR="00626747" w:rsidRDefault="00626747" w:rsidP="00626747">
      <w:pPr>
        <w:pBdr>
          <w:bottom w:val="single" w:sz="4" w:space="1" w:color="auto"/>
        </w:pBdr>
        <w:jc w:val="center"/>
        <w:rPr>
          <w:b/>
          <w:color w:val="000000" w:themeColor="text1"/>
          <w:sz w:val="28"/>
        </w:rPr>
      </w:pPr>
    </w:p>
    <w:p w14:paraId="00829F3A" w14:textId="77777777" w:rsidR="00626747" w:rsidRDefault="00626747" w:rsidP="00626747">
      <w:pPr>
        <w:pBdr>
          <w:bottom w:val="single" w:sz="4" w:space="1" w:color="auto"/>
        </w:pBdr>
        <w:jc w:val="center"/>
        <w:rPr>
          <w:b/>
          <w:color w:val="000000" w:themeColor="text1"/>
          <w:sz w:val="28"/>
        </w:rPr>
      </w:pPr>
    </w:p>
    <w:p w14:paraId="68F272EA" w14:textId="77777777" w:rsidR="00DF7C86" w:rsidRPr="00C736B3" w:rsidRDefault="00DF7C86" w:rsidP="00DF7C86">
      <w:pPr>
        <w:pBdr>
          <w:bottom w:val="single" w:sz="4" w:space="1" w:color="auto"/>
        </w:pBdr>
        <w:jc w:val="center"/>
        <w:rPr>
          <w:rFonts w:ascii="Arial" w:hAnsi="Arial" w:cs="Arial"/>
          <w:b/>
          <w:color w:val="000000" w:themeColor="text1"/>
          <w:sz w:val="28"/>
        </w:rPr>
      </w:pPr>
      <w:r w:rsidRPr="00C736B3">
        <w:rPr>
          <w:rFonts w:ascii="Arial" w:hAnsi="Arial" w:cs="Arial"/>
          <w:b/>
          <w:color w:val="000000" w:themeColor="text1"/>
          <w:sz w:val="28"/>
        </w:rPr>
        <w:t>BMIH 5007</w:t>
      </w:r>
    </w:p>
    <w:p w14:paraId="382F7152" w14:textId="77777777" w:rsidR="00DF7C86" w:rsidRPr="00C736B3" w:rsidRDefault="00DF7C86" w:rsidP="00DF7C86">
      <w:pPr>
        <w:pBdr>
          <w:bottom w:val="single" w:sz="4" w:space="1" w:color="auto"/>
        </w:pBdr>
        <w:jc w:val="center"/>
        <w:rPr>
          <w:rFonts w:ascii="Arial" w:hAnsi="Arial" w:cs="Arial"/>
          <w:b/>
          <w:color w:val="000000" w:themeColor="text1"/>
          <w:sz w:val="28"/>
        </w:rPr>
      </w:pPr>
      <w:r w:rsidRPr="00C736B3">
        <w:rPr>
          <w:rFonts w:ascii="Arial" w:hAnsi="Arial" w:cs="Arial"/>
          <w:b/>
          <w:color w:val="000000" w:themeColor="text1"/>
          <w:sz w:val="28"/>
        </w:rPr>
        <w:t xml:space="preserve">Christopher </w:t>
      </w:r>
      <w:proofErr w:type="spellStart"/>
      <w:r w:rsidRPr="00C736B3">
        <w:rPr>
          <w:rFonts w:ascii="Arial" w:hAnsi="Arial" w:cs="Arial"/>
          <w:b/>
          <w:color w:val="000000" w:themeColor="text1"/>
          <w:sz w:val="28"/>
        </w:rPr>
        <w:t>Setalsingh</w:t>
      </w:r>
      <w:proofErr w:type="spellEnd"/>
    </w:p>
    <w:p w14:paraId="0F1B295D" w14:textId="77777777" w:rsidR="00DF7C86" w:rsidRPr="00C736B3" w:rsidRDefault="00DF7C86" w:rsidP="00DF7C86">
      <w:pPr>
        <w:pBdr>
          <w:bottom w:val="single" w:sz="4" w:space="1" w:color="auto"/>
        </w:pBdr>
        <w:jc w:val="center"/>
        <w:rPr>
          <w:rFonts w:ascii="Arial" w:hAnsi="Arial" w:cs="Arial"/>
          <w:b/>
          <w:color w:val="000000" w:themeColor="text1"/>
          <w:sz w:val="28"/>
        </w:rPr>
      </w:pPr>
      <w:r w:rsidRPr="00C736B3">
        <w:rPr>
          <w:rFonts w:ascii="Arial" w:hAnsi="Arial" w:cs="Arial"/>
          <w:b/>
          <w:color w:val="000000" w:themeColor="text1"/>
          <w:sz w:val="28"/>
        </w:rPr>
        <w:t>Student Number: 2127114</w:t>
      </w:r>
    </w:p>
    <w:p w14:paraId="200E8EB5" w14:textId="77777777" w:rsidR="00DF7C86" w:rsidRPr="00C736B3" w:rsidRDefault="00DF7C86" w:rsidP="00DF7C86">
      <w:pPr>
        <w:pBdr>
          <w:bottom w:val="single" w:sz="4" w:space="1" w:color="auto"/>
        </w:pBdr>
        <w:jc w:val="center"/>
        <w:rPr>
          <w:rFonts w:ascii="Arial" w:hAnsi="Arial" w:cs="Arial"/>
          <w:b/>
          <w:color w:val="000000" w:themeColor="text1"/>
          <w:sz w:val="28"/>
        </w:rPr>
      </w:pPr>
      <w:r w:rsidRPr="00C736B3">
        <w:rPr>
          <w:rFonts w:ascii="Arial" w:hAnsi="Arial" w:cs="Arial"/>
          <w:b/>
          <w:color w:val="000000" w:themeColor="text1"/>
          <w:sz w:val="28"/>
        </w:rPr>
        <w:t>Lecturer: Tristan Dawkins</w:t>
      </w:r>
    </w:p>
    <w:p w14:paraId="14F61FF1" w14:textId="77777777" w:rsidR="00626747" w:rsidRDefault="00626747" w:rsidP="00626747">
      <w:pPr>
        <w:pBdr>
          <w:bottom w:val="single" w:sz="4" w:space="1" w:color="auto"/>
        </w:pBdr>
        <w:jc w:val="center"/>
        <w:rPr>
          <w:b/>
          <w:color w:val="000000" w:themeColor="text1"/>
          <w:sz w:val="28"/>
        </w:rPr>
      </w:pPr>
    </w:p>
    <w:p w14:paraId="077F404F" w14:textId="77777777" w:rsidR="00626747" w:rsidRDefault="00626747" w:rsidP="00626747">
      <w:pPr>
        <w:pBdr>
          <w:bottom w:val="single" w:sz="4" w:space="1" w:color="auto"/>
        </w:pBdr>
        <w:jc w:val="center"/>
        <w:rPr>
          <w:b/>
          <w:color w:val="000000" w:themeColor="text1"/>
          <w:sz w:val="28"/>
        </w:rPr>
      </w:pPr>
    </w:p>
    <w:p w14:paraId="2A66EBC2" w14:textId="77777777" w:rsidR="00626747" w:rsidRDefault="00626747" w:rsidP="00626747">
      <w:pPr>
        <w:pBdr>
          <w:bottom w:val="single" w:sz="4" w:space="1" w:color="auto"/>
        </w:pBdr>
        <w:jc w:val="center"/>
        <w:rPr>
          <w:b/>
          <w:color w:val="000000" w:themeColor="text1"/>
          <w:sz w:val="28"/>
        </w:rPr>
      </w:pPr>
    </w:p>
    <w:p w14:paraId="7BA231CF" w14:textId="37D2BB44" w:rsidR="00626747" w:rsidRPr="0055791C" w:rsidRDefault="00626747" w:rsidP="00626747">
      <w:pPr>
        <w:pBdr>
          <w:bottom w:val="single" w:sz="4" w:space="1" w:color="auto"/>
        </w:pBdr>
        <w:jc w:val="center"/>
        <w:rPr>
          <w:b/>
          <w:color w:val="000000" w:themeColor="text1"/>
          <w:sz w:val="28"/>
        </w:rPr>
      </w:pPr>
      <w:r w:rsidRPr="0055791C">
        <w:rPr>
          <w:b/>
          <w:color w:val="000000" w:themeColor="text1"/>
          <w:sz w:val="28"/>
        </w:rPr>
        <w:t>“Financial Management for the Hotel Industry”</w:t>
      </w:r>
    </w:p>
    <w:p w14:paraId="185DDE51" w14:textId="77777777" w:rsidR="00626747" w:rsidRPr="0055791C" w:rsidRDefault="00626747" w:rsidP="00626747">
      <w:pPr>
        <w:pBdr>
          <w:bottom w:val="single" w:sz="4" w:space="1" w:color="auto"/>
        </w:pBdr>
        <w:jc w:val="center"/>
        <w:rPr>
          <w:b/>
          <w:color w:val="000000" w:themeColor="text1"/>
          <w:sz w:val="28"/>
        </w:rPr>
      </w:pPr>
      <w:r w:rsidRPr="0055791C">
        <w:rPr>
          <w:b/>
          <w:color w:val="000000" w:themeColor="text1"/>
          <w:sz w:val="28"/>
        </w:rPr>
        <w:t>“Report Case Study: The Seacrest Lodge”</w:t>
      </w:r>
    </w:p>
    <w:p w14:paraId="7AE900EF" w14:textId="6169C762" w:rsidR="00626747" w:rsidRDefault="00DF7C86" w:rsidP="00DF7C86">
      <w:pPr>
        <w:pBdr>
          <w:bottom w:val="single" w:sz="4" w:space="1" w:color="auto"/>
        </w:pBdr>
        <w:rPr>
          <w:b/>
        </w:rPr>
      </w:pPr>
      <w:r>
        <w:rPr>
          <w:b/>
          <w:color w:val="000000" w:themeColor="text1"/>
          <w:sz w:val="28"/>
        </w:rPr>
        <w:t xml:space="preserve">                                                     </w:t>
      </w:r>
      <w:r w:rsidR="00626747" w:rsidRPr="0055791C">
        <w:rPr>
          <w:b/>
          <w:color w:val="000000" w:themeColor="text1"/>
          <w:sz w:val="28"/>
        </w:rPr>
        <w:t xml:space="preserve">Assessment </w:t>
      </w:r>
      <w:r w:rsidR="00626747">
        <w:rPr>
          <w:b/>
        </w:rPr>
        <w:br w:type="page"/>
      </w:r>
    </w:p>
    <w:p w14:paraId="00000001" w14:textId="2325C450" w:rsidR="0071533C" w:rsidRPr="00DF7C86" w:rsidRDefault="00FB3F08">
      <w:pPr>
        <w:rPr>
          <w:rFonts w:ascii="Arial" w:hAnsi="Arial" w:cs="Arial"/>
          <w:b/>
        </w:rPr>
      </w:pPr>
      <w:r w:rsidRPr="00DF7C86">
        <w:rPr>
          <w:rFonts w:ascii="Arial" w:hAnsi="Arial" w:cs="Arial"/>
          <w:b/>
        </w:rPr>
        <w:lastRenderedPageBreak/>
        <w:t>Executive Summary</w:t>
      </w:r>
    </w:p>
    <w:p w14:paraId="00000002" w14:textId="77777777" w:rsidR="0071533C" w:rsidRPr="00DF7C86" w:rsidRDefault="00FB3F08">
      <w:pPr>
        <w:rPr>
          <w:rFonts w:ascii="Arial" w:hAnsi="Arial" w:cs="Arial"/>
        </w:rPr>
      </w:pPr>
      <w:r w:rsidRPr="00DF7C86">
        <w:rPr>
          <w:rFonts w:ascii="Arial" w:hAnsi="Arial" w:cs="Arial"/>
        </w:rPr>
        <w:t xml:space="preserve">The applied engagement and the formulation support of positive financial analysis for every individual business is necessary as it is used to provide the way of development and also the formulation support of strategies. About the present engagement, the financial analysis for the business of Seacrest Lodge has been provided for three different period prospects with the identification of which the compatibility value and some of the marketing development and profitability initiatives can be measured. It is also initiated for identifying the turnaround strategy for the business also so that a proper volume of recovery including the financial compatibility initiative can be implemented in future. </w:t>
      </w:r>
    </w:p>
    <w:p w14:paraId="00000003" w14:textId="77777777" w:rsidR="0071533C" w:rsidRPr="00DF7C86" w:rsidRDefault="0071533C">
      <w:pPr>
        <w:rPr>
          <w:rFonts w:ascii="Arial" w:hAnsi="Arial" w:cs="Arial"/>
        </w:rPr>
      </w:pPr>
    </w:p>
    <w:p w14:paraId="00000004" w14:textId="77777777" w:rsidR="0071533C" w:rsidRPr="00DF7C86" w:rsidRDefault="0071533C">
      <w:pPr>
        <w:rPr>
          <w:rFonts w:ascii="Arial" w:hAnsi="Arial" w:cs="Arial"/>
          <w:b/>
        </w:rPr>
      </w:pPr>
    </w:p>
    <w:p w14:paraId="3E9EA3DD" w14:textId="77777777" w:rsidR="00626747" w:rsidRPr="00DF7C86" w:rsidRDefault="00626747">
      <w:pPr>
        <w:rPr>
          <w:rFonts w:ascii="Arial" w:hAnsi="Arial" w:cs="Arial"/>
          <w:b/>
        </w:rPr>
      </w:pPr>
      <w:r w:rsidRPr="00DF7C86">
        <w:rPr>
          <w:rFonts w:ascii="Arial" w:hAnsi="Arial" w:cs="Arial"/>
          <w:b/>
        </w:rPr>
        <w:br w:type="page"/>
      </w:r>
    </w:p>
    <w:sdt>
      <w:sdtPr>
        <w:rPr>
          <w:rFonts w:ascii="Arial" w:eastAsia="Times New Roman" w:hAnsi="Arial" w:cs="Arial"/>
          <w:color w:val="auto"/>
          <w:sz w:val="24"/>
          <w:szCs w:val="24"/>
          <w:lang w:val="en-GB" w:eastAsia="en-IN"/>
        </w:rPr>
        <w:id w:val="836422883"/>
        <w:docPartObj>
          <w:docPartGallery w:val="Table of Contents"/>
          <w:docPartUnique/>
        </w:docPartObj>
      </w:sdtPr>
      <w:sdtEndPr>
        <w:rPr>
          <w:b/>
          <w:bCs/>
          <w:noProof/>
        </w:rPr>
      </w:sdtEndPr>
      <w:sdtContent>
        <w:p w14:paraId="6C939935" w14:textId="3A8EF22C" w:rsidR="00626747" w:rsidRPr="00DF7C86" w:rsidRDefault="00626747" w:rsidP="00626747">
          <w:pPr>
            <w:pStyle w:val="TOCHeading"/>
            <w:jc w:val="center"/>
            <w:rPr>
              <w:rFonts w:ascii="Arial" w:hAnsi="Arial" w:cs="Arial"/>
              <w:b/>
              <w:color w:val="000000" w:themeColor="text1"/>
            </w:rPr>
          </w:pPr>
          <w:r w:rsidRPr="00DF7C86">
            <w:rPr>
              <w:rFonts w:ascii="Arial" w:hAnsi="Arial" w:cs="Arial"/>
              <w:b/>
              <w:color w:val="000000" w:themeColor="text1"/>
            </w:rPr>
            <w:t>Table of Contents</w:t>
          </w:r>
        </w:p>
        <w:p w14:paraId="3BA3964E" w14:textId="29CC6393" w:rsidR="00626747" w:rsidRPr="00DF7C86" w:rsidRDefault="00626747">
          <w:pPr>
            <w:pStyle w:val="TOC1"/>
            <w:tabs>
              <w:tab w:val="right" w:leader="dot" w:pos="9350"/>
            </w:tabs>
            <w:rPr>
              <w:rFonts w:ascii="Arial" w:hAnsi="Arial" w:cs="Arial"/>
              <w:noProof/>
            </w:rPr>
          </w:pPr>
          <w:r w:rsidRPr="00DF7C86">
            <w:rPr>
              <w:rFonts w:ascii="Arial" w:hAnsi="Arial" w:cs="Arial"/>
            </w:rPr>
            <w:fldChar w:fldCharType="begin"/>
          </w:r>
          <w:r w:rsidRPr="00DF7C86">
            <w:rPr>
              <w:rFonts w:ascii="Arial" w:hAnsi="Arial" w:cs="Arial"/>
            </w:rPr>
            <w:instrText xml:space="preserve"> TOC \o "1-3" \h \z \u </w:instrText>
          </w:r>
          <w:r w:rsidRPr="00DF7C86">
            <w:rPr>
              <w:rFonts w:ascii="Arial" w:hAnsi="Arial" w:cs="Arial"/>
            </w:rPr>
            <w:fldChar w:fldCharType="separate"/>
          </w:r>
          <w:hyperlink w:anchor="_Toc160041990" w:history="1">
            <w:r w:rsidRPr="00DF7C86">
              <w:rPr>
                <w:rStyle w:val="Hyperlink"/>
                <w:rFonts w:ascii="Arial" w:hAnsi="Arial" w:cs="Arial"/>
                <w:noProof/>
              </w:rPr>
              <w:t>1.0 Introduction</w:t>
            </w:r>
            <w:r w:rsidRPr="00DF7C86">
              <w:rPr>
                <w:rFonts w:ascii="Arial" w:hAnsi="Arial" w:cs="Arial"/>
                <w:noProof/>
                <w:webHidden/>
              </w:rPr>
              <w:tab/>
            </w:r>
            <w:r w:rsidRPr="00DF7C86">
              <w:rPr>
                <w:rFonts w:ascii="Arial" w:hAnsi="Arial" w:cs="Arial"/>
                <w:noProof/>
                <w:webHidden/>
              </w:rPr>
              <w:fldChar w:fldCharType="begin"/>
            </w:r>
            <w:r w:rsidRPr="00DF7C86">
              <w:rPr>
                <w:rFonts w:ascii="Arial" w:hAnsi="Arial" w:cs="Arial"/>
                <w:noProof/>
                <w:webHidden/>
              </w:rPr>
              <w:instrText xml:space="preserve"> PAGEREF _Toc160041990 \h </w:instrText>
            </w:r>
            <w:r w:rsidRPr="00DF7C86">
              <w:rPr>
                <w:rFonts w:ascii="Arial" w:hAnsi="Arial" w:cs="Arial"/>
                <w:noProof/>
                <w:webHidden/>
              </w:rPr>
            </w:r>
            <w:r w:rsidRPr="00DF7C86">
              <w:rPr>
                <w:rFonts w:ascii="Arial" w:hAnsi="Arial" w:cs="Arial"/>
                <w:noProof/>
                <w:webHidden/>
              </w:rPr>
              <w:fldChar w:fldCharType="separate"/>
            </w:r>
            <w:r w:rsidRPr="00DF7C86">
              <w:rPr>
                <w:rFonts w:ascii="Arial" w:hAnsi="Arial" w:cs="Arial"/>
                <w:noProof/>
                <w:webHidden/>
              </w:rPr>
              <w:t>4</w:t>
            </w:r>
            <w:r w:rsidRPr="00DF7C86">
              <w:rPr>
                <w:rFonts w:ascii="Arial" w:hAnsi="Arial" w:cs="Arial"/>
                <w:noProof/>
                <w:webHidden/>
              </w:rPr>
              <w:fldChar w:fldCharType="end"/>
            </w:r>
          </w:hyperlink>
        </w:p>
        <w:p w14:paraId="0DC9F4EC" w14:textId="475FE6BF" w:rsidR="00626747" w:rsidRPr="00DF7C86" w:rsidRDefault="00000000">
          <w:pPr>
            <w:pStyle w:val="TOC2"/>
            <w:tabs>
              <w:tab w:val="right" w:leader="dot" w:pos="9350"/>
            </w:tabs>
            <w:rPr>
              <w:rFonts w:ascii="Arial" w:hAnsi="Arial" w:cs="Arial"/>
              <w:noProof/>
            </w:rPr>
          </w:pPr>
          <w:hyperlink w:anchor="_Toc160041991" w:history="1">
            <w:r w:rsidR="00626747" w:rsidRPr="00DF7C86">
              <w:rPr>
                <w:rStyle w:val="Hyperlink"/>
                <w:rFonts w:ascii="Arial" w:hAnsi="Arial" w:cs="Arial"/>
                <w:noProof/>
              </w:rPr>
              <w:t>1.1 Background of research</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_Toc160041991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4</w:t>
            </w:r>
            <w:r w:rsidR="00626747" w:rsidRPr="00DF7C86">
              <w:rPr>
                <w:rFonts w:ascii="Arial" w:hAnsi="Arial" w:cs="Arial"/>
                <w:noProof/>
                <w:webHidden/>
              </w:rPr>
              <w:fldChar w:fldCharType="end"/>
            </w:r>
          </w:hyperlink>
        </w:p>
        <w:p w14:paraId="17C5B942" w14:textId="357ADBD2" w:rsidR="00626747" w:rsidRPr="00DF7C86" w:rsidRDefault="00000000">
          <w:pPr>
            <w:pStyle w:val="TOC2"/>
            <w:tabs>
              <w:tab w:val="right" w:leader="dot" w:pos="9350"/>
            </w:tabs>
            <w:rPr>
              <w:rFonts w:ascii="Arial" w:hAnsi="Arial" w:cs="Arial"/>
              <w:noProof/>
            </w:rPr>
          </w:pPr>
          <w:hyperlink w:anchor="_Toc160041992" w:history="1">
            <w:r w:rsidR="00626747" w:rsidRPr="00DF7C86">
              <w:rPr>
                <w:rStyle w:val="Hyperlink"/>
                <w:rFonts w:ascii="Arial" w:hAnsi="Arial" w:cs="Arial"/>
                <w:noProof/>
              </w:rPr>
              <w:t>1.2 Objective of research</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_Toc160041992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4</w:t>
            </w:r>
            <w:r w:rsidR="00626747" w:rsidRPr="00DF7C86">
              <w:rPr>
                <w:rFonts w:ascii="Arial" w:hAnsi="Arial" w:cs="Arial"/>
                <w:noProof/>
                <w:webHidden/>
              </w:rPr>
              <w:fldChar w:fldCharType="end"/>
            </w:r>
          </w:hyperlink>
        </w:p>
        <w:p w14:paraId="1760E34F" w14:textId="0C180F26" w:rsidR="00626747" w:rsidRPr="00DF7C86" w:rsidRDefault="00000000">
          <w:pPr>
            <w:pStyle w:val="TOC1"/>
            <w:tabs>
              <w:tab w:val="right" w:leader="dot" w:pos="9350"/>
            </w:tabs>
            <w:rPr>
              <w:rFonts w:ascii="Arial" w:hAnsi="Arial" w:cs="Arial"/>
              <w:noProof/>
            </w:rPr>
          </w:pPr>
          <w:hyperlink w:anchor="_Toc160041993" w:history="1">
            <w:r w:rsidR="00626747" w:rsidRPr="00DF7C86">
              <w:rPr>
                <w:rStyle w:val="Hyperlink"/>
                <w:rFonts w:ascii="Arial" w:hAnsi="Arial" w:cs="Arial"/>
                <w:noProof/>
              </w:rPr>
              <w:t>2.0 Discussions</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_Toc160041993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4</w:t>
            </w:r>
            <w:r w:rsidR="00626747" w:rsidRPr="00DF7C86">
              <w:rPr>
                <w:rFonts w:ascii="Arial" w:hAnsi="Arial" w:cs="Arial"/>
                <w:noProof/>
                <w:webHidden/>
              </w:rPr>
              <w:fldChar w:fldCharType="end"/>
            </w:r>
          </w:hyperlink>
        </w:p>
        <w:p w14:paraId="7AFD085D" w14:textId="6D1B1F44" w:rsidR="00626747" w:rsidRPr="00DF7C86" w:rsidRDefault="00000000">
          <w:pPr>
            <w:pStyle w:val="TOC2"/>
            <w:tabs>
              <w:tab w:val="right" w:leader="dot" w:pos="9350"/>
            </w:tabs>
            <w:rPr>
              <w:rFonts w:ascii="Arial" w:hAnsi="Arial" w:cs="Arial"/>
              <w:noProof/>
            </w:rPr>
          </w:pPr>
          <w:hyperlink w:anchor="_Toc160041994" w:history="1">
            <w:r w:rsidR="00626747" w:rsidRPr="00DF7C86">
              <w:rPr>
                <w:rStyle w:val="Hyperlink"/>
                <w:rFonts w:ascii="Arial" w:hAnsi="Arial" w:cs="Arial"/>
                <w:noProof/>
              </w:rPr>
              <w:t>2.1 “Analysis of Financial performance for Seacrest Lodge for three financial periods”</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_Toc160041994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4</w:t>
            </w:r>
            <w:r w:rsidR="00626747" w:rsidRPr="00DF7C86">
              <w:rPr>
                <w:rFonts w:ascii="Arial" w:hAnsi="Arial" w:cs="Arial"/>
                <w:noProof/>
                <w:webHidden/>
              </w:rPr>
              <w:fldChar w:fldCharType="end"/>
            </w:r>
          </w:hyperlink>
        </w:p>
        <w:p w14:paraId="5836E09A" w14:textId="32522892" w:rsidR="00626747" w:rsidRPr="00DF7C86" w:rsidRDefault="00000000">
          <w:pPr>
            <w:pStyle w:val="TOC2"/>
            <w:tabs>
              <w:tab w:val="right" w:leader="dot" w:pos="9350"/>
            </w:tabs>
            <w:rPr>
              <w:rFonts w:ascii="Arial" w:hAnsi="Arial" w:cs="Arial"/>
              <w:noProof/>
            </w:rPr>
          </w:pPr>
          <w:hyperlink w:anchor="_Toc160041995" w:history="1">
            <w:r w:rsidR="00626747" w:rsidRPr="00DF7C86">
              <w:rPr>
                <w:rStyle w:val="Hyperlink"/>
                <w:rFonts w:ascii="Arial" w:hAnsi="Arial" w:cs="Arial"/>
                <w:noProof/>
              </w:rPr>
              <w:t>2.2 “Key reasons regarding profit declining position in business”</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_Toc160041995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6</w:t>
            </w:r>
            <w:r w:rsidR="00626747" w:rsidRPr="00DF7C86">
              <w:rPr>
                <w:rFonts w:ascii="Arial" w:hAnsi="Arial" w:cs="Arial"/>
                <w:noProof/>
                <w:webHidden/>
              </w:rPr>
              <w:fldChar w:fldCharType="end"/>
            </w:r>
          </w:hyperlink>
        </w:p>
        <w:p w14:paraId="4C5367DC" w14:textId="3F2B41C8" w:rsidR="00626747" w:rsidRPr="00DF7C86" w:rsidRDefault="00000000">
          <w:pPr>
            <w:pStyle w:val="TOC2"/>
            <w:tabs>
              <w:tab w:val="right" w:leader="dot" w:pos="9350"/>
            </w:tabs>
            <w:rPr>
              <w:rFonts w:ascii="Arial" w:hAnsi="Arial" w:cs="Arial"/>
              <w:noProof/>
            </w:rPr>
          </w:pPr>
          <w:hyperlink w:anchor="_Toc160041996" w:history="1">
            <w:r w:rsidR="00626747" w:rsidRPr="00DF7C86">
              <w:rPr>
                <w:rStyle w:val="Hyperlink"/>
                <w:rFonts w:ascii="Arial" w:hAnsi="Arial" w:cs="Arial"/>
                <w:noProof/>
              </w:rPr>
              <w:t>2.3 “Applied comprehensive turnaround strategy to revitalise lodge’s financial health”</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_Toc160041996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8</w:t>
            </w:r>
            <w:r w:rsidR="00626747" w:rsidRPr="00DF7C86">
              <w:rPr>
                <w:rFonts w:ascii="Arial" w:hAnsi="Arial" w:cs="Arial"/>
                <w:noProof/>
                <w:webHidden/>
              </w:rPr>
              <w:fldChar w:fldCharType="end"/>
            </w:r>
          </w:hyperlink>
        </w:p>
        <w:p w14:paraId="36C43CB0" w14:textId="2533B023" w:rsidR="00626747" w:rsidRPr="00DF7C86" w:rsidRDefault="00000000">
          <w:pPr>
            <w:pStyle w:val="TOC1"/>
            <w:tabs>
              <w:tab w:val="right" w:leader="dot" w:pos="9350"/>
            </w:tabs>
            <w:rPr>
              <w:rFonts w:ascii="Arial" w:hAnsi="Arial" w:cs="Arial"/>
              <w:noProof/>
            </w:rPr>
          </w:pPr>
          <w:hyperlink w:anchor="_Toc160041997" w:history="1">
            <w:r w:rsidR="00626747" w:rsidRPr="00DF7C86">
              <w:rPr>
                <w:rStyle w:val="Hyperlink"/>
                <w:rFonts w:ascii="Arial" w:hAnsi="Arial" w:cs="Arial"/>
                <w:noProof/>
              </w:rPr>
              <w:t>3.0 Conclusions</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_Toc160041997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8</w:t>
            </w:r>
            <w:r w:rsidR="00626747" w:rsidRPr="00DF7C86">
              <w:rPr>
                <w:rFonts w:ascii="Arial" w:hAnsi="Arial" w:cs="Arial"/>
                <w:noProof/>
                <w:webHidden/>
              </w:rPr>
              <w:fldChar w:fldCharType="end"/>
            </w:r>
          </w:hyperlink>
        </w:p>
        <w:p w14:paraId="2158F6A5" w14:textId="26A7970F" w:rsidR="00626747" w:rsidRPr="00DF7C86" w:rsidRDefault="00000000">
          <w:pPr>
            <w:pStyle w:val="TOC1"/>
            <w:tabs>
              <w:tab w:val="right" w:leader="dot" w:pos="9350"/>
            </w:tabs>
            <w:rPr>
              <w:rFonts w:ascii="Arial" w:hAnsi="Arial" w:cs="Arial"/>
              <w:noProof/>
            </w:rPr>
          </w:pPr>
          <w:hyperlink w:anchor="_Toc160041998" w:history="1">
            <w:r w:rsidR="00626747" w:rsidRPr="00DF7C86">
              <w:rPr>
                <w:rStyle w:val="Hyperlink"/>
                <w:rFonts w:ascii="Arial" w:hAnsi="Arial" w:cs="Arial"/>
                <w:noProof/>
              </w:rPr>
              <w:t>References</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_Toc160041998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10</w:t>
            </w:r>
            <w:r w:rsidR="00626747" w:rsidRPr="00DF7C86">
              <w:rPr>
                <w:rFonts w:ascii="Arial" w:hAnsi="Arial" w:cs="Arial"/>
                <w:noProof/>
                <w:webHidden/>
              </w:rPr>
              <w:fldChar w:fldCharType="end"/>
            </w:r>
          </w:hyperlink>
        </w:p>
        <w:p w14:paraId="6CFACF16" w14:textId="20C14BC9" w:rsidR="00626747" w:rsidRPr="00DF7C86" w:rsidRDefault="00000000">
          <w:pPr>
            <w:pStyle w:val="TOC1"/>
            <w:tabs>
              <w:tab w:val="right" w:leader="dot" w:pos="9350"/>
            </w:tabs>
            <w:rPr>
              <w:rFonts w:ascii="Arial" w:hAnsi="Arial" w:cs="Arial"/>
              <w:noProof/>
            </w:rPr>
          </w:pPr>
          <w:hyperlink w:anchor="_Toc160041999" w:history="1">
            <w:r w:rsidR="00626747" w:rsidRPr="00DF7C86">
              <w:rPr>
                <w:rStyle w:val="Hyperlink"/>
                <w:rFonts w:ascii="Arial" w:hAnsi="Arial" w:cs="Arial"/>
                <w:noProof/>
              </w:rPr>
              <w:t>Appendix</w:t>
            </w:r>
            <w:r w:rsidR="00626747" w:rsidRPr="00DF7C86">
              <w:rPr>
                <w:rFonts w:ascii="Arial" w:hAnsi="Arial" w:cs="Arial"/>
                <w:noProof/>
                <w:webHidden/>
              </w:rPr>
              <w:tab/>
            </w:r>
            <w:r w:rsidR="00626747" w:rsidRPr="00DF7C86">
              <w:rPr>
                <w:rFonts w:ascii="Arial" w:hAnsi="Arial" w:cs="Arial"/>
                <w:noProof/>
                <w:webHidden/>
              </w:rPr>
              <w:fldChar w:fldCharType="begin"/>
            </w:r>
            <w:r w:rsidR="00626747" w:rsidRPr="00DF7C86">
              <w:rPr>
                <w:rFonts w:ascii="Arial" w:hAnsi="Arial" w:cs="Arial"/>
                <w:noProof/>
                <w:webHidden/>
              </w:rPr>
              <w:instrText xml:space="preserve"> PAGEREF _Toc160041999 \h </w:instrText>
            </w:r>
            <w:r w:rsidR="00626747" w:rsidRPr="00DF7C86">
              <w:rPr>
                <w:rFonts w:ascii="Arial" w:hAnsi="Arial" w:cs="Arial"/>
                <w:noProof/>
                <w:webHidden/>
              </w:rPr>
            </w:r>
            <w:r w:rsidR="00626747" w:rsidRPr="00DF7C86">
              <w:rPr>
                <w:rFonts w:ascii="Arial" w:hAnsi="Arial" w:cs="Arial"/>
                <w:noProof/>
                <w:webHidden/>
              </w:rPr>
              <w:fldChar w:fldCharType="separate"/>
            </w:r>
            <w:r w:rsidR="00626747" w:rsidRPr="00DF7C86">
              <w:rPr>
                <w:rFonts w:ascii="Arial" w:hAnsi="Arial" w:cs="Arial"/>
                <w:noProof/>
                <w:webHidden/>
              </w:rPr>
              <w:t>11</w:t>
            </w:r>
            <w:r w:rsidR="00626747" w:rsidRPr="00DF7C86">
              <w:rPr>
                <w:rFonts w:ascii="Arial" w:hAnsi="Arial" w:cs="Arial"/>
                <w:noProof/>
                <w:webHidden/>
              </w:rPr>
              <w:fldChar w:fldCharType="end"/>
            </w:r>
          </w:hyperlink>
        </w:p>
        <w:p w14:paraId="75696B08" w14:textId="32852FFE" w:rsidR="00626747" w:rsidRPr="00DF7C86" w:rsidRDefault="00626747">
          <w:pPr>
            <w:rPr>
              <w:rFonts w:ascii="Arial" w:hAnsi="Arial" w:cs="Arial"/>
            </w:rPr>
          </w:pPr>
          <w:r w:rsidRPr="00DF7C86">
            <w:rPr>
              <w:rFonts w:ascii="Arial" w:hAnsi="Arial" w:cs="Arial"/>
              <w:b/>
              <w:bCs/>
              <w:noProof/>
            </w:rPr>
            <w:fldChar w:fldCharType="end"/>
          </w:r>
        </w:p>
      </w:sdtContent>
    </w:sdt>
    <w:p w14:paraId="310FAC1A" w14:textId="77777777" w:rsidR="00626747" w:rsidRPr="00DF7C86" w:rsidRDefault="00626747">
      <w:pPr>
        <w:rPr>
          <w:rFonts w:ascii="Arial" w:hAnsi="Arial" w:cs="Arial"/>
          <w:b/>
        </w:rPr>
      </w:pPr>
      <w:r w:rsidRPr="00DF7C86">
        <w:rPr>
          <w:rFonts w:ascii="Arial" w:hAnsi="Arial" w:cs="Arial"/>
          <w:b/>
        </w:rPr>
        <w:br w:type="page"/>
      </w:r>
    </w:p>
    <w:p w14:paraId="00000005" w14:textId="67011F03" w:rsidR="0071533C" w:rsidRPr="00DF7C86" w:rsidRDefault="00FB3F08" w:rsidP="00626747">
      <w:pPr>
        <w:pStyle w:val="Heading1"/>
        <w:rPr>
          <w:rFonts w:ascii="Arial" w:hAnsi="Arial" w:cs="Arial"/>
        </w:rPr>
      </w:pPr>
      <w:bookmarkStart w:id="0" w:name="_Toc160041990"/>
      <w:r w:rsidRPr="00DF7C86">
        <w:rPr>
          <w:rFonts w:ascii="Arial" w:hAnsi="Arial" w:cs="Arial"/>
        </w:rPr>
        <w:lastRenderedPageBreak/>
        <w:t>1.0 Introduction</w:t>
      </w:r>
      <w:bookmarkEnd w:id="0"/>
    </w:p>
    <w:p w14:paraId="00000006" w14:textId="77777777" w:rsidR="0071533C" w:rsidRPr="00DF7C86" w:rsidRDefault="00FB3F08" w:rsidP="00626747">
      <w:pPr>
        <w:pStyle w:val="Heading2"/>
        <w:rPr>
          <w:rFonts w:ascii="Arial" w:hAnsi="Arial" w:cs="Arial"/>
        </w:rPr>
      </w:pPr>
      <w:bookmarkStart w:id="1" w:name="_Toc160041991"/>
      <w:r w:rsidRPr="00DF7C86">
        <w:rPr>
          <w:rFonts w:ascii="Arial" w:hAnsi="Arial" w:cs="Arial"/>
        </w:rPr>
        <w:t>1.1 Background of research</w:t>
      </w:r>
      <w:bookmarkEnd w:id="1"/>
      <w:r w:rsidRPr="00DF7C86">
        <w:rPr>
          <w:rFonts w:ascii="Arial" w:hAnsi="Arial" w:cs="Arial"/>
        </w:rPr>
        <w:t xml:space="preserve"> </w:t>
      </w:r>
    </w:p>
    <w:p w14:paraId="00000007" w14:textId="77777777" w:rsidR="0071533C" w:rsidRPr="00DF7C86" w:rsidRDefault="00FB3F08">
      <w:pPr>
        <w:rPr>
          <w:rFonts w:ascii="Arial" w:hAnsi="Arial" w:cs="Arial"/>
        </w:rPr>
      </w:pPr>
      <w:r w:rsidRPr="00DF7C86">
        <w:rPr>
          <w:rFonts w:ascii="Arial" w:hAnsi="Arial" w:cs="Arial"/>
        </w:rPr>
        <w:t xml:space="preserve">Applied structure and the formulation of positive data analysis related to individual businesses are necessary as it is used to provide some positive evaluation and decision-making attributes. According to the basic measurements, the demand and positioning approach related to the hospitality business in the present period is expanded which initiates an optimised development and contemporary growth positioning support. According to the basic identified engagement, the financial performance analysis related to the business of The Seacrest Lodge has been evaluated with the processing of which the operating growth including the compatibility position of the business has been initiated. According to the basic measuring approach due to the reason of pandemic, the primary volume of demand related to the hospitality business in the UK has declined with an impact negatively over the profit margin position. </w:t>
      </w:r>
    </w:p>
    <w:p w14:paraId="00000008" w14:textId="77777777" w:rsidR="0071533C" w:rsidRPr="00DF7C86" w:rsidRDefault="00FB3F08" w:rsidP="00626747">
      <w:pPr>
        <w:pStyle w:val="Heading2"/>
        <w:rPr>
          <w:rFonts w:ascii="Arial" w:hAnsi="Arial" w:cs="Arial"/>
        </w:rPr>
      </w:pPr>
      <w:bookmarkStart w:id="2" w:name="_Toc160041992"/>
      <w:r w:rsidRPr="00DF7C86">
        <w:rPr>
          <w:rFonts w:ascii="Arial" w:hAnsi="Arial" w:cs="Arial"/>
        </w:rPr>
        <w:t>1.2 Objective of research</w:t>
      </w:r>
      <w:bookmarkEnd w:id="2"/>
      <w:r w:rsidRPr="00DF7C86">
        <w:rPr>
          <w:rFonts w:ascii="Arial" w:hAnsi="Arial" w:cs="Arial"/>
        </w:rPr>
        <w:t xml:space="preserve"> </w:t>
      </w:r>
    </w:p>
    <w:p w14:paraId="00000009" w14:textId="77777777" w:rsidR="0071533C" w:rsidRPr="00DF7C86" w:rsidRDefault="00FB3F08">
      <w:pPr>
        <w:numPr>
          <w:ilvl w:val="0"/>
          <w:numId w:val="1"/>
        </w:numPr>
        <w:rPr>
          <w:rFonts w:ascii="Arial" w:hAnsi="Arial" w:cs="Arial"/>
        </w:rPr>
      </w:pPr>
      <w:r w:rsidRPr="00DF7C86">
        <w:rPr>
          <w:rFonts w:ascii="Arial" w:hAnsi="Arial" w:cs="Arial"/>
        </w:rPr>
        <w:t>With the basic intention of evaluating the present financial measurements of The Seacrest Lodge</w:t>
      </w:r>
    </w:p>
    <w:p w14:paraId="0000000A" w14:textId="77777777" w:rsidR="0071533C" w:rsidRPr="00DF7C86" w:rsidRDefault="00FB3F08">
      <w:pPr>
        <w:numPr>
          <w:ilvl w:val="0"/>
          <w:numId w:val="1"/>
        </w:numPr>
        <w:rPr>
          <w:rFonts w:ascii="Arial" w:hAnsi="Arial" w:cs="Arial"/>
        </w:rPr>
      </w:pPr>
      <w:r w:rsidRPr="00DF7C86">
        <w:rPr>
          <w:rFonts w:ascii="Arial" w:hAnsi="Arial" w:cs="Arial"/>
        </w:rPr>
        <w:t xml:space="preserve">For the reasons of the declining profitability position of the business evaluation </w:t>
      </w:r>
    </w:p>
    <w:p w14:paraId="0000000B" w14:textId="77777777" w:rsidR="0071533C" w:rsidRPr="00DF7C86" w:rsidRDefault="00FB3F08">
      <w:pPr>
        <w:numPr>
          <w:ilvl w:val="0"/>
          <w:numId w:val="1"/>
        </w:numPr>
        <w:rPr>
          <w:rFonts w:ascii="Arial" w:hAnsi="Arial" w:cs="Arial"/>
        </w:rPr>
      </w:pPr>
      <w:r w:rsidRPr="00DF7C86">
        <w:rPr>
          <w:rFonts w:ascii="Arial" w:hAnsi="Arial" w:cs="Arial"/>
        </w:rPr>
        <w:t xml:space="preserve">Implementations of proper turnaround strategy for the business goals </w:t>
      </w:r>
    </w:p>
    <w:p w14:paraId="0000000C" w14:textId="77777777" w:rsidR="0071533C" w:rsidRPr="00DF7C86" w:rsidRDefault="00FB3F08" w:rsidP="00626747">
      <w:pPr>
        <w:pStyle w:val="Heading1"/>
        <w:rPr>
          <w:rFonts w:ascii="Arial" w:hAnsi="Arial" w:cs="Arial"/>
        </w:rPr>
      </w:pPr>
      <w:bookmarkStart w:id="3" w:name="_Toc160041993"/>
      <w:r w:rsidRPr="00DF7C86">
        <w:rPr>
          <w:rFonts w:ascii="Arial" w:hAnsi="Arial" w:cs="Arial"/>
        </w:rPr>
        <w:t>2.0 Discussions</w:t>
      </w:r>
      <w:bookmarkEnd w:id="3"/>
    </w:p>
    <w:p w14:paraId="0000000D" w14:textId="77777777" w:rsidR="0071533C" w:rsidRPr="00DF7C86" w:rsidRDefault="00FB3F08" w:rsidP="00626747">
      <w:pPr>
        <w:pStyle w:val="Heading2"/>
        <w:rPr>
          <w:rFonts w:ascii="Arial" w:hAnsi="Arial" w:cs="Arial"/>
        </w:rPr>
      </w:pPr>
      <w:bookmarkStart w:id="4" w:name="_Toc160041994"/>
      <w:r w:rsidRPr="00DF7C86">
        <w:rPr>
          <w:rFonts w:ascii="Arial" w:hAnsi="Arial" w:cs="Arial"/>
        </w:rPr>
        <w:t>2.1 “Analysis of Financial performance for Seacrest Lodge for three financial periods”</w:t>
      </w:r>
      <w:bookmarkEnd w:id="4"/>
    </w:p>
    <w:p w14:paraId="0000000E" w14:textId="77777777" w:rsidR="0071533C" w:rsidRPr="00DF7C86" w:rsidRDefault="00FB3F08">
      <w:pPr>
        <w:rPr>
          <w:rFonts w:ascii="Arial" w:hAnsi="Arial" w:cs="Arial"/>
        </w:rPr>
      </w:pPr>
      <w:r w:rsidRPr="00DF7C86">
        <w:rPr>
          <w:rFonts w:ascii="Arial" w:hAnsi="Arial" w:cs="Arial"/>
        </w:rPr>
        <w:t xml:space="preserve">According to the basic measuring support for every individual business, a primary significance to the applications of accounting development and contemporary position is necessary as it is used to provide the Fairview identifications and operating accountability results. The formulated identification and some of the financial optimise positions are also initiated for the maintenance support of business growth and feasibility approach which is progressive for the value chain (Breuer and Pfingsten, 2022). Apart from the disclosure of financial details the maintenance of accounting measurements in the form of ratios are initiated for the compatibility determination reason which is progressive for the operating value and some of the consistency development initiative positions. The fundamental measurement including some of the progressive attributes of business performances with </w:t>
      </w:r>
      <w:r w:rsidRPr="00DF7C86">
        <w:rPr>
          <w:rFonts w:ascii="Arial" w:hAnsi="Arial" w:cs="Arial"/>
        </w:rPr>
        <w:lastRenderedPageBreak/>
        <w:t xml:space="preserve">the measuring support of ratios is initiated for the historical evaluation purpose and also provides some strategy determination approach more comparatively. Apart from the other method, the applicability of ratios is one of the finest processes for evaluating financial values more efficiently. </w:t>
      </w:r>
    </w:p>
    <w:p w14:paraId="0000000F" w14:textId="4E6D4129" w:rsidR="0071533C" w:rsidRPr="00DF7C86" w:rsidRDefault="00FB3F08">
      <w:pPr>
        <w:rPr>
          <w:rFonts w:ascii="Arial" w:hAnsi="Arial" w:cs="Arial"/>
        </w:rPr>
      </w:pPr>
      <w:r w:rsidRPr="00DF7C86">
        <w:rPr>
          <w:rFonts w:ascii="Arial" w:hAnsi="Arial" w:cs="Arial"/>
        </w:rPr>
        <w:t>Concerning the primary identification and the processing support the financial measurements related to the business of Seacrest Lodge have been provided based on the 3-year financial statement basis with the processing of which the general growth and the operating management position of the business can be initiated. The formulated structure including the measurement support of the present analysis of the business with the ratios identified the comparative development initiative including some of the statutory formulation support also in the form of benchmarking that provides stability maintenance and some of the feasibility growth initiative position (</w:t>
      </w:r>
      <w:r w:rsidRPr="00DF7C86">
        <w:rPr>
          <w:rFonts w:ascii="Arial" w:hAnsi="Arial" w:cs="Arial"/>
          <w:color w:val="222222"/>
          <w:highlight w:val="white"/>
        </w:rPr>
        <w:t xml:space="preserve">Zhang </w:t>
      </w:r>
      <w:r w:rsidRPr="00DF7C86">
        <w:rPr>
          <w:rFonts w:ascii="Arial" w:hAnsi="Arial" w:cs="Arial"/>
          <w:i/>
          <w:color w:val="222222"/>
          <w:highlight w:val="white"/>
        </w:rPr>
        <w:t xml:space="preserve">et al., </w:t>
      </w:r>
      <w:r w:rsidRPr="00DF7C86">
        <w:rPr>
          <w:rFonts w:ascii="Arial" w:hAnsi="Arial" w:cs="Arial"/>
          <w:color w:val="222222"/>
          <w:highlight w:val="white"/>
        </w:rPr>
        <w:t>2020)</w:t>
      </w:r>
      <w:r w:rsidR="00626747" w:rsidRPr="00DF7C86">
        <w:rPr>
          <w:rFonts w:ascii="Arial" w:hAnsi="Arial" w:cs="Arial"/>
        </w:rPr>
        <w:t xml:space="preserve">. </w:t>
      </w:r>
      <w:r w:rsidRPr="00DF7C86">
        <w:rPr>
          <w:rFonts w:ascii="Arial" w:hAnsi="Arial" w:cs="Arial"/>
        </w:rPr>
        <w:t xml:space="preserve">As per the basic identification, the applicability of this type of analytical approach related to the business positions is also initiated for the contemporary growth reasons that are maintained for the primary support of business optimised value. </w:t>
      </w:r>
    </w:p>
    <w:p w14:paraId="00000010" w14:textId="58C18F53" w:rsidR="0071533C" w:rsidRPr="00DF7C86" w:rsidRDefault="00FB3F08">
      <w:pPr>
        <w:rPr>
          <w:rFonts w:ascii="Arial" w:hAnsi="Arial" w:cs="Arial"/>
        </w:rPr>
      </w:pPr>
      <w:r w:rsidRPr="00DF7C86">
        <w:rPr>
          <w:rFonts w:ascii="Arial" w:hAnsi="Arial" w:cs="Arial"/>
        </w:rPr>
        <w:t xml:space="preserve">The basic identifications and the computed measurements related to business ratios indicate an optimised position of the business in the present accounting period. </w:t>
      </w:r>
      <w:r w:rsidRPr="00DF7C86">
        <w:rPr>
          <w:rFonts w:ascii="Arial" w:hAnsi="Arial" w:cs="Arial"/>
          <w:color w:val="FFFFFF"/>
        </w:rPr>
        <w:t>“</w:t>
      </w:r>
      <w:r w:rsidRPr="00DF7C86">
        <w:rPr>
          <w:rFonts w:ascii="Arial" w:hAnsi="Arial" w:cs="Arial"/>
        </w:rPr>
        <w:t xml:space="preserve">The identified support of net profit margin of a business </w:t>
      </w:r>
      <w:r w:rsidR="00626747" w:rsidRPr="00DF7C86">
        <w:rPr>
          <w:rFonts w:ascii="Arial" w:hAnsi="Arial" w:cs="Arial"/>
        </w:rPr>
        <w:t>is</w:t>
      </w:r>
      <w:r w:rsidRPr="00DF7C86">
        <w:rPr>
          <w:rFonts w:ascii="Arial" w:hAnsi="Arial" w:cs="Arial"/>
        </w:rPr>
        <w:t xml:space="preserve"> generally evaluated for the reasons of identifying the compatibility level of earning position concerning the business operating value which ultimately defines the statutory development compared to the other business. As per the identifications, this analysis indicates a significantly declined position up to net loss of (-15.79%) in the present accounting period compared to the growth of 25%. A huge volume of customers' declining approaches related to the hospitality business since the period of the pandemic mainly initiated a certain volume of challenging approaches for the business, which ultimately imposed a negative impact on the business position (</w:t>
      </w:r>
      <w:r w:rsidRPr="00DF7C86">
        <w:rPr>
          <w:rFonts w:ascii="Arial" w:hAnsi="Arial" w:cs="Arial"/>
          <w:color w:val="222222"/>
          <w:highlight w:val="white"/>
        </w:rPr>
        <w:t xml:space="preserve">Zhang </w:t>
      </w:r>
      <w:r w:rsidRPr="00DF7C86">
        <w:rPr>
          <w:rFonts w:ascii="Arial" w:hAnsi="Arial" w:cs="Arial"/>
          <w:i/>
          <w:color w:val="222222"/>
          <w:highlight w:val="white"/>
        </w:rPr>
        <w:t xml:space="preserve">et al., </w:t>
      </w:r>
      <w:r w:rsidRPr="00DF7C86">
        <w:rPr>
          <w:rFonts w:ascii="Arial" w:hAnsi="Arial" w:cs="Arial"/>
          <w:color w:val="222222"/>
          <w:highlight w:val="white"/>
        </w:rPr>
        <w:t>2020</w:t>
      </w:r>
      <w:r w:rsidR="00626747" w:rsidRPr="00DF7C86">
        <w:rPr>
          <w:rFonts w:ascii="Arial" w:hAnsi="Arial" w:cs="Arial"/>
          <w:color w:val="222222"/>
          <w:highlight w:val="white"/>
        </w:rPr>
        <w:t>)</w:t>
      </w:r>
      <w:r w:rsidR="00626747" w:rsidRPr="00DF7C86">
        <w:rPr>
          <w:rFonts w:ascii="Arial" w:hAnsi="Arial" w:cs="Arial"/>
        </w:rPr>
        <w:t>.</w:t>
      </w:r>
      <w:r w:rsidRPr="00DF7C86">
        <w:rPr>
          <w:rFonts w:ascii="Arial" w:hAnsi="Arial" w:cs="Arial"/>
        </w:rPr>
        <w:t xml:space="preserve"> The application of the current ratio of the business has been initiated for the identified measurement of liquidity position or working capital cash flow structure which is populated for the determination of business values more appropriately. As per the basic measurement support, it can be identified that the position of the current ratio of the business has declined from 5 times growth to the level of one time currently which indicates a non-optimised position of the business liquidity engagement. The identified </w:t>
      </w:r>
      <w:r w:rsidRPr="00DF7C86">
        <w:rPr>
          <w:rFonts w:ascii="Arial" w:hAnsi="Arial" w:cs="Arial"/>
        </w:rPr>
        <w:lastRenderedPageBreak/>
        <w:t xml:space="preserve">measurement and the formulation support of the debt-equity ratio of a business are initiated to measure the capital structure and optimised value initiative position reasons related to the business capital which is accountable for the business market capital. According to the basic measurements, the primary identification of this result indicates a growth from 2.41 times to 5 times currently which indicates a high volume of operating </w:t>
      </w:r>
      <w:r w:rsidR="00626747" w:rsidRPr="00DF7C86">
        <w:rPr>
          <w:rFonts w:ascii="Arial" w:hAnsi="Arial" w:cs="Arial"/>
        </w:rPr>
        <w:t>and Outsourcing</w:t>
      </w:r>
      <w:r w:rsidRPr="00DF7C86">
        <w:rPr>
          <w:rFonts w:ascii="Arial" w:hAnsi="Arial" w:cs="Arial"/>
        </w:rPr>
        <w:t xml:space="preserve"> financial risk engagement in the business (</w:t>
      </w:r>
      <w:r w:rsidRPr="00DF7C86">
        <w:rPr>
          <w:rFonts w:ascii="Arial" w:hAnsi="Arial" w:cs="Arial"/>
          <w:color w:val="222222"/>
          <w:highlight w:val="white"/>
        </w:rPr>
        <w:t xml:space="preserve">Osazevbaru </w:t>
      </w:r>
      <w:r w:rsidRPr="00DF7C86">
        <w:rPr>
          <w:rFonts w:ascii="Arial" w:hAnsi="Arial" w:cs="Arial"/>
          <w:i/>
          <w:color w:val="222222"/>
          <w:highlight w:val="white"/>
        </w:rPr>
        <w:t>et al.,</w:t>
      </w:r>
      <w:r w:rsidRPr="00DF7C86">
        <w:rPr>
          <w:rFonts w:ascii="Arial" w:hAnsi="Arial" w:cs="Arial"/>
          <w:color w:val="222222"/>
          <w:highlight w:val="white"/>
        </w:rPr>
        <w:t xml:space="preserve"> 2021)</w:t>
      </w:r>
      <w:r w:rsidRPr="00DF7C86">
        <w:rPr>
          <w:rFonts w:ascii="Arial" w:hAnsi="Arial" w:cs="Arial"/>
        </w:rPr>
        <w:t>.  A positive optimal capital engagement and declining support of the debt capital is required for the business growth in future. Fundamental analysis regarding the return on asset position of the business and the return on equity position of the business are identified for the measuring support of earning competency about the assets positions and equity capital which ultimately determines the financial health structure and also the contemporary position of the business equity capital. As per the basic identifications return on assets volume is declining from 13.95% to the level of (-15.79%), while the equity ratio position of the business is also declined from the level of 48.38% to (-50.00%) presently. It can be identified that the overall earning competency structure of the business has declined due to the incompetency of the business operating margin and the current promotional crisis which is unable to manage the statutory growth. The fundamental initiative related to the Occupancy rate has been initiated for the evaluation of business compatibility for the customer-supportive capability analysis reasons which indicates are declining level from 65% to 50% currently. On the other side, the average room rate position of the business has also declined from the level of £260 to the position of £210, which initiates a certain volume of incompetency position of the business operating formulation currently.</w:t>
      </w:r>
      <w:r w:rsidRPr="00DF7C86">
        <w:rPr>
          <w:rFonts w:ascii="Arial" w:hAnsi="Arial" w:cs="Arial"/>
          <w:color w:val="FFFFFF"/>
        </w:rPr>
        <w:t>”</w:t>
      </w:r>
      <w:r w:rsidRPr="00DF7C86">
        <w:rPr>
          <w:rFonts w:ascii="Arial" w:hAnsi="Arial" w:cs="Arial"/>
        </w:rPr>
        <w:t xml:space="preserve"> </w:t>
      </w:r>
    </w:p>
    <w:p w14:paraId="00000011" w14:textId="77777777" w:rsidR="0071533C" w:rsidRPr="00DF7C86" w:rsidRDefault="00FB3F08">
      <w:pPr>
        <w:rPr>
          <w:rFonts w:ascii="Arial" w:hAnsi="Arial" w:cs="Arial"/>
        </w:rPr>
      </w:pPr>
      <w:r w:rsidRPr="00DF7C86">
        <w:rPr>
          <w:rFonts w:ascii="Arial" w:hAnsi="Arial" w:cs="Arial"/>
        </w:rPr>
        <w:t xml:space="preserve">Concerning the above analysis supported can be identified that the overall profit formulations and other associated financial accountabilities structure have deteriorated compared to the earliest standard which represents the incompetent position of the business operating growth. </w:t>
      </w:r>
    </w:p>
    <w:p w14:paraId="00000012" w14:textId="77777777" w:rsidR="0071533C" w:rsidRPr="00DF7C86" w:rsidRDefault="00FB3F08" w:rsidP="00626747">
      <w:pPr>
        <w:pStyle w:val="Heading2"/>
        <w:rPr>
          <w:rFonts w:ascii="Arial" w:hAnsi="Arial" w:cs="Arial"/>
        </w:rPr>
      </w:pPr>
      <w:bookmarkStart w:id="5" w:name="_Toc160041995"/>
      <w:r w:rsidRPr="00DF7C86">
        <w:rPr>
          <w:rFonts w:ascii="Arial" w:hAnsi="Arial" w:cs="Arial"/>
        </w:rPr>
        <w:t>2.2 “Key reasons regarding profit declining position in business”</w:t>
      </w:r>
      <w:bookmarkEnd w:id="5"/>
    </w:p>
    <w:p w14:paraId="00000013" w14:textId="77777777" w:rsidR="0071533C" w:rsidRPr="00DF7C86" w:rsidRDefault="00FB3F08">
      <w:pPr>
        <w:rPr>
          <w:rFonts w:ascii="Arial" w:hAnsi="Arial" w:cs="Arial"/>
        </w:rPr>
      </w:pPr>
      <w:r w:rsidRPr="00DF7C86">
        <w:rPr>
          <w:rFonts w:ascii="Arial" w:hAnsi="Arial" w:cs="Arial"/>
        </w:rPr>
        <w:t xml:space="preserve">The fundamental importance and processing support of every individual business profitability is mainly determined with the support of gross profit, operating profit and also net profit basis. As per the basic analysis support at the present situation due to certain </w:t>
      </w:r>
      <w:r w:rsidRPr="00DF7C86">
        <w:rPr>
          <w:rFonts w:ascii="Arial" w:hAnsi="Arial" w:cs="Arial"/>
        </w:rPr>
        <w:lastRenderedPageBreak/>
        <w:t xml:space="preserve">market uncertainties and economic crisis, the overall profit position of the </w:t>
      </w:r>
      <w:r w:rsidRPr="00DF7C86">
        <w:rPr>
          <w:rFonts w:ascii="Arial" w:hAnsi="Arial" w:cs="Arial"/>
          <w:b/>
        </w:rPr>
        <w:t>Seacrest Lodge</w:t>
      </w:r>
      <w:r w:rsidRPr="00DF7C86">
        <w:rPr>
          <w:rFonts w:ascii="Arial" w:hAnsi="Arial" w:cs="Arial"/>
        </w:rPr>
        <w:t xml:space="preserve"> has declined in the present period compared to the financial gaining approach in the earlier level. As per the basic measurement support, the formulated applications and the huge level of business loss occurred in the present scenario that imposed a certain level of operating issues in the business also (</w:t>
      </w:r>
      <w:r w:rsidRPr="00DF7C86">
        <w:rPr>
          <w:rFonts w:ascii="Arial" w:hAnsi="Arial" w:cs="Arial"/>
          <w:color w:val="222222"/>
          <w:highlight w:val="white"/>
        </w:rPr>
        <w:t xml:space="preserve">Hamza </w:t>
      </w:r>
      <w:r w:rsidRPr="00DF7C86">
        <w:rPr>
          <w:rFonts w:ascii="Arial" w:hAnsi="Arial" w:cs="Arial"/>
          <w:i/>
          <w:color w:val="222222"/>
          <w:highlight w:val="white"/>
        </w:rPr>
        <w:t>et al.,</w:t>
      </w:r>
      <w:r w:rsidRPr="00DF7C86">
        <w:rPr>
          <w:rFonts w:ascii="Arial" w:hAnsi="Arial" w:cs="Arial"/>
          <w:color w:val="222222"/>
          <w:highlight w:val="white"/>
        </w:rPr>
        <w:t xml:space="preserve"> 2023)</w:t>
      </w:r>
      <w:r w:rsidRPr="00DF7C86">
        <w:rPr>
          <w:rFonts w:ascii="Arial" w:hAnsi="Arial" w:cs="Arial"/>
        </w:rPr>
        <w:t xml:space="preserve">. </w:t>
      </w:r>
    </w:p>
    <w:p w14:paraId="00000014" w14:textId="77777777" w:rsidR="0071533C" w:rsidRPr="00DF7C86" w:rsidRDefault="00FB3F08">
      <w:pPr>
        <w:rPr>
          <w:rFonts w:ascii="Arial" w:hAnsi="Arial" w:cs="Arial"/>
        </w:rPr>
      </w:pPr>
      <w:r w:rsidRPr="00DF7C86">
        <w:rPr>
          <w:rFonts w:ascii="Arial" w:hAnsi="Arial" w:cs="Arial"/>
        </w:rPr>
        <w:t xml:space="preserve">From the general aspects, the applicability of such failure indicates the consequences of both the internal and external issues as well as the financial and non-financial aspects. Concerning the basic identification and market formulation support the primary significance of the financial and non-financial factors has been identified with the inclusion of internal and external processing so that the overall compatibility and the general reasons behind the discrimination of profit can be identified. Such details are provided. </w:t>
      </w:r>
    </w:p>
    <w:p w14:paraId="00000015" w14:textId="5A43C42D" w:rsidR="0071533C" w:rsidRPr="00DF7C86" w:rsidRDefault="00FB3F08">
      <w:pPr>
        <w:rPr>
          <w:rFonts w:ascii="Arial" w:hAnsi="Arial" w:cs="Arial"/>
        </w:rPr>
      </w:pPr>
      <w:r w:rsidRPr="00DF7C86">
        <w:rPr>
          <w:rFonts w:ascii="Arial" w:hAnsi="Arial" w:cs="Arial"/>
          <w:b/>
        </w:rPr>
        <w:t>Financial Factors:</w:t>
      </w:r>
      <w:r w:rsidRPr="00DF7C86">
        <w:rPr>
          <w:rFonts w:ascii="Arial" w:hAnsi="Arial" w:cs="Arial"/>
        </w:rPr>
        <w:t xml:space="preserve"> According to the basic measurement support revenue declined position is one of the fundamental reasons behind the declining level of business profit position that generally impose a certain volume of negative impact over the business growth. As per the basic analysis in the present situation due to the reason for pandemic, the overall volume of business profit is hampered that formulated due to declined </w:t>
      </w:r>
      <w:r w:rsidR="00626747" w:rsidRPr="00DF7C86">
        <w:rPr>
          <w:rFonts w:ascii="Arial" w:hAnsi="Arial" w:cs="Arial"/>
        </w:rPr>
        <w:t>customer’s</w:t>
      </w:r>
      <w:r w:rsidRPr="00DF7C86">
        <w:rPr>
          <w:rFonts w:ascii="Arial" w:hAnsi="Arial" w:cs="Arial"/>
        </w:rPr>
        <w:t xml:space="preserve"> presence. Additionally, during this particular period, the overall over-price positioning approach generally expands the operating cost level of the business on a tremendous basis which ultimately is unable to generate a proper volume of profit development positioning approach (</w:t>
      </w:r>
      <w:r w:rsidRPr="00DF7C86">
        <w:rPr>
          <w:rFonts w:ascii="Arial" w:hAnsi="Arial" w:cs="Arial"/>
          <w:color w:val="222222"/>
          <w:highlight w:val="white"/>
        </w:rPr>
        <w:t>OKOCHA and JEROH, 2024)</w:t>
      </w:r>
      <w:r w:rsidRPr="00DF7C86">
        <w:rPr>
          <w:rFonts w:ascii="Arial" w:hAnsi="Arial" w:cs="Arial"/>
        </w:rPr>
        <w:t xml:space="preserve">. </w:t>
      </w:r>
    </w:p>
    <w:p w14:paraId="00000016" w14:textId="77777777" w:rsidR="0071533C" w:rsidRPr="00DF7C86" w:rsidRDefault="00FB3F08">
      <w:pPr>
        <w:rPr>
          <w:rFonts w:ascii="Arial" w:hAnsi="Arial" w:cs="Arial"/>
        </w:rPr>
      </w:pPr>
      <w:r w:rsidRPr="00DF7C86">
        <w:rPr>
          <w:rFonts w:ascii="Arial" w:hAnsi="Arial" w:cs="Arial"/>
        </w:rPr>
        <w:t xml:space="preserve">The assets structure of the business including the current assets position is also negatively impacted due to the current liability burden that Ultimately initiates a certain level of operating financial value maintenance issues. According to the basic identification in this particular phase, the overall volume of borrowing charges is significantly expanded due to the level of interest expansions and also the expanded level of taxation reasons that ultimately impose a certain level of negative approach over the business profit development structure. As per basic identification, the overall labour market charges are also expanded ultimately imposing a negative impact on the generating volume of profit position of the business and as a result, a certain volume of incompetency and uncertainty approach imposed a high volume of negative impact over the operating statutory position of the business. </w:t>
      </w:r>
    </w:p>
    <w:p w14:paraId="00000017" w14:textId="7E490C7C" w:rsidR="0071533C" w:rsidRPr="00DF7C86" w:rsidRDefault="00FB3F08">
      <w:pPr>
        <w:rPr>
          <w:rFonts w:ascii="Arial" w:hAnsi="Arial" w:cs="Arial"/>
        </w:rPr>
      </w:pPr>
      <w:r w:rsidRPr="00DF7C86">
        <w:rPr>
          <w:rFonts w:ascii="Arial" w:hAnsi="Arial" w:cs="Arial"/>
          <w:b/>
        </w:rPr>
        <w:lastRenderedPageBreak/>
        <w:t xml:space="preserve">Non-Financial Factors: </w:t>
      </w:r>
      <w:r w:rsidRPr="00DF7C86">
        <w:rPr>
          <w:rFonts w:ascii="Arial" w:hAnsi="Arial" w:cs="Arial"/>
        </w:rPr>
        <w:t xml:space="preserve"> Apart from the environment of the above financial engagement the primary position of the non-financial factors is also to initiate a certain volume of challenging approaches for the business operating values that ultimately impose a negative impact on the profit margin. Due to the initiated engagement of lockdown </w:t>
      </w:r>
      <w:r w:rsidR="00626747" w:rsidRPr="00DF7C86">
        <w:rPr>
          <w:rFonts w:ascii="Arial" w:hAnsi="Arial" w:cs="Arial"/>
        </w:rPr>
        <w:t>by</w:t>
      </w:r>
      <w:r w:rsidRPr="00DF7C86">
        <w:rPr>
          <w:rFonts w:ascii="Arial" w:hAnsi="Arial" w:cs="Arial"/>
        </w:rPr>
        <w:t xml:space="preserve"> the government, the overall customer presence related to the hospitality business significantly declined which ultimately initiated a certain volume of negativity related to the revenue positions and profit level of the business. </w:t>
      </w:r>
    </w:p>
    <w:p w14:paraId="00000018" w14:textId="77777777" w:rsidR="0071533C" w:rsidRPr="00DF7C86" w:rsidRDefault="00FB3F08">
      <w:pPr>
        <w:rPr>
          <w:rFonts w:ascii="Arial" w:hAnsi="Arial" w:cs="Arial"/>
        </w:rPr>
      </w:pPr>
      <w:r w:rsidRPr="00DF7C86">
        <w:rPr>
          <w:rFonts w:ascii="Arial" w:hAnsi="Arial" w:cs="Arial"/>
        </w:rPr>
        <w:t>Associated with the same approach in the present situation due to the Russia-Ukraine War, the overall labour market charges are highly expanded in a rapid order that ultimately initiates a certain crisis related to the operating maintenance position of the business. Additionally, the initiative engagement of Brexit also imposed a certain volume of visa-related issues which ultimately formulated a generally challenging approach for the customer arrangement properly (</w:t>
      </w:r>
      <w:r w:rsidRPr="00DF7C86">
        <w:rPr>
          <w:rFonts w:ascii="Arial" w:hAnsi="Arial" w:cs="Arial"/>
          <w:color w:val="222222"/>
          <w:highlight w:val="white"/>
        </w:rPr>
        <w:t xml:space="preserve">Hamza </w:t>
      </w:r>
      <w:r w:rsidRPr="00DF7C86">
        <w:rPr>
          <w:rFonts w:ascii="Arial" w:hAnsi="Arial" w:cs="Arial"/>
          <w:i/>
          <w:color w:val="222222"/>
          <w:highlight w:val="white"/>
        </w:rPr>
        <w:t>et al.,</w:t>
      </w:r>
      <w:r w:rsidRPr="00DF7C86">
        <w:rPr>
          <w:rFonts w:ascii="Arial" w:hAnsi="Arial" w:cs="Arial"/>
          <w:color w:val="222222"/>
          <w:highlight w:val="white"/>
        </w:rPr>
        <w:t xml:space="preserve"> 2023)</w:t>
      </w:r>
      <w:r w:rsidRPr="00DF7C86">
        <w:rPr>
          <w:rFonts w:ascii="Arial" w:hAnsi="Arial" w:cs="Arial"/>
        </w:rPr>
        <w:t xml:space="preserve">. According to the basic analysis, the expanded level of taxation values and the supply chain-initiated crisis also impose a certain volume of challenging approaches for business development and formulate the business profitability level properly. The declining position of customer engagement and also the declining standard of living position of the customer also impose a certain volume of negative impact related to the visitors' aspects which ultimately impose a certain volume of challenging approach for the business for maintaining the development properly. </w:t>
      </w:r>
    </w:p>
    <w:p w14:paraId="00000019" w14:textId="77777777" w:rsidR="0071533C" w:rsidRPr="00DF7C86" w:rsidRDefault="00FB3F08">
      <w:pPr>
        <w:rPr>
          <w:rFonts w:ascii="Arial" w:hAnsi="Arial" w:cs="Arial"/>
        </w:rPr>
      </w:pPr>
      <w:r w:rsidRPr="00DF7C86">
        <w:rPr>
          <w:rFonts w:ascii="Arial" w:hAnsi="Arial" w:cs="Arial"/>
        </w:rPr>
        <w:t xml:space="preserve">As for the basic identification, those are the primary reasons behind the declining level of business profitability which ultimately impose a certain volume of challenging approaches for the business to make a proper survival strategy properly. </w:t>
      </w:r>
    </w:p>
    <w:p w14:paraId="0000001A" w14:textId="77777777" w:rsidR="0071533C" w:rsidRPr="00DF7C86" w:rsidRDefault="00FB3F08" w:rsidP="00626747">
      <w:pPr>
        <w:pStyle w:val="Heading2"/>
        <w:rPr>
          <w:rFonts w:ascii="Arial" w:hAnsi="Arial" w:cs="Arial"/>
        </w:rPr>
      </w:pPr>
      <w:bookmarkStart w:id="6" w:name="_Toc160041996"/>
      <w:r w:rsidRPr="00DF7C86">
        <w:rPr>
          <w:rFonts w:ascii="Arial" w:hAnsi="Arial" w:cs="Arial"/>
        </w:rPr>
        <w:t>2.3 “Applied comprehensive turnaround strategy to revitalise lodge’s financial health”</w:t>
      </w:r>
      <w:bookmarkEnd w:id="6"/>
    </w:p>
    <w:p w14:paraId="0000001B" w14:textId="2C26958E" w:rsidR="0071533C" w:rsidRPr="00DF7C86" w:rsidRDefault="00FB3F08">
      <w:pPr>
        <w:rPr>
          <w:rFonts w:ascii="Arial" w:hAnsi="Arial" w:cs="Arial"/>
        </w:rPr>
      </w:pPr>
      <w:r w:rsidRPr="00DF7C86">
        <w:rPr>
          <w:rFonts w:ascii="Arial" w:hAnsi="Arial" w:cs="Arial"/>
        </w:rPr>
        <w:t xml:space="preserve">According to the basic identification and the measurement support the applications of </w:t>
      </w:r>
      <w:r w:rsidR="00626747" w:rsidRPr="00DF7C86">
        <w:rPr>
          <w:rFonts w:ascii="Arial" w:hAnsi="Arial" w:cs="Arial"/>
        </w:rPr>
        <w:t>turnaround</w:t>
      </w:r>
      <w:r w:rsidRPr="00DF7C86">
        <w:rPr>
          <w:rFonts w:ascii="Arial" w:hAnsi="Arial" w:cs="Arial"/>
        </w:rPr>
        <w:t xml:space="preserve"> strategy related to the business is fundamentally required at the present situation so that a proper recovery approach related to the profit development can be initiated. To initiate this type of strategy, the management is required to provide a primary significance over the </w:t>
      </w:r>
      <w:r w:rsidRPr="00DF7C86">
        <w:rPr>
          <w:rFonts w:ascii="Arial" w:hAnsi="Arial" w:cs="Arial"/>
          <w:b/>
        </w:rPr>
        <w:t>Triage strategy</w:t>
      </w:r>
      <w:r w:rsidRPr="00DF7C86">
        <w:rPr>
          <w:rFonts w:ascii="Arial" w:hAnsi="Arial" w:cs="Arial"/>
        </w:rPr>
        <w:t xml:space="preserve"> with the formulation of which a fast-tracking analysis related to the operating formulation of an individual business can be initiated and </w:t>
      </w:r>
      <w:r w:rsidRPr="00DF7C86">
        <w:rPr>
          <w:rFonts w:ascii="Arial" w:hAnsi="Arial" w:cs="Arial"/>
        </w:rPr>
        <w:lastRenderedPageBreak/>
        <w:t xml:space="preserve">also the stability growth related to the operating accountability performances can be managed as well. </w:t>
      </w:r>
    </w:p>
    <w:p w14:paraId="0000001D" w14:textId="45CAA981" w:rsidR="0071533C" w:rsidRPr="00DF7C86" w:rsidRDefault="00FB3F08">
      <w:pPr>
        <w:rPr>
          <w:rFonts w:ascii="Arial" w:hAnsi="Arial" w:cs="Arial"/>
        </w:rPr>
      </w:pPr>
      <w:r w:rsidRPr="00DF7C86">
        <w:rPr>
          <w:rFonts w:ascii="Arial" w:hAnsi="Arial" w:cs="Arial"/>
        </w:rPr>
        <w:t xml:space="preserve">The identified engagement of the </w:t>
      </w:r>
      <w:r w:rsidRPr="00DF7C86">
        <w:rPr>
          <w:rFonts w:ascii="Arial" w:hAnsi="Arial" w:cs="Arial"/>
          <w:b/>
        </w:rPr>
        <w:t>Replacement concept</w:t>
      </w:r>
      <w:r w:rsidRPr="00DF7C86">
        <w:rPr>
          <w:rFonts w:ascii="Arial" w:hAnsi="Arial" w:cs="Arial"/>
        </w:rPr>
        <w:t xml:space="preserve"> is also required to be initiated for the wastage level so that the operating values including some of the compatibility formulated benefits of the business operation engagement and profit development can be maintained (</w:t>
      </w:r>
      <w:r w:rsidRPr="00DF7C86">
        <w:rPr>
          <w:rFonts w:ascii="Arial" w:hAnsi="Arial" w:cs="Arial"/>
          <w:color w:val="222222"/>
          <w:highlight w:val="white"/>
        </w:rPr>
        <w:t xml:space="preserve">Hamza </w:t>
      </w:r>
      <w:r w:rsidRPr="00DF7C86">
        <w:rPr>
          <w:rFonts w:ascii="Arial" w:hAnsi="Arial" w:cs="Arial"/>
          <w:i/>
          <w:color w:val="222222"/>
          <w:highlight w:val="white"/>
        </w:rPr>
        <w:t>et al.,</w:t>
      </w:r>
      <w:r w:rsidRPr="00DF7C86">
        <w:rPr>
          <w:rFonts w:ascii="Arial" w:hAnsi="Arial" w:cs="Arial"/>
          <w:color w:val="222222"/>
          <w:highlight w:val="white"/>
        </w:rPr>
        <w:t xml:space="preserve"> 2023)</w:t>
      </w:r>
      <w:r w:rsidRPr="00DF7C86">
        <w:rPr>
          <w:rFonts w:ascii="Arial" w:hAnsi="Arial" w:cs="Arial"/>
        </w:rPr>
        <w:t xml:space="preserve">. As per the basic identifications implemented support of the </w:t>
      </w:r>
      <w:r w:rsidRPr="00DF7C86">
        <w:rPr>
          <w:rFonts w:ascii="Arial" w:hAnsi="Arial" w:cs="Arial"/>
          <w:b/>
        </w:rPr>
        <w:t>Asset Retrenchment</w:t>
      </w:r>
      <w:r w:rsidRPr="00DF7C86">
        <w:rPr>
          <w:rFonts w:ascii="Arial" w:hAnsi="Arial" w:cs="Arial"/>
        </w:rPr>
        <w:t xml:space="preserve"> approach is required to be implemented in the business for maintaining the formulated development of acids in a positive order with a value formulation basis with the elimination of uncertainty so that the statutory values can be balanced. According to the basic measurement, the primary significance of the presence of a </w:t>
      </w:r>
      <w:r w:rsidRPr="00DF7C86">
        <w:rPr>
          <w:rFonts w:ascii="Arial" w:hAnsi="Arial" w:cs="Arial"/>
          <w:b/>
        </w:rPr>
        <w:t>Promotional strategy</w:t>
      </w:r>
      <w:r w:rsidRPr="00DF7C86">
        <w:rPr>
          <w:rFonts w:ascii="Arial" w:hAnsi="Arial" w:cs="Arial"/>
        </w:rPr>
        <w:t xml:space="preserve"> also needs to be initiated in the business for the maintenance of advertisement support and also a proper volume of marketing purpose which is accountable for future growth. </w:t>
      </w:r>
    </w:p>
    <w:p w14:paraId="0000001E" w14:textId="77777777" w:rsidR="0071533C" w:rsidRPr="00DF7C86" w:rsidRDefault="00FB3F08" w:rsidP="00626747">
      <w:pPr>
        <w:pStyle w:val="Heading1"/>
        <w:rPr>
          <w:rFonts w:ascii="Arial" w:hAnsi="Arial" w:cs="Arial"/>
        </w:rPr>
      </w:pPr>
      <w:bookmarkStart w:id="7" w:name="_Toc160041997"/>
      <w:r w:rsidRPr="00DF7C86">
        <w:rPr>
          <w:rFonts w:ascii="Arial" w:hAnsi="Arial" w:cs="Arial"/>
        </w:rPr>
        <w:t>3.0 Conclusions</w:t>
      </w:r>
      <w:bookmarkEnd w:id="7"/>
    </w:p>
    <w:p w14:paraId="0000001F" w14:textId="2A990E1E" w:rsidR="0071533C" w:rsidRPr="00DF7C86" w:rsidRDefault="00FB3F08">
      <w:pPr>
        <w:rPr>
          <w:rFonts w:ascii="Arial" w:hAnsi="Arial" w:cs="Arial"/>
        </w:rPr>
      </w:pPr>
      <w:r w:rsidRPr="00DF7C86">
        <w:rPr>
          <w:rFonts w:ascii="Arial" w:hAnsi="Arial" w:cs="Arial"/>
        </w:rPr>
        <w:t xml:space="preserve">Overall, the present analysis and the performance structure related to this business indicate and optimise growth positions in a general order however, the identified financial engagement concerning some of the operating aspects represents a deteriorated approach due to the declined profit position approach. It can be identified that in the present situation, the margin position of the business is not sufficient and the operating accountability level of the business is also not comprehensive to generate positive progressive support. It can also </w:t>
      </w:r>
      <w:r w:rsidR="00626747" w:rsidRPr="00DF7C86">
        <w:rPr>
          <w:rFonts w:ascii="Arial" w:hAnsi="Arial" w:cs="Arial"/>
        </w:rPr>
        <w:t>have identified</w:t>
      </w:r>
      <w:r w:rsidRPr="00DF7C86">
        <w:rPr>
          <w:rFonts w:ascii="Arial" w:hAnsi="Arial" w:cs="Arial"/>
        </w:rPr>
        <w:t xml:space="preserve"> that the present requisition and some of the strategic approach of the business in the current situation is required to be implemented properly with the formulation of the turnaround strategy so that the compatibility growth can be maintained. </w:t>
      </w:r>
    </w:p>
    <w:p w14:paraId="00000020" w14:textId="77777777" w:rsidR="0071533C" w:rsidRDefault="0071533C">
      <w:pPr>
        <w:rPr>
          <w:b/>
        </w:rPr>
      </w:pPr>
    </w:p>
    <w:p w14:paraId="00000021" w14:textId="4CBF5F74" w:rsidR="00626747" w:rsidRDefault="00626747">
      <w:r>
        <w:br w:type="page"/>
      </w:r>
    </w:p>
    <w:p w14:paraId="64BDB4B6" w14:textId="54A15F2F" w:rsidR="0071533C" w:rsidRPr="00626747" w:rsidRDefault="00626747" w:rsidP="00626747">
      <w:pPr>
        <w:pStyle w:val="Heading1"/>
      </w:pPr>
      <w:bookmarkStart w:id="8" w:name="_Toc160041998"/>
      <w:r w:rsidRPr="00626747">
        <w:lastRenderedPageBreak/>
        <w:t>References</w:t>
      </w:r>
      <w:bookmarkEnd w:id="8"/>
      <w:r w:rsidRPr="00626747">
        <w:t xml:space="preserve"> </w:t>
      </w:r>
    </w:p>
    <w:p w14:paraId="26CDD1CC" w14:textId="77777777" w:rsidR="00626747" w:rsidRPr="00A66DD8" w:rsidRDefault="00626747" w:rsidP="00626747">
      <w:pPr>
        <w:rPr>
          <w:color w:val="222222"/>
          <w:shd w:val="clear" w:color="auto" w:fill="FFFFFF"/>
        </w:rPr>
      </w:pPr>
      <w:r w:rsidRPr="00A66DD8">
        <w:rPr>
          <w:color w:val="222222"/>
          <w:shd w:val="clear" w:color="auto" w:fill="FFFFFF"/>
        </w:rPr>
        <w:t>Breuer, W. and Pfingsten, A., 2022. Non-standard issues in business finance: an overview. </w:t>
      </w:r>
      <w:r w:rsidRPr="00A66DD8">
        <w:rPr>
          <w:i/>
          <w:iCs/>
          <w:color w:val="222222"/>
          <w:shd w:val="clear" w:color="auto" w:fill="FFFFFF"/>
        </w:rPr>
        <w:t>Journal of Business Economics</w:t>
      </w:r>
      <w:r w:rsidRPr="00A66DD8">
        <w:rPr>
          <w:color w:val="222222"/>
          <w:shd w:val="clear" w:color="auto" w:fill="FFFFFF"/>
        </w:rPr>
        <w:t>, </w:t>
      </w:r>
      <w:r w:rsidRPr="00A66DD8">
        <w:rPr>
          <w:i/>
          <w:iCs/>
          <w:color w:val="222222"/>
          <w:shd w:val="clear" w:color="auto" w:fill="FFFFFF"/>
        </w:rPr>
        <w:t>92</w:t>
      </w:r>
      <w:r w:rsidRPr="00A66DD8">
        <w:rPr>
          <w:color w:val="222222"/>
          <w:shd w:val="clear" w:color="auto" w:fill="FFFFFF"/>
        </w:rPr>
        <w:t>(9), pp.1417-1430.</w:t>
      </w:r>
    </w:p>
    <w:p w14:paraId="40F6458B" w14:textId="77777777" w:rsidR="00626747" w:rsidRPr="00A66DD8" w:rsidRDefault="00626747" w:rsidP="00626747">
      <w:r w:rsidRPr="00A66DD8">
        <w:rPr>
          <w:color w:val="222222"/>
          <w:shd w:val="clear" w:color="auto" w:fill="FFFFFF"/>
        </w:rPr>
        <w:t>Dutta, S.R., Sen, S.S. and Mukherjee, T., 2022. Stock liquidity and capital structure: Evidence from NSE listed top 100 non-finance Indian firms. </w:t>
      </w:r>
      <w:r w:rsidRPr="00A66DD8">
        <w:rPr>
          <w:i/>
          <w:iCs/>
          <w:color w:val="222222"/>
          <w:shd w:val="clear" w:color="auto" w:fill="FFFFFF"/>
        </w:rPr>
        <w:t>Orissa Journal of Commerce</w:t>
      </w:r>
      <w:r w:rsidRPr="00A66DD8">
        <w:rPr>
          <w:color w:val="222222"/>
          <w:shd w:val="clear" w:color="auto" w:fill="FFFFFF"/>
        </w:rPr>
        <w:t>, </w:t>
      </w:r>
      <w:r w:rsidRPr="00A66DD8">
        <w:rPr>
          <w:i/>
          <w:iCs/>
          <w:color w:val="222222"/>
          <w:shd w:val="clear" w:color="auto" w:fill="FFFFFF"/>
        </w:rPr>
        <w:t>43</w:t>
      </w:r>
      <w:r w:rsidRPr="00A66DD8">
        <w:rPr>
          <w:color w:val="222222"/>
          <w:shd w:val="clear" w:color="auto" w:fill="FFFFFF"/>
        </w:rPr>
        <w:t>(1), pp.38-54.</w:t>
      </w:r>
    </w:p>
    <w:p w14:paraId="42D6B572" w14:textId="77777777" w:rsidR="00626747" w:rsidRPr="00A66DD8" w:rsidRDefault="00626747" w:rsidP="00626747">
      <w:pPr>
        <w:rPr>
          <w:color w:val="222222"/>
          <w:shd w:val="clear" w:color="auto" w:fill="FFFFFF"/>
        </w:rPr>
      </w:pPr>
      <w:proofErr w:type="spellStart"/>
      <w:r w:rsidRPr="00A66DD8">
        <w:rPr>
          <w:color w:val="222222"/>
          <w:shd w:val="clear" w:color="auto" w:fill="FFFFFF"/>
        </w:rPr>
        <w:t>Enoidem</w:t>
      </w:r>
      <w:proofErr w:type="spellEnd"/>
      <w:r w:rsidRPr="00A66DD8">
        <w:rPr>
          <w:color w:val="222222"/>
          <w:shd w:val="clear" w:color="auto" w:fill="FFFFFF"/>
        </w:rPr>
        <w:t xml:space="preserve">, K.L., Akpan, D.C., </w:t>
      </w:r>
      <w:proofErr w:type="spellStart"/>
      <w:r w:rsidRPr="00A66DD8">
        <w:rPr>
          <w:color w:val="222222"/>
          <w:shd w:val="clear" w:color="auto" w:fill="FFFFFF"/>
        </w:rPr>
        <w:t>Akinninyi</w:t>
      </w:r>
      <w:proofErr w:type="spellEnd"/>
      <w:r w:rsidRPr="00A66DD8">
        <w:rPr>
          <w:color w:val="222222"/>
          <w:shd w:val="clear" w:color="auto" w:fill="FFFFFF"/>
        </w:rPr>
        <w:t xml:space="preserve">, P.E. and </w:t>
      </w:r>
      <w:proofErr w:type="spellStart"/>
      <w:r w:rsidRPr="00A66DD8">
        <w:rPr>
          <w:color w:val="222222"/>
          <w:shd w:val="clear" w:color="auto" w:fill="FFFFFF"/>
        </w:rPr>
        <w:t>Nsentip</w:t>
      </w:r>
      <w:proofErr w:type="spellEnd"/>
      <w:r w:rsidRPr="00A66DD8">
        <w:rPr>
          <w:color w:val="222222"/>
          <w:shd w:val="clear" w:color="auto" w:fill="FFFFFF"/>
        </w:rPr>
        <w:t>, E.B., 2023. Board Monitoring Mechanisms and Earnings Management of Listed Non-Finance Firms in Nigeria. </w:t>
      </w:r>
      <w:r w:rsidRPr="00A66DD8">
        <w:rPr>
          <w:i/>
          <w:iCs/>
          <w:color w:val="222222"/>
          <w:shd w:val="clear" w:color="auto" w:fill="FFFFFF"/>
        </w:rPr>
        <w:t>European Journal of Business and Innovation Research</w:t>
      </w:r>
      <w:r w:rsidRPr="00A66DD8">
        <w:rPr>
          <w:color w:val="222222"/>
          <w:shd w:val="clear" w:color="auto" w:fill="FFFFFF"/>
        </w:rPr>
        <w:t>, </w:t>
      </w:r>
      <w:r w:rsidRPr="00A66DD8">
        <w:rPr>
          <w:i/>
          <w:iCs/>
          <w:color w:val="222222"/>
          <w:shd w:val="clear" w:color="auto" w:fill="FFFFFF"/>
        </w:rPr>
        <w:t>11</w:t>
      </w:r>
      <w:r w:rsidRPr="00A66DD8">
        <w:rPr>
          <w:color w:val="222222"/>
          <w:shd w:val="clear" w:color="auto" w:fill="FFFFFF"/>
        </w:rPr>
        <w:t>(6), pp.33-53.</w:t>
      </w:r>
    </w:p>
    <w:p w14:paraId="41FBA8FC" w14:textId="77777777" w:rsidR="00626747" w:rsidRPr="00A66DD8" w:rsidRDefault="00626747" w:rsidP="00626747">
      <w:pPr>
        <w:rPr>
          <w:color w:val="222222"/>
          <w:shd w:val="clear" w:color="auto" w:fill="FFFFFF"/>
        </w:rPr>
      </w:pPr>
      <w:r w:rsidRPr="00A66DD8">
        <w:rPr>
          <w:color w:val="222222"/>
          <w:shd w:val="clear" w:color="auto" w:fill="FFFFFF"/>
        </w:rPr>
        <w:t xml:space="preserve">Hamza, S., </w:t>
      </w:r>
      <w:proofErr w:type="spellStart"/>
      <w:r w:rsidRPr="00A66DD8">
        <w:rPr>
          <w:color w:val="222222"/>
          <w:shd w:val="clear" w:color="auto" w:fill="FFFFFF"/>
        </w:rPr>
        <w:t>Alinoor</w:t>
      </w:r>
      <w:proofErr w:type="spellEnd"/>
      <w:r w:rsidRPr="00A66DD8">
        <w:rPr>
          <w:color w:val="222222"/>
          <w:shd w:val="clear" w:color="auto" w:fill="FFFFFF"/>
        </w:rPr>
        <w:t xml:space="preserve">, M., Abdi, W., </w:t>
      </w:r>
      <w:proofErr w:type="spellStart"/>
      <w:r w:rsidRPr="00A66DD8">
        <w:rPr>
          <w:color w:val="222222"/>
          <w:shd w:val="clear" w:color="auto" w:fill="FFFFFF"/>
        </w:rPr>
        <w:t>Nyabuti</w:t>
      </w:r>
      <w:proofErr w:type="spellEnd"/>
      <w:r w:rsidRPr="00A66DD8">
        <w:rPr>
          <w:color w:val="222222"/>
          <w:shd w:val="clear" w:color="auto" w:fill="FFFFFF"/>
        </w:rPr>
        <w:t xml:space="preserve">, A. and </w:t>
      </w:r>
      <w:proofErr w:type="spellStart"/>
      <w:r w:rsidRPr="00A66DD8">
        <w:rPr>
          <w:color w:val="222222"/>
          <w:shd w:val="clear" w:color="auto" w:fill="FFFFFF"/>
        </w:rPr>
        <w:t>Okiro</w:t>
      </w:r>
      <w:proofErr w:type="spellEnd"/>
      <w:r w:rsidRPr="00A66DD8">
        <w:rPr>
          <w:color w:val="222222"/>
          <w:shd w:val="clear" w:color="auto" w:fill="FFFFFF"/>
        </w:rPr>
        <w:t>, K., 2023. Influence of Financial Distress on Financial Risk Hedging Practices of Listed Non-Finance Firms in Kenya. </w:t>
      </w:r>
      <w:r w:rsidRPr="00A66DD8">
        <w:rPr>
          <w:i/>
          <w:iCs/>
          <w:color w:val="222222"/>
          <w:shd w:val="clear" w:color="auto" w:fill="FFFFFF"/>
        </w:rPr>
        <w:t>Journal of Economics, Finance and Business Analytics</w:t>
      </w:r>
      <w:r w:rsidRPr="00A66DD8">
        <w:rPr>
          <w:color w:val="222222"/>
          <w:shd w:val="clear" w:color="auto" w:fill="FFFFFF"/>
        </w:rPr>
        <w:t>, </w:t>
      </w:r>
      <w:r w:rsidRPr="00A66DD8">
        <w:rPr>
          <w:i/>
          <w:iCs/>
          <w:color w:val="222222"/>
          <w:shd w:val="clear" w:color="auto" w:fill="FFFFFF"/>
        </w:rPr>
        <w:t>1</w:t>
      </w:r>
      <w:r w:rsidRPr="00A66DD8">
        <w:rPr>
          <w:color w:val="222222"/>
          <w:shd w:val="clear" w:color="auto" w:fill="FFFFFF"/>
        </w:rPr>
        <w:t>(2), pp.1-10.</w:t>
      </w:r>
    </w:p>
    <w:p w14:paraId="6E8EABD4" w14:textId="77777777" w:rsidR="00626747" w:rsidRPr="00A66DD8" w:rsidRDefault="00626747" w:rsidP="00626747">
      <w:pPr>
        <w:rPr>
          <w:color w:val="222222"/>
          <w:shd w:val="clear" w:color="auto" w:fill="FFFFFF"/>
        </w:rPr>
      </w:pPr>
      <w:r w:rsidRPr="00A66DD8">
        <w:rPr>
          <w:color w:val="222222"/>
          <w:shd w:val="clear" w:color="auto" w:fill="FFFFFF"/>
        </w:rPr>
        <w:t>OKOCHA, B.N. and JEROH, E., 2024. Tax shield and the value of listed non-finance entities in Nigeria.</w:t>
      </w:r>
    </w:p>
    <w:p w14:paraId="7262CD83" w14:textId="77777777" w:rsidR="00626747" w:rsidRPr="00A66DD8" w:rsidRDefault="00626747" w:rsidP="00626747">
      <w:pPr>
        <w:rPr>
          <w:color w:val="222222"/>
          <w:shd w:val="clear" w:color="auto" w:fill="FFFFFF"/>
        </w:rPr>
      </w:pPr>
      <w:r w:rsidRPr="00A66DD8">
        <w:rPr>
          <w:color w:val="222222"/>
          <w:shd w:val="clear" w:color="auto" w:fill="FFFFFF"/>
        </w:rPr>
        <w:t xml:space="preserve">Osazevbaru, H.O. and </w:t>
      </w:r>
      <w:proofErr w:type="spellStart"/>
      <w:r w:rsidRPr="00A66DD8">
        <w:rPr>
          <w:color w:val="222222"/>
          <w:shd w:val="clear" w:color="auto" w:fill="FFFFFF"/>
        </w:rPr>
        <w:t>Imasuen</w:t>
      </w:r>
      <w:proofErr w:type="spellEnd"/>
      <w:r w:rsidRPr="00A66DD8">
        <w:rPr>
          <w:color w:val="222222"/>
          <w:shd w:val="clear" w:color="auto" w:fill="FFFFFF"/>
        </w:rPr>
        <w:t xml:space="preserve">, F.O., 2022. Board Leadership Structure, Board Diligence, And Firms’ strategic Cash Flow Decision </w:t>
      </w:r>
      <w:proofErr w:type="gramStart"/>
      <w:r w:rsidRPr="00A66DD8">
        <w:rPr>
          <w:color w:val="222222"/>
          <w:shd w:val="clear" w:color="auto" w:fill="FFFFFF"/>
        </w:rPr>
        <w:t>In</w:t>
      </w:r>
      <w:proofErr w:type="gramEnd"/>
      <w:r w:rsidRPr="00A66DD8">
        <w:rPr>
          <w:color w:val="222222"/>
          <w:shd w:val="clear" w:color="auto" w:fill="FFFFFF"/>
        </w:rPr>
        <w:t xml:space="preserve"> Nigerian Non-Finance Companies. </w:t>
      </w:r>
      <w:r w:rsidRPr="00A66DD8">
        <w:rPr>
          <w:i/>
          <w:iCs/>
          <w:color w:val="222222"/>
          <w:shd w:val="clear" w:color="auto" w:fill="FFFFFF"/>
        </w:rPr>
        <w:t>Journal of Academic Research in Economics</w:t>
      </w:r>
      <w:r w:rsidRPr="00A66DD8">
        <w:rPr>
          <w:color w:val="222222"/>
          <w:shd w:val="clear" w:color="auto" w:fill="FFFFFF"/>
        </w:rPr>
        <w:t>, </w:t>
      </w:r>
      <w:r w:rsidRPr="00A66DD8">
        <w:rPr>
          <w:i/>
          <w:iCs/>
          <w:color w:val="222222"/>
          <w:shd w:val="clear" w:color="auto" w:fill="FFFFFF"/>
        </w:rPr>
        <w:t>14</w:t>
      </w:r>
      <w:r w:rsidRPr="00A66DD8">
        <w:rPr>
          <w:color w:val="222222"/>
          <w:shd w:val="clear" w:color="auto" w:fill="FFFFFF"/>
        </w:rPr>
        <w:t>(2).</w:t>
      </w:r>
    </w:p>
    <w:p w14:paraId="53731133" w14:textId="77777777" w:rsidR="00626747" w:rsidRPr="00A66DD8" w:rsidRDefault="00626747" w:rsidP="00626747">
      <w:pPr>
        <w:rPr>
          <w:color w:val="222222"/>
          <w:shd w:val="clear" w:color="auto" w:fill="FFFFFF"/>
        </w:rPr>
      </w:pPr>
      <w:proofErr w:type="spellStart"/>
      <w:r w:rsidRPr="00A66DD8">
        <w:rPr>
          <w:color w:val="222222"/>
          <w:shd w:val="clear" w:color="auto" w:fill="FFFFFF"/>
        </w:rPr>
        <w:t>Osazevbaru</w:t>
      </w:r>
      <w:proofErr w:type="spellEnd"/>
      <w:r w:rsidRPr="00A66DD8">
        <w:rPr>
          <w:color w:val="222222"/>
          <w:shd w:val="clear" w:color="auto" w:fill="FFFFFF"/>
        </w:rPr>
        <w:t xml:space="preserve">, H.O., </w:t>
      </w:r>
      <w:proofErr w:type="spellStart"/>
      <w:r w:rsidRPr="00A66DD8">
        <w:rPr>
          <w:color w:val="222222"/>
          <w:shd w:val="clear" w:color="auto" w:fill="FFFFFF"/>
        </w:rPr>
        <w:t>Odiri</w:t>
      </w:r>
      <w:proofErr w:type="spellEnd"/>
      <w:r w:rsidRPr="00A66DD8">
        <w:rPr>
          <w:color w:val="222222"/>
          <w:shd w:val="clear" w:color="auto" w:fill="FFFFFF"/>
        </w:rPr>
        <w:t>, V.I.O. and Yahaya, G.H., 2021. Corporate social responsibility and the performance of non-finance firms in Nigeria. </w:t>
      </w:r>
      <w:r w:rsidRPr="00A66DD8">
        <w:rPr>
          <w:i/>
          <w:iCs/>
          <w:color w:val="222222"/>
          <w:shd w:val="clear" w:color="auto" w:fill="FFFFFF"/>
        </w:rPr>
        <w:t>International Journal of Business and Economics Research</w:t>
      </w:r>
      <w:r w:rsidRPr="00A66DD8">
        <w:rPr>
          <w:color w:val="222222"/>
          <w:shd w:val="clear" w:color="auto" w:fill="FFFFFF"/>
        </w:rPr>
        <w:t>, </w:t>
      </w:r>
      <w:r w:rsidRPr="00A66DD8">
        <w:rPr>
          <w:i/>
          <w:iCs/>
          <w:color w:val="222222"/>
          <w:shd w:val="clear" w:color="auto" w:fill="FFFFFF"/>
        </w:rPr>
        <w:t>10</w:t>
      </w:r>
      <w:r w:rsidRPr="00A66DD8">
        <w:rPr>
          <w:color w:val="222222"/>
          <w:shd w:val="clear" w:color="auto" w:fill="FFFFFF"/>
        </w:rPr>
        <w:t>(6), p.218.</w:t>
      </w:r>
    </w:p>
    <w:p w14:paraId="0067C00D" w14:textId="77777777" w:rsidR="00626747" w:rsidRPr="00A66DD8" w:rsidRDefault="00626747" w:rsidP="00626747">
      <w:pPr>
        <w:rPr>
          <w:color w:val="222222"/>
          <w:shd w:val="clear" w:color="auto" w:fill="FFFFFF"/>
        </w:rPr>
      </w:pPr>
      <w:r w:rsidRPr="00A66DD8">
        <w:rPr>
          <w:color w:val="222222"/>
          <w:shd w:val="clear" w:color="auto" w:fill="FFFFFF"/>
        </w:rPr>
        <w:t>Zhang, Y.F., Namazi, M., Guo, Y.Q. and Li, X., 2020. Finance business partnering and manufacturing firms’ performance: A mediating role of non-financial performance. </w:t>
      </w:r>
      <w:r w:rsidRPr="00A66DD8">
        <w:rPr>
          <w:i/>
          <w:iCs/>
          <w:color w:val="222222"/>
          <w:shd w:val="clear" w:color="auto" w:fill="FFFFFF"/>
        </w:rPr>
        <w:t>Journal of Business Economics and Management</w:t>
      </w:r>
      <w:r w:rsidRPr="00A66DD8">
        <w:rPr>
          <w:color w:val="222222"/>
          <w:shd w:val="clear" w:color="auto" w:fill="FFFFFF"/>
        </w:rPr>
        <w:t>, </w:t>
      </w:r>
      <w:r w:rsidRPr="00A66DD8">
        <w:rPr>
          <w:i/>
          <w:iCs/>
          <w:color w:val="222222"/>
          <w:shd w:val="clear" w:color="auto" w:fill="FFFFFF"/>
        </w:rPr>
        <w:t>21</w:t>
      </w:r>
      <w:r w:rsidRPr="00A66DD8">
        <w:rPr>
          <w:color w:val="222222"/>
          <w:shd w:val="clear" w:color="auto" w:fill="FFFFFF"/>
        </w:rPr>
        <w:t>(2), pp.473-496.</w:t>
      </w:r>
    </w:p>
    <w:p w14:paraId="4DCD7600" w14:textId="0AD58ACA" w:rsidR="00626747" w:rsidRDefault="00626747">
      <w:r>
        <w:br w:type="page"/>
      </w:r>
    </w:p>
    <w:p w14:paraId="3D3A2174" w14:textId="0E361584" w:rsidR="00626747" w:rsidRDefault="00626747" w:rsidP="00626747">
      <w:pPr>
        <w:pStyle w:val="Heading1"/>
      </w:pPr>
      <w:bookmarkStart w:id="9" w:name="_Toc160041999"/>
      <w:r>
        <w:lastRenderedPageBreak/>
        <w:t>Appendix</w:t>
      </w:r>
      <w:bookmarkEnd w:id="9"/>
      <w:r>
        <w:t xml:space="preserve"> </w:t>
      </w:r>
    </w:p>
    <w:p w14:paraId="040DE041" w14:textId="77777777" w:rsidR="00626747" w:rsidRPr="0055791C" w:rsidRDefault="00626747" w:rsidP="00626747">
      <w:pPr>
        <w:rPr>
          <w:b/>
          <w:color w:val="000000" w:themeColor="text1"/>
        </w:rPr>
      </w:pPr>
      <w:r w:rsidRPr="0055791C">
        <w:rPr>
          <w:b/>
          <w:color w:val="000000" w:themeColor="text1"/>
        </w:rPr>
        <w:t>“Net profit ratio = (Net profit/revenue) x 100”</w:t>
      </w:r>
    </w:p>
    <w:p w14:paraId="2360C69A" w14:textId="77777777" w:rsidR="00626747" w:rsidRPr="0055791C" w:rsidRDefault="00626747" w:rsidP="00626747">
      <w:pPr>
        <w:numPr>
          <w:ilvl w:val="0"/>
          <w:numId w:val="2"/>
        </w:numPr>
        <w:rPr>
          <w:color w:val="000000" w:themeColor="text1"/>
        </w:rPr>
      </w:pPr>
      <w:r w:rsidRPr="0055791C">
        <w:rPr>
          <w:color w:val="000000" w:themeColor="text1"/>
        </w:rPr>
        <w:t>“For 2021: (300000 / 1200000) x 100 = 25%”</w:t>
      </w:r>
    </w:p>
    <w:p w14:paraId="52AFC322" w14:textId="77777777" w:rsidR="00626747" w:rsidRPr="0055791C" w:rsidRDefault="00626747" w:rsidP="00626747">
      <w:pPr>
        <w:numPr>
          <w:ilvl w:val="0"/>
          <w:numId w:val="2"/>
        </w:numPr>
        <w:rPr>
          <w:color w:val="000000" w:themeColor="text1"/>
        </w:rPr>
      </w:pPr>
      <w:r w:rsidRPr="0055791C">
        <w:rPr>
          <w:color w:val="000000" w:themeColor="text1"/>
        </w:rPr>
        <w:t>“For 2022: (150000 / 1100000) x 100 = 13.63%”</w:t>
      </w:r>
    </w:p>
    <w:p w14:paraId="3BDDCA3D" w14:textId="77777777" w:rsidR="00626747" w:rsidRPr="0055791C" w:rsidRDefault="00626747" w:rsidP="00626747">
      <w:pPr>
        <w:numPr>
          <w:ilvl w:val="0"/>
          <w:numId w:val="2"/>
        </w:numPr>
        <w:rPr>
          <w:color w:val="000000" w:themeColor="text1"/>
        </w:rPr>
      </w:pPr>
      <w:r w:rsidRPr="0055791C">
        <w:rPr>
          <w:color w:val="000000" w:themeColor="text1"/>
        </w:rPr>
        <w:t>“For 2023: (-150000 / 950000) x 100 = (-15.79%)”</w:t>
      </w:r>
    </w:p>
    <w:p w14:paraId="46A46CA9" w14:textId="77777777" w:rsidR="00626747" w:rsidRPr="0055791C" w:rsidRDefault="00626747" w:rsidP="00626747">
      <w:pPr>
        <w:rPr>
          <w:b/>
          <w:color w:val="000000" w:themeColor="text1"/>
        </w:rPr>
      </w:pPr>
      <w:r w:rsidRPr="0055791C">
        <w:rPr>
          <w:b/>
          <w:color w:val="000000" w:themeColor="text1"/>
        </w:rPr>
        <w:t>“Current ratio = (Current assets / Current liabilities)”</w:t>
      </w:r>
    </w:p>
    <w:p w14:paraId="2CE97BD1" w14:textId="77777777" w:rsidR="00626747" w:rsidRPr="0055791C" w:rsidRDefault="00626747" w:rsidP="00626747">
      <w:pPr>
        <w:numPr>
          <w:ilvl w:val="0"/>
          <w:numId w:val="3"/>
        </w:numPr>
        <w:rPr>
          <w:color w:val="000000" w:themeColor="text1"/>
        </w:rPr>
      </w:pPr>
      <w:r w:rsidRPr="0055791C">
        <w:rPr>
          <w:color w:val="000000" w:themeColor="text1"/>
        </w:rPr>
        <w:t>“For 2021: (150000 / 30000) = 5.00:1”</w:t>
      </w:r>
    </w:p>
    <w:p w14:paraId="143FD466" w14:textId="77777777" w:rsidR="00626747" w:rsidRPr="0055791C" w:rsidRDefault="00626747" w:rsidP="00626747">
      <w:pPr>
        <w:numPr>
          <w:ilvl w:val="0"/>
          <w:numId w:val="3"/>
        </w:numPr>
        <w:rPr>
          <w:color w:val="000000" w:themeColor="text1"/>
        </w:rPr>
      </w:pPr>
      <w:r w:rsidRPr="0055791C">
        <w:rPr>
          <w:color w:val="000000" w:themeColor="text1"/>
        </w:rPr>
        <w:t>“For 2022: (120000 / 40000) = 3.00:1”</w:t>
      </w:r>
    </w:p>
    <w:p w14:paraId="6FC40DDD" w14:textId="77777777" w:rsidR="00626747" w:rsidRPr="0055791C" w:rsidRDefault="00626747" w:rsidP="00626747">
      <w:pPr>
        <w:numPr>
          <w:ilvl w:val="0"/>
          <w:numId w:val="3"/>
        </w:numPr>
        <w:rPr>
          <w:color w:val="000000" w:themeColor="text1"/>
        </w:rPr>
      </w:pPr>
      <w:r w:rsidRPr="0055791C">
        <w:rPr>
          <w:color w:val="000000" w:themeColor="text1"/>
        </w:rPr>
        <w:t>“For 2023: (50000 / 50000) = 1.00:1”</w:t>
      </w:r>
    </w:p>
    <w:p w14:paraId="4F54DC0F" w14:textId="77777777" w:rsidR="00626747" w:rsidRPr="0055791C" w:rsidRDefault="00626747" w:rsidP="00626747">
      <w:pPr>
        <w:rPr>
          <w:b/>
          <w:color w:val="000000" w:themeColor="text1"/>
        </w:rPr>
      </w:pPr>
      <w:r w:rsidRPr="0055791C">
        <w:rPr>
          <w:b/>
          <w:color w:val="000000" w:themeColor="text1"/>
        </w:rPr>
        <w:t>“Debt-equity ratio = (Long-term debt/equity)”</w:t>
      </w:r>
    </w:p>
    <w:p w14:paraId="058B0032" w14:textId="77777777" w:rsidR="00626747" w:rsidRPr="0055791C" w:rsidRDefault="00626747" w:rsidP="00626747">
      <w:pPr>
        <w:numPr>
          <w:ilvl w:val="0"/>
          <w:numId w:val="5"/>
        </w:numPr>
        <w:rPr>
          <w:color w:val="000000" w:themeColor="text1"/>
        </w:rPr>
      </w:pPr>
      <w:r w:rsidRPr="0055791C">
        <w:rPr>
          <w:color w:val="000000" w:themeColor="text1"/>
        </w:rPr>
        <w:t>“For 2021 = (1500000 / 620000) = 2.41.”</w:t>
      </w:r>
    </w:p>
    <w:p w14:paraId="40934259" w14:textId="77777777" w:rsidR="00626747" w:rsidRPr="0055791C" w:rsidRDefault="00626747" w:rsidP="00626747">
      <w:pPr>
        <w:numPr>
          <w:ilvl w:val="0"/>
          <w:numId w:val="5"/>
        </w:numPr>
        <w:rPr>
          <w:color w:val="000000" w:themeColor="text1"/>
        </w:rPr>
      </w:pPr>
      <w:r w:rsidRPr="0055791C">
        <w:rPr>
          <w:color w:val="000000" w:themeColor="text1"/>
        </w:rPr>
        <w:t>“For 2022 = (1500000 / 580000) = 2.58.”</w:t>
      </w:r>
    </w:p>
    <w:p w14:paraId="6C653568" w14:textId="77777777" w:rsidR="00626747" w:rsidRPr="0055791C" w:rsidRDefault="00626747" w:rsidP="00626747">
      <w:pPr>
        <w:numPr>
          <w:ilvl w:val="0"/>
          <w:numId w:val="5"/>
        </w:numPr>
        <w:rPr>
          <w:color w:val="000000" w:themeColor="text1"/>
        </w:rPr>
      </w:pPr>
      <w:r w:rsidRPr="0055791C">
        <w:rPr>
          <w:color w:val="000000" w:themeColor="text1"/>
        </w:rPr>
        <w:t>“For 2023 = (1500000 / 300000) = 5.00.”</w:t>
      </w:r>
    </w:p>
    <w:p w14:paraId="01BED843" w14:textId="77777777" w:rsidR="00626747" w:rsidRPr="0055791C" w:rsidRDefault="00626747" w:rsidP="00626747">
      <w:pPr>
        <w:rPr>
          <w:b/>
          <w:color w:val="000000" w:themeColor="text1"/>
        </w:rPr>
      </w:pPr>
      <w:r w:rsidRPr="0055791C">
        <w:rPr>
          <w:b/>
          <w:color w:val="000000" w:themeColor="text1"/>
        </w:rPr>
        <w:t>“Return on assets (ROA) = (Net profit / Total assets) x 100”</w:t>
      </w:r>
    </w:p>
    <w:p w14:paraId="117B3106" w14:textId="77777777" w:rsidR="00626747" w:rsidRPr="0055791C" w:rsidRDefault="00626747" w:rsidP="00626747">
      <w:pPr>
        <w:numPr>
          <w:ilvl w:val="0"/>
          <w:numId w:val="8"/>
        </w:numPr>
        <w:rPr>
          <w:color w:val="000000" w:themeColor="text1"/>
        </w:rPr>
      </w:pPr>
      <w:r w:rsidRPr="0055791C">
        <w:rPr>
          <w:color w:val="000000" w:themeColor="text1"/>
        </w:rPr>
        <w:t>“For 2021 = (300000 / 2150000) x 100 = 13.95%”</w:t>
      </w:r>
    </w:p>
    <w:p w14:paraId="3E146CE1" w14:textId="77777777" w:rsidR="00626747" w:rsidRPr="0055791C" w:rsidRDefault="00626747" w:rsidP="00626747">
      <w:pPr>
        <w:numPr>
          <w:ilvl w:val="0"/>
          <w:numId w:val="8"/>
        </w:numPr>
        <w:rPr>
          <w:color w:val="000000" w:themeColor="text1"/>
        </w:rPr>
      </w:pPr>
      <w:r w:rsidRPr="0055791C">
        <w:rPr>
          <w:color w:val="000000" w:themeColor="text1"/>
        </w:rPr>
        <w:t>“For 2022 = (150000 / 2120000) x 100 = 7.07%”</w:t>
      </w:r>
    </w:p>
    <w:p w14:paraId="30A1B8F9" w14:textId="77777777" w:rsidR="00626747" w:rsidRPr="0055791C" w:rsidRDefault="00626747" w:rsidP="00626747">
      <w:pPr>
        <w:numPr>
          <w:ilvl w:val="0"/>
          <w:numId w:val="8"/>
        </w:numPr>
        <w:rPr>
          <w:color w:val="000000" w:themeColor="text1"/>
        </w:rPr>
      </w:pPr>
      <w:r w:rsidRPr="0055791C">
        <w:rPr>
          <w:color w:val="000000" w:themeColor="text1"/>
        </w:rPr>
        <w:t>“For 2023 = (-150000 / 1850000) x 100 = (-8.10%)”</w:t>
      </w:r>
    </w:p>
    <w:p w14:paraId="4741FC01" w14:textId="77777777" w:rsidR="00626747" w:rsidRPr="0055791C" w:rsidRDefault="00626747" w:rsidP="00626747">
      <w:pPr>
        <w:rPr>
          <w:b/>
          <w:color w:val="000000" w:themeColor="text1"/>
        </w:rPr>
      </w:pPr>
      <w:r w:rsidRPr="0055791C">
        <w:rPr>
          <w:b/>
          <w:color w:val="000000" w:themeColor="text1"/>
        </w:rPr>
        <w:t>“Return on equity (ROE) = (Net profit / Total equity) x 100”</w:t>
      </w:r>
    </w:p>
    <w:p w14:paraId="496D7A25" w14:textId="77777777" w:rsidR="00626747" w:rsidRPr="0055791C" w:rsidRDefault="00626747" w:rsidP="00626747">
      <w:pPr>
        <w:numPr>
          <w:ilvl w:val="0"/>
          <w:numId w:val="6"/>
        </w:numPr>
        <w:rPr>
          <w:color w:val="000000" w:themeColor="text1"/>
        </w:rPr>
      </w:pPr>
      <w:r w:rsidRPr="0055791C">
        <w:rPr>
          <w:color w:val="000000" w:themeColor="text1"/>
        </w:rPr>
        <w:t>“For 2021 = (300000 / 620000) x 100 = 48.38%”</w:t>
      </w:r>
    </w:p>
    <w:p w14:paraId="07F3B7BC" w14:textId="77777777" w:rsidR="00626747" w:rsidRPr="0055791C" w:rsidRDefault="00626747" w:rsidP="00626747">
      <w:pPr>
        <w:numPr>
          <w:ilvl w:val="0"/>
          <w:numId w:val="6"/>
        </w:numPr>
        <w:rPr>
          <w:color w:val="000000" w:themeColor="text1"/>
        </w:rPr>
      </w:pPr>
      <w:r w:rsidRPr="0055791C">
        <w:rPr>
          <w:color w:val="000000" w:themeColor="text1"/>
        </w:rPr>
        <w:t xml:space="preserve">“For 2022 = (150000 / 580000) x 100 = 25.86%” </w:t>
      </w:r>
    </w:p>
    <w:p w14:paraId="2BDC560E" w14:textId="77777777" w:rsidR="00626747" w:rsidRPr="0055791C" w:rsidRDefault="00626747" w:rsidP="00626747">
      <w:pPr>
        <w:numPr>
          <w:ilvl w:val="0"/>
          <w:numId w:val="6"/>
        </w:numPr>
        <w:rPr>
          <w:color w:val="000000" w:themeColor="text1"/>
        </w:rPr>
      </w:pPr>
      <w:r w:rsidRPr="0055791C">
        <w:rPr>
          <w:color w:val="000000" w:themeColor="text1"/>
        </w:rPr>
        <w:t>“For 2023 = (-150000 / 300000) x 100 = (-50.00%)”</w:t>
      </w:r>
    </w:p>
    <w:p w14:paraId="3EDE17C0" w14:textId="77777777" w:rsidR="00626747" w:rsidRPr="0055791C" w:rsidRDefault="00626747" w:rsidP="00626747">
      <w:pPr>
        <w:rPr>
          <w:b/>
          <w:color w:val="000000" w:themeColor="text1"/>
        </w:rPr>
      </w:pPr>
      <w:r w:rsidRPr="0055791C">
        <w:rPr>
          <w:b/>
          <w:color w:val="000000" w:themeColor="text1"/>
        </w:rPr>
        <w:t xml:space="preserve">“Occupancy rate position” </w:t>
      </w:r>
    </w:p>
    <w:p w14:paraId="6941F139" w14:textId="77777777" w:rsidR="00626747" w:rsidRPr="0055791C" w:rsidRDefault="00626747" w:rsidP="00626747">
      <w:pPr>
        <w:numPr>
          <w:ilvl w:val="0"/>
          <w:numId w:val="7"/>
        </w:numPr>
        <w:rPr>
          <w:color w:val="000000" w:themeColor="text1"/>
        </w:rPr>
      </w:pPr>
      <w:r w:rsidRPr="0055791C">
        <w:rPr>
          <w:color w:val="000000" w:themeColor="text1"/>
        </w:rPr>
        <w:t xml:space="preserve">“For 2021 = 65%” </w:t>
      </w:r>
    </w:p>
    <w:p w14:paraId="21CFF4B2" w14:textId="77777777" w:rsidR="00626747" w:rsidRPr="0055791C" w:rsidRDefault="00626747" w:rsidP="00626747">
      <w:pPr>
        <w:numPr>
          <w:ilvl w:val="0"/>
          <w:numId w:val="7"/>
        </w:numPr>
        <w:rPr>
          <w:color w:val="000000" w:themeColor="text1"/>
        </w:rPr>
      </w:pPr>
      <w:r w:rsidRPr="0055791C">
        <w:rPr>
          <w:color w:val="000000" w:themeColor="text1"/>
        </w:rPr>
        <w:t>“For 2022 = 60%”</w:t>
      </w:r>
    </w:p>
    <w:p w14:paraId="41EB141A" w14:textId="77777777" w:rsidR="00626747" w:rsidRPr="0055791C" w:rsidRDefault="00626747" w:rsidP="00626747">
      <w:pPr>
        <w:numPr>
          <w:ilvl w:val="0"/>
          <w:numId w:val="7"/>
        </w:numPr>
        <w:rPr>
          <w:color w:val="000000" w:themeColor="text1"/>
        </w:rPr>
      </w:pPr>
      <w:r w:rsidRPr="0055791C">
        <w:rPr>
          <w:color w:val="000000" w:themeColor="text1"/>
        </w:rPr>
        <w:t xml:space="preserve">“For 2023 = 50%” </w:t>
      </w:r>
    </w:p>
    <w:p w14:paraId="726EEF33" w14:textId="77777777" w:rsidR="00626747" w:rsidRPr="0055791C" w:rsidRDefault="00626747" w:rsidP="00626747">
      <w:pPr>
        <w:rPr>
          <w:b/>
          <w:color w:val="000000" w:themeColor="text1"/>
        </w:rPr>
      </w:pPr>
      <w:r w:rsidRPr="0055791C">
        <w:rPr>
          <w:b/>
          <w:color w:val="000000" w:themeColor="text1"/>
        </w:rPr>
        <w:t xml:space="preserve">“Average room rate position (ARR)” </w:t>
      </w:r>
    </w:p>
    <w:p w14:paraId="24DB7BDA" w14:textId="77777777" w:rsidR="00626747" w:rsidRPr="0055791C" w:rsidRDefault="00626747" w:rsidP="00626747">
      <w:pPr>
        <w:numPr>
          <w:ilvl w:val="0"/>
          <w:numId w:val="4"/>
        </w:numPr>
        <w:rPr>
          <w:color w:val="000000" w:themeColor="text1"/>
        </w:rPr>
      </w:pPr>
      <w:r w:rsidRPr="0055791C">
        <w:rPr>
          <w:color w:val="000000" w:themeColor="text1"/>
        </w:rPr>
        <w:t>“For 2021: £260”</w:t>
      </w:r>
    </w:p>
    <w:p w14:paraId="132B2BA5" w14:textId="77777777" w:rsidR="00626747" w:rsidRPr="0055791C" w:rsidRDefault="00626747" w:rsidP="00626747">
      <w:pPr>
        <w:numPr>
          <w:ilvl w:val="0"/>
          <w:numId w:val="4"/>
        </w:numPr>
        <w:rPr>
          <w:color w:val="000000" w:themeColor="text1"/>
        </w:rPr>
      </w:pPr>
      <w:r w:rsidRPr="0055791C">
        <w:rPr>
          <w:color w:val="000000" w:themeColor="text1"/>
        </w:rPr>
        <w:t>“For 2022: £240”</w:t>
      </w:r>
    </w:p>
    <w:p w14:paraId="7A361D6C" w14:textId="77777777" w:rsidR="00626747" w:rsidRPr="0055791C" w:rsidRDefault="00626747" w:rsidP="00626747">
      <w:pPr>
        <w:numPr>
          <w:ilvl w:val="0"/>
          <w:numId w:val="4"/>
        </w:numPr>
        <w:rPr>
          <w:color w:val="000000" w:themeColor="text1"/>
        </w:rPr>
      </w:pPr>
      <w:r w:rsidRPr="0055791C">
        <w:rPr>
          <w:color w:val="000000" w:themeColor="text1"/>
        </w:rPr>
        <w:t xml:space="preserve">“For 2023: £210” </w:t>
      </w:r>
    </w:p>
    <w:p w14:paraId="4BE42F63" w14:textId="77777777" w:rsidR="00626747" w:rsidRDefault="00626747"/>
    <w:p w14:paraId="00000022" w14:textId="77777777" w:rsidR="0071533C" w:rsidRDefault="0071533C">
      <w:pPr>
        <w:rPr>
          <w:b/>
        </w:rPr>
      </w:pPr>
    </w:p>
    <w:p w14:paraId="00000023" w14:textId="77777777" w:rsidR="0071533C" w:rsidRDefault="0071533C">
      <w:pPr>
        <w:rPr>
          <w:b/>
        </w:rPr>
      </w:pPr>
    </w:p>
    <w:p w14:paraId="00000024" w14:textId="77777777" w:rsidR="0071533C" w:rsidRDefault="0071533C"/>
    <w:sectPr w:rsidR="0071533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68D24" w14:textId="77777777" w:rsidR="0082268A" w:rsidRDefault="0082268A" w:rsidP="0072110B">
      <w:pPr>
        <w:spacing w:line="240" w:lineRule="auto"/>
      </w:pPr>
      <w:r>
        <w:separator/>
      </w:r>
    </w:p>
  </w:endnote>
  <w:endnote w:type="continuationSeparator" w:id="0">
    <w:p w14:paraId="5EE5FB90" w14:textId="77777777" w:rsidR="0082268A" w:rsidRDefault="0082268A" w:rsidP="007211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208986"/>
      <w:docPartObj>
        <w:docPartGallery w:val="Page Numbers (Bottom of Page)"/>
        <w:docPartUnique/>
      </w:docPartObj>
    </w:sdtPr>
    <w:sdtEndPr>
      <w:rPr>
        <w:noProof/>
      </w:rPr>
    </w:sdtEndPr>
    <w:sdtContent>
      <w:p w14:paraId="463142E6" w14:textId="5EA0B5A7" w:rsidR="0072110B" w:rsidRDefault="007211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8DBFA9" w14:textId="77777777" w:rsidR="0072110B" w:rsidRDefault="00721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0CDB7" w14:textId="77777777" w:rsidR="0082268A" w:rsidRDefault="0082268A" w:rsidP="0072110B">
      <w:pPr>
        <w:spacing w:line="240" w:lineRule="auto"/>
      </w:pPr>
      <w:r>
        <w:separator/>
      </w:r>
    </w:p>
  </w:footnote>
  <w:footnote w:type="continuationSeparator" w:id="0">
    <w:p w14:paraId="7CBD7B5B" w14:textId="77777777" w:rsidR="0082268A" w:rsidRDefault="0082268A" w:rsidP="007211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E3A0D"/>
    <w:multiLevelType w:val="multilevel"/>
    <w:tmpl w:val="780AA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721994"/>
    <w:multiLevelType w:val="multilevel"/>
    <w:tmpl w:val="DE4ED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3028A5"/>
    <w:multiLevelType w:val="multilevel"/>
    <w:tmpl w:val="E7240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8F7936"/>
    <w:multiLevelType w:val="multilevel"/>
    <w:tmpl w:val="9B0CA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25D5711"/>
    <w:multiLevelType w:val="multilevel"/>
    <w:tmpl w:val="FB767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177D9D"/>
    <w:multiLevelType w:val="multilevel"/>
    <w:tmpl w:val="6B948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B36076"/>
    <w:multiLevelType w:val="multilevel"/>
    <w:tmpl w:val="D6308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8D67F17"/>
    <w:multiLevelType w:val="multilevel"/>
    <w:tmpl w:val="E0EC5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9358406">
    <w:abstractNumId w:val="3"/>
  </w:num>
  <w:num w:numId="2" w16cid:durableId="2015573340">
    <w:abstractNumId w:val="7"/>
  </w:num>
  <w:num w:numId="3" w16cid:durableId="1992252618">
    <w:abstractNumId w:val="0"/>
  </w:num>
  <w:num w:numId="4" w16cid:durableId="926572310">
    <w:abstractNumId w:val="1"/>
  </w:num>
  <w:num w:numId="5" w16cid:durableId="546989003">
    <w:abstractNumId w:val="6"/>
  </w:num>
  <w:num w:numId="6" w16cid:durableId="2133359173">
    <w:abstractNumId w:val="5"/>
  </w:num>
  <w:num w:numId="7" w16cid:durableId="1998069382">
    <w:abstractNumId w:val="2"/>
  </w:num>
  <w:num w:numId="8" w16cid:durableId="398015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33C"/>
    <w:rsid w:val="00626747"/>
    <w:rsid w:val="0071533C"/>
    <w:rsid w:val="0072110B"/>
    <w:rsid w:val="0082268A"/>
    <w:rsid w:val="00CA4599"/>
    <w:rsid w:val="00DF7C86"/>
    <w:rsid w:val="00FB3F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A3E82"/>
  <w15:docId w15:val="{93AB80ED-5435-4386-B3A0-BBA8D1DA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626747"/>
    <w:pPr>
      <w:outlineLvl w:val="0"/>
    </w:pPr>
    <w:rPr>
      <w:b/>
    </w:rPr>
  </w:style>
  <w:style w:type="paragraph" w:styleId="Heading2">
    <w:name w:val="heading 2"/>
    <w:basedOn w:val="Normal"/>
    <w:next w:val="Normal"/>
    <w:rsid w:val="00626747"/>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2674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26747"/>
    <w:pPr>
      <w:spacing w:after="100"/>
    </w:pPr>
  </w:style>
  <w:style w:type="paragraph" w:styleId="TOC2">
    <w:name w:val="toc 2"/>
    <w:basedOn w:val="Normal"/>
    <w:next w:val="Normal"/>
    <w:autoRedefine/>
    <w:uiPriority w:val="39"/>
    <w:unhideWhenUsed/>
    <w:rsid w:val="00626747"/>
    <w:pPr>
      <w:spacing w:after="100"/>
      <w:ind w:left="240"/>
    </w:pPr>
  </w:style>
  <w:style w:type="character" w:styleId="Hyperlink">
    <w:name w:val="Hyperlink"/>
    <w:basedOn w:val="DefaultParagraphFont"/>
    <w:uiPriority w:val="99"/>
    <w:unhideWhenUsed/>
    <w:rsid w:val="00626747"/>
    <w:rPr>
      <w:color w:val="0000FF" w:themeColor="hyperlink"/>
      <w:u w:val="single"/>
    </w:rPr>
  </w:style>
  <w:style w:type="paragraph" w:styleId="Header">
    <w:name w:val="header"/>
    <w:basedOn w:val="Normal"/>
    <w:link w:val="HeaderChar"/>
    <w:uiPriority w:val="99"/>
    <w:unhideWhenUsed/>
    <w:rsid w:val="0072110B"/>
    <w:pPr>
      <w:tabs>
        <w:tab w:val="center" w:pos="4513"/>
        <w:tab w:val="right" w:pos="9026"/>
      </w:tabs>
      <w:spacing w:line="240" w:lineRule="auto"/>
    </w:pPr>
  </w:style>
  <w:style w:type="character" w:customStyle="1" w:styleId="HeaderChar">
    <w:name w:val="Header Char"/>
    <w:basedOn w:val="DefaultParagraphFont"/>
    <w:link w:val="Header"/>
    <w:uiPriority w:val="99"/>
    <w:rsid w:val="0072110B"/>
    <w:rPr>
      <w:lang w:val="en-GB"/>
    </w:rPr>
  </w:style>
  <w:style w:type="paragraph" w:styleId="Footer">
    <w:name w:val="footer"/>
    <w:basedOn w:val="Normal"/>
    <w:link w:val="FooterChar"/>
    <w:uiPriority w:val="99"/>
    <w:unhideWhenUsed/>
    <w:rsid w:val="0072110B"/>
    <w:pPr>
      <w:tabs>
        <w:tab w:val="center" w:pos="4513"/>
        <w:tab w:val="right" w:pos="9026"/>
      </w:tabs>
      <w:spacing w:line="240" w:lineRule="auto"/>
    </w:pPr>
  </w:style>
  <w:style w:type="character" w:customStyle="1" w:styleId="FooterChar">
    <w:name w:val="Footer Char"/>
    <w:basedOn w:val="DefaultParagraphFont"/>
    <w:link w:val="Footer"/>
    <w:uiPriority w:val="99"/>
    <w:rsid w:val="0072110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77E34-628D-4EB5-B23D-4EE31815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2846</Words>
  <Characters>16227</Characters>
  <Application>Microsoft Office Word</Application>
  <DocSecurity>0</DocSecurity>
  <Lines>135</Lines>
  <Paragraphs>38</Paragraphs>
  <ScaleCrop>false</ScaleCrop>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Setalsingh (2127114)</cp:lastModifiedBy>
  <cp:revision>3</cp:revision>
  <dcterms:created xsi:type="dcterms:W3CDTF">2024-03-02T00:07:00Z</dcterms:created>
  <dcterms:modified xsi:type="dcterms:W3CDTF">2024-03-02T00:08:00Z</dcterms:modified>
</cp:coreProperties>
</file>