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7CEDA4" w14:textId="784CAC41" w:rsidR="00EF69D1" w:rsidRDefault="00EF69D1" w:rsidP="00EF69D1">
      <w:pPr>
        <w:spacing w:after="240" w:line="480" w:lineRule="auto"/>
        <w:jc w:val="center"/>
        <w:rPr>
          <w:rFonts w:ascii="Times New Roman" w:eastAsia="Times New Roman" w:hAnsi="Times New Roman" w:cs="Times New Roman"/>
          <w:b/>
          <w:bCs/>
          <w:color w:val="000000"/>
          <w:kern w:val="0"/>
          <w:sz w:val="32"/>
          <w:szCs w:val="32"/>
          <w:lang w:eastAsia="en-GB"/>
          <w14:ligatures w14:val="none"/>
        </w:rPr>
      </w:pPr>
      <w:r>
        <w:rPr>
          <w:rFonts w:ascii="Times New Roman" w:eastAsia="Times New Roman" w:hAnsi="Times New Roman" w:cs="Times New Roman"/>
          <w:b/>
          <w:bCs/>
          <w:color w:val="000000"/>
          <w:kern w:val="0"/>
          <w:sz w:val="32"/>
          <w:szCs w:val="32"/>
          <w:lang w:eastAsia="en-GB"/>
          <w14:ligatures w14:val="none"/>
        </w:rPr>
        <w:t xml:space="preserve">Emily Brown </w:t>
      </w:r>
    </w:p>
    <w:p w14:paraId="354FDCD0" w14:textId="0E5DC6DD" w:rsidR="00EF69D1" w:rsidRDefault="00EF69D1" w:rsidP="00EF69D1">
      <w:pPr>
        <w:spacing w:after="240" w:line="480" w:lineRule="auto"/>
        <w:jc w:val="center"/>
        <w:rPr>
          <w:rFonts w:ascii="Times New Roman" w:eastAsia="Times New Roman" w:hAnsi="Times New Roman" w:cs="Times New Roman"/>
          <w:b/>
          <w:bCs/>
          <w:color w:val="000000"/>
          <w:kern w:val="0"/>
          <w:sz w:val="32"/>
          <w:szCs w:val="32"/>
          <w:lang w:eastAsia="en-GB"/>
          <w14:ligatures w14:val="none"/>
        </w:rPr>
      </w:pPr>
      <w:r>
        <w:rPr>
          <w:rFonts w:ascii="Times New Roman" w:eastAsia="Times New Roman" w:hAnsi="Times New Roman" w:cs="Times New Roman"/>
          <w:b/>
          <w:bCs/>
          <w:color w:val="000000"/>
          <w:kern w:val="0"/>
          <w:sz w:val="32"/>
          <w:szCs w:val="32"/>
          <w:lang w:eastAsia="en-GB"/>
          <w14:ligatures w14:val="none"/>
        </w:rPr>
        <w:t xml:space="preserve">Humanities </w:t>
      </w:r>
      <w:r w:rsidR="00696E40">
        <w:rPr>
          <w:rFonts w:ascii="Times New Roman" w:eastAsia="Times New Roman" w:hAnsi="Times New Roman" w:cs="Times New Roman"/>
          <w:b/>
          <w:bCs/>
          <w:color w:val="000000"/>
          <w:kern w:val="0"/>
          <w:sz w:val="32"/>
          <w:szCs w:val="32"/>
          <w:lang w:eastAsia="en-GB"/>
          <w14:ligatures w14:val="none"/>
        </w:rPr>
        <w:t>– Assessment 3</w:t>
      </w:r>
    </w:p>
    <w:p w14:paraId="0355FC84" w14:textId="207A17BF" w:rsidR="00696E40" w:rsidRDefault="00696E40" w:rsidP="00EF69D1">
      <w:pPr>
        <w:spacing w:after="240" w:line="480" w:lineRule="auto"/>
        <w:jc w:val="center"/>
        <w:rPr>
          <w:rFonts w:ascii="Times New Roman" w:eastAsia="Times New Roman" w:hAnsi="Times New Roman" w:cs="Times New Roman"/>
          <w:b/>
          <w:bCs/>
          <w:color w:val="000000"/>
          <w:kern w:val="0"/>
          <w:sz w:val="32"/>
          <w:szCs w:val="32"/>
          <w:lang w:eastAsia="en-GB"/>
          <w14:ligatures w14:val="none"/>
        </w:rPr>
      </w:pPr>
      <w:r>
        <w:rPr>
          <w:rFonts w:ascii="Times New Roman" w:eastAsia="Times New Roman" w:hAnsi="Times New Roman" w:cs="Times New Roman"/>
          <w:b/>
          <w:bCs/>
          <w:color w:val="000000"/>
          <w:kern w:val="0"/>
          <w:sz w:val="32"/>
          <w:szCs w:val="32"/>
          <w:lang w:eastAsia="en-GB"/>
          <w14:ligatures w14:val="none"/>
        </w:rPr>
        <w:t xml:space="preserve">Essay </w:t>
      </w:r>
    </w:p>
    <w:p w14:paraId="4D893C5B" w14:textId="77777777" w:rsidR="00EF69D1" w:rsidRDefault="00EF69D1" w:rsidP="00EF69D1">
      <w:pPr>
        <w:spacing w:after="240" w:line="480" w:lineRule="auto"/>
        <w:jc w:val="center"/>
        <w:rPr>
          <w:rFonts w:ascii="Times New Roman" w:eastAsia="Times New Roman" w:hAnsi="Times New Roman" w:cs="Times New Roman"/>
          <w:b/>
          <w:bCs/>
          <w:color w:val="000000"/>
          <w:kern w:val="0"/>
          <w:sz w:val="32"/>
          <w:szCs w:val="32"/>
          <w:lang w:eastAsia="en-GB"/>
          <w14:ligatures w14:val="none"/>
        </w:rPr>
      </w:pPr>
    </w:p>
    <w:p w14:paraId="59B260AC" w14:textId="77777777" w:rsidR="00EF69D1" w:rsidRDefault="00EF69D1" w:rsidP="00EF69D1">
      <w:pPr>
        <w:spacing w:after="240" w:line="480" w:lineRule="auto"/>
        <w:jc w:val="center"/>
        <w:rPr>
          <w:rFonts w:ascii="Times New Roman" w:eastAsia="Times New Roman" w:hAnsi="Times New Roman" w:cs="Times New Roman"/>
          <w:b/>
          <w:bCs/>
          <w:color w:val="000000"/>
          <w:kern w:val="0"/>
          <w:sz w:val="32"/>
          <w:szCs w:val="32"/>
          <w:lang w:eastAsia="en-GB"/>
          <w14:ligatures w14:val="none"/>
        </w:rPr>
      </w:pPr>
    </w:p>
    <w:p w14:paraId="41EEC9BB" w14:textId="24DD527E" w:rsidR="00EF69D1" w:rsidRPr="00EF69D1" w:rsidRDefault="00EF69D1" w:rsidP="00EF69D1">
      <w:pPr>
        <w:spacing w:after="240" w:line="480" w:lineRule="auto"/>
        <w:jc w:val="center"/>
        <w:rPr>
          <w:rFonts w:ascii="Times New Roman" w:eastAsia="Times New Roman" w:hAnsi="Times New Roman" w:cs="Times New Roman"/>
          <w:b/>
          <w:bCs/>
          <w:color w:val="000000"/>
          <w:kern w:val="0"/>
          <w:sz w:val="32"/>
          <w:szCs w:val="32"/>
          <w:lang w:eastAsia="en-GB"/>
          <w14:ligatures w14:val="none"/>
        </w:rPr>
      </w:pPr>
      <w:r w:rsidRPr="00EF69D1">
        <w:rPr>
          <w:rFonts w:ascii="Times New Roman" w:eastAsia="Times New Roman" w:hAnsi="Times New Roman" w:cs="Times New Roman"/>
          <w:b/>
          <w:bCs/>
          <w:color w:val="000000"/>
          <w:kern w:val="0"/>
          <w:sz w:val="32"/>
          <w:szCs w:val="32"/>
          <w:lang w:eastAsia="en-GB"/>
          <w14:ligatures w14:val="none"/>
        </w:rPr>
        <w:t>"The sacred unburied": How Archaeology Helps Reconstruct Celtic Religious Belief Systems in the Iron Age</w:t>
      </w:r>
    </w:p>
    <w:p w14:paraId="4D3CA5D2" w14:textId="77777777" w:rsidR="00EF69D1" w:rsidRPr="00696E40" w:rsidRDefault="00EF69D1" w:rsidP="00EF69D1">
      <w:pPr>
        <w:pStyle w:val="NormalWeb"/>
        <w:rPr>
          <w:b/>
          <w:bCs/>
          <w:sz w:val="28"/>
          <w:szCs w:val="28"/>
        </w:rPr>
      </w:pPr>
      <w:r w:rsidRPr="00696E40">
        <w:rPr>
          <w:b/>
          <w:bCs/>
          <w:sz w:val="28"/>
          <w:szCs w:val="28"/>
        </w:rPr>
        <w:t>Introduction</w:t>
      </w:r>
    </w:p>
    <w:p w14:paraId="6B709DAA" w14:textId="7B4FA3CC" w:rsidR="00EF69D1" w:rsidRDefault="00EF69D1" w:rsidP="00EF69D1">
      <w:pPr>
        <w:pStyle w:val="NormalWeb"/>
      </w:pPr>
      <w:r>
        <w:t xml:space="preserve">This paper expands upon the prior rationale for assessing the difficulty of reconstructing Celtic Religion due to limitations in written documentation by native peoples, thus necessitating reliance on material culture as the primary basis of evidence for understanding Celtic religious belief systems during the Iron Age. The paper seeks to answer the question of whether archaeological evidence has provided us with a means of attempting to recreate what Celtic religious belief systems looked like during the Iron Age. I assert that archaeology has been essential, as it retains the material residue of </w:t>
      </w:r>
      <w:r w:rsidR="00696E40">
        <w:t>practice where</w:t>
      </w:r>
      <w:r>
        <w:t xml:space="preserve"> rituals took place, what was given up, how bodies were treated, and how sacred spaces were </w:t>
      </w:r>
      <w:r w:rsidR="00696E40">
        <w:t>preserved that</w:t>
      </w:r>
      <w:r>
        <w:t xml:space="preserve"> allow scholars to infer common religious logics. However, archaeology constructs belief systems indirectly. Archaeology is generally better suited to recover religion-as-act (the performance of ritual, the giving of votives, the commemorating of events, the creation of taboo and boundaries) than religion-as-doctrine (named gods, explicit creeds, articulated theology).As such, reconstructions of "Celtic Belief Systems" are necessarily plural, regional, and probable rather than unified and fully </w:t>
      </w:r>
      <w:proofErr w:type="spellStart"/>
      <w:r w:rsidR="00696E40">
        <w:t>systematized</w:t>
      </w:r>
      <w:r>
        <w:t>.To</w:t>
      </w:r>
      <w:proofErr w:type="spellEnd"/>
      <w:r>
        <w:t xml:space="preserve"> illustrate the contributions of archaeology to our attempts to construct religious belief systems, the paper integrates key archaeological domains previously discussed in the prior rationale—ritual deposits, sanctuaries, hillfort architecture, iconography, votive offerings, weapon burial, and bog bodies—to illustrate how each offers a different means of inferring </w:t>
      </w:r>
      <w:r w:rsidR="00696E40">
        <w:t>religiosity</w:t>
      </w:r>
      <w:r>
        <w:t xml:space="preserve"> of the Iron Age.</w:t>
      </w:r>
    </w:p>
    <w:p w14:paraId="5A5D7C84" w14:textId="394BBD2D" w:rsidR="00EF69D1" w:rsidRPr="00696E40" w:rsidRDefault="00EF69D1" w:rsidP="00EF69D1">
      <w:pPr>
        <w:pStyle w:val="NormalWeb"/>
        <w:rPr>
          <w:b/>
          <w:bCs/>
        </w:rPr>
      </w:pPr>
      <w:r w:rsidRPr="00696E40">
        <w:rPr>
          <w:b/>
          <w:bCs/>
        </w:rPr>
        <w:t>Archaeology and Inference</w:t>
      </w:r>
    </w:p>
    <w:p w14:paraId="4AD54B4C" w14:textId="38F1F2C0" w:rsidR="00EF69D1" w:rsidRDefault="00EF69D1" w:rsidP="00EF69D1">
      <w:pPr>
        <w:pStyle w:val="NormalWeb"/>
      </w:pPr>
      <w:r>
        <w:t xml:space="preserve">Archaeological data do not include beliefs in propositional form. Rather, we infer belief from </w:t>
      </w:r>
      <w:r w:rsidR="00696E40">
        <w:t>behaviours</w:t>
      </w:r>
      <w:r>
        <w:t xml:space="preserve"> of patterning embodied in material remains. A central concept in this regard is structured deposition—a notion that deposits frequently represent intentional selection and </w:t>
      </w:r>
      <w:r>
        <w:lastRenderedPageBreak/>
        <w:t>placement, rather than merely waste. As Garrow has argued in a comprehensive critique of the concept, however, "structured deposition" should be used cautiously</w:t>
      </w:r>
      <w:r w:rsidR="00696E40">
        <w:t xml:space="preserve"> </w:t>
      </w:r>
      <w:r>
        <w:t>it may clarify intentional patterning, but it may also be overly extended into a catch-all explanation. This is not a weakness</w:t>
      </w:r>
      <w:r w:rsidR="00696E40">
        <w:t xml:space="preserve"> </w:t>
      </w:r>
      <w:r>
        <w:t xml:space="preserve">it is methodological discipline. By ensuring that interpretations are based on recurrent patterning (selectivity, treatment, context, repetition) rather than romantic assumptions, this discipline ensures that interpretations are based on empirical </w:t>
      </w:r>
      <w:r w:rsidR="00696E40">
        <w:t>evidence. Bradley’s</w:t>
      </w:r>
      <w:r>
        <w:t xml:space="preserve"> broader work on votive deposits reinforces this approach by moving the focus from single "spectacular" objects to the landscape and repetitive patterns of votive deposit practices—how certain sites attracted repeated votive deposits over long periods of time, demonstrating enduring sacred geographies. Together, these frameworks provide a robust evidential framework for reconstructing belief systems using archaeology: archaeology reconstructs belief systems most effectively when it demonstrates (</w:t>
      </w:r>
      <w:proofErr w:type="spellStart"/>
      <w:r>
        <w:t>i</w:t>
      </w:r>
      <w:proofErr w:type="spellEnd"/>
      <w:r>
        <w:t>) patterned acts, (ii) repeated over time, (iii) in culturally "special" settings.</w:t>
      </w:r>
    </w:p>
    <w:p w14:paraId="73B672DB" w14:textId="77777777" w:rsidR="00EF69D1" w:rsidRPr="00696E40" w:rsidRDefault="00EF69D1" w:rsidP="00EF69D1">
      <w:pPr>
        <w:pStyle w:val="NormalWeb"/>
        <w:rPr>
          <w:b/>
          <w:bCs/>
        </w:rPr>
      </w:pPr>
      <w:r w:rsidRPr="00696E40">
        <w:rPr>
          <w:b/>
          <w:bCs/>
        </w:rPr>
        <w:t>Votive Deposits and Watery Places: Sacred Geography and the Logic of Offering</w:t>
      </w:r>
    </w:p>
    <w:p w14:paraId="39612A01" w14:textId="77777777" w:rsidR="00EF69D1" w:rsidRDefault="00EF69D1" w:rsidP="00EF69D1">
      <w:pPr>
        <w:pStyle w:val="NormalWeb"/>
      </w:pPr>
      <w:r>
        <w:t>One of the most direct ways that archaeology reveals Iron Age religiosity is through the repeated practice of placing valuables in watery contexts (lakes, bogs, rivers). Such deposits are highly interpretable, since they exemplify a directly observable religious logic—they move wealth out of everyday circulation, and place it in a liminal space, thereby making the "gift" both physically real and socially costly.</w:t>
      </w:r>
    </w:p>
    <w:p w14:paraId="5F95384F" w14:textId="4BE0AF8F" w:rsidR="00EF69D1" w:rsidRDefault="00EF69D1" w:rsidP="00EF69D1">
      <w:pPr>
        <w:pStyle w:val="NormalWeb"/>
      </w:pPr>
      <w:r>
        <w:t xml:space="preserve">A particularly clear example of this type of insular case study is Llyn Cerrig Bach (Anglesey), which is commonly regarded as one of the largest and most significant collections of La Tene metalwork in Britain. A specialist monograph presents Llyn </w:t>
      </w:r>
      <w:proofErr w:type="spellStart"/>
      <w:r>
        <w:t>Cerrig</w:t>
      </w:r>
      <w:proofErr w:type="spellEnd"/>
      <w:r>
        <w:t xml:space="preserve"> Bach as a leading La Tene collection of Iron Age metalwork and includes detailed typological, metallurgical, and contextual analyses of the collection. Additionally, the initial report on Llyn Cerrig Bach was prepared by Sir Cyril Fox in 1946 for the National Museum of Wales, indicating early institutional recognition and continued scholarly interest. This history of publications matters, as it indicates that the site's interpretation is not speculative</w:t>
      </w:r>
      <w:r w:rsidR="00696E40">
        <w:t xml:space="preserve"> </w:t>
      </w:r>
      <w:r>
        <w:t xml:space="preserve">it is supported by extensive </w:t>
      </w:r>
      <w:r w:rsidR="00696E40">
        <w:t>cataloguing</w:t>
      </w:r>
      <w:r>
        <w:t xml:space="preserve"> and comparative analysis.</w:t>
      </w:r>
    </w:p>
    <w:p w14:paraId="7A9E27A1" w14:textId="77777777" w:rsidR="00EF69D1" w:rsidRDefault="00EF69D1" w:rsidP="00EF69D1">
      <w:pPr>
        <w:pStyle w:val="NormalWeb"/>
      </w:pPr>
      <w:r>
        <w:t>With respect to reconstructing religious belief systems, the watery deposition process provides three distinct insights:</w:t>
      </w:r>
    </w:p>
    <w:p w14:paraId="20635223" w14:textId="796DD565" w:rsidR="00EF69D1" w:rsidRDefault="00EF69D1" w:rsidP="00EF69D1">
      <w:pPr>
        <w:pStyle w:val="NormalWeb"/>
      </w:pPr>
      <w:r w:rsidRPr="00696E40">
        <w:rPr>
          <w:b/>
          <w:bCs/>
        </w:rPr>
        <w:t>Sacred Place-Making</w:t>
      </w:r>
      <w:r>
        <w:t xml:space="preserve">: The repeated nature of the deposition process indicates that the various locations where the depositions took place were of ongoing </w:t>
      </w:r>
      <w:r w:rsidR="00696E40">
        <w:t>significance and</w:t>
      </w:r>
      <w:r>
        <w:t xml:space="preserve"> functioned as ritual loci rather than accidentals loss points. Bradley's emphasis on the importance of the landscape supports this inference.</w:t>
      </w:r>
    </w:p>
    <w:p w14:paraId="1D52CBEE" w14:textId="77777777" w:rsidR="00EF69D1" w:rsidRDefault="00EF69D1" w:rsidP="00EF69D1">
      <w:pPr>
        <w:pStyle w:val="NormalWeb"/>
      </w:pPr>
      <w:r w:rsidRPr="00696E40">
        <w:rPr>
          <w:b/>
          <w:bCs/>
        </w:rPr>
        <w:t>Value and Sacrifice</w:t>
      </w:r>
      <w:r>
        <w:t>: The fact that high status items were being deposited indicates that relationships with non-human entities (gods, ancestors, place spirits) were negotiated through tangible forms of economic loss.</w:t>
      </w:r>
    </w:p>
    <w:p w14:paraId="0C661A51" w14:textId="77777777" w:rsidR="00EF69D1" w:rsidRDefault="00EF69D1" w:rsidP="00EF69D1">
      <w:pPr>
        <w:pStyle w:val="NormalWeb"/>
      </w:pPr>
      <w:r w:rsidRPr="00696E40">
        <w:rPr>
          <w:b/>
          <w:bCs/>
        </w:rPr>
        <w:t>Boundary and Transition</w:t>
      </w:r>
      <w:r>
        <w:t>: Water serves as a threshold medium; depositional practices can be understood as acts of transition, appeasement, thanksgiving, or communal memory without the need for textual theology.</w:t>
      </w:r>
    </w:p>
    <w:p w14:paraId="440C5963" w14:textId="77777777" w:rsidR="00EF69D1" w:rsidRDefault="00EF69D1" w:rsidP="00EF69D1">
      <w:pPr>
        <w:pStyle w:val="NormalWeb"/>
      </w:pPr>
      <w:r>
        <w:lastRenderedPageBreak/>
        <w:t>In other words, archaeology allows the construction of a "belief-system logic": sacred power was conceived as location-based and reciprocally engaged, and correct relations were maintained through costly, socially visible acts.</w:t>
      </w:r>
    </w:p>
    <w:p w14:paraId="36AEF51E" w14:textId="77777777" w:rsidR="00EF69D1" w:rsidRPr="00696E40" w:rsidRDefault="00EF69D1" w:rsidP="00EF69D1">
      <w:pPr>
        <w:pStyle w:val="NormalWeb"/>
        <w:rPr>
          <w:b/>
          <w:bCs/>
        </w:rPr>
      </w:pPr>
      <w:r w:rsidRPr="00696E40">
        <w:rPr>
          <w:b/>
          <w:bCs/>
        </w:rPr>
        <w:t>Sanctuary Sites and Post-Conflict Ritual: Religion, Violence, and Collective Memory</w:t>
      </w:r>
    </w:p>
    <w:p w14:paraId="70FE5504" w14:textId="160123D0" w:rsidR="00EF69D1" w:rsidRDefault="00EF69D1" w:rsidP="00EF69D1">
      <w:pPr>
        <w:pStyle w:val="NormalWeb"/>
      </w:pPr>
      <w:r>
        <w:t xml:space="preserve">A second source of archaeological evidence concerns the archaeology of sanctuaries and other enclosed ritual spaces, especially those in Iron Age Gaul, which contain combinations of weapon artifacts, animal remains and human remains which are indicative of formalized ritual programs. </w:t>
      </w:r>
      <w:proofErr w:type="spellStart"/>
      <w:r>
        <w:t>Ribemont</w:t>
      </w:r>
      <w:proofErr w:type="spellEnd"/>
      <w:r>
        <w:t xml:space="preserve">-sur-Ancre is generally cited as an exemplary </w:t>
      </w:r>
      <w:r w:rsidR="00696E40">
        <w:t>assembly and</w:t>
      </w:r>
      <w:r>
        <w:t xml:space="preserve"> has recently been reinterpreted in an osteoarchaeological synthesis as a post-combat deposit located within a ritual context. Research has also positioned </w:t>
      </w:r>
      <w:proofErr w:type="spellStart"/>
      <w:r>
        <w:t>Ribemont</w:t>
      </w:r>
      <w:proofErr w:type="spellEnd"/>
      <w:r>
        <w:t>, along with comparable sites such as Gournay-sur-Aronde, within a broader practice of post-combat ritual sites and martial traditions in Northern France.</w:t>
      </w:r>
    </w:p>
    <w:p w14:paraId="6810617A" w14:textId="381E8BF1" w:rsidR="00EF69D1" w:rsidRDefault="00EF69D1" w:rsidP="00EF69D1">
      <w:pPr>
        <w:pStyle w:val="NormalWeb"/>
      </w:pPr>
      <w:r>
        <w:t xml:space="preserve">The significance of these categories of archaeological evidence lies in their challenge to simplistic reconstructions of "Celtic religion" as primarily </w:t>
      </w:r>
      <w:r w:rsidR="00696E40">
        <w:t>venerate</w:t>
      </w:r>
      <w:r>
        <w:t xml:space="preserve"> of nature or benign seasonal rite. Archaeological evidence instead suggests that the religious practices of the Iron Age were potentially deeply implicated in the:</w:t>
      </w:r>
    </w:p>
    <w:p w14:paraId="57787C3B" w14:textId="77777777" w:rsidR="00EF69D1" w:rsidRDefault="00EF69D1" w:rsidP="00EF69D1">
      <w:pPr>
        <w:pStyle w:val="NormalWeb"/>
      </w:pPr>
      <w:r>
        <w:t>Sacralization of war and victory (depositing weapons, displaying trophies, and encircling sanctuaries with boundaries).</w:t>
      </w:r>
    </w:p>
    <w:p w14:paraId="4442C763" w14:textId="77777777" w:rsidR="00EF69D1" w:rsidRDefault="00EF69D1" w:rsidP="00EF69D1">
      <w:pPr>
        <w:pStyle w:val="NormalWeb"/>
      </w:pPr>
      <w:r>
        <w:t>Construction of collective identities (creating public ritual landscapes that embody social memory and hierarchy).</w:t>
      </w:r>
    </w:p>
    <w:p w14:paraId="50E806A4" w14:textId="77777777" w:rsidR="00EF69D1" w:rsidRDefault="00EF69D1" w:rsidP="00EF69D1">
      <w:pPr>
        <w:pStyle w:val="NormalWeb"/>
      </w:pPr>
      <w:r>
        <w:t>Regulation of life and death (treating bodies in ways that transcend practical disposal and that are formally ritualized).</w:t>
      </w:r>
    </w:p>
    <w:p w14:paraId="7053AE12" w14:textId="77777777" w:rsidR="00EF69D1" w:rsidRDefault="00EF69D1" w:rsidP="00EF69D1">
      <w:pPr>
        <w:pStyle w:val="NormalWeb"/>
      </w:pPr>
      <w:r>
        <w:t>Therefore, archaeology does not simply reconstruct what people did, but also the likely social and metaphysical assumptions underlying their practice: that violence, sovereignty, and community legitimacy could be ritually managed through structurally deposed and architecturally defined sanctuaries.</w:t>
      </w:r>
    </w:p>
    <w:p w14:paraId="5549E957" w14:textId="77777777" w:rsidR="00EF69D1" w:rsidRPr="00696E40" w:rsidRDefault="00EF69D1" w:rsidP="00EF69D1">
      <w:pPr>
        <w:pStyle w:val="NormalWeb"/>
        <w:rPr>
          <w:b/>
          <w:bCs/>
        </w:rPr>
      </w:pPr>
      <w:r w:rsidRPr="00696E40">
        <w:rPr>
          <w:b/>
          <w:bCs/>
        </w:rPr>
        <w:t>Bog Bodies and Human Remains: Ritual Killing, Ambiguity, and Interpreters' Restraint</w:t>
      </w:r>
    </w:p>
    <w:p w14:paraId="0F8991BD" w14:textId="7886533C" w:rsidR="00EF69D1" w:rsidRDefault="00EF69D1" w:rsidP="00EF69D1">
      <w:pPr>
        <w:pStyle w:val="NormalWeb"/>
      </w:pPr>
      <w:r>
        <w:t>Human remains are another vital area of evidence for the study of past belief systems, although they remain among the most contentious areas of inquiry. Bog bodies</w:t>
      </w:r>
      <w:r w:rsidR="00696E40">
        <w:t xml:space="preserve"> have</w:t>
      </w:r>
      <w:r>
        <w:t xml:space="preserve"> frequently been interpreted as evidence for sacrifice, execution, or liminal burial. The British Museum's documentation of its collections provides insight into why bodies preserved in bogs are preserved so well (low oxygen levels, cold temperatures, acidic environment; the tanning properties of sphagnum); this is important because it explains why this evidence survives, and why it has had a disproportionate influence on interpretations of past religious </w:t>
      </w:r>
      <w:r w:rsidR="00696E40">
        <w:t>behaviour</w:t>
      </w:r>
      <w:r>
        <w:t>.</w:t>
      </w:r>
    </w:p>
    <w:p w14:paraId="2BA8BF0D" w14:textId="77777777" w:rsidR="00EF69D1" w:rsidRDefault="00EF69D1" w:rsidP="00EF69D1">
      <w:pPr>
        <w:pStyle w:val="NormalWeb"/>
      </w:pPr>
      <w:r>
        <w:t xml:space="preserve">However, archaeology's role here is not merely sensationalist. Rather, archaeology requires an analytical approach; specifically, it demands that researchers carefully distinguish between ritual killings, executions motivated by punishment, and violent actions unrelated to religious expression. In fact, the UK research impact case regarding a re-evaluation of the </w:t>
      </w:r>
      <w:r>
        <w:lastRenderedPageBreak/>
        <w:t>interpretation of Lindow Man states that for decades, the body of Lindow Man was portrayed to the public as having been killed through "a highly ritualistic process", but that the interpretation of this event has undergone debate and revision. Similarly, evidence from Scandinavian bogs is contextualized by the National Museum of Denmark under the category of "human sacrifice"; this demonstrates that the idea of sacrifice continues to be a contemporary area of interpretive inquiry in bog contexts, while at the same time, it is necessary to provide rigorous evidentiary justification for interpretations based upon the physical patterning of the evidence.</w:t>
      </w:r>
    </w:p>
    <w:p w14:paraId="7D62CEF7" w14:textId="77777777" w:rsidR="00EF69D1" w:rsidRPr="00696E40" w:rsidRDefault="00EF69D1" w:rsidP="00EF69D1">
      <w:pPr>
        <w:pStyle w:val="NormalWeb"/>
        <w:rPr>
          <w:b/>
          <w:bCs/>
        </w:rPr>
      </w:pPr>
      <w:r w:rsidRPr="00696E40">
        <w:rPr>
          <w:b/>
          <w:bCs/>
        </w:rPr>
        <w:t>Hill Forts, Pits, and Everyday Ritualization: Belief Embedded in Routine Practice</w:t>
      </w:r>
    </w:p>
    <w:p w14:paraId="52AAE386" w14:textId="779A7885" w:rsidR="00EF69D1" w:rsidRDefault="00EF69D1" w:rsidP="00EF69D1">
      <w:pPr>
        <w:pStyle w:val="NormalWeb"/>
      </w:pPr>
      <w:r>
        <w:t xml:space="preserve">Finally, archaeology broadens reconstruction beyond exceptional sanctuaries and spectacular deposits by indicating that "religious" meanings can be embedded in ordinary settlement practices. As previously noted, hill fort architecture and ritual deposits are both identified as potential sources of evidence. One of the primary contributions of Hill's work (based upon the evidence from Wessex) is that deposits </w:t>
      </w:r>
      <w:r w:rsidR="00696E40">
        <w:t>labelled</w:t>
      </w:r>
      <w:r>
        <w:t xml:space="preserve"> as "rubbish" may be meaningful, and that there may be reason to re-</w:t>
      </w:r>
      <w:r w:rsidR="00696E40">
        <w:t>interpret</w:t>
      </w:r>
      <w:r>
        <w:t xml:space="preserve"> pit contents as socially and symbolically organized, rather than simply functionally discarded.</w:t>
      </w:r>
    </w:p>
    <w:p w14:paraId="00E76705" w14:textId="77777777" w:rsidR="00EF69D1" w:rsidRDefault="00EF69D1" w:rsidP="00EF69D1">
      <w:pPr>
        <w:pStyle w:val="NormalWeb"/>
      </w:pPr>
      <w:r>
        <w:t>Reconstruction of belief systems is significant for two reasons: first, this approach prevents the artificial segregation of religion into "temples" and "priests". Rather, archaeology suggests that religious logic can be embedded in and distributed throughout domestic and defensive aspects of life:</w:t>
      </w:r>
    </w:p>
    <w:p w14:paraId="4867EE67" w14:textId="77777777" w:rsidR="00EF69D1" w:rsidRDefault="00EF69D1" w:rsidP="00EF69D1">
      <w:pPr>
        <w:pStyle w:val="NormalWeb"/>
      </w:pPr>
      <w:r>
        <w:t>Thresholds and entrances (where offerings can represent transitional and protective events).</w:t>
      </w:r>
    </w:p>
    <w:p w14:paraId="5631B91D" w14:textId="77777777" w:rsidR="00EF69D1" w:rsidRDefault="00EF69D1" w:rsidP="00EF69D1">
      <w:pPr>
        <w:pStyle w:val="NormalWeb"/>
      </w:pPr>
      <w:r>
        <w:t>Foundations and closures (deposits associated with the construction phases, abandonment, and renewal of structures).</w:t>
      </w:r>
    </w:p>
    <w:p w14:paraId="4C976EB7" w14:textId="77777777" w:rsidR="00EF69D1" w:rsidRDefault="00EF69D1" w:rsidP="00EF69D1">
      <w:pPr>
        <w:pStyle w:val="NormalWeb"/>
      </w:pPr>
      <w:r>
        <w:t>Curated fragments (selectively curated parts of artifacts or animals placed in ways that encoded meaning).</w:t>
      </w:r>
    </w:p>
    <w:p w14:paraId="687F52DF" w14:textId="77777777" w:rsidR="00EF69D1" w:rsidRDefault="00EF69D1" w:rsidP="00EF69D1">
      <w:pPr>
        <w:pStyle w:val="NormalWeb"/>
      </w:pPr>
      <w:r>
        <w:t>Archaeology reconstructs belief systems as practiced cosmologies—world views enacted through the repeated patterning of material decision making in everyday environments.</w:t>
      </w:r>
    </w:p>
    <w:p w14:paraId="15587148" w14:textId="77777777" w:rsidR="00EF69D1" w:rsidRPr="00696E40" w:rsidRDefault="00EF69D1" w:rsidP="00EF69D1">
      <w:pPr>
        <w:pStyle w:val="NormalWeb"/>
        <w:rPr>
          <w:b/>
          <w:bCs/>
        </w:rPr>
      </w:pPr>
      <w:r w:rsidRPr="00696E40">
        <w:rPr>
          <w:b/>
          <w:bCs/>
        </w:rPr>
        <w:t>Understanding religion through images and symbols – Iconography</w:t>
      </w:r>
    </w:p>
    <w:p w14:paraId="7CFE8E26" w14:textId="77777777" w:rsidR="00EF69D1" w:rsidRDefault="00EF69D1" w:rsidP="00EF69D1">
      <w:pPr>
        <w:pStyle w:val="NormalWeb"/>
      </w:pPr>
      <w:r>
        <w:t>When written records are scarce, iconography is another source of understanding the relationship between beliefs and the material evidence left behind. The first assessment mentioned iconography as one of the key types of evidence and highlighted Miranda Green and Anne Ross as two key researchers in this area. Miranda Green’s book, “Symbol and Image in Celtic Religious Art” states that deciphering complex symbolic systems is critical in uncovering aspects of Celtic life and beliefs, and emphasizes regional variations, as opposed to a single uniform system of symbolism. This is a significant correction; iconography may provide insight into recurring themes within a particular symbol set (i.e., anthropomorphic deities, hybrid creatures, fertility, war, health symbols), but it also shows that “belief systems” were not monolithic.</w:t>
      </w:r>
    </w:p>
    <w:p w14:paraId="4CA05472" w14:textId="760FDF4F" w:rsidR="00EF69D1" w:rsidRDefault="00EF69D1" w:rsidP="00EF69D1">
      <w:pPr>
        <w:pStyle w:val="NormalWeb"/>
      </w:pPr>
      <w:r>
        <w:t xml:space="preserve">Furthermore, the study of material art history places “Celtic religion” in a larger La Tène visual culture. As an example, the National Museum of Ireland’s educational materials </w:t>
      </w:r>
      <w:r w:rsidR="00696E40">
        <w:lastRenderedPageBreak/>
        <w:t>describe</w:t>
      </w:r>
      <w:r>
        <w:t xml:space="preserve"> La Tène style by the presence of curved line forms and states that La Tène style is found throughout much of Iron Age Europe. There are two implications for belief construction:</w:t>
      </w:r>
    </w:p>
    <w:p w14:paraId="3DD47101" w14:textId="4DCD4D43" w:rsidR="00EF69D1" w:rsidRDefault="00EF69D1" w:rsidP="00EF69D1">
      <w:pPr>
        <w:pStyle w:val="NormalWeb"/>
      </w:pPr>
      <w:r>
        <w:t xml:space="preserve">Shared aesthetics may indicate shared ideas regarding </w:t>
      </w:r>
      <w:r w:rsidR="00696E40">
        <w:t>spirituality;</w:t>
      </w:r>
      <w:r>
        <w:t xml:space="preserve"> however, this should be considered with caution as style is transmitted via both trade/exchange as well as faith.</w:t>
      </w:r>
    </w:p>
    <w:p w14:paraId="1A001A2B" w14:textId="77777777" w:rsidR="00EF69D1" w:rsidRDefault="00EF69D1" w:rsidP="00EF69D1">
      <w:pPr>
        <w:pStyle w:val="NormalWeb"/>
      </w:pPr>
      <w:r>
        <w:t>Meaning within a medium of expression is typically embedded within the choice of media (e.g., metalwork, depositional contexts, bodily display) therefore iconography must be studied in conjunction with depositional and site contexts, and not in isolation.</w:t>
      </w:r>
    </w:p>
    <w:p w14:paraId="10F89F31" w14:textId="77777777" w:rsidR="00EF69D1" w:rsidRDefault="00EF69D1" w:rsidP="00EF69D1">
      <w:pPr>
        <w:pStyle w:val="NormalWeb"/>
      </w:pPr>
      <w:r>
        <w:t>Limitations and triangulation: what archaeology can and cannot demonstrate</w:t>
      </w:r>
    </w:p>
    <w:p w14:paraId="2CFFDDCA" w14:textId="77777777" w:rsidR="00EF69D1" w:rsidRDefault="00EF69D1" w:rsidP="00EF69D1">
      <w:pPr>
        <w:pStyle w:val="NormalWeb"/>
      </w:pPr>
      <w:r>
        <w:t>One of the strengths of archaeology is that it is based on empirical data and has a broad spatial and temporal scope. However, there are limitations to how far it can "reconstruct" belief systems:</w:t>
      </w:r>
    </w:p>
    <w:p w14:paraId="6EEC50B1" w14:textId="77777777" w:rsidR="00EF69D1" w:rsidRDefault="00EF69D1" w:rsidP="00EF69D1">
      <w:pPr>
        <w:pStyle w:val="NormalWeb"/>
      </w:pPr>
      <w:r>
        <w:t>While named deities and mythic narratives may be difficult to elicit absent inscriptions and/or a clear textual tradition.</w:t>
      </w:r>
    </w:p>
    <w:p w14:paraId="7AE08CFC" w14:textId="2DD9EB84" w:rsidR="00EF69D1" w:rsidRDefault="00EF69D1" w:rsidP="00EF69D1">
      <w:pPr>
        <w:pStyle w:val="NormalWeb"/>
      </w:pPr>
      <w:r>
        <w:t xml:space="preserve">Intentions are inferred and not directly observable; </w:t>
      </w:r>
      <w:r w:rsidR="00696E40">
        <w:t>therefore,</w:t>
      </w:r>
      <w:r>
        <w:t xml:space="preserve"> claims made must be proportionate to the strength of the patterns of evidence (Garrow’s warning is central to this).</w:t>
      </w:r>
    </w:p>
    <w:p w14:paraId="138D94F6" w14:textId="022E83D5" w:rsidR="00EF69D1" w:rsidRDefault="00EF69D1" w:rsidP="00EF69D1">
      <w:pPr>
        <w:pStyle w:val="NormalWeb"/>
      </w:pPr>
      <w:r>
        <w:t xml:space="preserve">Therefore, the term "Celtic" is potentially misleading </w:t>
      </w:r>
      <w:r w:rsidR="00696E40">
        <w:t>because</w:t>
      </w:r>
      <w:r>
        <w:t xml:space="preserve"> Iron Age Europe was comprised of multiple communities which had practices that overlapped but were also distinct.</w:t>
      </w:r>
    </w:p>
    <w:p w14:paraId="39986D1F" w14:textId="6374CB58" w:rsidR="00EF69D1" w:rsidRDefault="00EF69D1" w:rsidP="00EF69D1">
      <w:pPr>
        <w:pStyle w:val="NormalWeb"/>
      </w:pPr>
      <w:r>
        <w:t xml:space="preserve">This is why most strong reconstructions utilize triangulation: archaeology provides the basic framework; and classical texts, later vernacular traditions and comparative anthropology provide the contextual hypotheses (which are then tested against the patterns of evidence in the material </w:t>
      </w:r>
      <w:r w:rsidR="00696E40">
        <w:t>record and</w:t>
      </w:r>
      <w:r>
        <w:t xml:space="preserve"> not placed upon the material record).</w:t>
      </w:r>
    </w:p>
    <w:p w14:paraId="279F0A3E" w14:textId="19639E06" w:rsidR="00EF69D1" w:rsidRDefault="00EF69D1" w:rsidP="00EF69D1">
      <w:pPr>
        <w:pStyle w:val="NormalWeb"/>
      </w:pPr>
      <w:r>
        <w:t xml:space="preserve">Cunliffe's synthesis is an excellent example of this balance; Cunliffe synthesizes "the Celts" through an explicitly archaeological </w:t>
      </w:r>
      <w:r w:rsidR="00696E40">
        <w:t>lens and</w:t>
      </w:r>
      <w:r>
        <w:t xml:space="preserve"> acknowledges the interpretative work necessary to link material traditions to historical labels.</w:t>
      </w:r>
    </w:p>
    <w:p w14:paraId="1B58A70C" w14:textId="77777777" w:rsidR="00EF69D1" w:rsidRPr="00696E40" w:rsidRDefault="00EF69D1" w:rsidP="00EF69D1">
      <w:pPr>
        <w:pStyle w:val="NormalWeb"/>
        <w:rPr>
          <w:b/>
          <w:bCs/>
        </w:rPr>
      </w:pPr>
      <w:r w:rsidRPr="00696E40">
        <w:rPr>
          <w:b/>
          <w:bCs/>
        </w:rPr>
        <w:t>Summary</w:t>
      </w:r>
    </w:p>
    <w:p w14:paraId="1A650E99" w14:textId="4DDB30FE" w:rsidR="00EF69D1" w:rsidRDefault="00EF69D1" w:rsidP="00EF69D1">
      <w:pPr>
        <w:pStyle w:val="NormalWeb"/>
      </w:pPr>
      <w:r>
        <w:t xml:space="preserve">The archaeological evidence is crucial to reconstructing Iron Age Celtic religious belief systems because it represents the material manifestations of religious practice (e.g., votive deposition, formation of sanctuaries, structured treatment of the body, settlement ritualization, and representation through icons and curated material practices) at a level and quality that textual sources cannot achieve. Archaeology, using frameworks such as Landscape Offering Studies, and critically applied Structured Deposition, illustrates consistent religious logics: sacred power is often place bound, and mediated through costly gift-giving; and sacred power is often linked with warfare and authority; and sacred power is represented through images and curated material </w:t>
      </w:r>
      <w:r w:rsidR="00696E40">
        <w:t>practices. However</w:t>
      </w:r>
      <w:r>
        <w:t xml:space="preserve">, archaeology also limits interpretations. Archaeology provides its best reconstructions of belief systems when it avoids making excessive claims treating "Celtic Religion" as plural and regionally diverse; and separating what the evidence clearly demonstrates (patterned repeated practice) from </w:t>
      </w:r>
      <w:r>
        <w:lastRenderedPageBreak/>
        <w:t>what remains speculative (specific doctrine). Therefore, in this regard, archaeology does not just "fill gaps"; but provides the primary methodology for reconstructing Celtic religiosity as an enacted worldview — tracing the sacred, unburied.</w:t>
      </w:r>
    </w:p>
    <w:p w14:paraId="5B8A7BED" w14:textId="77777777" w:rsidR="00696E40" w:rsidRDefault="00696E40" w:rsidP="00EF69D1">
      <w:pPr>
        <w:pStyle w:val="NormalWeb"/>
      </w:pPr>
    </w:p>
    <w:p w14:paraId="1373E32B" w14:textId="69909C87" w:rsidR="00696E40" w:rsidRPr="00696E40" w:rsidRDefault="00696E40" w:rsidP="00EF69D1">
      <w:pPr>
        <w:pStyle w:val="NormalWeb"/>
        <w:rPr>
          <w:b/>
          <w:bCs/>
          <w:sz w:val="28"/>
          <w:szCs w:val="28"/>
        </w:rPr>
      </w:pPr>
      <w:r w:rsidRPr="00696E40">
        <w:rPr>
          <w:b/>
          <w:bCs/>
          <w:sz w:val="28"/>
          <w:szCs w:val="28"/>
        </w:rPr>
        <w:t>References:</w:t>
      </w:r>
    </w:p>
    <w:p w14:paraId="0A98CAAF" w14:textId="77777777" w:rsidR="00696E40" w:rsidRDefault="00696E40" w:rsidP="00EF69D1">
      <w:pPr>
        <w:pStyle w:val="NormalWeb"/>
      </w:pPr>
    </w:p>
    <w:p w14:paraId="09E718AE" w14:textId="6AC10990" w:rsidR="00EF69D1" w:rsidRDefault="00EF69D1" w:rsidP="00EF69D1">
      <w:pPr>
        <w:pStyle w:val="NormalWeb"/>
      </w:pPr>
      <w:r>
        <w:t>Bradley, R., 2017. A geography of offerings: Deposits of valuables in landscapes of ancient Europe. Oxbow Books, Oxford.</w:t>
      </w:r>
    </w:p>
    <w:p w14:paraId="01AA8763" w14:textId="77777777" w:rsidR="00EF69D1" w:rsidRDefault="00EF69D1" w:rsidP="00EF69D1">
      <w:pPr>
        <w:pStyle w:val="NormalWeb"/>
      </w:pPr>
      <w:proofErr w:type="spellStart"/>
      <w:r>
        <w:t>Clauzel</w:t>
      </w:r>
      <w:proofErr w:type="spellEnd"/>
      <w:r>
        <w:t xml:space="preserve">, T., 2023. </w:t>
      </w:r>
      <w:proofErr w:type="spellStart"/>
      <w:r>
        <w:t>Ribemont</w:t>
      </w:r>
      <w:proofErr w:type="spellEnd"/>
      <w:r>
        <w:t>-sur-Ancre...interpreted as a post-battle deposit, International Journal of Osteoarchaeology (online).</w:t>
      </w:r>
    </w:p>
    <w:p w14:paraId="06187F9B" w14:textId="77777777" w:rsidR="00EF69D1" w:rsidRDefault="00EF69D1" w:rsidP="00EF69D1">
      <w:pPr>
        <w:pStyle w:val="NormalWeb"/>
      </w:pPr>
      <w:r>
        <w:t>Cunliffe, B., 2018. The Ancient Celts. Second edition. Oxford University Press, Oxford.</w:t>
      </w:r>
    </w:p>
    <w:p w14:paraId="74E40CB1" w14:textId="77777777" w:rsidR="00EF69D1" w:rsidRDefault="00EF69D1" w:rsidP="00EF69D1">
      <w:pPr>
        <w:pStyle w:val="NormalWeb"/>
      </w:pPr>
      <w:r>
        <w:t>Fox, C., 1946. A find of the early iron age from Llyn Cerrig Bach, Anglesey. Cardiff: National Museum of Wales.</w:t>
      </w:r>
    </w:p>
    <w:p w14:paraId="6BC7D2BF" w14:textId="77777777" w:rsidR="00EF69D1" w:rsidRDefault="00EF69D1" w:rsidP="00EF69D1">
      <w:pPr>
        <w:pStyle w:val="NormalWeb"/>
      </w:pPr>
      <w:r>
        <w:t>Garrow, D., 2012. Odd deposits and average practice: A critical history of the concept of structured deposition, Archaeological Dialogues.</w:t>
      </w:r>
    </w:p>
    <w:p w14:paraId="6BECE3BE" w14:textId="77777777" w:rsidR="00EF69D1" w:rsidRDefault="00EF69D1" w:rsidP="00EF69D1">
      <w:pPr>
        <w:pStyle w:val="NormalWeb"/>
      </w:pPr>
      <w:r>
        <w:t>Green, M., 2003. Symbol and image in Celtic religious art. Routledge, London.</w:t>
      </w:r>
    </w:p>
    <w:p w14:paraId="79E9E1B0" w14:textId="77777777" w:rsidR="00EF69D1" w:rsidRDefault="00EF69D1" w:rsidP="00EF69D1">
      <w:pPr>
        <w:pStyle w:val="NormalWeb"/>
      </w:pPr>
      <w:r>
        <w:t>Hill, J.D., 1995. Ritual and rubbish in the Iron Age of Wessex: A study on the formation of a specific archaeological record. British Archaeological Reports, Oxford.</w:t>
      </w:r>
    </w:p>
    <w:p w14:paraId="1C840BE9" w14:textId="77777777" w:rsidR="00EF69D1" w:rsidRDefault="00EF69D1" w:rsidP="00EF69D1">
      <w:pPr>
        <w:pStyle w:val="NormalWeb"/>
      </w:pPr>
      <w:r>
        <w:t>Løvschal, M., 2018. Governing martial traditions: Post-conflict ritual sites in Iron Age northern France..., Journal of Anthropological Archaeology (online).</w:t>
      </w:r>
    </w:p>
    <w:p w14:paraId="10C99D93" w14:textId="77777777" w:rsidR="00EF69D1" w:rsidRDefault="00EF69D1" w:rsidP="00EF69D1">
      <w:pPr>
        <w:pStyle w:val="NormalWeb"/>
      </w:pPr>
      <w:r>
        <w:t>Macdonald, P., 2007. Llyn Cerrig Bach: A study of the copper alloy artefacts from the insular La Tène assemblage. University of Wales Press, Cardiff.</w:t>
      </w:r>
    </w:p>
    <w:p w14:paraId="21AEBF29" w14:textId="57FFC577" w:rsidR="00EF69D1" w:rsidRDefault="00EF69D1" w:rsidP="00EF69D1">
      <w:pPr>
        <w:pStyle w:val="NormalWeb"/>
      </w:pPr>
      <w:r>
        <w:t xml:space="preserve">National Museum of </w:t>
      </w:r>
      <w:r w:rsidR="00696E40">
        <w:t>Denmark. Human</w:t>
      </w:r>
      <w:r>
        <w:t xml:space="preserve"> sacrifices (online resource).</w:t>
      </w:r>
    </w:p>
    <w:p w14:paraId="47E8488F" w14:textId="09A48C13" w:rsidR="00EF69D1" w:rsidRDefault="00EF69D1" w:rsidP="00EF69D1">
      <w:pPr>
        <w:pStyle w:val="NormalWeb"/>
      </w:pPr>
      <w:r>
        <w:t xml:space="preserve">National Museum of </w:t>
      </w:r>
      <w:r w:rsidR="00696E40">
        <w:t>Ireland.</w:t>
      </w:r>
      <w:r>
        <w:t xml:space="preserve"> Timeline of Irish Art (La Tène style overview).</w:t>
      </w:r>
    </w:p>
    <w:p w14:paraId="3534666C" w14:textId="400BA36E" w:rsidR="00EF69D1" w:rsidRDefault="00EF69D1" w:rsidP="00EF69D1">
      <w:pPr>
        <w:pStyle w:val="NormalWeb"/>
      </w:pPr>
      <w:r>
        <w:t xml:space="preserve">REF Impact Case </w:t>
      </w:r>
      <w:r w:rsidR="00696E40">
        <w:t>Study.</w:t>
      </w:r>
      <w:r>
        <w:t xml:space="preserve"> Changing the display and interpretation of the Lindow Man (online resource).</w:t>
      </w:r>
    </w:p>
    <w:p w14:paraId="364A1A39" w14:textId="7E65F8AB" w:rsidR="00EF69D1" w:rsidRDefault="00EF69D1" w:rsidP="00EF69D1">
      <w:pPr>
        <w:pStyle w:val="NormalWeb"/>
      </w:pPr>
      <w:r>
        <w:t xml:space="preserve">The British </w:t>
      </w:r>
      <w:proofErr w:type="gramStart"/>
      <w:r>
        <w:t>Museum .</w:t>
      </w:r>
      <w:proofErr w:type="gramEnd"/>
      <w:r>
        <w:t xml:space="preserve"> Bog body (collection record</w:t>
      </w:r>
      <w:r w:rsidR="00696E40">
        <w:t>).</w:t>
      </w:r>
    </w:p>
    <w:p w14:paraId="0683202E" w14:textId="77777777" w:rsidR="00756884" w:rsidRDefault="00756884" w:rsidP="00EF69D1"/>
    <w:sectPr w:rsidR="007568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84799D" w14:textId="77777777" w:rsidR="007025D2" w:rsidRDefault="007025D2" w:rsidP="00966D02">
      <w:pPr>
        <w:spacing w:after="0" w:line="240" w:lineRule="auto"/>
      </w:pPr>
      <w:r>
        <w:separator/>
      </w:r>
    </w:p>
  </w:endnote>
  <w:endnote w:type="continuationSeparator" w:id="0">
    <w:p w14:paraId="64514E56" w14:textId="77777777" w:rsidR="007025D2" w:rsidRDefault="007025D2" w:rsidP="00966D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425546" w14:textId="77777777" w:rsidR="007025D2" w:rsidRDefault="007025D2" w:rsidP="00966D02">
      <w:pPr>
        <w:spacing w:after="0" w:line="240" w:lineRule="auto"/>
      </w:pPr>
      <w:r>
        <w:separator/>
      </w:r>
    </w:p>
  </w:footnote>
  <w:footnote w:type="continuationSeparator" w:id="0">
    <w:p w14:paraId="1CB415E5" w14:textId="77777777" w:rsidR="007025D2" w:rsidRDefault="007025D2" w:rsidP="00966D0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9D1"/>
    <w:rsid w:val="00696E40"/>
    <w:rsid w:val="007025D2"/>
    <w:rsid w:val="00746CBA"/>
    <w:rsid w:val="00756884"/>
    <w:rsid w:val="00966D02"/>
    <w:rsid w:val="00EF6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9DA46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69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69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69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69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69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69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69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69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69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69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69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69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69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69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69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69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69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69D1"/>
    <w:rPr>
      <w:rFonts w:eastAsiaTheme="majorEastAsia" w:cstheme="majorBidi"/>
      <w:color w:val="272727" w:themeColor="text1" w:themeTint="D8"/>
    </w:rPr>
  </w:style>
  <w:style w:type="paragraph" w:styleId="Title">
    <w:name w:val="Title"/>
    <w:basedOn w:val="Normal"/>
    <w:next w:val="Normal"/>
    <w:link w:val="TitleChar"/>
    <w:uiPriority w:val="10"/>
    <w:qFormat/>
    <w:rsid w:val="00EF69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69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69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69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69D1"/>
    <w:pPr>
      <w:spacing w:before="160"/>
      <w:jc w:val="center"/>
    </w:pPr>
    <w:rPr>
      <w:i/>
      <w:iCs/>
      <w:color w:val="404040" w:themeColor="text1" w:themeTint="BF"/>
    </w:rPr>
  </w:style>
  <w:style w:type="character" w:customStyle="1" w:styleId="QuoteChar">
    <w:name w:val="Quote Char"/>
    <w:basedOn w:val="DefaultParagraphFont"/>
    <w:link w:val="Quote"/>
    <w:uiPriority w:val="29"/>
    <w:rsid w:val="00EF69D1"/>
    <w:rPr>
      <w:i/>
      <w:iCs/>
      <w:color w:val="404040" w:themeColor="text1" w:themeTint="BF"/>
    </w:rPr>
  </w:style>
  <w:style w:type="paragraph" w:styleId="ListParagraph">
    <w:name w:val="List Paragraph"/>
    <w:basedOn w:val="Normal"/>
    <w:uiPriority w:val="34"/>
    <w:qFormat/>
    <w:rsid w:val="00EF69D1"/>
    <w:pPr>
      <w:ind w:left="720"/>
      <w:contextualSpacing/>
    </w:pPr>
  </w:style>
  <w:style w:type="character" w:styleId="IntenseEmphasis">
    <w:name w:val="Intense Emphasis"/>
    <w:basedOn w:val="DefaultParagraphFont"/>
    <w:uiPriority w:val="21"/>
    <w:qFormat/>
    <w:rsid w:val="00EF69D1"/>
    <w:rPr>
      <w:i/>
      <w:iCs/>
      <w:color w:val="0F4761" w:themeColor="accent1" w:themeShade="BF"/>
    </w:rPr>
  </w:style>
  <w:style w:type="paragraph" w:styleId="IntenseQuote">
    <w:name w:val="Intense Quote"/>
    <w:basedOn w:val="Normal"/>
    <w:next w:val="Normal"/>
    <w:link w:val="IntenseQuoteChar"/>
    <w:uiPriority w:val="30"/>
    <w:qFormat/>
    <w:rsid w:val="00EF69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69D1"/>
    <w:rPr>
      <w:i/>
      <w:iCs/>
      <w:color w:val="0F4761" w:themeColor="accent1" w:themeShade="BF"/>
    </w:rPr>
  </w:style>
  <w:style w:type="character" w:styleId="IntenseReference">
    <w:name w:val="Intense Reference"/>
    <w:basedOn w:val="DefaultParagraphFont"/>
    <w:uiPriority w:val="32"/>
    <w:qFormat/>
    <w:rsid w:val="00EF69D1"/>
    <w:rPr>
      <w:b/>
      <w:bCs/>
      <w:smallCaps/>
      <w:color w:val="0F4761" w:themeColor="accent1" w:themeShade="BF"/>
      <w:spacing w:val="5"/>
    </w:rPr>
  </w:style>
  <w:style w:type="paragraph" w:styleId="NormalWeb">
    <w:name w:val="Normal (Web)"/>
    <w:basedOn w:val="Normal"/>
    <w:uiPriority w:val="99"/>
    <w:semiHidden/>
    <w:unhideWhenUsed/>
    <w:rsid w:val="00EF69D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966D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6D02"/>
  </w:style>
  <w:style w:type="paragraph" w:styleId="Footer">
    <w:name w:val="footer"/>
    <w:basedOn w:val="Normal"/>
    <w:link w:val="FooterChar"/>
    <w:uiPriority w:val="99"/>
    <w:unhideWhenUsed/>
    <w:rsid w:val="00966D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6D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2443</Words>
  <Characters>13929</Characters>
  <Application>Microsoft Office Word</Application>
  <DocSecurity>0</DocSecurity>
  <Lines>116</Lines>
  <Paragraphs>32</Paragraphs>
  <ScaleCrop>false</ScaleCrop>
  <Company/>
  <LinksUpToDate>false</LinksUpToDate>
  <CharactersWithSpaces>16340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2025-12-13T16:41:00Z</dcterms:created>
  <dcterms:modified xsi:type="dcterms:W3CDTF">2025-12-13T16:42:00Z</dcterms:modified>
</cp:coreProperties>
</file>