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4135B" w14:textId="4A080589" w:rsidR="00E903E8" w:rsidRPr="00DB4DEC" w:rsidRDefault="00E903E8" w:rsidP="00DB4DEC">
      <w:pPr>
        <w:spacing w:line="360" w:lineRule="auto"/>
        <w:jc w:val="center"/>
        <w:rPr>
          <w:rFonts w:ascii="Arial" w:hAnsi="Arial" w:cs="Arial"/>
          <w:sz w:val="20"/>
          <w:szCs w:val="20"/>
          <w:u w:val="single"/>
        </w:rPr>
      </w:pPr>
      <w:r w:rsidRPr="00DB4DEC">
        <w:rPr>
          <w:rFonts w:ascii="Arial" w:hAnsi="Arial" w:cs="Arial"/>
          <w:sz w:val="20"/>
          <w:szCs w:val="20"/>
          <w:u w:val="single"/>
        </w:rPr>
        <w:t>A Critical Evaluation of Outdoor Experiential Play within the Curriculum for Funded Non</w:t>
      </w:r>
      <w:r w:rsidR="0076761C">
        <w:rPr>
          <w:rFonts w:ascii="Arial" w:hAnsi="Arial" w:cs="Arial"/>
          <w:sz w:val="20"/>
          <w:szCs w:val="20"/>
          <w:u w:val="single"/>
        </w:rPr>
        <w:t>-</w:t>
      </w:r>
      <w:r w:rsidRPr="00DB4DEC">
        <w:rPr>
          <w:rFonts w:ascii="Arial" w:hAnsi="Arial" w:cs="Arial"/>
          <w:sz w:val="20"/>
          <w:szCs w:val="20"/>
          <w:u w:val="single"/>
        </w:rPr>
        <w:t>Maintained Nursery Settings in Wales through a Froebelian Lens</w:t>
      </w:r>
      <w:r w:rsidR="00D75082" w:rsidRPr="00DB4DEC">
        <w:rPr>
          <w:rFonts w:ascii="Arial" w:hAnsi="Arial" w:cs="Arial"/>
          <w:sz w:val="20"/>
          <w:szCs w:val="20"/>
          <w:u w:val="single"/>
        </w:rPr>
        <w:t>.</w:t>
      </w:r>
    </w:p>
    <w:p w14:paraId="210F4D1C" w14:textId="797A5BD0" w:rsidR="00116218" w:rsidRPr="00DB4DEC" w:rsidRDefault="00116218" w:rsidP="00DB4DEC">
      <w:pPr>
        <w:spacing w:line="360" w:lineRule="auto"/>
        <w:rPr>
          <w:rFonts w:ascii="Arial" w:hAnsi="Arial" w:cs="Arial"/>
          <w:sz w:val="20"/>
          <w:szCs w:val="20"/>
        </w:rPr>
      </w:pPr>
      <w:r w:rsidRPr="00DB4DEC">
        <w:rPr>
          <w:rFonts w:ascii="Arial" w:hAnsi="Arial" w:cs="Arial"/>
          <w:sz w:val="20"/>
          <w:szCs w:val="20"/>
        </w:rPr>
        <w:t xml:space="preserve">Learning through play is widely positioned as central to early childhood </w:t>
      </w:r>
      <w:r w:rsidR="00662CA3" w:rsidRPr="00DB4DEC">
        <w:rPr>
          <w:rFonts w:ascii="Arial" w:hAnsi="Arial" w:cs="Arial"/>
          <w:sz w:val="20"/>
          <w:szCs w:val="20"/>
        </w:rPr>
        <w:t>education yet</w:t>
      </w:r>
      <w:r w:rsidRPr="00DB4DEC">
        <w:rPr>
          <w:rFonts w:ascii="Arial" w:hAnsi="Arial" w:cs="Arial"/>
          <w:sz w:val="20"/>
          <w:szCs w:val="20"/>
        </w:rPr>
        <w:t xml:space="preserve"> remains contested within both policy and practice (Welsh Government, 2014; Welsh Government, 2022). It is commonly understood as learning emerging through active, meaningful engagement, where children construct knowledge through self-motivated activity (Bruce, 2011). However, Bruce (2011) argues that play does not automatically result in learning</w:t>
      </w:r>
      <w:r w:rsidR="004B2CE6">
        <w:rPr>
          <w:rFonts w:ascii="Arial" w:hAnsi="Arial" w:cs="Arial"/>
          <w:sz w:val="20"/>
          <w:szCs w:val="20"/>
        </w:rPr>
        <w:t>,</w:t>
      </w:r>
      <w:r w:rsidRPr="00DB4DEC">
        <w:rPr>
          <w:rFonts w:ascii="Arial" w:hAnsi="Arial" w:cs="Arial"/>
          <w:sz w:val="20"/>
          <w:szCs w:val="20"/>
        </w:rPr>
        <w:t xml:space="preserve"> its pedagogical value depends upon the depth, continuity and agency it enables. This challenges policy assumptions that position play as inherently developmental and highlights the conditions required for meaningful learning within practice.</w:t>
      </w:r>
    </w:p>
    <w:p w14:paraId="630E0024" w14:textId="77777777" w:rsidR="00116218" w:rsidRPr="00DB4DEC" w:rsidRDefault="00116218" w:rsidP="00DB4DEC">
      <w:pPr>
        <w:spacing w:line="360" w:lineRule="auto"/>
        <w:rPr>
          <w:rFonts w:ascii="Arial" w:hAnsi="Arial" w:cs="Arial"/>
          <w:sz w:val="20"/>
          <w:szCs w:val="20"/>
        </w:rPr>
      </w:pPr>
      <w:r w:rsidRPr="00DB4DEC">
        <w:rPr>
          <w:rFonts w:ascii="Arial" w:hAnsi="Arial" w:cs="Arial"/>
          <w:sz w:val="20"/>
          <w:szCs w:val="20"/>
        </w:rPr>
        <w:t>Froebelian principles provide a key theoretical lens through which play can be understood as a pedagogical approach rather than a discrete activity (Tovey, 2013). Froebel conceptualised play as the highest expression of human development, emphasising holistic growth, children’s relationship with nature and the role of the adult as a facilitator of learning (Tovey, 2013). These principles broadly align with contemporary sustainability discourse, particularly in relation to environmental connectedness and relational understandings of learning (Davis, 2015). However, Froebelian ideas emerged within a significantly different educational context, raising questions regarding their application within contemporary regulated early years provision. Post-humanist perspectives further complicate these understandings by positioning nature and material environments not simply as contexts for learning, but as active participants in children’s meaning-making and development (Taylor, 2013). From this perspective, the environment functions as a co-educator, actively shaping children’s learning experiences and relationships.</w:t>
      </w:r>
    </w:p>
    <w:p w14:paraId="2B283E2B" w14:textId="472A1F90" w:rsidR="00116218" w:rsidRPr="00DB4DEC" w:rsidRDefault="00116218" w:rsidP="00DB4DEC">
      <w:pPr>
        <w:spacing w:line="360" w:lineRule="auto"/>
        <w:rPr>
          <w:rFonts w:ascii="Arial" w:hAnsi="Arial" w:cs="Arial"/>
          <w:sz w:val="20"/>
          <w:szCs w:val="20"/>
        </w:rPr>
      </w:pPr>
      <w:r w:rsidRPr="00DB4DEC">
        <w:rPr>
          <w:rFonts w:ascii="Arial" w:hAnsi="Arial" w:cs="Arial"/>
          <w:sz w:val="20"/>
          <w:szCs w:val="20"/>
        </w:rPr>
        <w:t>Within Wales, these principles are reflected within the Curriculum for Wales and the Curriculum for Funded Non-Maintained Nursery Settings, which underpin provision in settings including those supported by Mudiad Meithrin (Welsh Government, 2023; Mudiad Meithrin, 2023</w:t>
      </w:r>
      <w:r w:rsidR="00823A29">
        <w:rPr>
          <w:rFonts w:ascii="Arial" w:hAnsi="Arial" w:cs="Arial"/>
          <w:sz w:val="20"/>
          <w:szCs w:val="20"/>
        </w:rPr>
        <w:t>a</w:t>
      </w:r>
      <w:r w:rsidRPr="00DB4DEC">
        <w:rPr>
          <w:rFonts w:ascii="Arial" w:hAnsi="Arial" w:cs="Arial"/>
          <w:sz w:val="20"/>
          <w:szCs w:val="20"/>
        </w:rPr>
        <w:t>). While the curriculum promotes play</w:t>
      </w:r>
      <w:r w:rsidR="00662CA3" w:rsidRPr="00DB4DEC">
        <w:rPr>
          <w:rFonts w:ascii="Arial" w:hAnsi="Arial" w:cs="Arial"/>
          <w:sz w:val="20"/>
          <w:szCs w:val="20"/>
        </w:rPr>
        <w:t>-</w:t>
      </w:r>
      <w:r w:rsidRPr="00DB4DEC">
        <w:rPr>
          <w:rFonts w:ascii="Arial" w:hAnsi="Arial" w:cs="Arial"/>
          <w:sz w:val="20"/>
          <w:szCs w:val="20"/>
        </w:rPr>
        <w:t>based, child-centred learning and engagement with the environment, the extent to which it reflects an authentically Froebelian approach remains open to critique. Inspection evidence continues to highlight inconsistency in both the quality and frequency of outdoor learning experiences across settings, alongside variation in expectations surrounding outdoor provision (Estyn, 2023).</w:t>
      </w:r>
      <w:r w:rsidR="00BB3BBF" w:rsidRPr="00BB3BBF">
        <w:t xml:space="preserve"> </w:t>
      </w:r>
    </w:p>
    <w:p w14:paraId="41E5D056" w14:textId="4EEA171C" w:rsidR="00116218" w:rsidRPr="00DB4DEC" w:rsidRDefault="00116218" w:rsidP="00DB4DEC">
      <w:pPr>
        <w:spacing w:line="360" w:lineRule="auto"/>
        <w:rPr>
          <w:rFonts w:ascii="Arial" w:hAnsi="Arial" w:cs="Arial"/>
          <w:sz w:val="20"/>
          <w:szCs w:val="20"/>
        </w:rPr>
      </w:pPr>
      <w:r w:rsidRPr="00DB4DEC">
        <w:rPr>
          <w:rFonts w:ascii="Arial" w:hAnsi="Arial" w:cs="Arial"/>
          <w:sz w:val="20"/>
          <w:szCs w:val="20"/>
        </w:rPr>
        <w:t xml:space="preserve">This assignment critically evaluates outdoor experiential play within the non-maintained curriculum in Wales through a Froebelian lens. It argues that, despite strong philosophical alignment, enactment remains constrained by structural, pedagogical and ideological factors. </w:t>
      </w:r>
      <w:r w:rsidR="003557B1" w:rsidRPr="00BB3BBF">
        <w:rPr>
          <w:rFonts w:ascii="Arial" w:hAnsi="Arial" w:cs="Arial"/>
          <w:sz w:val="20"/>
          <w:szCs w:val="20"/>
        </w:rPr>
        <w:t>This reflects tensions between macro-level policy discourse and micro-level enactment within practice</w:t>
      </w:r>
      <w:r w:rsidR="003557B1">
        <w:rPr>
          <w:rFonts w:ascii="Arial" w:hAnsi="Arial" w:cs="Arial"/>
          <w:sz w:val="20"/>
          <w:szCs w:val="20"/>
        </w:rPr>
        <w:t>.</w:t>
      </w:r>
      <w:r w:rsidR="003557B1" w:rsidRPr="00DB4DEC">
        <w:rPr>
          <w:rFonts w:ascii="Arial" w:hAnsi="Arial" w:cs="Arial"/>
          <w:sz w:val="20"/>
          <w:szCs w:val="20"/>
        </w:rPr>
        <w:t xml:space="preserve"> </w:t>
      </w:r>
      <w:r w:rsidRPr="00DB4DEC">
        <w:rPr>
          <w:rFonts w:ascii="Arial" w:hAnsi="Arial" w:cs="Arial"/>
          <w:sz w:val="20"/>
          <w:szCs w:val="20"/>
        </w:rPr>
        <w:t>Adopting a macro-micro perspective, the analysis explores how national policy frameworks interact with everyday practice within early years settings.</w:t>
      </w:r>
      <w:r w:rsidR="00F03707">
        <w:rPr>
          <w:rFonts w:ascii="Arial" w:hAnsi="Arial" w:cs="Arial"/>
          <w:sz w:val="20"/>
          <w:szCs w:val="20"/>
        </w:rPr>
        <w:t xml:space="preserve"> </w:t>
      </w:r>
      <w:r w:rsidR="00F03707" w:rsidRPr="00F03707">
        <w:rPr>
          <w:rFonts w:ascii="Arial" w:hAnsi="Arial" w:cs="Arial"/>
          <w:sz w:val="20"/>
          <w:szCs w:val="20"/>
        </w:rPr>
        <w:t xml:space="preserve">This perspective is also informed by wider understandings of learning environments as relational, experiential and shaped through interaction with people and the natural world. Contemporary perspectives increasingly position learning as emerging through interconnected </w:t>
      </w:r>
      <w:r w:rsidR="00F03707" w:rsidRPr="00F03707">
        <w:rPr>
          <w:rFonts w:ascii="Arial" w:hAnsi="Arial" w:cs="Arial"/>
          <w:sz w:val="20"/>
          <w:szCs w:val="20"/>
        </w:rPr>
        <w:lastRenderedPageBreak/>
        <w:t>relationships between children, adults and environments, rather than solely through formal instruction (Taylor, 2013; Kolb, 1984).</w:t>
      </w:r>
    </w:p>
    <w:p w14:paraId="40B3EB6B" w14:textId="77777777" w:rsidR="00146B98" w:rsidRPr="00DB4DEC" w:rsidRDefault="00146B98" w:rsidP="00DB4DEC">
      <w:pPr>
        <w:spacing w:line="360" w:lineRule="auto"/>
        <w:rPr>
          <w:rFonts w:ascii="Arial" w:hAnsi="Arial" w:cs="Arial"/>
          <w:sz w:val="20"/>
          <w:szCs w:val="20"/>
        </w:rPr>
      </w:pPr>
      <w:r w:rsidRPr="00DB4DEC">
        <w:rPr>
          <w:rFonts w:ascii="Arial" w:hAnsi="Arial" w:cs="Arial"/>
          <w:sz w:val="20"/>
          <w:szCs w:val="20"/>
        </w:rPr>
        <w:t>Froebelian principles position play as the central mechanism through which young children construct meaning and understanding, rather than merely an activity. Froebel conceptualised play as a form of “self-activity”, enabling children to engage with and make sense of the world (Tovey, 2013). The term “kindergarten”, meaning “children’s garden”, further reflects his belief that children develop through interaction with nature and carefully nurtured environments (Tovey, 2013). Froebel’s “gifts” and “occupations” reinforced this emphasis on embodied, experiential learning through the manipulation of materials, creativity, construction and sensory engagement with the environment (Lilley, 1967). Consequently, learning was positioned as relational and exploratory rather than transmissive, framing the child as an active participant in knowledge construction (Tovey, 2013). However, this assumes that conditions for sustained self-directed exploration are consistently available, which may not reflect the realities of contemporary early years provision in Wales.</w:t>
      </w:r>
    </w:p>
    <w:p w14:paraId="515B4F7F" w14:textId="77777777" w:rsidR="00146B98" w:rsidRPr="00DB4DEC" w:rsidRDefault="00146B98" w:rsidP="00DB4DEC">
      <w:pPr>
        <w:spacing w:line="360" w:lineRule="auto"/>
        <w:rPr>
          <w:rFonts w:ascii="Arial" w:hAnsi="Arial" w:cs="Arial"/>
          <w:sz w:val="20"/>
          <w:szCs w:val="20"/>
        </w:rPr>
      </w:pPr>
      <w:r w:rsidRPr="00DB4DEC">
        <w:rPr>
          <w:rFonts w:ascii="Arial" w:hAnsi="Arial" w:cs="Arial"/>
          <w:sz w:val="20"/>
          <w:szCs w:val="20"/>
        </w:rPr>
        <w:t>Central to Froebelian philosophy is the relationship between the child, nature and the wider environment, with outdoor contexts positioned as essential to holistic development (Tovey, 2013). Within this perspective, engagement with nature is not optional, but a fundamental condition of practice. Interaction with natural materials can support physical competence, creativity and environmental connectedness, aligning with perspectives that position nature as an active contributor to learning (Davis, 2015). However, such perspectives have been critiqued for romanticising both childhood and nature, overlooking the structural constraints shaping contemporary early years provision (Dahlberg, Moss and Pence, 2007; Davis, 2015). This creates tension between Froebelian ideals and increasingly outcome-driven educational environments, where sustained engagement with nature may be limited in practice.</w:t>
      </w:r>
    </w:p>
    <w:p w14:paraId="37059CFE" w14:textId="77777777" w:rsidR="00146B98" w:rsidRPr="00DB4DEC" w:rsidRDefault="00146B98" w:rsidP="00DB4DEC">
      <w:pPr>
        <w:spacing w:line="360" w:lineRule="auto"/>
        <w:rPr>
          <w:rFonts w:ascii="Arial" w:hAnsi="Arial" w:cs="Arial"/>
          <w:sz w:val="20"/>
          <w:szCs w:val="20"/>
        </w:rPr>
      </w:pPr>
      <w:r w:rsidRPr="00DB4DEC">
        <w:rPr>
          <w:rFonts w:ascii="Arial" w:hAnsi="Arial" w:cs="Arial"/>
          <w:sz w:val="20"/>
          <w:szCs w:val="20"/>
        </w:rPr>
        <w:t>Play remains contested within early childhood education, particularly in relation to the balance between child-led and more structured approaches. While Bruce (2011) emphasises the importance of depth, continuity and agency within play, this does not guarantee meaningful learning. Play has also been associated with creativity and positive learning dispositions (Moyles, 2010), although definitions of play vary across practitioners and contexts (Waters-Davies, 2022). Similarly, play-based pedagogies have been associated with dispositions including curiosity, persistence, collaboration and creativity (Katz and Chard, 2000). However, these qualities are often difficult to reconcile with accountability-driven systems focused on measurable outcomes and school readiness.</w:t>
      </w:r>
    </w:p>
    <w:p w14:paraId="6D649EA7" w14:textId="501CFD42" w:rsidR="00146B98" w:rsidRPr="00DB4DEC" w:rsidRDefault="00146B98" w:rsidP="00DB4DEC">
      <w:pPr>
        <w:spacing w:line="360" w:lineRule="auto"/>
        <w:rPr>
          <w:rFonts w:ascii="Arial" w:hAnsi="Arial" w:cs="Arial"/>
          <w:sz w:val="20"/>
          <w:szCs w:val="20"/>
        </w:rPr>
      </w:pPr>
      <w:r w:rsidRPr="00DB4DEC">
        <w:rPr>
          <w:rFonts w:ascii="Arial" w:hAnsi="Arial" w:cs="Arial"/>
          <w:sz w:val="20"/>
          <w:szCs w:val="20"/>
        </w:rPr>
        <w:t>Alternative theoretical perspectives further complicate understandings of play. Piaget (1962) positions play as supporting individual cognitive development, while Vygotsky (1978) emphasises its social nature and the role of interaction and scaffolding in extending learning. Similarly, Bruner (1966) foregrounds discovery learning while placing greater emphasis on the structuring role of the adult. Taken together, these perspectives challenge interpretations of play as purely self-directed, instead suggesting that learning through play is co-constructed through interaction, guidance and context.</w:t>
      </w:r>
      <w:r w:rsidR="00BE2235" w:rsidRPr="00BE2235">
        <w:t xml:space="preserve"> </w:t>
      </w:r>
      <w:r w:rsidR="00BE2235" w:rsidRPr="00BE2235">
        <w:rPr>
          <w:rFonts w:ascii="Arial" w:hAnsi="Arial" w:cs="Arial"/>
          <w:sz w:val="20"/>
          <w:szCs w:val="20"/>
        </w:rPr>
        <w:lastRenderedPageBreak/>
        <w:t>From this perspective, learning through play can be understood as co-constructed through interaction, relationships and environmental engagement rather than emerging solely from individual discovery.</w:t>
      </w:r>
    </w:p>
    <w:p w14:paraId="48275977" w14:textId="77777777" w:rsidR="00146B98" w:rsidRPr="00DB4DEC" w:rsidRDefault="00146B98" w:rsidP="00DB4DEC">
      <w:pPr>
        <w:spacing w:line="360" w:lineRule="auto"/>
        <w:rPr>
          <w:rFonts w:ascii="Arial" w:hAnsi="Arial" w:cs="Arial"/>
          <w:sz w:val="20"/>
          <w:szCs w:val="20"/>
        </w:rPr>
      </w:pPr>
      <w:r w:rsidRPr="00DB4DEC">
        <w:rPr>
          <w:rFonts w:ascii="Arial" w:hAnsi="Arial" w:cs="Arial"/>
          <w:sz w:val="20"/>
          <w:szCs w:val="20"/>
        </w:rPr>
        <w:t>Critically, the assumption that play is inherently developmental has been widely challenged. While play may provide opportunities for exploration and creativity, its effectiveness depends upon context, practitioner interaction and the quality of provision (Wood, 2014). Consequently, “learning through play” risks becoming idealised within policy discourse, obscuring the complexities involved in its enactment within practice. Froebelian principles therefore remain influential as a conceptual framework, yet their enactment continues to be shaped and constrained by structural, pedagogical and contextual factors within contemporary early years provision.</w:t>
      </w:r>
    </w:p>
    <w:p w14:paraId="31126D82" w14:textId="03954773" w:rsidR="00C64AA1" w:rsidRPr="00DB4DEC" w:rsidRDefault="00C64AA1" w:rsidP="00DB4DEC">
      <w:pPr>
        <w:spacing w:line="360" w:lineRule="auto"/>
        <w:rPr>
          <w:rFonts w:ascii="Arial" w:hAnsi="Arial" w:cs="Arial"/>
          <w:sz w:val="20"/>
          <w:szCs w:val="20"/>
        </w:rPr>
      </w:pPr>
      <w:r w:rsidRPr="00DB4DEC">
        <w:rPr>
          <w:rFonts w:ascii="Arial" w:hAnsi="Arial" w:cs="Arial"/>
          <w:sz w:val="20"/>
          <w:szCs w:val="20"/>
        </w:rPr>
        <w:t>Outdoor play can be understood as a pedagogical approach through which children engage physically, socially and cognitively with their environment. From a Froebelian perspective, outdoor environments provide opportunities for self-activity, enabling children to explore and construct meaning through direct experience (Tovey, 2013). Nature functions as an educator, offering dynamic contexts for learning that cannot be replicated indoors, aligning with experiential learning perspectives where knowledge is constructed through active engagement (Kolb,</w:t>
      </w:r>
      <w:r w:rsidR="00CD3B40" w:rsidRPr="00DB4DEC">
        <w:rPr>
          <w:rFonts w:ascii="Arial" w:hAnsi="Arial" w:cs="Arial"/>
          <w:sz w:val="20"/>
          <w:szCs w:val="20"/>
        </w:rPr>
        <w:t xml:space="preserve"> </w:t>
      </w:r>
      <w:r w:rsidRPr="00DB4DEC">
        <w:rPr>
          <w:rFonts w:ascii="Arial" w:hAnsi="Arial" w:cs="Arial"/>
          <w:sz w:val="20"/>
          <w:szCs w:val="20"/>
        </w:rPr>
        <w:t>1984). However, this assumes consistent access to rich outdoor environments, which is not reflected in Wales</w:t>
      </w:r>
      <w:r w:rsidR="002C6D6E" w:rsidRPr="00DB4DEC">
        <w:rPr>
          <w:rFonts w:ascii="Arial" w:hAnsi="Arial" w:cs="Arial"/>
          <w:sz w:val="20"/>
          <w:szCs w:val="20"/>
        </w:rPr>
        <w:t>. V</w:t>
      </w:r>
      <w:r w:rsidRPr="00DB4DEC">
        <w:rPr>
          <w:rFonts w:ascii="Arial" w:hAnsi="Arial" w:cs="Arial"/>
          <w:sz w:val="20"/>
          <w:szCs w:val="20"/>
        </w:rPr>
        <w:t>ariability in provision across early years settings limits opportunities for outdoor play and learning (Estyn, 2023).</w:t>
      </w:r>
      <w:r w:rsidR="00381668" w:rsidRPr="00381668">
        <w:t xml:space="preserve"> </w:t>
      </w:r>
      <w:r w:rsidR="00381668" w:rsidRPr="00381668">
        <w:rPr>
          <w:rFonts w:ascii="Arial" w:hAnsi="Arial" w:cs="Arial"/>
          <w:sz w:val="20"/>
          <w:szCs w:val="20"/>
        </w:rPr>
        <w:t>However, outdoor play is not inherently developmental. Meaningful learning depends upon the quality of relationships, practitioner support and sustained opportunities for engagement.</w:t>
      </w:r>
    </w:p>
    <w:p w14:paraId="044817E0" w14:textId="77777777" w:rsidR="00595A59" w:rsidRPr="00DB4DEC" w:rsidRDefault="00595A59" w:rsidP="00DB4DEC">
      <w:pPr>
        <w:spacing w:line="360" w:lineRule="auto"/>
        <w:rPr>
          <w:rFonts w:ascii="Arial" w:hAnsi="Arial" w:cs="Arial"/>
          <w:sz w:val="20"/>
          <w:szCs w:val="20"/>
        </w:rPr>
      </w:pPr>
      <w:r w:rsidRPr="00DB4DEC">
        <w:rPr>
          <w:rFonts w:ascii="Arial" w:hAnsi="Arial" w:cs="Arial"/>
          <w:sz w:val="20"/>
          <w:szCs w:val="20"/>
        </w:rPr>
        <w:t xml:space="preserve">Outdoor environments offer “affordances” for learning, referring to the possibilities for action that an environment provides (Gibson, 1979). Research highlights that such environments can support wellbeing, engagement and exploratory learning (Kiviranta </w:t>
      </w:r>
      <w:r w:rsidRPr="00426D41">
        <w:rPr>
          <w:rFonts w:ascii="Arial" w:hAnsi="Arial" w:cs="Arial"/>
          <w:i/>
          <w:iCs/>
          <w:sz w:val="20"/>
          <w:szCs w:val="20"/>
        </w:rPr>
        <w:t>et al</w:t>
      </w:r>
      <w:r w:rsidRPr="00DB4DEC">
        <w:rPr>
          <w:rFonts w:ascii="Arial" w:hAnsi="Arial" w:cs="Arial"/>
          <w:sz w:val="20"/>
          <w:szCs w:val="20"/>
        </w:rPr>
        <w:t xml:space="preserve">., 2023), while also offering opportunities for movement, creativity and problem-solving (Lindfors </w:t>
      </w:r>
      <w:r w:rsidRPr="00426D41">
        <w:rPr>
          <w:rFonts w:ascii="Arial" w:hAnsi="Arial" w:cs="Arial"/>
          <w:i/>
          <w:iCs/>
          <w:sz w:val="20"/>
          <w:szCs w:val="20"/>
        </w:rPr>
        <w:t>et al</w:t>
      </w:r>
      <w:r w:rsidRPr="00DB4DEC">
        <w:rPr>
          <w:rFonts w:ascii="Arial" w:hAnsi="Arial" w:cs="Arial"/>
          <w:sz w:val="20"/>
          <w:szCs w:val="20"/>
        </w:rPr>
        <w:t xml:space="preserve">., 2021). Empirical studies further demonstrate that environmental features such as uneven terrain, loose materials and changing conditions influence children’s play behaviours and risk-taking (Ramsden </w:t>
      </w:r>
      <w:r w:rsidRPr="00426D41">
        <w:rPr>
          <w:rFonts w:ascii="Arial" w:hAnsi="Arial" w:cs="Arial"/>
          <w:i/>
          <w:iCs/>
          <w:sz w:val="20"/>
          <w:szCs w:val="20"/>
        </w:rPr>
        <w:t>et al</w:t>
      </w:r>
      <w:r w:rsidRPr="00DB4DEC">
        <w:rPr>
          <w:rFonts w:ascii="Arial" w:hAnsi="Arial" w:cs="Arial"/>
          <w:sz w:val="20"/>
          <w:szCs w:val="20"/>
        </w:rPr>
        <w:t>., 2025). These experiences support embodied learning, where cognition is closely connected to physical interaction with the environment (Dahlberg, Moss and Pence, 2007). However, many of these findings derive from contexts where outdoor provision is already well-developed, raising questions regarding their transferability to settings with more limited access and resources.</w:t>
      </w:r>
    </w:p>
    <w:p w14:paraId="5CC8A8EA" w14:textId="77777777" w:rsidR="00595A59" w:rsidRPr="00DB4DEC" w:rsidRDefault="00595A59" w:rsidP="00DB4DEC">
      <w:pPr>
        <w:spacing w:line="360" w:lineRule="auto"/>
        <w:rPr>
          <w:rFonts w:ascii="Arial" w:hAnsi="Arial" w:cs="Arial"/>
          <w:sz w:val="20"/>
          <w:szCs w:val="20"/>
        </w:rPr>
      </w:pPr>
      <w:r w:rsidRPr="00DB4DEC">
        <w:rPr>
          <w:rFonts w:ascii="Arial" w:hAnsi="Arial" w:cs="Arial"/>
          <w:sz w:val="20"/>
          <w:szCs w:val="20"/>
        </w:rPr>
        <w:t xml:space="preserve">These benefits are not consistently realised across settings. Access to outdoor environments is shaped by socioeconomic, geographical and institutional factors, resulting in unequal opportunities for play-based learning (Estyn, 2023; Kiviranta </w:t>
      </w:r>
      <w:r w:rsidRPr="00426D41">
        <w:rPr>
          <w:rFonts w:ascii="Arial" w:hAnsi="Arial" w:cs="Arial"/>
          <w:i/>
          <w:iCs/>
          <w:sz w:val="20"/>
          <w:szCs w:val="20"/>
        </w:rPr>
        <w:t>et al</w:t>
      </w:r>
      <w:r w:rsidRPr="00DB4DEC">
        <w:rPr>
          <w:rFonts w:ascii="Arial" w:hAnsi="Arial" w:cs="Arial"/>
          <w:sz w:val="20"/>
          <w:szCs w:val="20"/>
        </w:rPr>
        <w:t xml:space="preserve">., 2023). For example, some non-maintained settings operating from older or community buildings may have access only to small hard-surfaced outdoor areas or timetabled outdoor use, restricting opportunities for continuous exploratory play (Estyn, 2023). Additionally, limited resources and practitioner confidence may further constrain effective implementation (Kiviranta </w:t>
      </w:r>
      <w:r w:rsidRPr="00426D41">
        <w:rPr>
          <w:rFonts w:ascii="Arial" w:hAnsi="Arial" w:cs="Arial"/>
          <w:i/>
          <w:iCs/>
          <w:sz w:val="20"/>
          <w:szCs w:val="20"/>
        </w:rPr>
        <w:t>et al</w:t>
      </w:r>
      <w:r w:rsidRPr="00DB4DEC">
        <w:rPr>
          <w:rFonts w:ascii="Arial" w:hAnsi="Arial" w:cs="Arial"/>
          <w:sz w:val="20"/>
          <w:szCs w:val="20"/>
        </w:rPr>
        <w:t xml:space="preserve">., 2023). As a result, outdoor play cannot be understood as inherently </w:t>
      </w:r>
      <w:r w:rsidRPr="00DB4DEC">
        <w:rPr>
          <w:rFonts w:ascii="Arial" w:hAnsi="Arial" w:cs="Arial"/>
          <w:sz w:val="20"/>
          <w:szCs w:val="20"/>
        </w:rPr>
        <w:lastRenderedPageBreak/>
        <w:t>developmental, but as dependent upon the structural and pedagogical conditions in which it is enacted.</w:t>
      </w:r>
    </w:p>
    <w:p w14:paraId="19051039" w14:textId="77777777" w:rsidR="00595A59" w:rsidRPr="00DB4DEC" w:rsidRDefault="00595A59" w:rsidP="00DB4DEC">
      <w:pPr>
        <w:spacing w:line="360" w:lineRule="auto"/>
        <w:rPr>
          <w:rFonts w:ascii="Arial" w:hAnsi="Arial" w:cs="Arial"/>
          <w:sz w:val="20"/>
          <w:szCs w:val="20"/>
        </w:rPr>
      </w:pPr>
      <w:r w:rsidRPr="00DB4DEC">
        <w:rPr>
          <w:rFonts w:ascii="Arial" w:hAnsi="Arial" w:cs="Arial"/>
          <w:sz w:val="20"/>
          <w:szCs w:val="20"/>
        </w:rPr>
        <w:t>The use of loose parts and open-ended materials further illustrates outdoor play as a pedagogical approach. Materials such as sticks, stones and water enable children to manipulate and transform their environment, fostering creativity and divergent thinking (Nicholson, 1971). While this aligns with Froebelian principles of exploration and discovery, implementation is often shaped by adult perceptions of risk and control. In practice, safety and accountability concerns may restrict opportunities for exploratory play, reflecting tensions between Froebelian ideals and risk-averse regulatory frameworks. Examples of effective practice identified by Estyn demonstrate what more sustained outdoor pedagogy can look like in practice. Settings with extensive outdoor provision were found to support children’s confidence, resilience and problem-solving through activities such as forest schools, loose parts play and exploratory “scrapyard” environments using real tools and open-ended materials (Estyn, 2023). However, such provision appears dependent upon significant investment, practitioner expertise and available outdoor infrastructure, conditions not consistently available across the non-maintained sector.</w:t>
      </w:r>
    </w:p>
    <w:p w14:paraId="724C0DCE" w14:textId="77777777" w:rsidR="00595A59" w:rsidRPr="00DB4DEC" w:rsidRDefault="00595A59" w:rsidP="00DB4DEC">
      <w:pPr>
        <w:spacing w:line="360" w:lineRule="auto"/>
        <w:rPr>
          <w:rFonts w:ascii="Arial" w:hAnsi="Arial" w:cs="Arial"/>
          <w:sz w:val="20"/>
          <w:szCs w:val="20"/>
        </w:rPr>
      </w:pPr>
      <w:r w:rsidRPr="00DB4DEC">
        <w:rPr>
          <w:rFonts w:ascii="Arial" w:hAnsi="Arial" w:cs="Arial"/>
          <w:sz w:val="20"/>
          <w:szCs w:val="20"/>
        </w:rPr>
        <w:t xml:space="preserve">The role of the adult within outdoor play highlights ongoing tensions between child-led and guided learning. While Froebelian philosophy positions the adult as a facilitator (Tovey, 2013), Vygotsky (1978) emphasises the importance of social interaction and scaffolding in extending learning. Approaches such as sustained shared thinking demonstrate how adult involvement can deepen learning experiences (Siraj-Blatchford </w:t>
      </w:r>
      <w:r w:rsidRPr="00426D41">
        <w:rPr>
          <w:rFonts w:ascii="Arial" w:hAnsi="Arial" w:cs="Arial"/>
          <w:i/>
          <w:iCs/>
          <w:sz w:val="20"/>
          <w:szCs w:val="20"/>
        </w:rPr>
        <w:t>et al</w:t>
      </w:r>
      <w:r w:rsidRPr="00DB4DEC">
        <w:rPr>
          <w:rFonts w:ascii="Arial" w:hAnsi="Arial" w:cs="Arial"/>
          <w:sz w:val="20"/>
          <w:szCs w:val="20"/>
        </w:rPr>
        <w:t>., 2002), yet excessive intervention may limit autonomy, while insufficient support risks superficial engagement. Consequently, the adult role cannot be understood as purely facilitative, but as requiring ongoing negotiation between competing pedagogical demands.</w:t>
      </w:r>
    </w:p>
    <w:p w14:paraId="6ABA9364" w14:textId="77777777" w:rsidR="00595A59" w:rsidRPr="00DB4DEC" w:rsidRDefault="00595A59" w:rsidP="00DB4DEC">
      <w:pPr>
        <w:spacing w:line="360" w:lineRule="auto"/>
        <w:rPr>
          <w:rFonts w:ascii="Arial" w:hAnsi="Arial" w:cs="Arial"/>
          <w:sz w:val="20"/>
          <w:szCs w:val="20"/>
        </w:rPr>
      </w:pPr>
      <w:r w:rsidRPr="00DB4DEC">
        <w:rPr>
          <w:rFonts w:ascii="Arial" w:hAnsi="Arial" w:cs="Arial"/>
          <w:sz w:val="20"/>
          <w:szCs w:val="20"/>
        </w:rPr>
        <w:t>These expectations must also be understood within the structural realities of early years provision. Factors including staff ratios, time pressures and practitioner confidence shape how outdoor play is enacted, limiting opportunities for responsive facilitation. Increasing expectations surrounding assessment, accountability, inclusion and curriculum delivery have further intensified demands on practitioners, contributing to what Jefferson and Anderson (2021) describe as a “pedagogy parachute”, where layered professional expectations make responsive play-based pedagogy increasingly difficult to sustain.</w:t>
      </w:r>
    </w:p>
    <w:p w14:paraId="12B55167" w14:textId="77777777" w:rsidR="00595A59" w:rsidRPr="00DB4DEC" w:rsidRDefault="00595A59" w:rsidP="00DB4DEC">
      <w:pPr>
        <w:spacing w:line="360" w:lineRule="auto"/>
        <w:rPr>
          <w:rFonts w:ascii="Arial" w:hAnsi="Arial" w:cs="Arial"/>
          <w:sz w:val="20"/>
          <w:szCs w:val="20"/>
        </w:rPr>
      </w:pPr>
      <w:r w:rsidRPr="00DB4DEC">
        <w:rPr>
          <w:rFonts w:ascii="Arial" w:hAnsi="Arial" w:cs="Arial"/>
          <w:sz w:val="20"/>
          <w:szCs w:val="20"/>
        </w:rPr>
        <w:t xml:space="preserve">Broader theoretical perspectives further complicate this relationship. Bronfenbrenner’s (1979) ecological systems theory highlights the influence of wider social, cultural and policy contexts on children’s development, while post-humanist approaches position the environment as an active participant in learning (Taylor, 2013). However, the application of these perspectives within structured educational systems remains limited, suggesting a disconnect between relational theories of learning and the regulatory frameworks shaping practice. From this perspective, the environment can be </w:t>
      </w:r>
      <w:r w:rsidRPr="00DB4DEC">
        <w:rPr>
          <w:rFonts w:ascii="Arial" w:hAnsi="Arial" w:cs="Arial"/>
          <w:sz w:val="20"/>
          <w:szCs w:val="20"/>
        </w:rPr>
        <w:lastRenderedPageBreak/>
        <w:t>understood as more than simply a backdrop for learning, instead functioning as an active participant within children’s experiences and meaning-making processes (Taylor, 2013).</w:t>
      </w:r>
    </w:p>
    <w:p w14:paraId="3610498F" w14:textId="424AEEE8" w:rsidR="00E84246" w:rsidRPr="00DB4DEC" w:rsidRDefault="00E84246" w:rsidP="00DB4DEC">
      <w:pPr>
        <w:spacing w:line="360" w:lineRule="auto"/>
        <w:rPr>
          <w:rFonts w:ascii="Arial" w:hAnsi="Arial" w:cs="Arial"/>
          <w:sz w:val="20"/>
          <w:szCs w:val="20"/>
        </w:rPr>
      </w:pPr>
      <w:r w:rsidRPr="00DB4DEC">
        <w:rPr>
          <w:rFonts w:ascii="Arial" w:hAnsi="Arial" w:cs="Arial"/>
          <w:sz w:val="20"/>
          <w:szCs w:val="20"/>
        </w:rPr>
        <w:t>Risk and challenge are also central to outdoor play pedagogy. Research suggests that manageable risk supports children’s confidence, resilience and decision-making (</w:t>
      </w:r>
      <w:proofErr w:type="spellStart"/>
      <w:r w:rsidRPr="00DB4DEC">
        <w:rPr>
          <w:rFonts w:ascii="Arial" w:hAnsi="Arial" w:cs="Arial"/>
          <w:sz w:val="20"/>
          <w:szCs w:val="20"/>
        </w:rPr>
        <w:t>Sandseter</w:t>
      </w:r>
      <w:proofErr w:type="spellEnd"/>
      <w:r w:rsidRPr="00DB4DEC">
        <w:rPr>
          <w:rFonts w:ascii="Arial" w:hAnsi="Arial" w:cs="Arial"/>
          <w:sz w:val="20"/>
          <w:szCs w:val="20"/>
        </w:rPr>
        <w:t xml:space="preserve">, 2007). </w:t>
      </w:r>
      <w:proofErr w:type="spellStart"/>
      <w:r w:rsidR="001E58F1" w:rsidRPr="001E58F1">
        <w:rPr>
          <w:rFonts w:ascii="Arial" w:hAnsi="Arial" w:cs="Arial"/>
          <w:sz w:val="20"/>
          <w:szCs w:val="20"/>
        </w:rPr>
        <w:t>Bilton</w:t>
      </w:r>
      <w:proofErr w:type="spellEnd"/>
      <w:r w:rsidR="001E58F1" w:rsidRPr="001E58F1">
        <w:rPr>
          <w:rFonts w:ascii="Arial" w:hAnsi="Arial" w:cs="Arial"/>
          <w:sz w:val="20"/>
          <w:szCs w:val="20"/>
        </w:rPr>
        <w:t xml:space="preserve"> (2010) similarly argues that effective outdoor pedagogy requires environments that balance safety with opportunities for challenge and exploration.</w:t>
      </w:r>
      <w:r w:rsidR="001E58F1">
        <w:rPr>
          <w:rFonts w:ascii="Arial" w:hAnsi="Arial" w:cs="Arial"/>
          <w:sz w:val="20"/>
          <w:szCs w:val="20"/>
        </w:rPr>
        <w:t xml:space="preserve"> </w:t>
      </w:r>
      <w:r w:rsidRPr="00DB4DEC">
        <w:rPr>
          <w:rFonts w:ascii="Arial" w:hAnsi="Arial" w:cs="Arial"/>
          <w:sz w:val="20"/>
          <w:szCs w:val="20"/>
        </w:rPr>
        <w:t>However, early years settings are often characterised by risk-averse cultures, where safety and accountability concerns restrict opportunities for challenge (Wood, 2014; Bradbury, 2023). This reflects an ideological tension between discourses of protection and pedagogical approaches that value exploration and uncertainty. Consequently, risk can be understood not simply as a pedagogical consideration, but as a site where broader institutional priorities shape the limits of children’s experiences.</w:t>
      </w:r>
    </w:p>
    <w:p w14:paraId="29E2C406" w14:textId="77777777" w:rsidR="00E84246" w:rsidRPr="00DB4DEC" w:rsidRDefault="00E84246" w:rsidP="00DB4DEC">
      <w:pPr>
        <w:spacing w:line="360" w:lineRule="auto"/>
        <w:rPr>
          <w:rFonts w:ascii="Arial" w:hAnsi="Arial" w:cs="Arial"/>
          <w:sz w:val="20"/>
          <w:szCs w:val="20"/>
        </w:rPr>
      </w:pPr>
      <w:r w:rsidRPr="00DB4DEC">
        <w:rPr>
          <w:rFonts w:ascii="Arial" w:hAnsi="Arial" w:cs="Arial"/>
          <w:sz w:val="20"/>
          <w:szCs w:val="20"/>
        </w:rPr>
        <w:t>Overall, while outdoor play reflects key Froebelian principles, its effectiveness is shaped by the interaction between adult roles, structural conditions and wider policy contexts. Rather than representing a consistently enacted pedagogy, outdoor play can be understood as a negotiated practice in which philosophical ideals are mediated by the realities of early years provision.</w:t>
      </w:r>
    </w:p>
    <w:p w14:paraId="7B86E22F" w14:textId="5E63C2FA" w:rsidR="00E84246" w:rsidRPr="00DB4DEC" w:rsidRDefault="00E84246" w:rsidP="00DB4DEC">
      <w:pPr>
        <w:spacing w:line="360" w:lineRule="auto"/>
        <w:rPr>
          <w:rFonts w:ascii="Arial" w:hAnsi="Arial" w:cs="Arial"/>
          <w:sz w:val="20"/>
          <w:szCs w:val="20"/>
        </w:rPr>
      </w:pPr>
      <w:r w:rsidRPr="00DB4DEC">
        <w:rPr>
          <w:rFonts w:ascii="Arial" w:hAnsi="Arial" w:cs="Arial"/>
          <w:sz w:val="20"/>
          <w:szCs w:val="20"/>
        </w:rPr>
        <w:t xml:space="preserve">The Curriculum for Funded Non-Maintained Nursery Settings in Wales provides opportunities for the enactment of Froebelian principles through its emphasis on play-based, child-centred learning and the role of the environment (Welsh Government, 2023). Froebel’s emphasis on self-activity, holistic development and engagement with nature aligns with curriculum expectations that position play as the primary vehicle for learning (Tovey, 2013). </w:t>
      </w:r>
      <w:r w:rsidR="00A36BA9" w:rsidRPr="00A36BA9">
        <w:rPr>
          <w:rFonts w:ascii="Arial" w:hAnsi="Arial" w:cs="Arial"/>
          <w:sz w:val="20"/>
          <w:szCs w:val="20"/>
        </w:rPr>
        <w:t>While the curriculum does not explicitly identify itself as Froebelian, its emphasis on play-based, child-centred and experiential learning reflects principles commonly associated with Froebelian pedagogy</w:t>
      </w:r>
      <w:r w:rsidR="00C60DF9">
        <w:rPr>
          <w:rFonts w:ascii="Arial" w:hAnsi="Arial" w:cs="Arial"/>
          <w:sz w:val="20"/>
          <w:szCs w:val="20"/>
        </w:rPr>
        <w:t xml:space="preserve">. </w:t>
      </w:r>
      <w:r w:rsidR="006B05B5" w:rsidRPr="00DB4DEC">
        <w:rPr>
          <w:rFonts w:ascii="Arial" w:hAnsi="Arial" w:cs="Arial"/>
          <w:sz w:val="20"/>
          <w:szCs w:val="20"/>
        </w:rPr>
        <w:t>Welsh curriculum guidance also positions the learning environment as a key enabler for authentic learning opportunities both indoors and outdoors (Welsh Government, 2022).</w:t>
      </w:r>
      <w:r w:rsidR="00A44246" w:rsidRPr="00DB4DEC">
        <w:rPr>
          <w:rFonts w:ascii="Arial" w:hAnsi="Arial" w:cs="Arial"/>
          <w:sz w:val="20"/>
          <w:szCs w:val="20"/>
        </w:rPr>
        <w:t xml:space="preserve"> </w:t>
      </w:r>
      <w:r w:rsidRPr="00DB4DEC">
        <w:rPr>
          <w:rFonts w:ascii="Arial" w:hAnsi="Arial" w:cs="Arial"/>
          <w:sz w:val="20"/>
          <w:szCs w:val="20"/>
        </w:rPr>
        <w:t xml:space="preserve">However, this alignment appears more conceptual than structural, raising questions regarding the extent to which the curriculum can be considered authentically Froebelian in practice. Evidence suggests that practitioners often struggle to balance play-based approaches with academic expectations, sometimes reverting to more structured teaching practices (Walsh </w:t>
      </w:r>
      <w:r w:rsidRPr="00426D41">
        <w:rPr>
          <w:rFonts w:ascii="Arial" w:hAnsi="Arial" w:cs="Arial"/>
          <w:i/>
          <w:iCs/>
          <w:sz w:val="20"/>
          <w:szCs w:val="20"/>
        </w:rPr>
        <w:t>et al</w:t>
      </w:r>
      <w:r w:rsidRPr="00DB4DEC">
        <w:rPr>
          <w:rFonts w:ascii="Arial" w:hAnsi="Arial" w:cs="Arial"/>
          <w:sz w:val="20"/>
          <w:szCs w:val="20"/>
        </w:rPr>
        <w:t>., 2010). Consequently, play-based pedagogy may be constrained by underlying demands for progression and accountability.</w:t>
      </w:r>
    </w:p>
    <w:p w14:paraId="00A01446" w14:textId="20496AEA" w:rsidR="00E84246" w:rsidRPr="00DB4DEC" w:rsidRDefault="00E84246" w:rsidP="00DB4DEC">
      <w:pPr>
        <w:spacing w:line="360" w:lineRule="auto"/>
        <w:rPr>
          <w:rFonts w:ascii="Arial" w:hAnsi="Arial" w:cs="Arial"/>
          <w:sz w:val="20"/>
          <w:szCs w:val="20"/>
        </w:rPr>
      </w:pPr>
      <w:r w:rsidRPr="00DB4DEC">
        <w:rPr>
          <w:rFonts w:ascii="Arial" w:hAnsi="Arial" w:cs="Arial"/>
          <w:sz w:val="20"/>
          <w:szCs w:val="20"/>
        </w:rPr>
        <w:t xml:space="preserve">This limitation is particularly evident in relation to outdoor learning. Froebelian principles position engagement with nature as essential rather than optional (Tovey, 2013), yet the Welsh curriculum does not mandate consistent or sustained outdoor provision. As a result, access to outdoor learning remains dependent upon setting-level interpretation rather than guaranteed entitlement. The repeated emphasis within Welsh guidance and inspection frameworks on “free flow” outdoor access further suggests that such provision is not consistently available across settings (Estyn, 2023; Welsh Government, 2023). Consequently, </w:t>
      </w:r>
      <w:r w:rsidR="0062026F">
        <w:rPr>
          <w:rFonts w:ascii="Arial" w:hAnsi="Arial" w:cs="Arial"/>
          <w:sz w:val="20"/>
          <w:szCs w:val="20"/>
        </w:rPr>
        <w:t>t</w:t>
      </w:r>
      <w:r w:rsidR="006D1ADA" w:rsidRPr="006D1ADA">
        <w:rPr>
          <w:rFonts w:ascii="Arial" w:hAnsi="Arial" w:cs="Arial"/>
          <w:sz w:val="20"/>
          <w:szCs w:val="20"/>
        </w:rPr>
        <w:t xml:space="preserve">he curriculum’s alignment with Froebelian principles can therefore </w:t>
      </w:r>
      <w:r w:rsidR="006D1ADA" w:rsidRPr="006D1ADA">
        <w:rPr>
          <w:rFonts w:ascii="Arial" w:hAnsi="Arial" w:cs="Arial"/>
          <w:sz w:val="20"/>
          <w:szCs w:val="20"/>
        </w:rPr>
        <w:lastRenderedPageBreak/>
        <w:t xml:space="preserve">be understood as partial rather than fully authentic, reflecting conceptual alignment without the structural conditions required for sustained </w:t>
      </w:r>
      <w:r w:rsidR="0062091D" w:rsidRPr="006D1ADA">
        <w:rPr>
          <w:rFonts w:ascii="Arial" w:hAnsi="Arial" w:cs="Arial"/>
          <w:sz w:val="20"/>
          <w:szCs w:val="20"/>
        </w:rPr>
        <w:t>enactment.</w:t>
      </w:r>
    </w:p>
    <w:p w14:paraId="0DB9F148" w14:textId="77777777" w:rsidR="004E084C" w:rsidRPr="00DB4DEC" w:rsidRDefault="004E084C" w:rsidP="00DB4DEC">
      <w:pPr>
        <w:spacing w:line="360" w:lineRule="auto"/>
        <w:rPr>
          <w:rFonts w:ascii="Arial" w:hAnsi="Arial" w:cs="Arial"/>
          <w:sz w:val="20"/>
          <w:szCs w:val="20"/>
        </w:rPr>
      </w:pPr>
      <w:r w:rsidRPr="00DB4DEC">
        <w:rPr>
          <w:rFonts w:ascii="Arial" w:hAnsi="Arial" w:cs="Arial"/>
          <w:sz w:val="20"/>
          <w:szCs w:val="20"/>
        </w:rPr>
        <w:t xml:space="preserve">Despite these constraints, the curriculum does present opportunities for supporting key aspects of Froebelian pedagogy. Outdoor, experiential play has been shown to support physical health, emotional regulation and overall wellbeing (Davis, 2015), aligning with the curriculum’s focus on Health and Well-being (Welsh Government, 2022). Longitudinal research, including the EPPE and EPPSE studies, further highlights the importance of high-quality early years provision in supporting long-term cognitive and social outcomes (Sylva </w:t>
      </w:r>
      <w:r w:rsidRPr="00426D41">
        <w:rPr>
          <w:rFonts w:ascii="Arial" w:hAnsi="Arial" w:cs="Arial"/>
          <w:i/>
          <w:iCs/>
          <w:sz w:val="20"/>
          <w:szCs w:val="20"/>
        </w:rPr>
        <w:t>et al</w:t>
      </w:r>
      <w:r w:rsidRPr="00DB4DEC">
        <w:rPr>
          <w:rFonts w:ascii="Arial" w:hAnsi="Arial" w:cs="Arial"/>
          <w:sz w:val="20"/>
          <w:szCs w:val="20"/>
        </w:rPr>
        <w:t>., 2004). However, these benefits remain dependent upon the quality and consistency of provision, suggesting that policy alignment alone is insufficient to secure such outcomes within practice.</w:t>
      </w:r>
    </w:p>
    <w:p w14:paraId="3169FF18" w14:textId="77777777" w:rsidR="004E084C" w:rsidRPr="00DB4DEC" w:rsidRDefault="004E084C" w:rsidP="00DB4DEC">
      <w:pPr>
        <w:spacing w:line="360" w:lineRule="auto"/>
        <w:rPr>
          <w:rFonts w:ascii="Arial" w:hAnsi="Arial" w:cs="Arial"/>
          <w:sz w:val="20"/>
          <w:szCs w:val="20"/>
        </w:rPr>
      </w:pPr>
      <w:r w:rsidRPr="00DB4DEC">
        <w:rPr>
          <w:rFonts w:ascii="Arial" w:hAnsi="Arial" w:cs="Arial"/>
          <w:sz w:val="20"/>
          <w:szCs w:val="20"/>
        </w:rPr>
        <w:t>The curriculum also promotes children’s agency and autonomy, reflecting Froebelian principles of the child as an active, self-directed learner (Tovey, 2013; Welsh Government, 2023). In Welsh-medium contexts, including those supported by Mudiad Meithrin, this may be further enhanced through opportunities for language development within meaningful play-based interactions. However, the extent to which this agency is realised remains shaped by practitioner interpretation and systemic conditions, suggesting that children’s autonomy may be more limited in practice than policy discourse implies. This also raises broader questions concerning children’s rights within early childhood education, particularly in relation to Article 31 of the United Nations Convention on the Rights of the Child, which recognises children’s right to play (United Nations, 1989).</w:t>
      </w:r>
    </w:p>
    <w:p w14:paraId="4A6C0E70" w14:textId="77777777" w:rsidR="004E084C" w:rsidRPr="00DB4DEC" w:rsidRDefault="004E084C" w:rsidP="00DB4DEC">
      <w:pPr>
        <w:spacing w:line="360" w:lineRule="auto"/>
        <w:rPr>
          <w:rFonts w:ascii="Arial" w:hAnsi="Arial" w:cs="Arial"/>
          <w:sz w:val="20"/>
          <w:szCs w:val="20"/>
        </w:rPr>
      </w:pPr>
      <w:r w:rsidRPr="00DB4DEC">
        <w:rPr>
          <w:rFonts w:ascii="Arial" w:hAnsi="Arial" w:cs="Arial"/>
          <w:sz w:val="20"/>
          <w:szCs w:val="20"/>
        </w:rPr>
        <w:t>However, the implementation of Froebelian principles within contemporary early years settings remains constrained by structural, pedagogical and ideological barriers. Factors including funding, staff ratios and access to resources act as significant constraints, with research and inspection evidence identifying these as persistent barriers to the consistent implementation of high-quality play-based provision (Estyn, 2023; Parker, Thomsen and Berry, 2022). Funding inequalities further contribute to inconsistency across provision. Estyn (2024) reported that some non-maintained settings, particularly those operating within disadvantaged communities, did not always receive sufficient Early Years Pupil Development Grant (EYPDG) support due to inconsistencies in local funding formulas. This is particularly significant for non-maintained settings such as Cylchoedd Meithrin, which may rely upon limited resources and shared community facilities.</w:t>
      </w:r>
    </w:p>
    <w:p w14:paraId="2E72CCE9" w14:textId="0D567646" w:rsidR="004E084C" w:rsidRPr="00DB4DEC" w:rsidRDefault="00A53904" w:rsidP="00DB4DEC">
      <w:pPr>
        <w:spacing w:line="360" w:lineRule="auto"/>
        <w:rPr>
          <w:rFonts w:ascii="Arial" w:hAnsi="Arial" w:cs="Arial"/>
          <w:sz w:val="20"/>
          <w:szCs w:val="20"/>
        </w:rPr>
      </w:pPr>
      <w:r w:rsidRPr="00A53904">
        <w:rPr>
          <w:rFonts w:ascii="Arial" w:hAnsi="Arial" w:cs="Arial"/>
          <w:sz w:val="20"/>
          <w:szCs w:val="20"/>
        </w:rPr>
        <w:t>While policy</w:t>
      </w:r>
      <w:r>
        <w:rPr>
          <w:rFonts w:ascii="Arial" w:hAnsi="Arial" w:cs="Arial"/>
          <w:sz w:val="20"/>
          <w:szCs w:val="20"/>
        </w:rPr>
        <w:t xml:space="preserve"> </w:t>
      </w:r>
      <w:r w:rsidR="004E084C" w:rsidRPr="00DB4DEC">
        <w:rPr>
          <w:rFonts w:ascii="Arial" w:hAnsi="Arial" w:cs="Arial"/>
          <w:sz w:val="20"/>
          <w:szCs w:val="20"/>
        </w:rPr>
        <w:t xml:space="preserve">promotes experiential environments, access to outdoor space and materials remains uneven, particularly within resource-limited contexts (Welsh Government, 2023). In practice, barriers including limited funding, inadequate outdoor infrastructure and reliance on weather-dependent provision may reduce outdoor learning to short or occasional experiences rather than a continuous pedagogical environment. </w:t>
      </w:r>
      <w:r w:rsidR="00E115CB" w:rsidRPr="00DB4DEC">
        <w:rPr>
          <w:rFonts w:ascii="Arial" w:hAnsi="Arial" w:cs="Arial"/>
          <w:sz w:val="20"/>
          <w:szCs w:val="20"/>
        </w:rPr>
        <w:t>In some settings, limitations relating to secure outdoor access and weather-appropriate environments may further restrict opportunities for sustained outdoor pedagogy.</w:t>
      </w:r>
      <w:r w:rsidR="00A20AC1" w:rsidRPr="00DB4DEC">
        <w:rPr>
          <w:rFonts w:ascii="Arial" w:hAnsi="Arial" w:cs="Arial"/>
          <w:sz w:val="20"/>
          <w:szCs w:val="20"/>
        </w:rPr>
        <w:t xml:space="preserve"> </w:t>
      </w:r>
      <w:r w:rsidR="004E084C" w:rsidRPr="00DB4DEC">
        <w:rPr>
          <w:rFonts w:ascii="Arial" w:hAnsi="Arial" w:cs="Arial"/>
          <w:sz w:val="20"/>
          <w:szCs w:val="20"/>
        </w:rPr>
        <w:t xml:space="preserve">From a Froebelian perspective, this is significant because engagement with nature is intended to be embedded within children’s everyday experiences rather than positioned as an additional activity. </w:t>
      </w:r>
      <w:r w:rsidR="004E084C" w:rsidRPr="00DB4DEC">
        <w:rPr>
          <w:rFonts w:ascii="Arial" w:hAnsi="Arial" w:cs="Arial"/>
          <w:sz w:val="20"/>
          <w:szCs w:val="20"/>
        </w:rPr>
        <w:lastRenderedPageBreak/>
        <w:t>Consequently, the extent to which the curriculum can reflect Froebelian principles remains dependent not only upon curriculum guidance, but also upon the material conditions within individual settings (Estyn, 2023; Parker, Thomsen and Berry, 2022).</w:t>
      </w:r>
    </w:p>
    <w:p w14:paraId="052BC18B" w14:textId="13E739CA" w:rsidR="004E084C" w:rsidRPr="00DB4DEC" w:rsidRDefault="004E084C" w:rsidP="00DB4DEC">
      <w:pPr>
        <w:spacing w:line="360" w:lineRule="auto"/>
        <w:rPr>
          <w:rFonts w:ascii="Arial" w:hAnsi="Arial" w:cs="Arial"/>
          <w:sz w:val="20"/>
          <w:szCs w:val="20"/>
        </w:rPr>
      </w:pPr>
      <w:r w:rsidRPr="00DB4DEC">
        <w:rPr>
          <w:rFonts w:ascii="Arial" w:hAnsi="Arial" w:cs="Arial"/>
          <w:sz w:val="20"/>
          <w:szCs w:val="20"/>
        </w:rPr>
        <w:t>These constraints are closely linked to pedagogical challenges at practitioner level. The effectiveness of play-based learning depends upon practitioner knowledge and the ability to balance child-led exploration with intentional support (Wood, 2014). However, this requires considerable professional judgement, and practitioners may struggle to interpret what “learning through play” looks like in practice, particularly within assessment-driven contexts (Conn and Murphy, 2022). Training opportunities such as the ‘Bod y Tu Allan’ programme highlight the need for targeted professional development, while also indicating that outdoor pedagogy is not consistently embedded within the workforce (Mudiad Meithrin, 2023</w:t>
      </w:r>
      <w:r w:rsidR="00823A29">
        <w:rPr>
          <w:rFonts w:ascii="Arial" w:hAnsi="Arial" w:cs="Arial"/>
          <w:sz w:val="20"/>
          <w:szCs w:val="20"/>
        </w:rPr>
        <w:t>b</w:t>
      </w:r>
      <w:r w:rsidRPr="00DB4DEC">
        <w:rPr>
          <w:rFonts w:ascii="Arial" w:hAnsi="Arial" w:cs="Arial"/>
          <w:sz w:val="20"/>
          <w:szCs w:val="20"/>
        </w:rPr>
        <w:t>). Estyn (2024) further identified variation in access to professional learning across the early years sector, with practitioners reporting limited opportunities for training related to effective outdoor pedagogy and play-based learning. Froebelian approaches therefore place substantial demands upon workforce knowledge, confidence and professional autonomy, extending beyond the supervision of play alone.</w:t>
      </w:r>
    </w:p>
    <w:p w14:paraId="6022D79F" w14:textId="77777777" w:rsidR="00037BF4" w:rsidRPr="00DB4DEC" w:rsidRDefault="00037BF4" w:rsidP="00DB4DEC">
      <w:pPr>
        <w:spacing w:line="360" w:lineRule="auto"/>
        <w:rPr>
          <w:rFonts w:ascii="Arial" w:hAnsi="Arial" w:cs="Arial"/>
          <w:sz w:val="20"/>
          <w:szCs w:val="20"/>
        </w:rPr>
      </w:pPr>
      <w:r w:rsidRPr="00DB4DEC">
        <w:rPr>
          <w:rFonts w:ascii="Arial" w:hAnsi="Arial" w:cs="Arial"/>
          <w:sz w:val="20"/>
          <w:szCs w:val="20"/>
        </w:rPr>
        <w:t xml:space="preserve">The role of the adult further illustrates this tension. While Froebel emphasised facilitation (Tovey, 2013) and Vygotsky highlights the importance of interaction and scaffolding (Vygotsky, 1978), achieving this balance is difficult within ratio-driven environments where time and attention are limited. In such contexts, practitioners may prioritise supervision and routine over sustained interaction, limiting opportunities for sustained shared thinking and reducing play to surface-level engagement. Approaches such as sustained shared thinking demonstrate how adults can extend learning (Siraj-Blatchford </w:t>
      </w:r>
      <w:r w:rsidRPr="00426D41">
        <w:rPr>
          <w:rFonts w:ascii="Arial" w:hAnsi="Arial" w:cs="Arial"/>
          <w:i/>
          <w:iCs/>
          <w:sz w:val="20"/>
          <w:szCs w:val="20"/>
        </w:rPr>
        <w:t>et al</w:t>
      </w:r>
      <w:r w:rsidRPr="00DB4DEC">
        <w:rPr>
          <w:rFonts w:ascii="Arial" w:hAnsi="Arial" w:cs="Arial"/>
          <w:sz w:val="20"/>
          <w:szCs w:val="20"/>
        </w:rPr>
        <w:t>., 2002), yet excessive intervention may limit autonomy while insufficient support risks superficial engagement. Consequently, the adult role cannot be understood as purely facilitative, but as negotiated within the realities of practice.</w:t>
      </w:r>
    </w:p>
    <w:p w14:paraId="33B6E779" w14:textId="02B52AD4" w:rsidR="00037BF4" w:rsidRPr="00DB4DEC" w:rsidRDefault="00037BF4" w:rsidP="00DB4DEC">
      <w:pPr>
        <w:spacing w:line="360" w:lineRule="auto"/>
        <w:rPr>
          <w:rFonts w:ascii="Arial" w:hAnsi="Arial" w:cs="Arial"/>
          <w:sz w:val="20"/>
          <w:szCs w:val="20"/>
        </w:rPr>
      </w:pPr>
      <w:r w:rsidRPr="00DB4DEC">
        <w:rPr>
          <w:rFonts w:ascii="Arial" w:hAnsi="Arial" w:cs="Arial"/>
          <w:sz w:val="20"/>
          <w:szCs w:val="20"/>
        </w:rPr>
        <w:t xml:space="preserve">Ideological barriers further complicate the enactment of Froebelian principles. Increasing emphasis on school readiness, assessment and measurable outcomes often conflicts with the open-ended nature of play. </w:t>
      </w:r>
      <w:r w:rsidR="00841E5F" w:rsidRPr="00DB4DEC">
        <w:rPr>
          <w:rFonts w:ascii="Arial" w:hAnsi="Arial" w:cs="Arial"/>
          <w:sz w:val="20"/>
          <w:szCs w:val="20"/>
        </w:rPr>
        <w:t xml:space="preserve">Supporters of more structured pedagogical approaches may argue that explicit instruction and measurable progression are necessary to ensure consistency in educational outcomes, particularly for children considered at risk of underachievement. </w:t>
      </w:r>
      <w:r w:rsidRPr="00DB4DEC">
        <w:rPr>
          <w:rFonts w:ascii="Arial" w:hAnsi="Arial" w:cs="Arial"/>
          <w:sz w:val="20"/>
          <w:szCs w:val="20"/>
        </w:rPr>
        <w:t>As Wood (2014) argues, play is promoted in policy yet regulated in practice, while Bradbury (2023) highlights how systemic pressures limit its realisation. Consequently, play-based learning risks becoming increasingly instrumentalised in support of wider policy goals. While Welsh policy positions play as central to children’s wellbeing and holistic development (Welsh Government, 2022), it is also expected to produce measurable outcomes linked to attainment and school readiness. This creates tension with Froebelian perspectives, which position play as intrinsically meaningful rather than primarily a mechanism for accountability and progression.</w:t>
      </w:r>
    </w:p>
    <w:p w14:paraId="0ADAD857" w14:textId="77777777" w:rsidR="00037BF4" w:rsidRPr="00DB4DEC" w:rsidRDefault="00037BF4" w:rsidP="00DB4DEC">
      <w:pPr>
        <w:spacing w:line="360" w:lineRule="auto"/>
        <w:rPr>
          <w:rFonts w:ascii="Arial" w:hAnsi="Arial" w:cs="Arial"/>
          <w:sz w:val="20"/>
          <w:szCs w:val="20"/>
        </w:rPr>
      </w:pPr>
      <w:r w:rsidRPr="00DB4DEC">
        <w:rPr>
          <w:rFonts w:ascii="Arial" w:hAnsi="Arial" w:cs="Arial"/>
          <w:sz w:val="20"/>
          <w:szCs w:val="20"/>
        </w:rPr>
        <w:lastRenderedPageBreak/>
        <w:t>This tension is reinforced through the concept of “slow pedagogy”, which emphasises time, reflection and unhurried learning (Clark, 2023; Froebel Trust, 2022). However, such approaches are difficult to sustain within systems driven by progression and accountability, contributing to notions of the “hurried child”. Temporal pressures therefore further restrict the depth and continuity required for meaningful play-based learning.</w:t>
      </w:r>
    </w:p>
    <w:p w14:paraId="08AA2ABF" w14:textId="77777777" w:rsidR="00037BF4" w:rsidRPr="00DB4DEC" w:rsidRDefault="00037BF4" w:rsidP="00DB4DEC">
      <w:pPr>
        <w:spacing w:line="360" w:lineRule="auto"/>
        <w:rPr>
          <w:rFonts w:ascii="Arial" w:hAnsi="Arial" w:cs="Arial"/>
          <w:sz w:val="20"/>
          <w:szCs w:val="20"/>
        </w:rPr>
      </w:pPr>
      <w:r w:rsidRPr="00DB4DEC">
        <w:rPr>
          <w:rFonts w:ascii="Arial" w:hAnsi="Arial" w:cs="Arial"/>
          <w:sz w:val="20"/>
          <w:szCs w:val="20"/>
        </w:rPr>
        <w:t>Taken together, these structural, pedagogical and ideological factors reveal a persistent disconnection between Froebelian philosophy and contemporary early years systems. While Froebelian principles remain influential conceptually, their enactment continues to be shaped by competing policy, institutional and practical demands.</w:t>
      </w:r>
    </w:p>
    <w:p w14:paraId="03368A27" w14:textId="3314E1B5" w:rsidR="00037BF4" w:rsidRPr="00DB4DEC" w:rsidRDefault="00037BF4" w:rsidP="00DB4DEC">
      <w:pPr>
        <w:spacing w:line="360" w:lineRule="auto"/>
        <w:rPr>
          <w:rFonts w:ascii="Arial" w:hAnsi="Arial" w:cs="Arial"/>
          <w:sz w:val="20"/>
          <w:szCs w:val="20"/>
        </w:rPr>
      </w:pPr>
      <w:r w:rsidRPr="00DB4DEC">
        <w:rPr>
          <w:rFonts w:ascii="Arial" w:hAnsi="Arial" w:cs="Arial"/>
          <w:sz w:val="20"/>
          <w:szCs w:val="20"/>
        </w:rPr>
        <w:t xml:space="preserve">Outdoor play is also positioned as a key mechanism for supporting sustainability and children’s connection to nature. From a Froebelian perspective, engagement with the natural environment is central to holistic development (Tovey, 2013), while contemporary sustainability discourse highlights the role of early experiences in shaping ecological awareness and long-term environmental responsibility (Davis, 2015). Within Wales, this is reinforced through policy frameworks including the Well-being of Future Generations (Wales) Act 2015 and the Curriculum for Wales (Welsh Government, 2022). Outdoor play may therefore support forms of ecological citizenship by fostering emotional connection, responsibility and relational understanding towards the natural world. </w:t>
      </w:r>
      <w:r w:rsidR="00BB1C2C">
        <w:t>T</w:t>
      </w:r>
      <w:r w:rsidR="00BB1C2C" w:rsidRPr="00052AF4">
        <w:rPr>
          <w:rFonts w:ascii="Arial" w:hAnsi="Arial" w:cs="Arial"/>
          <w:sz w:val="20"/>
          <w:szCs w:val="20"/>
        </w:rPr>
        <w:t>his also connects to children’s rights discourse, where access to meaningful outdoor environments may be understood as part of children’s rights to participation, wellbeing and play.</w:t>
      </w:r>
      <w:r w:rsidR="00BB1C2C">
        <w:rPr>
          <w:rFonts w:ascii="Arial" w:hAnsi="Arial" w:cs="Arial"/>
          <w:sz w:val="20"/>
          <w:szCs w:val="20"/>
        </w:rPr>
        <w:t xml:space="preserve"> </w:t>
      </w:r>
      <w:r w:rsidRPr="00DB4DEC">
        <w:rPr>
          <w:rFonts w:ascii="Arial" w:hAnsi="Arial" w:cs="Arial"/>
          <w:sz w:val="20"/>
          <w:szCs w:val="20"/>
        </w:rPr>
        <w:t>However</w:t>
      </w:r>
      <w:r w:rsidR="00A513F2">
        <w:rPr>
          <w:rFonts w:ascii="Arial" w:hAnsi="Arial" w:cs="Arial"/>
          <w:sz w:val="20"/>
          <w:szCs w:val="20"/>
        </w:rPr>
        <w:t>,</w:t>
      </w:r>
      <w:r w:rsidRPr="00DB4DEC">
        <w:rPr>
          <w:rFonts w:ascii="Arial" w:hAnsi="Arial" w:cs="Arial"/>
          <w:sz w:val="20"/>
          <w:szCs w:val="20"/>
        </w:rPr>
        <w:t xml:space="preserve"> despite this policy emphasis</w:t>
      </w:r>
      <w:r w:rsidR="00A513F2">
        <w:rPr>
          <w:rFonts w:ascii="Arial" w:hAnsi="Arial" w:cs="Arial"/>
          <w:sz w:val="20"/>
          <w:szCs w:val="20"/>
        </w:rPr>
        <w:t xml:space="preserve"> </w:t>
      </w:r>
      <w:r w:rsidRPr="00DB4DEC">
        <w:rPr>
          <w:rFonts w:ascii="Arial" w:hAnsi="Arial" w:cs="Arial"/>
          <w:sz w:val="20"/>
          <w:szCs w:val="20"/>
        </w:rPr>
        <w:t>the integration of sustainability within early years practice remains uneven.</w:t>
      </w:r>
      <w:r w:rsidR="00052AF4" w:rsidRPr="00052AF4">
        <w:t xml:space="preserve"> </w:t>
      </w:r>
    </w:p>
    <w:p w14:paraId="5E5EA673" w14:textId="77777777" w:rsidR="00037BF4" w:rsidRPr="00DB4DEC" w:rsidRDefault="00037BF4" w:rsidP="00DB4DEC">
      <w:pPr>
        <w:spacing w:line="360" w:lineRule="auto"/>
        <w:rPr>
          <w:rFonts w:ascii="Arial" w:hAnsi="Arial" w:cs="Arial"/>
          <w:sz w:val="20"/>
          <w:szCs w:val="20"/>
        </w:rPr>
      </w:pPr>
      <w:r w:rsidRPr="00DB4DEC">
        <w:rPr>
          <w:rFonts w:ascii="Arial" w:hAnsi="Arial" w:cs="Arial"/>
          <w:sz w:val="20"/>
          <w:szCs w:val="20"/>
        </w:rPr>
        <w:t>Research suggests that sustainability is often promoted rhetorically but lacks depth in practice (Siraj-Blatchford, Hirst and Boyd, 2018). Post-humanist perspectives further position sustainability as relational and interconnected rather than as a discrete curricular theme, emphasising children’s entanglement with human and non-human worlds (Taylor, 2013). Where outdoor play is limited or inconsistently implemented, opportunities for meaningful engagement with nature are reduced, increasing the risk that sustainability becomes symbolic rather than enacted. As Bradbury (2023) argues, systemic pressures often limit the realisation of play-based approaches, reinforcing the idea that both play and sustainability may function more as policy discourse than embedded pedagogical practice.</w:t>
      </w:r>
    </w:p>
    <w:p w14:paraId="70247107" w14:textId="77777777" w:rsidR="00037BF4" w:rsidRPr="00DB4DEC" w:rsidRDefault="00037BF4" w:rsidP="00DB4DEC">
      <w:pPr>
        <w:spacing w:line="360" w:lineRule="auto"/>
        <w:rPr>
          <w:rFonts w:ascii="Arial" w:hAnsi="Arial" w:cs="Arial"/>
          <w:sz w:val="20"/>
          <w:szCs w:val="20"/>
        </w:rPr>
      </w:pPr>
      <w:r w:rsidRPr="00DB4DEC">
        <w:rPr>
          <w:rFonts w:ascii="Arial" w:hAnsi="Arial" w:cs="Arial"/>
          <w:sz w:val="20"/>
          <w:szCs w:val="20"/>
        </w:rPr>
        <w:t>International comparisons further highlight differences in the implementation of outdoor play. Nordic models, particularly in countries such as Sweden, embed outdoor learning and environmental engagement as central aspects of early childhood provision (Samuelsson and Kaga, 2008). In these contexts, outdoor play functions not as an addition to the curriculum, but as an integral component of everyday practice. This demonstrates that outdoor learning can be structurally embedded rather than positioned as an aspirational element of policy.</w:t>
      </w:r>
    </w:p>
    <w:p w14:paraId="411115ED" w14:textId="7F452362" w:rsidR="00037BF4" w:rsidRPr="00DB4DEC" w:rsidRDefault="00037BF4" w:rsidP="00DB4DEC">
      <w:pPr>
        <w:spacing w:line="360" w:lineRule="auto"/>
        <w:rPr>
          <w:rFonts w:ascii="Arial" w:hAnsi="Arial" w:cs="Arial"/>
          <w:sz w:val="20"/>
          <w:szCs w:val="20"/>
        </w:rPr>
      </w:pPr>
      <w:r w:rsidRPr="00DB4DEC">
        <w:rPr>
          <w:rFonts w:ascii="Arial" w:hAnsi="Arial" w:cs="Arial"/>
          <w:sz w:val="20"/>
          <w:szCs w:val="20"/>
        </w:rPr>
        <w:lastRenderedPageBreak/>
        <w:t>In contrast, the Welsh context reflects a weaker level of structural integration, where outdoor learning is strongly advocated yet variably enacted across settings (Estyn, 2023). In practice, this may result in outdoor play being restricted to short, timetabled sessions rather than embedded as a continuous learning environment, limiting opportunities for extended exploration (Wood, 2014). However, such comparisons must also be situated within broader social and cultural contexts, as Nordic approaches are supported by policy frameworks and cultural values that are not directly transferable.</w:t>
      </w:r>
      <w:r w:rsidR="00516D70">
        <w:rPr>
          <w:rFonts w:ascii="Arial" w:hAnsi="Arial" w:cs="Arial"/>
          <w:sz w:val="20"/>
          <w:szCs w:val="20"/>
        </w:rPr>
        <w:t xml:space="preserve"> </w:t>
      </w:r>
      <w:r w:rsidRPr="00DB4DEC">
        <w:rPr>
          <w:rFonts w:ascii="Arial" w:hAnsi="Arial" w:cs="Arial"/>
          <w:sz w:val="20"/>
          <w:szCs w:val="20"/>
        </w:rPr>
        <w:t>Nevertheless, they provide a useful benchmark, demonstrating that stronger alignment between policy, practice and pedagogy is achievable within early years systems (Samuelsson and Kaga, 2008; Parker, Thomsen and Berry, 2022).</w:t>
      </w:r>
      <w:r w:rsidR="007074F1">
        <w:rPr>
          <w:rFonts w:ascii="Arial" w:hAnsi="Arial" w:cs="Arial"/>
          <w:sz w:val="20"/>
          <w:szCs w:val="20"/>
        </w:rPr>
        <w:t xml:space="preserve"> </w:t>
      </w:r>
      <w:r w:rsidR="007074F1" w:rsidRPr="007074F1">
        <w:rPr>
          <w:rFonts w:ascii="Arial" w:hAnsi="Arial" w:cs="Arial"/>
          <w:sz w:val="20"/>
          <w:szCs w:val="20"/>
        </w:rPr>
        <w:t>This suggests that the limitations within the Welsh context are not conceptual but systemic, reflecting differences in structural support and implementation.</w:t>
      </w:r>
    </w:p>
    <w:p w14:paraId="4782ECA7" w14:textId="77777777" w:rsidR="00037BF4" w:rsidRPr="00DB4DEC" w:rsidRDefault="00037BF4" w:rsidP="00DB4DEC">
      <w:pPr>
        <w:spacing w:line="360" w:lineRule="auto"/>
        <w:rPr>
          <w:rFonts w:ascii="Arial" w:hAnsi="Arial" w:cs="Arial"/>
          <w:sz w:val="20"/>
          <w:szCs w:val="20"/>
        </w:rPr>
      </w:pPr>
      <w:r w:rsidRPr="00DB4DEC">
        <w:rPr>
          <w:rFonts w:ascii="Arial" w:hAnsi="Arial" w:cs="Arial"/>
          <w:sz w:val="20"/>
          <w:szCs w:val="20"/>
        </w:rPr>
        <w:t>Taken together, these comparisons reinforce the argument that while Froebelian principles and sustainability are strongly reflected within Welsh policy discourse, their enactment remains uneven within practice. Sustainability therefore cannot be understood as fully embedded within early years provision, but as shaped by the same structural conditions that influence play-based pedagogy more broadly.</w:t>
      </w:r>
    </w:p>
    <w:p w14:paraId="3074697B" w14:textId="77777777" w:rsidR="00EC22B8" w:rsidRPr="00DB4DEC" w:rsidRDefault="00EC22B8" w:rsidP="00DB4DEC">
      <w:pPr>
        <w:spacing w:line="360" w:lineRule="auto"/>
        <w:rPr>
          <w:rFonts w:ascii="Arial" w:hAnsi="Arial" w:cs="Arial"/>
          <w:sz w:val="20"/>
          <w:szCs w:val="20"/>
        </w:rPr>
      </w:pPr>
      <w:r w:rsidRPr="00DB4DEC">
        <w:rPr>
          <w:rFonts w:ascii="Arial" w:hAnsi="Arial" w:cs="Arial"/>
          <w:sz w:val="20"/>
          <w:szCs w:val="20"/>
        </w:rPr>
        <w:t>In conclusion, this assignment has critically examined the extent to which Froebelian principles of outdoor, experiential play align with the Curriculum for Funded Non-Maintained Nursery Settings in Wales. While there is clear philosophical alignment in the emphasis on play-based, child-centred learning, holistic development and engagement with the environment, this alignment remains more conceptual than consistently realised within practice. Although outdoor play reflects key Froebelian principles of self-activity and learning through engagement with nature, these approaches continue to be shaped by the structural realities of contemporary early years provision.</w:t>
      </w:r>
    </w:p>
    <w:p w14:paraId="7CFF510C" w14:textId="13EE4F28" w:rsidR="00EC22B8" w:rsidRPr="00DB4DEC" w:rsidRDefault="00EC22B8" w:rsidP="00DB4DEC">
      <w:pPr>
        <w:spacing w:line="360" w:lineRule="auto"/>
        <w:rPr>
          <w:rFonts w:ascii="Arial" w:hAnsi="Arial" w:cs="Arial"/>
          <w:sz w:val="20"/>
          <w:szCs w:val="20"/>
        </w:rPr>
      </w:pPr>
      <w:r w:rsidRPr="00DB4DEC">
        <w:rPr>
          <w:rFonts w:ascii="Arial" w:hAnsi="Arial" w:cs="Arial"/>
          <w:sz w:val="20"/>
          <w:szCs w:val="20"/>
        </w:rPr>
        <w:t>The analysis identified persistent tensions between policy aspirations and pedagogical enactment. Despite strong policy endorsement of play-based learning, outdoor play remains influenced by structural, pedagogical and ideological pressures, including funding inequalities, workforce capacity, practitioner confidence and increasing emphasis on measurable outcomes. Tensions also persist surrounding the role of the adult</w:t>
      </w:r>
      <w:r w:rsidR="00E34702">
        <w:rPr>
          <w:rFonts w:ascii="Arial" w:hAnsi="Arial" w:cs="Arial"/>
          <w:sz w:val="20"/>
          <w:szCs w:val="20"/>
        </w:rPr>
        <w:t xml:space="preserve"> were</w:t>
      </w:r>
      <w:r w:rsidRPr="00DB4DEC">
        <w:rPr>
          <w:rFonts w:ascii="Arial" w:hAnsi="Arial" w:cs="Arial"/>
          <w:sz w:val="20"/>
          <w:szCs w:val="20"/>
        </w:rPr>
        <w:t xml:space="preserve"> expectations of facilitation frequently conflict with demands for accountability and progression. Similarly, while outdoor environments offer significant opportunities for experiential learning and ecological awareness, uneven access and inconsistent implementation continue to restrict their potential within practice.</w:t>
      </w:r>
    </w:p>
    <w:p w14:paraId="69D5307E" w14:textId="76893690" w:rsidR="00EC22B8" w:rsidRPr="00DB4DEC" w:rsidRDefault="00EC22B8" w:rsidP="00DB4DEC">
      <w:pPr>
        <w:spacing w:line="360" w:lineRule="auto"/>
        <w:rPr>
          <w:rFonts w:ascii="Arial" w:hAnsi="Arial" w:cs="Arial"/>
          <w:sz w:val="20"/>
          <w:szCs w:val="20"/>
        </w:rPr>
      </w:pPr>
      <w:r w:rsidRPr="00DB4DEC">
        <w:rPr>
          <w:rFonts w:ascii="Arial" w:hAnsi="Arial" w:cs="Arial"/>
          <w:sz w:val="20"/>
          <w:szCs w:val="20"/>
        </w:rPr>
        <w:t xml:space="preserve">Overall, the curriculum can be understood as rhetorically aligned with Froebelian principles, yet lacking the structural conditions required for their sustained enactment. Outdoor play within the Welsh early years context therefore </w:t>
      </w:r>
      <w:r w:rsidR="00045380" w:rsidRPr="00045380">
        <w:rPr>
          <w:rFonts w:ascii="Arial" w:hAnsi="Arial" w:cs="Arial"/>
          <w:sz w:val="20"/>
          <w:szCs w:val="20"/>
        </w:rPr>
        <w:t>operates as a negotiated practice shaped by structural conditions, practitioner capacity and wider institutional priorities.</w:t>
      </w:r>
    </w:p>
    <w:p w14:paraId="32B24AC9" w14:textId="2B595008" w:rsidR="00EC22B8" w:rsidRPr="00DB4DEC" w:rsidRDefault="00EC22B8" w:rsidP="00DB4DEC">
      <w:pPr>
        <w:spacing w:line="360" w:lineRule="auto"/>
        <w:rPr>
          <w:rFonts w:ascii="Arial" w:hAnsi="Arial" w:cs="Arial"/>
          <w:sz w:val="20"/>
          <w:szCs w:val="20"/>
        </w:rPr>
      </w:pPr>
      <w:r w:rsidRPr="00DB4DEC">
        <w:rPr>
          <w:rFonts w:ascii="Arial" w:hAnsi="Arial" w:cs="Arial"/>
          <w:sz w:val="20"/>
          <w:szCs w:val="20"/>
        </w:rPr>
        <w:t xml:space="preserve">This has important implications for policy, practice and professional development. Greater alignment between policy expectations and the </w:t>
      </w:r>
      <w:r w:rsidR="00482738" w:rsidRPr="00DB4DEC">
        <w:rPr>
          <w:rFonts w:ascii="Arial" w:hAnsi="Arial" w:cs="Arial"/>
          <w:sz w:val="20"/>
          <w:szCs w:val="20"/>
        </w:rPr>
        <w:t>reality</w:t>
      </w:r>
      <w:r w:rsidRPr="00DB4DEC">
        <w:rPr>
          <w:rFonts w:ascii="Arial" w:hAnsi="Arial" w:cs="Arial"/>
          <w:sz w:val="20"/>
          <w:szCs w:val="20"/>
        </w:rPr>
        <w:t xml:space="preserve"> of provision is required, alongside sustained investment in </w:t>
      </w:r>
      <w:r w:rsidRPr="00DB4DEC">
        <w:rPr>
          <w:rFonts w:ascii="Arial" w:hAnsi="Arial" w:cs="Arial"/>
          <w:sz w:val="20"/>
          <w:szCs w:val="20"/>
        </w:rPr>
        <w:lastRenderedPageBreak/>
        <w:t>workforce development to support high-quality play-based pedagogy. Without such support, play and sustainability risk remaining aspirational rather than transformative within early years education. Ultimately, this raises broader questions regarding whether play-based pedagogy within Welsh early years provision functions as a consistently enacted educational approach, or primarily as a policy ideal constrained by systemic conditions.</w:t>
      </w:r>
    </w:p>
    <w:p w14:paraId="0A6394EB" w14:textId="77777777" w:rsidR="00C455B1" w:rsidRPr="00DB4DEC" w:rsidRDefault="00C455B1" w:rsidP="00DB4DEC">
      <w:pPr>
        <w:spacing w:line="360" w:lineRule="auto"/>
        <w:rPr>
          <w:rFonts w:ascii="Arial" w:hAnsi="Arial" w:cs="Arial"/>
          <w:sz w:val="20"/>
          <w:szCs w:val="20"/>
        </w:rPr>
      </w:pPr>
    </w:p>
    <w:p w14:paraId="21C1FB07" w14:textId="77777777" w:rsidR="00F17AEE" w:rsidRPr="00DB4DEC" w:rsidRDefault="00F17AEE" w:rsidP="00DB4DEC">
      <w:pPr>
        <w:spacing w:line="360" w:lineRule="auto"/>
        <w:rPr>
          <w:rFonts w:ascii="Arial" w:hAnsi="Arial" w:cs="Arial"/>
          <w:sz w:val="20"/>
          <w:szCs w:val="20"/>
        </w:rPr>
      </w:pPr>
    </w:p>
    <w:p w14:paraId="2C307499" w14:textId="77777777" w:rsidR="00482738" w:rsidRPr="00DB4DEC" w:rsidRDefault="00482738" w:rsidP="00DB4DEC">
      <w:pPr>
        <w:spacing w:line="360" w:lineRule="auto"/>
        <w:rPr>
          <w:rFonts w:ascii="Arial" w:hAnsi="Arial" w:cs="Arial"/>
          <w:sz w:val="20"/>
          <w:szCs w:val="20"/>
        </w:rPr>
      </w:pPr>
    </w:p>
    <w:p w14:paraId="47AEFE6D" w14:textId="77777777" w:rsidR="00482738" w:rsidRPr="00DB4DEC" w:rsidRDefault="00482738" w:rsidP="00DB4DEC">
      <w:pPr>
        <w:spacing w:line="360" w:lineRule="auto"/>
        <w:rPr>
          <w:rFonts w:ascii="Arial" w:hAnsi="Arial" w:cs="Arial"/>
          <w:sz w:val="20"/>
          <w:szCs w:val="20"/>
        </w:rPr>
      </w:pPr>
    </w:p>
    <w:p w14:paraId="479144DB" w14:textId="77777777" w:rsidR="00482738" w:rsidRPr="00DB4DEC" w:rsidRDefault="00482738" w:rsidP="00DB4DEC">
      <w:pPr>
        <w:spacing w:line="360" w:lineRule="auto"/>
        <w:rPr>
          <w:rFonts w:ascii="Arial" w:hAnsi="Arial" w:cs="Arial"/>
          <w:sz w:val="20"/>
          <w:szCs w:val="20"/>
        </w:rPr>
      </w:pPr>
    </w:p>
    <w:p w14:paraId="700C8A11" w14:textId="77777777" w:rsidR="00482738" w:rsidRPr="00DB4DEC" w:rsidRDefault="00482738" w:rsidP="00DB4DEC">
      <w:pPr>
        <w:spacing w:line="360" w:lineRule="auto"/>
        <w:rPr>
          <w:rFonts w:ascii="Arial" w:hAnsi="Arial" w:cs="Arial"/>
          <w:sz w:val="20"/>
          <w:szCs w:val="20"/>
        </w:rPr>
      </w:pPr>
    </w:p>
    <w:p w14:paraId="00CFB0C1" w14:textId="77777777" w:rsidR="00E92DDB" w:rsidRDefault="00E92DDB" w:rsidP="00DB4DEC">
      <w:pPr>
        <w:spacing w:line="360" w:lineRule="auto"/>
        <w:rPr>
          <w:rFonts w:ascii="Arial" w:hAnsi="Arial" w:cs="Arial"/>
          <w:sz w:val="20"/>
          <w:szCs w:val="20"/>
        </w:rPr>
      </w:pPr>
    </w:p>
    <w:p w14:paraId="6E9B4880" w14:textId="77777777" w:rsidR="00E92DDB" w:rsidRDefault="00E92DDB" w:rsidP="00DB4DEC">
      <w:pPr>
        <w:spacing w:line="360" w:lineRule="auto"/>
        <w:rPr>
          <w:rFonts w:ascii="Arial" w:hAnsi="Arial" w:cs="Arial"/>
          <w:sz w:val="20"/>
          <w:szCs w:val="20"/>
        </w:rPr>
      </w:pPr>
    </w:p>
    <w:p w14:paraId="6F5B992C" w14:textId="77777777" w:rsidR="00E92DDB" w:rsidRDefault="00E92DDB" w:rsidP="00DB4DEC">
      <w:pPr>
        <w:spacing w:line="360" w:lineRule="auto"/>
        <w:rPr>
          <w:rFonts w:ascii="Arial" w:hAnsi="Arial" w:cs="Arial"/>
          <w:sz w:val="20"/>
          <w:szCs w:val="20"/>
        </w:rPr>
      </w:pPr>
    </w:p>
    <w:p w14:paraId="0CB41E04" w14:textId="77777777" w:rsidR="00E92DDB" w:rsidRDefault="00E92DDB" w:rsidP="00DB4DEC">
      <w:pPr>
        <w:spacing w:line="360" w:lineRule="auto"/>
        <w:rPr>
          <w:rFonts w:ascii="Arial" w:hAnsi="Arial" w:cs="Arial"/>
          <w:sz w:val="20"/>
          <w:szCs w:val="20"/>
        </w:rPr>
      </w:pPr>
    </w:p>
    <w:p w14:paraId="401AAC66" w14:textId="77777777" w:rsidR="00E92DDB" w:rsidRDefault="00E92DDB" w:rsidP="00DB4DEC">
      <w:pPr>
        <w:spacing w:line="360" w:lineRule="auto"/>
        <w:rPr>
          <w:rFonts w:ascii="Arial" w:hAnsi="Arial" w:cs="Arial"/>
          <w:sz w:val="20"/>
          <w:szCs w:val="20"/>
        </w:rPr>
      </w:pPr>
    </w:p>
    <w:p w14:paraId="79276277" w14:textId="77777777" w:rsidR="00E92DDB" w:rsidRDefault="00E92DDB" w:rsidP="00DB4DEC">
      <w:pPr>
        <w:spacing w:line="360" w:lineRule="auto"/>
        <w:rPr>
          <w:rFonts w:ascii="Arial" w:hAnsi="Arial" w:cs="Arial"/>
          <w:sz w:val="20"/>
          <w:szCs w:val="20"/>
        </w:rPr>
      </w:pPr>
    </w:p>
    <w:p w14:paraId="5BB03600" w14:textId="77777777" w:rsidR="00E92DDB" w:rsidRDefault="00E92DDB" w:rsidP="00DB4DEC">
      <w:pPr>
        <w:spacing w:line="360" w:lineRule="auto"/>
        <w:rPr>
          <w:rFonts w:ascii="Arial" w:hAnsi="Arial" w:cs="Arial"/>
          <w:sz w:val="20"/>
          <w:szCs w:val="20"/>
        </w:rPr>
      </w:pPr>
    </w:p>
    <w:p w14:paraId="363AC54C" w14:textId="77777777" w:rsidR="00E92DDB" w:rsidRDefault="00E92DDB" w:rsidP="00DB4DEC">
      <w:pPr>
        <w:spacing w:line="360" w:lineRule="auto"/>
        <w:rPr>
          <w:rFonts w:ascii="Arial" w:hAnsi="Arial" w:cs="Arial"/>
          <w:sz w:val="20"/>
          <w:szCs w:val="20"/>
        </w:rPr>
      </w:pPr>
    </w:p>
    <w:p w14:paraId="7B3749FC" w14:textId="77777777" w:rsidR="00E92DDB" w:rsidRDefault="00E92DDB" w:rsidP="00DB4DEC">
      <w:pPr>
        <w:spacing w:line="360" w:lineRule="auto"/>
        <w:rPr>
          <w:rFonts w:ascii="Arial" w:hAnsi="Arial" w:cs="Arial"/>
          <w:sz w:val="20"/>
          <w:szCs w:val="20"/>
        </w:rPr>
      </w:pPr>
    </w:p>
    <w:p w14:paraId="0BD9BF80" w14:textId="77777777" w:rsidR="00E92DDB" w:rsidRDefault="00E92DDB" w:rsidP="00DB4DEC">
      <w:pPr>
        <w:spacing w:line="360" w:lineRule="auto"/>
        <w:rPr>
          <w:rFonts w:ascii="Arial" w:hAnsi="Arial" w:cs="Arial"/>
          <w:sz w:val="20"/>
          <w:szCs w:val="20"/>
        </w:rPr>
      </w:pPr>
    </w:p>
    <w:p w14:paraId="4321113E" w14:textId="77777777" w:rsidR="00E92DDB" w:rsidRDefault="00E92DDB" w:rsidP="00DB4DEC">
      <w:pPr>
        <w:spacing w:line="360" w:lineRule="auto"/>
        <w:rPr>
          <w:rFonts w:ascii="Arial" w:hAnsi="Arial" w:cs="Arial"/>
          <w:sz w:val="20"/>
          <w:szCs w:val="20"/>
        </w:rPr>
      </w:pPr>
    </w:p>
    <w:p w14:paraId="06F32621" w14:textId="77777777" w:rsidR="00E92DDB" w:rsidRDefault="00E92DDB" w:rsidP="00DB4DEC">
      <w:pPr>
        <w:spacing w:line="360" w:lineRule="auto"/>
        <w:rPr>
          <w:rFonts w:ascii="Arial" w:hAnsi="Arial" w:cs="Arial"/>
          <w:sz w:val="20"/>
          <w:szCs w:val="20"/>
        </w:rPr>
      </w:pPr>
    </w:p>
    <w:p w14:paraId="5EF4254F" w14:textId="77777777" w:rsidR="00E92DDB" w:rsidRDefault="00E92DDB" w:rsidP="00DB4DEC">
      <w:pPr>
        <w:spacing w:line="360" w:lineRule="auto"/>
        <w:rPr>
          <w:rFonts w:ascii="Arial" w:hAnsi="Arial" w:cs="Arial"/>
          <w:sz w:val="20"/>
          <w:szCs w:val="20"/>
        </w:rPr>
      </w:pPr>
    </w:p>
    <w:p w14:paraId="07B6C03A" w14:textId="77777777" w:rsidR="00E92DDB" w:rsidRDefault="00E92DDB" w:rsidP="00DB4DEC">
      <w:pPr>
        <w:spacing w:line="360" w:lineRule="auto"/>
        <w:rPr>
          <w:rFonts w:ascii="Arial" w:hAnsi="Arial" w:cs="Arial"/>
          <w:sz w:val="20"/>
          <w:szCs w:val="20"/>
        </w:rPr>
      </w:pPr>
    </w:p>
    <w:p w14:paraId="5A68F01B" w14:textId="77777777" w:rsidR="00E92DDB" w:rsidRDefault="00E92DDB" w:rsidP="00DB4DEC">
      <w:pPr>
        <w:spacing w:line="360" w:lineRule="auto"/>
        <w:rPr>
          <w:rFonts w:ascii="Arial" w:hAnsi="Arial" w:cs="Arial"/>
          <w:sz w:val="20"/>
          <w:szCs w:val="20"/>
        </w:rPr>
      </w:pPr>
    </w:p>
    <w:p w14:paraId="79D81C15" w14:textId="77777777" w:rsidR="00E92DDB" w:rsidRDefault="00E92DDB" w:rsidP="00DB4DEC">
      <w:pPr>
        <w:spacing w:line="360" w:lineRule="auto"/>
        <w:rPr>
          <w:rFonts w:ascii="Arial" w:hAnsi="Arial" w:cs="Arial"/>
          <w:sz w:val="20"/>
          <w:szCs w:val="20"/>
        </w:rPr>
      </w:pPr>
    </w:p>
    <w:p w14:paraId="70BCCBE1" w14:textId="77777777" w:rsidR="00E92DDB" w:rsidRDefault="00E92DDB" w:rsidP="00DB4DEC">
      <w:pPr>
        <w:spacing w:line="360" w:lineRule="auto"/>
        <w:rPr>
          <w:rFonts w:ascii="Arial" w:hAnsi="Arial" w:cs="Arial"/>
          <w:sz w:val="20"/>
          <w:szCs w:val="20"/>
        </w:rPr>
      </w:pPr>
    </w:p>
    <w:p w14:paraId="22EEFB13" w14:textId="15E66D5A" w:rsidR="00823C67" w:rsidRDefault="009840F8" w:rsidP="00DB4DEC">
      <w:pPr>
        <w:spacing w:line="360" w:lineRule="auto"/>
        <w:rPr>
          <w:rFonts w:ascii="Arial" w:hAnsi="Arial" w:cs="Arial"/>
          <w:sz w:val="20"/>
          <w:szCs w:val="20"/>
        </w:rPr>
      </w:pPr>
      <w:r w:rsidRPr="00DB4DEC">
        <w:rPr>
          <w:rFonts w:ascii="Arial" w:hAnsi="Arial" w:cs="Arial"/>
          <w:sz w:val="20"/>
          <w:szCs w:val="20"/>
        </w:rPr>
        <w:lastRenderedPageBreak/>
        <w:t>Reference</w:t>
      </w:r>
      <w:r w:rsidR="00823C67" w:rsidRPr="00DB4DEC">
        <w:rPr>
          <w:rFonts w:ascii="Arial" w:hAnsi="Arial" w:cs="Arial"/>
          <w:sz w:val="20"/>
          <w:szCs w:val="20"/>
        </w:rPr>
        <w:t xml:space="preserve"> l</w:t>
      </w:r>
      <w:r w:rsidR="00E51D4B" w:rsidRPr="00DB4DEC">
        <w:rPr>
          <w:rFonts w:ascii="Arial" w:hAnsi="Arial" w:cs="Arial"/>
          <w:sz w:val="20"/>
          <w:szCs w:val="20"/>
        </w:rPr>
        <w:t>ist</w:t>
      </w:r>
    </w:p>
    <w:p w14:paraId="09849E0B" w14:textId="36755D6A" w:rsidR="00CA35CD" w:rsidRPr="00DB4DEC" w:rsidRDefault="00CA35CD" w:rsidP="00DB4DEC">
      <w:pPr>
        <w:spacing w:line="360" w:lineRule="auto"/>
        <w:rPr>
          <w:rFonts w:ascii="Arial" w:hAnsi="Arial" w:cs="Arial"/>
          <w:sz w:val="20"/>
          <w:szCs w:val="20"/>
        </w:rPr>
      </w:pPr>
      <w:proofErr w:type="spellStart"/>
      <w:r w:rsidRPr="00CA35CD">
        <w:rPr>
          <w:rFonts w:ascii="Arial" w:hAnsi="Arial" w:cs="Arial"/>
          <w:sz w:val="20"/>
          <w:szCs w:val="20"/>
        </w:rPr>
        <w:t>Bilton</w:t>
      </w:r>
      <w:proofErr w:type="spellEnd"/>
      <w:r w:rsidRPr="00CA35CD">
        <w:rPr>
          <w:rFonts w:ascii="Arial" w:hAnsi="Arial" w:cs="Arial"/>
          <w:sz w:val="20"/>
          <w:szCs w:val="20"/>
        </w:rPr>
        <w:t xml:space="preserve">, H. (2010) </w:t>
      </w:r>
      <w:r w:rsidRPr="00CA35CD">
        <w:rPr>
          <w:rFonts w:ascii="Arial" w:hAnsi="Arial" w:cs="Arial"/>
          <w:i/>
          <w:iCs/>
          <w:sz w:val="20"/>
          <w:szCs w:val="20"/>
        </w:rPr>
        <w:t>Outdoor Learning in the Early Years: Management and Innovation</w:t>
      </w:r>
      <w:r w:rsidRPr="00CA35CD">
        <w:rPr>
          <w:rFonts w:ascii="Arial" w:hAnsi="Arial" w:cs="Arial"/>
          <w:sz w:val="20"/>
          <w:szCs w:val="20"/>
        </w:rPr>
        <w:t xml:space="preserve">. 3rd </w:t>
      </w:r>
      <w:proofErr w:type="spellStart"/>
      <w:r w:rsidRPr="00CA35CD">
        <w:rPr>
          <w:rFonts w:ascii="Arial" w:hAnsi="Arial" w:cs="Arial"/>
          <w:sz w:val="20"/>
          <w:szCs w:val="20"/>
        </w:rPr>
        <w:t>edn</w:t>
      </w:r>
      <w:proofErr w:type="spellEnd"/>
      <w:r w:rsidRPr="00CA35CD">
        <w:rPr>
          <w:rFonts w:ascii="Arial" w:hAnsi="Arial" w:cs="Arial"/>
          <w:sz w:val="20"/>
          <w:szCs w:val="20"/>
        </w:rPr>
        <w:t>. Abingdon: Routledge</w:t>
      </w:r>
    </w:p>
    <w:p w14:paraId="12D741D2" w14:textId="77777777"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Bruce, T. (2011) </w:t>
      </w:r>
      <w:r w:rsidRPr="00DB4DEC">
        <w:rPr>
          <w:rFonts w:ascii="Arial" w:hAnsi="Arial" w:cs="Arial"/>
          <w:i/>
          <w:iCs/>
          <w:sz w:val="20"/>
          <w:szCs w:val="20"/>
        </w:rPr>
        <w:t>Early Childhood Education</w:t>
      </w:r>
      <w:r w:rsidRPr="00DB4DEC">
        <w:rPr>
          <w:rFonts w:ascii="Arial" w:hAnsi="Arial" w:cs="Arial"/>
          <w:sz w:val="20"/>
          <w:szCs w:val="20"/>
        </w:rPr>
        <w:t xml:space="preserve">. 4th </w:t>
      </w:r>
      <w:proofErr w:type="spellStart"/>
      <w:r w:rsidRPr="00DB4DEC">
        <w:rPr>
          <w:rFonts w:ascii="Arial" w:hAnsi="Arial" w:cs="Arial"/>
          <w:sz w:val="20"/>
          <w:szCs w:val="20"/>
        </w:rPr>
        <w:t>edn</w:t>
      </w:r>
      <w:proofErr w:type="spellEnd"/>
      <w:r w:rsidRPr="00DB4DEC">
        <w:rPr>
          <w:rFonts w:ascii="Arial" w:hAnsi="Arial" w:cs="Arial"/>
          <w:sz w:val="20"/>
          <w:szCs w:val="20"/>
        </w:rPr>
        <w:t>. London: Hodder Education.</w:t>
      </w:r>
    </w:p>
    <w:p w14:paraId="1DACA1B1" w14:textId="50090021" w:rsidR="009049A9" w:rsidRPr="00DB4DEC" w:rsidRDefault="009049A9" w:rsidP="00DB4DEC">
      <w:pPr>
        <w:spacing w:line="360" w:lineRule="auto"/>
        <w:rPr>
          <w:rFonts w:ascii="Arial" w:hAnsi="Arial" w:cs="Arial"/>
          <w:sz w:val="20"/>
          <w:szCs w:val="20"/>
        </w:rPr>
      </w:pPr>
      <w:r w:rsidRPr="00DB4DEC">
        <w:rPr>
          <w:rFonts w:ascii="Arial" w:hAnsi="Arial" w:cs="Arial"/>
          <w:sz w:val="20"/>
          <w:szCs w:val="20"/>
        </w:rPr>
        <w:t xml:space="preserve">Bradbury, A. (2023) ‘Play matters?’, </w:t>
      </w:r>
      <w:r w:rsidRPr="00DB4DEC">
        <w:rPr>
          <w:rFonts w:ascii="Arial" w:hAnsi="Arial" w:cs="Arial"/>
          <w:i/>
          <w:iCs/>
          <w:sz w:val="20"/>
          <w:szCs w:val="20"/>
        </w:rPr>
        <w:t>Nursery World</w:t>
      </w:r>
      <w:r w:rsidRPr="00DB4DEC">
        <w:rPr>
          <w:rFonts w:ascii="Arial" w:hAnsi="Arial" w:cs="Arial"/>
          <w:sz w:val="20"/>
          <w:szCs w:val="20"/>
        </w:rPr>
        <w:t>.</w:t>
      </w:r>
      <w:r w:rsidR="00F15FEB" w:rsidRPr="00DB4DEC">
        <w:rPr>
          <w:rFonts w:ascii="Arial" w:hAnsi="Arial" w:cs="Arial"/>
          <w:sz w:val="20"/>
          <w:szCs w:val="20"/>
        </w:rPr>
        <w:t xml:space="preserve"> </w:t>
      </w:r>
      <w:r w:rsidRPr="00DB4DEC">
        <w:rPr>
          <w:rFonts w:ascii="Arial" w:hAnsi="Arial" w:cs="Arial"/>
          <w:sz w:val="20"/>
          <w:szCs w:val="20"/>
        </w:rPr>
        <w:t xml:space="preserve">Available at: </w:t>
      </w:r>
      <w:hyperlink r:id="rId7" w:history="1">
        <w:r w:rsidR="0064358A" w:rsidRPr="00DB4DEC">
          <w:rPr>
            <w:rStyle w:val="Hyperlink"/>
            <w:rFonts w:ascii="Arial" w:hAnsi="Arial" w:cs="Arial"/>
            <w:sz w:val="20"/>
            <w:szCs w:val="20"/>
          </w:rPr>
          <w:t xml:space="preserve">Nursery World - Aaron Bradbury: The problem isn’t play </w:t>
        </w:r>
        <w:r w:rsidR="00CD3B40" w:rsidRPr="00DB4DEC">
          <w:rPr>
            <w:rStyle w:val="Hyperlink"/>
            <w:rFonts w:ascii="Arial" w:hAnsi="Arial" w:cs="Arial"/>
            <w:sz w:val="20"/>
            <w:szCs w:val="20"/>
          </w:rPr>
          <w:t>-</w:t>
        </w:r>
        <w:r w:rsidR="0064358A" w:rsidRPr="00DB4DEC">
          <w:rPr>
            <w:rStyle w:val="Hyperlink"/>
            <w:rFonts w:ascii="Arial" w:hAnsi="Arial" w:cs="Arial"/>
            <w:sz w:val="20"/>
            <w:szCs w:val="20"/>
          </w:rPr>
          <w:t xml:space="preserve"> it’s the system - Nursery World</w:t>
        </w:r>
      </w:hyperlink>
      <w:r w:rsidR="0064358A" w:rsidRPr="00DB4DEC">
        <w:rPr>
          <w:rFonts w:ascii="Arial" w:hAnsi="Arial" w:cs="Arial"/>
          <w:sz w:val="20"/>
          <w:szCs w:val="20"/>
        </w:rPr>
        <w:t xml:space="preserve"> </w:t>
      </w:r>
      <w:r w:rsidRPr="00DB4DEC">
        <w:rPr>
          <w:rFonts w:ascii="Arial" w:hAnsi="Arial" w:cs="Arial"/>
          <w:sz w:val="20"/>
          <w:szCs w:val="20"/>
        </w:rPr>
        <w:t>(Accessed: 20 April 2026).</w:t>
      </w:r>
    </w:p>
    <w:p w14:paraId="3D6BBAD1" w14:textId="4B6FE1EA"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Bronfenbrenner, U. (1979) </w:t>
      </w:r>
      <w:r w:rsidRPr="00DB4DEC">
        <w:rPr>
          <w:rFonts w:ascii="Arial" w:hAnsi="Arial" w:cs="Arial"/>
          <w:i/>
          <w:iCs/>
          <w:sz w:val="20"/>
          <w:szCs w:val="20"/>
        </w:rPr>
        <w:t>The Ecology of Human Development: Experiments by Nature and Design</w:t>
      </w:r>
      <w:r w:rsidRPr="00DB4DEC">
        <w:rPr>
          <w:rFonts w:ascii="Arial" w:hAnsi="Arial" w:cs="Arial"/>
          <w:sz w:val="20"/>
          <w:szCs w:val="20"/>
        </w:rPr>
        <w:t>.</w:t>
      </w:r>
      <w:r w:rsidR="009C0560" w:rsidRPr="00DB4DEC">
        <w:rPr>
          <w:rFonts w:ascii="Arial" w:hAnsi="Arial" w:cs="Arial"/>
          <w:sz w:val="20"/>
          <w:szCs w:val="20"/>
        </w:rPr>
        <w:t xml:space="preserve"> </w:t>
      </w:r>
      <w:r w:rsidRPr="00DB4DEC">
        <w:rPr>
          <w:rFonts w:ascii="Arial" w:hAnsi="Arial" w:cs="Arial"/>
          <w:sz w:val="20"/>
          <w:szCs w:val="20"/>
        </w:rPr>
        <w:t>Harvard University Press.</w:t>
      </w:r>
    </w:p>
    <w:p w14:paraId="68EAAE67" w14:textId="1E3AA826"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Bruner, J. (1966) </w:t>
      </w:r>
      <w:r w:rsidRPr="00DB4DEC">
        <w:rPr>
          <w:rFonts w:ascii="Arial" w:hAnsi="Arial" w:cs="Arial"/>
          <w:i/>
          <w:iCs/>
          <w:sz w:val="20"/>
          <w:szCs w:val="20"/>
        </w:rPr>
        <w:t>Toward a Theory of Instruction</w:t>
      </w:r>
      <w:r w:rsidRPr="00DB4DEC">
        <w:rPr>
          <w:rFonts w:ascii="Arial" w:hAnsi="Arial" w:cs="Arial"/>
          <w:sz w:val="20"/>
          <w:szCs w:val="20"/>
        </w:rPr>
        <w:t>. Harvard University Press.</w:t>
      </w:r>
    </w:p>
    <w:p w14:paraId="489567A1" w14:textId="5A9D17DC" w:rsidR="00DF2E07" w:rsidRPr="00DB4DEC" w:rsidRDefault="00073B7A" w:rsidP="00DB4DEC">
      <w:pPr>
        <w:spacing w:line="360" w:lineRule="auto"/>
        <w:rPr>
          <w:rFonts w:ascii="Arial" w:hAnsi="Arial" w:cs="Arial"/>
          <w:sz w:val="20"/>
          <w:szCs w:val="20"/>
        </w:rPr>
      </w:pPr>
      <w:r w:rsidRPr="00DB4DEC">
        <w:rPr>
          <w:rFonts w:ascii="Arial" w:hAnsi="Arial" w:cs="Arial"/>
          <w:sz w:val="20"/>
          <w:szCs w:val="20"/>
        </w:rPr>
        <w:t xml:space="preserve">Clark, A. (2023) </w:t>
      </w:r>
      <w:r w:rsidRPr="00DB4DEC">
        <w:rPr>
          <w:rFonts w:ascii="Arial" w:hAnsi="Arial" w:cs="Arial"/>
          <w:i/>
          <w:iCs/>
          <w:sz w:val="20"/>
          <w:szCs w:val="20"/>
        </w:rPr>
        <w:t>Slow knowledge and the unhurried child: Time for slow pedagogies in early childhood education.</w:t>
      </w:r>
      <w:r w:rsidRPr="00DB4DEC">
        <w:rPr>
          <w:rFonts w:ascii="Arial" w:hAnsi="Arial" w:cs="Arial"/>
          <w:sz w:val="20"/>
          <w:szCs w:val="20"/>
        </w:rPr>
        <w:t xml:space="preserve"> Routledge. Available at: </w:t>
      </w:r>
      <w:hyperlink r:id="rId8" w:tgtFrame="_new" w:history="1">
        <w:r w:rsidRPr="00DB4DEC">
          <w:rPr>
            <w:rStyle w:val="Hyperlink"/>
            <w:rFonts w:ascii="Arial" w:hAnsi="Arial" w:cs="Arial"/>
            <w:sz w:val="20"/>
            <w:szCs w:val="20"/>
          </w:rPr>
          <w:t>https://www.froebel.org.uk/research-library/slow-knowledge-and-the-unhurried-child-time-for-slow-pedagogies-in-early-childhood-education</w:t>
        </w:r>
      </w:hyperlink>
      <w:r w:rsidRPr="00DB4DEC">
        <w:rPr>
          <w:rFonts w:ascii="Arial" w:hAnsi="Arial" w:cs="Arial"/>
          <w:sz w:val="20"/>
          <w:szCs w:val="20"/>
        </w:rPr>
        <w:t xml:space="preserve"> (Accessed: 26 April 2026).</w:t>
      </w:r>
    </w:p>
    <w:p w14:paraId="63A65180" w14:textId="4B5180FC" w:rsidR="001C49E0" w:rsidRPr="00DB4DEC" w:rsidRDefault="001C49E0" w:rsidP="00DB4DEC">
      <w:pPr>
        <w:spacing w:line="360" w:lineRule="auto"/>
        <w:rPr>
          <w:rFonts w:ascii="Arial" w:hAnsi="Arial" w:cs="Arial"/>
          <w:sz w:val="20"/>
          <w:szCs w:val="20"/>
        </w:rPr>
      </w:pPr>
      <w:r w:rsidRPr="00DB4DEC">
        <w:rPr>
          <w:rFonts w:ascii="Arial" w:hAnsi="Arial" w:cs="Arial"/>
          <w:sz w:val="20"/>
          <w:szCs w:val="20"/>
        </w:rPr>
        <w:t xml:space="preserve">Conn, C. and Murphy, A. (2022) </w:t>
      </w:r>
      <w:r w:rsidRPr="00DB4DEC">
        <w:rPr>
          <w:rFonts w:ascii="Arial" w:hAnsi="Arial" w:cs="Arial"/>
          <w:i/>
          <w:iCs/>
          <w:sz w:val="20"/>
          <w:szCs w:val="20"/>
        </w:rPr>
        <w:t>Inclusive pedagogies for early childhood education: Respecting and responding to differences in learning</w:t>
      </w:r>
      <w:r w:rsidRPr="00DB4DEC">
        <w:rPr>
          <w:rFonts w:ascii="Arial" w:hAnsi="Arial" w:cs="Arial"/>
          <w:sz w:val="20"/>
          <w:szCs w:val="20"/>
        </w:rPr>
        <w:t>. Routledge.</w:t>
      </w:r>
    </w:p>
    <w:p w14:paraId="0E319464" w14:textId="10CE32D2"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Dahlberg, G., Moss, P. and Pence, A. (2007) </w:t>
      </w:r>
      <w:r w:rsidRPr="00DB4DEC">
        <w:rPr>
          <w:rFonts w:ascii="Arial" w:hAnsi="Arial" w:cs="Arial"/>
          <w:i/>
          <w:iCs/>
          <w:sz w:val="20"/>
          <w:szCs w:val="20"/>
        </w:rPr>
        <w:t>Beyond Quality in Early Childhood Education and Care: Languages of Evaluation</w:t>
      </w:r>
      <w:r w:rsidRPr="00DB4DEC">
        <w:rPr>
          <w:rFonts w:ascii="Arial" w:hAnsi="Arial" w:cs="Arial"/>
          <w:sz w:val="20"/>
          <w:szCs w:val="20"/>
        </w:rPr>
        <w:t xml:space="preserve">. 2nd </w:t>
      </w:r>
      <w:proofErr w:type="spellStart"/>
      <w:r w:rsidRPr="00DB4DEC">
        <w:rPr>
          <w:rFonts w:ascii="Arial" w:hAnsi="Arial" w:cs="Arial"/>
          <w:sz w:val="20"/>
          <w:szCs w:val="20"/>
        </w:rPr>
        <w:t>edn</w:t>
      </w:r>
      <w:proofErr w:type="spellEnd"/>
      <w:r w:rsidRPr="00DB4DEC">
        <w:rPr>
          <w:rFonts w:ascii="Arial" w:hAnsi="Arial" w:cs="Arial"/>
          <w:sz w:val="20"/>
          <w:szCs w:val="20"/>
        </w:rPr>
        <w:t>. Routledge.</w:t>
      </w:r>
    </w:p>
    <w:p w14:paraId="1F16742E" w14:textId="51804BA6"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Davis, J. (2015) </w:t>
      </w:r>
      <w:r w:rsidRPr="00DB4DEC">
        <w:rPr>
          <w:rFonts w:ascii="Arial" w:hAnsi="Arial" w:cs="Arial"/>
          <w:i/>
          <w:iCs/>
          <w:sz w:val="20"/>
          <w:szCs w:val="20"/>
        </w:rPr>
        <w:t>Young Children and the Environment: Early Education for Sustainability</w:t>
      </w:r>
      <w:r w:rsidRPr="00DB4DEC">
        <w:rPr>
          <w:rFonts w:ascii="Arial" w:hAnsi="Arial" w:cs="Arial"/>
          <w:sz w:val="20"/>
          <w:szCs w:val="20"/>
        </w:rPr>
        <w:t xml:space="preserve">. 2nd </w:t>
      </w:r>
      <w:proofErr w:type="spellStart"/>
      <w:r w:rsidRPr="00DB4DEC">
        <w:rPr>
          <w:rFonts w:ascii="Arial" w:hAnsi="Arial" w:cs="Arial"/>
          <w:sz w:val="20"/>
          <w:szCs w:val="20"/>
        </w:rPr>
        <w:t>edn</w:t>
      </w:r>
      <w:proofErr w:type="spellEnd"/>
      <w:r w:rsidRPr="00DB4DEC">
        <w:rPr>
          <w:rFonts w:ascii="Arial" w:hAnsi="Arial" w:cs="Arial"/>
          <w:sz w:val="20"/>
          <w:szCs w:val="20"/>
        </w:rPr>
        <w:t>. Cambridge University Press.</w:t>
      </w:r>
    </w:p>
    <w:p w14:paraId="200038C8" w14:textId="48B1C203" w:rsidR="003F2558" w:rsidRPr="00DB4DEC" w:rsidRDefault="003F2558" w:rsidP="00DB4DEC">
      <w:pPr>
        <w:spacing w:line="360" w:lineRule="auto"/>
        <w:rPr>
          <w:rFonts w:ascii="Arial" w:hAnsi="Arial" w:cs="Arial"/>
          <w:sz w:val="20"/>
          <w:szCs w:val="20"/>
        </w:rPr>
      </w:pPr>
      <w:r w:rsidRPr="00DB4DEC">
        <w:rPr>
          <w:rFonts w:ascii="Arial" w:hAnsi="Arial" w:cs="Arial"/>
          <w:sz w:val="20"/>
          <w:szCs w:val="20"/>
        </w:rPr>
        <w:t xml:space="preserve">Estyn (2023) </w:t>
      </w:r>
      <w:r w:rsidRPr="00DB4DEC">
        <w:rPr>
          <w:rFonts w:ascii="Arial" w:hAnsi="Arial" w:cs="Arial"/>
          <w:i/>
          <w:iCs/>
          <w:sz w:val="20"/>
          <w:szCs w:val="20"/>
        </w:rPr>
        <w:t>Annual Report 2022</w:t>
      </w:r>
      <w:r w:rsidR="001B33A6">
        <w:rPr>
          <w:rFonts w:ascii="Arial" w:hAnsi="Arial" w:cs="Arial"/>
          <w:i/>
          <w:iCs/>
          <w:sz w:val="20"/>
          <w:szCs w:val="20"/>
        </w:rPr>
        <w:t>-</w:t>
      </w:r>
      <w:r w:rsidRPr="00DB4DEC">
        <w:rPr>
          <w:rFonts w:ascii="Arial" w:hAnsi="Arial" w:cs="Arial"/>
          <w:i/>
          <w:iCs/>
          <w:sz w:val="20"/>
          <w:szCs w:val="20"/>
        </w:rPr>
        <w:t>2023</w:t>
      </w:r>
      <w:r w:rsidRPr="00DB4DEC">
        <w:rPr>
          <w:rFonts w:ascii="Arial" w:hAnsi="Arial" w:cs="Arial"/>
          <w:sz w:val="20"/>
          <w:szCs w:val="20"/>
        </w:rPr>
        <w:t>. Cardiff: Estyn.</w:t>
      </w:r>
      <w:r w:rsidR="00300726" w:rsidRPr="00DB4DEC">
        <w:rPr>
          <w:rFonts w:ascii="Arial" w:hAnsi="Arial" w:cs="Arial"/>
          <w:sz w:val="20"/>
          <w:szCs w:val="20"/>
        </w:rPr>
        <w:t xml:space="preserve"> </w:t>
      </w:r>
      <w:r w:rsidRPr="00DB4DEC">
        <w:rPr>
          <w:rFonts w:ascii="Arial" w:hAnsi="Arial" w:cs="Arial"/>
          <w:sz w:val="20"/>
          <w:szCs w:val="20"/>
        </w:rPr>
        <w:t>Available at:</w:t>
      </w:r>
      <w:r w:rsidR="00300726" w:rsidRPr="00DB4DEC">
        <w:rPr>
          <w:rFonts w:ascii="Arial" w:hAnsi="Arial" w:cs="Arial"/>
          <w:sz w:val="20"/>
          <w:szCs w:val="20"/>
        </w:rPr>
        <w:t xml:space="preserve"> </w:t>
      </w:r>
      <w:hyperlink r:id="rId9" w:history="1">
        <w:r w:rsidR="00300726" w:rsidRPr="00DB4DEC">
          <w:rPr>
            <w:rStyle w:val="Hyperlink"/>
            <w:rFonts w:ascii="Arial" w:hAnsi="Arial" w:cs="Arial"/>
            <w:sz w:val="20"/>
            <w:szCs w:val="20"/>
          </w:rPr>
          <w:t>https://www.estyn.gov.wales/ann</w:t>
        </w:r>
        <w:r w:rsidR="00300726" w:rsidRPr="00DB4DEC">
          <w:rPr>
            <w:rStyle w:val="Hyperlink"/>
            <w:rFonts w:ascii="Arial" w:hAnsi="Arial" w:cs="Arial"/>
            <w:sz w:val="20"/>
            <w:szCs w:val="20"/>
          </w:rPr>
          <w:t>u</w:t>
        </w:r>
        <w:r w:rsidR="00300726" w:rsidRPr="00DB4DEC">
          <w:rPr>
            <w:rStyle w:val="Hyperlink"/>
            <w:rFonts w:ascii="Arial" w:hAnsi="Arial" w:cs="Arial"/>
            <w:sz w:val="20"/>
            <w:szCs w:val="20"/>
          </w:rPr>
          <w:t>al-report</w:t>
        </w:r>
      </w:hyperlink>
      <w:r w:rsidRPr="00DB4DEC">
        <w:rPr>
          <w:rFonts w:ascii="Arial" w:hAnsi="Arial" w:cs="Arial"/>
          <w:sz w:val="20"/>
          <w:szCs w:val="20"/>
        </w:rPr>
        <w:t xml:space="preserve"> (Accessed: 3 May 2026).</w:t>
      </w:r>
    </w:p>
    <w:p w14:paraId="1B5A6797" w14:textId="16C94B9D" w:rsidR="00215208" w:rsidRPr="00DB4DEC" w:rsidRDefault="00215208" w:rsidP="00DB4DEC">
      <w:pPr>
        <w:spacing w:line="360" w:lineRule="auto"/>
        <w:rPr>
          <w:rFonts w:ascii="Arial" w:hAnsi="Arial" w:cs="Arial"/>
          <w:sz w:val="20"/>
          <w:szCs w:val="20"/>
        </w:rPr>
      </w:pPr>
      <w:r w:rsidRPr="00DB4DEC">
        <w:rPr>
          <w:rFonts w:ascii="Arial" w:hAnsi="Arial" w:cs="Arial"/>
          <w:sz w:val="20"/>
          <w:szCs w:val="20"/>
        </w:rPr>
        <w:t xml:space="preserve">Estyn (2024) </w:t>
      </w:r>
      <w:r w:rsidRPr="00DB4DEC">
        <w:rPr>
          <w:rFonts w:ascii="Arial" w:hAnsi="Arial" w:cs="Arial"/>
          <w:i/>
          <w:iCs/>
          <w:sz w:val="20"/>
          <w:szCs w:val="20"/>
        </w:rPr>
        <w:t>Thematic report: Impact of poverty on educational attainment, support, provision and transition for early education</w:t>
      </w:r>
      <w:r w:rsidRPr="00DB4DEC">
        <w:rPr>
          <w:rFonts w:ascii="Arial" w:hAnsi="Arial" w:cs="Arial"/>
          <w:sz w:val="20"/>
          <w:szCs w:val="20"/>
        </w:rPr>
        <w:t xml:space="preserve">. Available at: </w:t>
      </w:r>
      <w:hyperlink r:id="rId10" w:tgtFrame="_new" w:history="1">
        <w:r w:rsidRPr="00DB4DEC">
          <w:rPr>
            <w:rStyle w:val="Hyperlink"/>
            <w:rFonts w:ascii="Arial" w:hAnsi="Arial" w:cs="Arial"/>
            <w:sz w:val="20"/>
            <w:szCs w:val="20"/>
          </w:rPr>
          <w:t>https://estyn.gov.wales/improvement-resources/thematic-report-impact-of-poverty-on-educational-attainment-support-provision-and-transition-for-early-education/</w:t>
        </w:r>
      </w:hyperlink>
      <w:r w:rsidRPr="00DB4DEC">
        <w:rPr>
          <w:rFonts w:ascii="Arial" w:hAnsi="Arial" w:cs="Arial"/>
          <w:sz w:val="20"/>
          <w:szCs w:val="20"/>
        </w:rPr>
        <w:t xml:space="preserve"> (Accessed: 9 May 2026).</w:t>
      </w:r>
    </w:p>
    <w:p w14:paraId="78B7265A" w14:textId="6732E7DE" w:rsidR="00DF2E07" w:rsidRPr="00DB4DEC" w:rsidRDefault="00DF2E07" w:rsidP="00DB4DEC">
      <w:pPr>
        <w:spacing w:line="360" w:lineRule="auto"/>
        <w:rPr>
          <w:rFonts w:ascii="Arial" w:hAnsi="Arial" w:cs="Arial"/>
          <w:sz w:val="20"/>
          <w:szCs w:val="20"/>
        </w:rPr>
      </w:pPr>
      <w:r w:rsidRPr="00DB4DEC">
        <w:rPr>
          <w:rFonts w:ascii="Arial" w:hAnsi="Arial" w:cs="Arial"/>
          <w:sz w:val="20"/>
          <w:szCs w:val="20"/>
        </w:rPr>
        <w:t xml:space="preserve">Froebel Trust (2022) </w:t>
      </w:r>
      <w:r w:rsidRPr="00DB4DEC">
        <w:rPr>
          <w:rFonts w:ascii="Arial" w:hAnsi="Arial" w:cs="Arial"/>
          <w:i/>
          <w:iCs/>
          <w:sz w:val="20"/>
          <w:szCs w:val="20"/>
        </w:rPr>
        <w:t xml:space="preserve">Slow pedagogy </w:t>
      </w:r>
      <w:r w:rsidR="00CD3B40" w:rsidRPr="00DB4DEC">
        <w:rPr>
          <w:rFonts w:ascii="Arial" w:hAnsi="Arial" w:cs="Arial"/>
          <w:i/>
          <w:iCs/>
          <w:sz w:val="20"/>
          <w:szCs w:val="20"/>
        </w:rPr>
        <w:t>-</w:t>
      </w:r>
      <w:r w:rsidRPr="00DB4DEC">
        <w:rPr>
          <w:rFonts w:ascii="Arial" w:hAnsi="Arial" w:cs="Arial"/>
          <w:i/>
          <w:iCs/>
          <w:sz w:val="20"/>
          <w:szCs w:val="20"/>
        </w:rPr>
        <w:t xml:space="preserve"> making time for children’s learning and development.</w:t>
      </w:r>
      <w:r w:rsidRPr="00DB4DEC">
        <w:rPr>
          <w:rFonts w:ascii="Arial" w:hAnsi="Arial" w:cs="Arial"/>
          <w:sz w:val="20"/>
          <w:szCs w:val="20"/>
        </w:rPr>
        <w:br/>
        <w:t>Available at:</w:t>
      </w:r>
      <w:r w:rsidR="00DB0888" w:rsidRPr="00DB4DEC">
        <w:rPr>
          <w:rFonts w:ascii="Arial" w:hAnsi="Arial" w:cs="Arial"/>
          <w:sz w:val="20"/>
          <w:szCs w:val="20"/>
        </w:rPr>
        <w:t xml:space="preserve"> </w:t>
      </w:r>
      <w:hyperlink r:id="rId11" w:history="1">
        <w:r w:rsidR="00E361FC" w:rsidRPr="00DB4DEC">
          <w:rPr>
            <w:rStyle w:val="Hyperlink"/>
            <w:rFonts w:ascii="Arial" w:hAnsi="Arial" w:cs="Arial"/>
            <w:sz w:val="20"/>
            <w:szCs w:val="20"/>
          </w:rPr>
          <w:t>https://www.youtube.com/watch?v=4HI-Xa9X0AU</w:t>
        </w:r>
      </w:hyperlink>
      <w:r w:rsidR="00E361FC" w:rsidRPr="00DB4DEC">
        <w:rPr>
          <w:rFonts w:ascii="Arial" w:hAnsi="Arial" w:cs="Arial"/>
          <w:sz w:val="20"/>
          <w:szCs w:val="20"/>
        </w:rPr>
        <w:t xml:space="preserve"> </w:t>
      </w:r>
      <w:r w:rsidRPr="00DB4DEC">
        <w:rPr>
          <w:rFonts w:ascii="Arial" w:hAnsi="Arial" w:cs="Arial"/>
          <w:sz w:val="20"/>
          <w:szCs w:val="20"/>
        </w:rPr>
        <w:t>(Accessed: 26 April 2026).</w:t>
      </w:r>
    </w:p>
    <w:p w14:paraId="3B73D6DD" w14:textId="748267CB"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Gibson, J.J. (1979) </w:t>
      </w:r>
      <w:r w:rsidRPr="00DB4DEC">
        <w:rPr>
          <w:rFonts w:ascii="Arial" w:hAnsi="Arial" w:cs="Arial"/>
          <w:i/>
          <w:iCs/>
          <w:sz w:val="20"/>
          <w:szCs w:val="20"/>
        </w:rPr>
        <w:t>The Ecological Approach to Visual Perception</w:t>
      </w:r>
      <w:r w:rsidRPr="00DB4DEC">
        <w:rPr>
          <w:rFonts w:ascii="Arial" w:hAnsi="Arial" w:cs="Arial"/>
          <w:sz w:val="20"/>
          <w:szCs w:val="20"/>
        </w:rPr>
        <w:t>. Houghton Mifflin.</w:t>
      </w:r>
    </w:p>
    <w:p w14:paraId="742F9B5E" w14:textId="49D4DC0B" w:rsidR="00231605" w:rsidRPr="00DB4DEC" w:rsidRDefault="00231605" w:rsidP="00DB4DEC">
      <w:pPr>
        <w:spacing w:line="360" w:lineRule="auto"/>
        <w:rPr>
          <w:rFonts w:ascii="Arial" w:hAnsi="Arial" w:cs="Arial"/>
          <w:sz w:val="20"/>
          <w:szCs w:val="20"/>
        </w:rPr>
      </w:pPr>
      <w:r w:rsidRPr="00DB4DEC">
        <w:rPr>
          <w:rFonts w:ascii="Arial" w:hAnsi="Arial" w:cs="Arial"/>
          <w:sz w:val="20"/>
          <w:szCs w:val="20"/>
        </w:rPr>
        <w:t xml:space="preserve">Jefferson, M. and Anderson, M. (2021) </w:t>
      </w:r>
      <w:r w:rsidRPr="00DB4DEC">
        <w:rPr>
          <w:rFonts w:ascii="Arial" w:hAnsi="Arial" w:cs="Arial"/>
          <w:i/>
          <w:iCs/>
          <w:sz w:val="20"/>
          <w:szCs w:val="20"/>
        </w:rPr>
        <w:t>Transforming education</w:t>
      </w:r>
      <w:r w:rsidRPr="00DB4DEC">
        <w:rPr>
          <w:rFonts w:ascii="Arial" w:hAnsi="Arial" w:cs="Arial"/>
          <w:sz w:val="20"/>
          <w:szCs w:val="20"/>
        </w:rPr>
        <w:t>. Bloomsbury Academic.</w:t>
      </w:r>
    </w:p>
    <w:p w14:paraId="653EB816" w14:textId="060A713C" w:rsidR="002602F1" w:rsidRPr="00DB4DEC" w:rsidRDefault="002602F1" w:rsidP="00DB4DEC">
      <w:pPr>
        <w:spacing w:line="360" w:lineRule="auto"/>
        <w:rPr>
          <w:rFonts w:ascii="Arial" w:hAnsi="Arial" w:cs="Arial"/>
          <w:sz w:val="20"/>
          <w:szCs w:val="20"/>
        </w:rPr>
      </w:pPr>
      <w:r w:rsidRPr="00DB4DEC">
        <w:rPr>
          <w:rFonts w:ascii="Arial" w:hAnsi="Arial" w:cs="Arial"/>
          <w:sz w:val="20"/>
          <w:szCs w:val="20"/>
        </w:rPr>
        <w:t xml:space="preserve">Katz, L.G. and Chard, S.C. (2000) </w:t>
      </w:r>
      <w:r w:rsidRPr="00DB4DEC">
        <w:rPr>
          <w:rFonts w:ascii="Arial" w:hAnsi="Arial" w:cs="Arial"/>
          <w:i/>
          <w:iCs/>
          <w:sz w:val="20"/>
          <w:szCs w:val="20"/>
        </w:rPr>
        <w:t>Engaging Children’s Minds: The Project Approach</w:t>
      </w:r>
      <w:r w:rsidRPr="00DB4DEC">
        <w:rPr>
          <w:rFonts w:ascii="Arial" w:hAnsi="Arial" w:cs="Arial"/>
          <w:sz w:val="20"/>
          <w:szCs w:val="20"/>
        </w:rPr>
        <w:t xml:space="preserve">. 2nd </w:t>
      </w:r>
      <w:proofErr w:type="spellStart"/>
      <w:r w:rsidRPr="00DB4DEC">
        <w:rPr>
          <w:rFonts w:ascii="Arial" w:hAnsi="Arial" w:cs="Arial"/>
          <w:sz w:val="20"/>
          <w:szCs w:val="20"/>
        </w:rPr>
        <w:t>edn</w:t>
      </w:r>
      <w:proofErr w:type="spellEnd"/>
      <w:r w:rsidRPr="00DB4DEC">
        <w:rPr>
          <w:rFonts w:ascii="Arial" w:hAnsi="Arial" w:cs="Arial"/>
          <w:sz w:val="20"/>
          <w:szCs w:val="20"/>
        </w:rPr>
        <w:t xml:space="preserve">. </w:t>
      </w:r>
      <w:proofErr w:type="spellStart"/>
      <w:r w:rsidRPr="00DB4DEC">
        <w:rPr>
          <w:rFonts w:ascii="Arial" w:hAnsi="Arial" w:cs="Arial"/>
          <w:sz w:val="20"/>
          <w:szCs w:val="20"/>
        </w:rPr>
        <w:t>Ablex</w:t>
      </w:r>
      <w:proofErr w:type="spellEnd"/>
      <w:r w:rsidRPr="00DB4DEC">
        <w:rPr>
          <w:rFonts w:ascii="Arial" w:hAnsi="Arial" w:cs="Arial"/>
          <w:sz w:val="20"/>
          <w:szCs w:val="20"/>
        </w:rPr>
        <w:t xml:space="preserve"> Publishing.</w:t>
      </w:r>
    </w:p>
    <w:p w14:paraId="2D7669AF" w14:textId="4A6BF456" w:rsidR="00985795" w:rsidRPr="00DB4DEC" w:rsidRDefault="00985795" w:rsidP="00DB4DEC">
      <w:pPr>
        <w:spacing w:line="360" w:lineRule="auto"/>
        <w:rPr>
          <w:rFonts w:ascii="Arial" w:hAnsi="Arial" w:cs="Arial"/>
          <w:sz w:val="20"/>
          <w:szCs w:val="20"/>
        </w:rPr>
      </w:pPr>
      <w:r w:rsidRPr="00DB4DEC">
        <w:rPr>
          <w:rFonts w:ascii="Arial" w:hAnsi="Arial" w:cs="Arial"/>
          <w:sz w:val="20"/>
          <w:szCs w:val="20"/>
        </w:rPr>
        <w:lastRenderedPageBreak/>
        <w:t xml:space="preserve">Kiviranta, L., Lindfors, E., Rönkkö, M.-L. and </w:t>
      </w:r>
      <w:proofErr w:type="spellStart"/>
      <w:r w:rsidRPr="00DB4DEC">
        <w:rPr>
          <w:rFonts w:ascii="Arial" w:hAnsi="Arial" w:cs="Arial"/>
          <w:sz w:val="20"/>
          <w:szCs w:val="20"/>
        </w:rPr>
        <w:t>Luukka</w:t>
      </w:r>
      <w:proofErr w:type="spellEnd"/>
      <w:r w:rsidRPr="00DB4DEC">
        <w:rPr>
          <w:rFonts w:ascii="Arial" w:hAnsi="Arial" w:cs="Arial"/>
          <w:sz w:val="20"/>
          <w:szCs w:val="20"/>
        </w:rPr>
        <w:t xml:space="preserve">, E. (2023) ‘Outdoor learning in early childhood education: Exploring benefits and challenges’, </w:t>
      </w:r>
      <w:r w:rsidRPr="00DB4DEC">
        <w:rPr>
          <w:rFonts w:ascii="Arial" w:hAnsi="Arial" w:cs="Arial"/>
          <w:i/>
          <w:iCs/>
          <w:sz w:val="20"/>
          <w:szCs w:val="20"/>
        </w:rPr>
        <w:t>Educational Research</w:t>
      </w:r>
      <w:r w:rsidRPr="00DB4DEC">
        <w:rPr>
          <w:rFonts w:ascii="Arial" w:hAnsi="Arial" w:cs="Arial"/>
          <w:sz w:val="20"/>
          <w:szCs w:val="20"/>
        </w:rPr>
        <w:t>, 66(1), pp. 102</w:t>
      </w:r>
      <w:r w:rsidR="00CD3B40" w:rsidRPr="00DB4DEC">
        <w:rPr>
          <w:rFonts w:ascii="Arial" w:hAnsi="Arial" w:cs="Arial"/>
          <w:sz w:val="20"/>
          <w:szCs w:val="20"/>
        </w:rPr>
        <w:t>-</w:t>
      </w:r>
      <w:r w:rsidRPr="00DB4DEC">
        <w:rPr>
          <w:rFonts w:ascii="Arial" w:hAnsi="Arial" w:cs="Arial"/>
          <w:sz w:val="20"/>
          <w:szCs w:val="20"/>
        </w:rPr>
        <w:t>119.</w:t>
      </w:r>
    </w:p>
    <w:p w14:paraId="6606A111" w14:textId="7572C1BD"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Kolb, D.A. (1984) </w:t>
      </w:r>
      <w:r w:rsidRPr="00DB4DEC">
        <w:rPr>
          <w:rFonts w:ascii="Arial" w:hAnsi="Arial" w:cs="Arial"/>
          <w:i/>
          <w:iCs/>
          <w:sz w:val="20"/>
          <w:szCs w:val="20"/>
        </w:rPr>
        <w:t>Experiential Learning: Experience as the Source of Learning and Development</w:t>
      </w:r>
      <w:r w:rsidRPr="00DB4DEC">
        <w:rPr>
          <w:rFonts w:ascii="Arial" w:hAnsi="Arial" w:cs="Arial"/>
          <w:sz w:val="20"/>
          <w:szCs w:val="20"/>
        </w:rPr>
        <w:t>. Prentice Hall.</w:t>
      </w:r>
    </w:p>
    <w:p w14:paraId="69E05A4A" w14:textId="4E7F57F6" w:rsidR="00401FDF" w:rsidRPr="00DB4DEC" w:rsidRDefault="00401FDF" w:rsidP="00DB4DEC">
      <w:pPr>
        <w:spacing w:line="360" w:lineRule="auto"/>
        <w:rPr>
          <w:rFonts w:ascii="Arial" w:hAnsi="Arial" w:cs="Arial"/>
          <w:sz w:val="20"/>
          <w:szCs w:val="20"/>
        </w:rPr>
      </w:pPr>
      <w:r w:rsidRPr="00DB4DEC">
        <w:rPr>
          <w:rFonts w:ascii="Arial" w:hAnsi="Arial" w:cs="Arial"/>
          <w:sz w:val="20"/>
          <w:szCs w:val="20"/>
        </w:rPr>
        <w:t xml:space="preserve">Lilley, I.M. (1967) </w:t>
      </w:r>
      <w:r w:rsidRPr="00DB4DEC">
        <w:rPr>
          <w:rFonts w:ascii="Arial" w:hAnsi="Arial" w:cs="Arial"/>
          <w:i/>
          <w:iCs/>
          <w:sz w:val="20"/>
          <w:szCs w:val="20"/>
        </w:rPr>
        <w:t>Friedrich Froebel: A Selection from his Writings</w:t>
      </w:r>
      <w:r w:rsidRPr="00DB4DEC">
        <w:rPr>
          <w:rFonts w:ascii="Arial" w:hAnsi="Arial" w:cs="Arial"/>
          <w:sz w:val="20"/>
          <w:szCs w:val="20"/>
        </w:rPr>
        <w:t>. Cambridge University Press.</w:t>
      </w:r>
    </w:p>
    <w:p w14:paraId="32F80E44" w14:textId="5882C9FE" w:rsidR="00C06743" w:rsidRPr="00DB4DEC" w:rsidRDefault="00C06743" w:rsidP="00DB4DEC">
      <w:pPr>
        <w:spacing w:line="360" w:lineRule="auto"/>
        <w:rPr>
          <w:rFonts w:ascii="Arial" w:hAnsi="Arial" w:cs="Arial"/>
          <w:sz w:val="20"/>
          <w:szCs w:val="20"/>
        </w:rPr>
      </w:pPr>
      <w:r w:rsidRPr="00DB4DEC">
        <w:rPr>
          <w:rFonts w:ascii="Arial" w:hAnsi="Arial" w:cs="Arial"/>
          <w:sz w:val="20"/>
          <w:szCs w:val="20"/>
        </w:rPr>
        <w:t>Lindfors, E., Rönkkö, M.</w:t>
      </w:r>
      <w:r w:rsidR="006B7DD3">
        <w:rPr>
          <w:rFonts w:ascii="Arial" w:hAnsi="Arial" w:cs="Arial"/>
          <w:sz w:val="20"/>
          <w:szCs w:val="20"/>
        </w:rPr>
        <w:t>-</w:t>
      </w:r>
      <w:r w:rsidRPr="00DB4DEC">
        <w:rPr>
          <w:rFonts w:ascii="Arial" w:hAnsi="Arial" w:cs="Arial"/>
          <w:sz w:val="20"/>
          <w:szCs w:val="20"/>
        </w:rPr>
        <w:t xml:space="preserve">L., Kiviranta, L., </w:t>
      </w:r>
      <w:proofErr w:type="spellStart"/>
      <w:r w:rsidRPr="00DB4DEC">
        <w:rPr>
          <w:rFonts w:ascii="Arial" w:hAnsi="Arial" w:cs="Arial"/>
          <w:sz w:val="20"/>
          <w:szCs w:val="20"/>
        </w:rPr>
        <w:t>Yliverronen</w:t>
      </w:r>
      <w:proofErr w:type="spellEnd"/>
      <w:r w:rsidRPr="00DB4DEC">
        <w:rPr>
          <w:rFonts w:ascii="Arial" w:hAnsi="Arial" w:cs="Arial"/>
          <w:sz w:val="20"/>
          <w:szCs w:val="20"/>
        </w:rPr>
        <w:t xml:space="preserve">, V., </w:t>
      </w:r>
      <w:proofErr w:type="spellStart"/>
      <w:r w:rsidRPr="00DB4DEC">
        <w:rPr>
          <w:rFonts w:ascii="Arial" w:hAnsi="Arial" w:cs="Arial"/>
          <w:sz w:val="20"/>
          <w:szCs w:val="20"/>
        </w:rPr>
        <w:t>Tanhuanpää</w:t>
      </w:r>
      <w:proofErr w:type="spellEnd"/>
      <w:r w:rsidRPr="00DB4DEC">
        <w:rPr>
          <w:rFonts w:ascii="Arial" w:hAnsi="Arial" w:cs="Arial"/>
          <w:sz w:val="20"/>
          <w:szCs w:val="20"/>
        </w:rPr>
        <w:t xml:space="preserve">, S. and </w:t>
      </w:r>
      <w:proofErr w:type="spellStart"/>
      <w:r w:rsidRPr="00DB4DEC">
        <w:rPr>
          <w:rFonts w:ascii="Arial" w:hAnsi="Arial" w:cs="Arial"/>
          <w:sz w:val="20"/>
          <w:szCs w:val="20"/>
        </w:rPr>
        <w:t>Grönman</w:t>
      </w:r>
      <w:proofErr w:type="spellEnd"/>
      <w:r w:rsidRPr="00DB4DEC">
        <w:rPr>
          <w:rFonts w:ascii="Arial" w:hAnsi="Arial" w:cs="Arial"/>
          <w:sz w:val="20"/>
          <w:szCs w:val="20"/>
        </w:rPr>
        <w:t xml:space="preserve">, S. (2021) ‘Outdoor learning in early childhood education: A narrative review’, </w:t>
      </w:r>
      <w:r w:rsidRPr="00DB4DEC">
        <w:rPr>
          <w:rFonts w:ascii="Arial" w:hAnsi="Arial" w:cs="Arial"/>
          <w:i/>
          <w:iCs/>
          <w:sz w:val="20"/>
          <w:szCs w:val="20"/>
        </w:rPr>
        <w:t xml:space="preserve">Techne </w:t>
      </w:r>
      <w:proofErr w:type="spellStart"/>
      <w:r w:rsidRPr="00DB4DEC">
        <w:rPr>
          <w:rFonts w:ascii="Arial" w:hAnsi="Arial" w:cs="Arial"/>
          <w:i/>
          <w:iCs/>
          <w:sz w:val="20"/>
          <w:szCs w:val="20"/>
        </w:rPr>
        <w:t>Serien</w:t>
      </w:r>
      <w:proofErr w:type="spellEnd"/>
      <w:r w:rsidRPr="00DB4DEC">
        <w:rPr>
          <w:rFonts w:ascii="Arial" w:hAnsi="Arial" w:cs="Arial"/>
          <w:i/>
          <w:iCs/>
          <w:sz w:val="20"/>
          <w:szCs w:val="20"/>
        </w:rPr>
        <w:t xml:space="preserve"> </w:t>
      </w:r>
      <w:r w:rsidR="00CD3B40" w:rsidRPr="00DB4DEC">
        <w:rPr>
          <w:rFonts w:ascii="Arial" w:hAnsi="Arial" w:cs="Arial"/>
          <w:i/>
          <w:iCs/>
          <w:sz w:val="20"/>
          <w:szCs w:val="20"/>
        </w:rPr>
        <w:t>-</w:t>
      </w:r>
      <w:r w:rsidRPr="00DB4DEC">
        <w:rPr>
          <w:rFonts w:ascii="Arial" w:hAnsi="Arial" w:cs="Arial"/>
          <w:i/>
          <w:iCs/>
          <w:sz w:val="20"/>
          <w:szCs w:val="20"/>
        </w:rPr>
        <w:t xml:space="preserve"> Research in Sloyd Education and Craft Science</w:t>
      </w:r>
      <w:r w:rsidRPr="00DB4DEC">
        <w:rPr>
          <w:rFonts w:ascii="Arial" w:hAnsi="Arial" w:cs="Arial"/>
          <w:sz w:val="20"/>
          <w:szCs w:val="20"/>
        </w:rPr>
        <w:t>, 28(2), pp. 156</w:t>
      </w:r>
      <w:r w:rsidR="00923EF5">
        <w:rPr>
          <w:rFonts w:ascii="Arial" w:hAnsi="Arial" w:cs="Arial"/>
          <w:sz w:val="20"/>
          <w:szCs w:val="20"/>
        </w:rPr>
        <w:t>-</w:t>
      </w:r>
      <w:r w:rsidRPr="00DB4DEC">
        <w:rPr>
          <w:rFonts w:ascii="Arial" w:hAnsi="Arial" w:cs="Arial"/>
          <w:sz w:val="20"/>
          <w:szCs w:val="20"/>
        </w:rPr>
        <w:t>165.</w:t>
      </w:r>
    </w:p>
    <w:p w14:paraId="275DFFA4" w14:textId="065E4C37"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Moyles, J. (2010) </w:t>
      </w:r>
      <w:r w:rsidRPr="00DB4DEC">
        <w:rPr>
          <w:rFonts w:ascii="Arial" w:hAnsi="Arial" w:cs="Arial"/>
          <w:i/>
          <w:iCs/>
          <w:sz w:val="20"/>
          <w:szCs w:val="20"/>
        </w:rPr>
        <w:t>The Excellence of Play</w:t>
      </w:r>
      <w:r w:rsidRPr="00DB4DEC">
        <w:rPr>
          <w:rFonts w:ascii="Arial" w:hAnsi="Arial" w:cs="Arial"/>
          <w:sz w:val="20"/>
          <w:szCs w:val="20"/>
        </w:rPr>
        <w:t xml:space="preserve">. 3rd </w:t>
      </w:r>
      <w:proofErr w:type="spellStart"/>
      <w:r w:rsidRPr="00DB4DEC">
        <w:rPr>
          <w:rFonts w:ascii="Arial" w:hAnsi="Arial" w:cs="Arial"/>
          <w:sz w:val="20"/>
          <w:szCs w:val="20"/>
        </w:rPr>
        <w:t>edn</w:t>
      </w:r>
      <w:proofErr w:type="spellEnd"/>
      <w:r w:rsidRPr="00DB4DEC">
        <w:rPr>
          <w:rFonts w:ascii="Arial" w:hAnsi="Arial" w:cs="Arial"/>
          <w:sz w:val="20"/>
          <w:szCs w:val="20"/>
        </w:rPr>
        <w:t>. Open University Press.</w:t>
      </w:r>
    </w:p>
    <w:p w14:paraId="5C24F0B9" w14:textId="07C13FDD"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Mudiad Meithrin (2023</w:t>
      </w:r>
      <w:r w:rsidR="00142783" w:rsidRPr="00DB4DEC">
        <w:rPr>
          <w:rFonts w:ascii="Arial" w:hAnsi="Arial" w:cs="Arial"/>
          <w:sz w:val="20"/>
          <w:szCs w:val="20"/>
        </w:rPr>
        <w:t>a</w:t>
      </w:r>
      <w:r w:rsidRPr="00DB4DEC">
        <w:rPr>
          <w:rFonts w:ascii="Arial" w:hAnsi="Arial" w:cs="Arial"/>
          <w:sz w:val="20"/>
          <w:szCs w:val="20"/>
        </w:rPr>
        <w:t xml:space="preserve">) </w:t>
      </w:r>
      <w:r w:rsidRPr="00DB4DEC">
        <w:rPr>
          <w:rFonts w:ascii="Arial" w:hAnsi="Arial" w:cs="Arial"/>
          <w:i/>
          <w:iCs/>
          <w:sz w:val="20"/>
          <w:szCs w:val="20"/>
        </w:rPr>
        <w:t>About Mudiad Meithrin</w:t>
      </w:r>
      <w:r w:rsidRPr="00DB4DEC">
        <w:rPr>
          <w:rFonts w:ascii="Arial" w:hAnsi="Arial" w:cs="Arial"/>
          <w:sz w:val="20"/>
          <w:szCs w:val="20"/>
        </w:rPr>
        <w:t xml:space="preserve">. Available at: </w:t>
      </w:r>
      <w:hyperlink r:id="rId12" w:tgtFrame="_new" w:history="1">
        <w:r w:rsidRPr="00DB4DEC">
          <w:rPr>
            <w:rStyle w:val="Hyperlink"/>
            <w:rFonts w:ascii="Arial" w:hAnsi="Arial" w:cs="Arial"/>
            <w:sz w:val="20"/>
            <w:szCs w:val="20"/>
          </w:rPr>
          <w:t>https://www.meith</w:t>
        </w:r>
        <w:r w:rsidRPr="00DB4DEC">
          <w:rPr>
            <w:rStyle w:val="Hyperlink"/>
            <w:rFonts w:ascii="Arial" w:hAnsi="Arial" w:cs="Arial"/>
            <w:sz w:val="20"/>
            <w:szCs w:val="20"/>
          </w:rPr>
          <w:t>r</w:t>
        </w:r>
        <w:r w:rsidRPr="00DB4DEC">
          <w:rPr>
            <w:rStyle w:val="Hyperlink"/>
            <w:rFonts w:ascii="Arial" w:hAnsi="Arial" w:cs="Arial"/>
            <w:sz w:val="20"/>
            <w:szCs w:val="20"/>
          </w:rPr>
          <w:t>in.cymru</w:t>
        </w:r>
      </w:hyperlink>
      <w:r w:rsidRPr="00DB4DEC">
        <w:rPr>
          <w:rFonts w:ascii="Arial" w:hAnsi="Arial" w:cs="Arial"/>
          <w:sz w:val="20"/>
          <w:szCs w:val="20"/>
        </w:rPr>
        <w:t xml:space="preserve"> (Accessed: 26 April 2026).</w:t>
      </w:r>
    </w:p>
    <w:p w14:paraId="1033C140" w14:textId="77777777"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Mudiad Meithrin (2023b) </w:t>
      </w:r>
      <w:r w:rsidRPr="00DB4DEC">
        <w:rPr>
          <w:rFonts w:ascii="Arial" w:hAnsi="Arial" w:cs="Arial"/>
          <w:i/>
          <w:iCs/>
          <w:sz w:val="20"/>
          <w:szCs w:val="20"/>
        </w:rPr>
        <w:t>Bod y Tu Allan (Level 3 Certificate)</w:t>
      </w:r>
      <w:r w:rsidRPr="00DB4DEC">
        <w:rPr>
          <w:rFonts w:ascii="Arial" w:hAnsi="Arial" w:cs="Arial"/>
          <w:sz w:val="20"/>
          <w:szCs w:val="20"/>
        </w:rPr>
        <w:t xml:space="preserve">. Available at: </w:t>
      </w:r>
      <w:hyperlink r:id="rId13" w:tgtFrame="_new" w:history="1">
        <w:r w:rsidRPr="00DB4DEC">
          <w:rPr>
            <w:rStyle w:val="Hyperlink"/>
            <w:rFonts w:ascii="Arial" w:hAnsi="Arial" w:cs="Arial"/>
            <w:sz w:val="20"/>
            <w:szCs w:val="20"/>
          </w:rPr>
          <w:t>htt</w:t>
        </w:r>
        <w:r w:rsidRPr="00DB4DEC">
          <w:rPr>
            <w:rStyle w:val="Hyperlink"/>
            <w:rFonts w:ascii="Arial" w:hAnsi="Arial" w:cs="Arial"/>
            <w:sz w:val="20"/>
            <w:szCs w:val="20"/>
          </w:rPr>
          <w:t>p</w:t>
        </w:r>
        <w:r w:rsidRPr="00DB4DEC">
          <w:rPr>
            <w:rStyle w:val="Hyperlink"/>
            <w:rFonts w:ascii="Arial" w:hAnsi="Arial" w:cs="Arial"/>
            <w:sz w:val="20"/>
            <w:szCs w:val="20"/>
          </w:rPr>
          <w:t>s://meithrin.cymru/bod-y-tu-allan/</w:t>
        </w:r>
      </w:hyperlink>
      <w:r w:rsidRPr="00DB4DEC">
        <w:rPr>
          <w:rFonts w:ascii="Arial" w:hAnsi="Arial" w:cs="Arial"/>
          <w:sz w:val="20"/>
          <w:szCs w:val="20"/>
        </w:rPr>
        <w:t xml:space="preserve"> (Accessed: 20 April 2026).</w:t>
      </w:r>
    </w:p>
    <w:p w14:paraId="2C897823" w14:textId="13495034"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Nicholson, S. (1971) ‘How not to cheat children: The theory of loose parts’, </w:t>
      </w:r>
      <w:r w:rsidRPr="00DB4DEC">
        <w:rPr>
          <w:rFonts w:ascii="Arial" w:hAnsi="Arial" w:cs="Arial"/>
          <w:i/>
          <w:iCs/>
          <w:sz w:val="20"/>
          <w:szCs w:val="20"/>
        </w:rPr>
        <w:t>Landscape Architecture</w:t>
      </w:r>
      <w:r w:rsidRPr="00DB4DEC">
        <w:rPr>
          <w:rFonts w:ascii="Arial" w:hAnsi="Arial" w:cs="Arial"/>
          <w:sz w:val="20"/>
          <w:szCs w:val="20"/>
        </w:rPr>
        <w:t>, 62, pp. 30</w:t>
      </w:r>
      <w:r w:rsidR="00923EF5">
        <w:rPr>
          <w:rFonts w:ascii="Arial" w:hAnsi="Arial" w:cs="Arial"/>
          <w:sz w:val="20"/>
          <w:szCs w:val="20"/>
        </w:rPr>
        <w:t>-</w:t>
      </w:r>
      <w:r w:rsidRPr="00DB4DEC">
        <w:rPr>
          <w:rFonts w:ascii="Arial" w:hAnsi="Arial" w:cs="Arial"/>
          <w:sz w:val="20"/>
          <w:szCs w:val="20"/>
        </w:rPr>
        <w:t>34.</w:t>
      </w:r>
    </w:p>
    <w:p w14:paraId="5AD2CF99" w14:textId="0069A66A" w:rsidR="00DA42EE" w:rsidRPr="00DB4DEC" w:rsidRDefault="00DA42EE" w:rsidP="00DB4DEC">
      <w:pPr>
        <w:spacing w:line="360" w:lineRule="auto"/>
        <w:rPr>
          <w:rFonts w:ascii="Arial" w:hAnsi="Arial" w:cs="Arial"/>
          <w:sz w:val="20"/>
          <w:szCs w:val="20"/>
        </w:rPr>
      </w:pPr>
      <w:r w:rsidRPr="00DB4DEC">
        <w:rPr>
          <w:rFonts w:ascii="Arial" w:hAnsi="Arial" w:cs="Arial"/>
          <w:sz w:val="20"/>
          <w:szCs w:val="20"/>
        </w:rPr>
        <w:t xml:space="preserve">Parker, R., Thomsen, B.S. and Berry, A. (2022) ‘Learning through play at school </w:t>
      </w:r>
      <w:r w:rsidR="00CD3B40" w:rsidRPr="00DB4DEC">
        <w:rPr>
          <w:rFonts w:ascii="Arial" w:hAnsi="Arial" w:cs="Arial"/>
          <w:sz w:val="20"/>
          <w:szCs w:val="20"/>
        </w:rPr>
        <w:t>-</w:t>
      </w:r>
      <w:r w:rsidRPr="00DB4DEC">
        <w:rPr>
          <w:rFonts w:ascii="Arial" w:hAnsi="Arial" w:cs="Arial"/>
          <w:sz w:val="20"/>
          <w:szCs w:val="20"/>
        </w:rPr>
        <w:t xml:space="preserve"> A framework for policy and practice’, </w:t>
      </w:r>
      <w:r w:rsidRPr="00DB4DEC">
        <w:rPr>
          <w:rFonts w:ascii="Arial" w:hAnsi="Arial" w:cs="Arial"/>
          <w:i/>
          <w:iCs/>
          <w:sz w:val="20"/>
          <w:szCs w:val="20"/>
        </w:rPr>
        <w:t>Frontiers in Education</w:t>
      </w:r>
      <w:r w:rsidRPr="00DB4DEC">
        <w:rPr>
          <w:rFonts w:ascii="Arial" w:hAnsi="Arial" w:cs="Arial"/>
          <w:sz w:val="20"/>
          <w:szCs w:val="20"/>
        </w:rPr>
        <w:t>, 7, 751801. Available at:</w:t>
      </w:r>
      <w:r w:rsidR="004318FE" w:rsidRPr="00DB4DEC">
        <w:rPr>
          <w:rFonts w:ascii="Arial" w:hAnsi="Arial" w:cs="Arial"/>
          <w:sz w:val="20"/>
          <w:szCs w:val="20"/>
        </w:rPr>
        <w:t xml:space="preserve"> </w:t>
      </w:r>
      <w:hyperlink r:id="rId14" w:history="1">
        <w:r w:rsidR="00215208" w:rsidRPr="00DB4DEC">
          <w:rPr>
            <w:rStyle w:val="Hyperlink"/>
            <w:rFonts w:ascii="Arial" w:hAnsi="Arial" w:cs="Arial"/>
            <w:sz w:val="20"/>
            <w:szCs w:val="20"/>
          </w:rPr>
          <w:t>https://doi.org/10.3389/feduc.2022.7</w:t>
        </w:r>
        <w:r w:rsidR="00215208" w:rsidRPr="00DB4DEC">
          <w:rPr>
            <w:rStyle w:val="Hyperlink"/>
            <w:rFonts w:ascii="Arial" w:hAnsi="Arial" w:cs="Arial"/>
            <w:sz w:val="20"/>
            <w:szCs w:val="20"/>
          </w:rPr>
          <w:t>5</w:t>
        </w:r>
        <w:r w:rsidR="00215208" w:rsidRPr="00DB4DEC">
          <w:rPr>
            <w:rStyle w:val="Hyperlink"/>
            <w:rFonts w:ascii="Arial" w:hAnsi="Arial" w:cs="Arial"/>
            <w:sz w:val="20"/>
            <w:szCs w:val="20"/>
          </w:rPr>
          <w:t>1801</w:t>
        </w:r>
      </w:hyperlink>
      <w:r w:rsidR="007816BE" w:rsidRPr="00DB4DEC">
        <w:rPr>
          <w:rFonts w:ascii="Arial" w:hAnsi="Arial" w:cs="Arial"/>
          <w:sz w:val="20"/>
          <w:szCs w:val="20"/>
        </w:rPr>
        <w:t xml:space="preserve"> (</w:t>
      </w:r>
      <w:r w:rsidR="00485B58" w:rsidRPr="00DB4DEC">
        <w:rPr>
          <w:rFonts w:ascii="Arial" w:hAnsi="Arial" w:cs="Arial"/>
          <w:sz w:val="20"/>
          <w:szCs w:val="20"/>
        </w:rPr>
        <w:t>Accessed: 26 April 2026)</w:t>
      </w:r>
      <w:r w:rsidR="00F07541" w:rsidRPr="00DB4DEC">
        <w:rPr>
          <w:rFonts w:ascii="Arial" w:hAnsi="Arial" w:cs="Arial"/>
          <w:sz w:val="20"/>
          <w:szCs w:val="20"/>
        </w:rPr>
        <w:t>.</w:t>
      </w:r>
    </w:p>
    <w:p w14:paraId="30D29FEC" w14:textId="6414F9CF"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Piaget, J. (1962) </w:t>
      </w:r>
      <w:r w:rsidRPr="00DB4DEC">
        <w:rPr>
          <w:rFonts w:ascii="Arial" w:hAnsi="Arial" w:cs="Arial"/>
          <w:i/>
          <w:iCs/>
          <w:sz w:val="20"/>
          <w:szCs w:val="20"/>
        </w:rPr>
        <w:t>Play, Dreams and Imitation in Childhood</w:t>
      </w:r>
      <w:r w:rsidRPr="00DB4DEC">
        <w:rPr>
          <w:rFonts w:ascii="Arial" w:hAnsi="Arial" w:cs="Arial"/>
          <w:sz w:val="20"/>
          <w:szCs w:val="20"/>
        </w:rPr>
        <w:t>.</w:t>
      </w:r>
      <w:r w:rsidR="003C4259" w:rsidRPr="00DB4DEC">
        <w:rPr>
          <w:rFonts w:ascii="Arial" w:hAnsi="Arial" w:cs="Arial"/>
          <w:sz w:val="20"/>
          <w:szCs w:val="20"/>
        </w:rPr>
        <w:t xml:space="preserve"> </w:t>
      </w:r>
      <w:r w:rsidRPr="00DB4DEC">
        <w:rPr>
          <w:rFonts w:ascii="Arial" w:hAnsi="Arial" w:cs="Arial"/>
          <w:sz w:val="20"/>
          <w:szCs w:val="20"/>
        </w:rPr>
        <w:t>Norton.</w:t>
      </w:r>
    </w:p>
    <w:p w14:paraId="1BBF3015" w14:textId="5592A7B9" w:rsidR="004318FE" w:rsidRPr="00DB4DEC" w:rsidRDefault="004318FE" w:rsidP="00DB4DEC">
      <w:pPr>
        <w:spacing w:line="360" w:lineRule="auto"/>
        <w:rPr>
          <w:rFonts w:ascii="Arial" w:hAnsi="Arial" w:cs="Arial"/>
          <w:sz w:val="20"/>
          <w:szCs w:val="20"/>
        </w:rPr>
      </w:pPr>
      <w:r w:rsidRPr="00DB4DEC">
        <w:rPr>
          <w:rFonts w:ascii="Arial" w:hAnsi="Arial" w:cs="Arial"/>
          <w:sz w:val="20"/>
          <w:szCs w:val="20"/>
        </w:rPr>
        <w:t xml:space="preserve">Ramsden, R., Pike, I., Thorne, S. and </w:t>
      </w:r>
      <w:proofErr w:type="spellStart"/>
      <w:r w:rsidRPr="00DB4DEC">
        <w:rPr>
          <w:rFonts w:ascii="Arial" w:hAnsi="Arial" w:cs="Arial"/>
          <w:sz w:val="20"/>
          <w:szCs w:val="20"/>
        </w:rPr>
        <w:t>Brussoni</w:t>
      </w:r>
      <w:proofErr w:type="spellEnd"/>
      <w:r w:rsidRPr="00DB4DEC">
        <w:rPr>
          <w:rFonts w:ascii="Arial" w:hAnsi="Arial" w:cs="Arial"/>
          <w:sz w:val="20"/>
          <w:szCs w:val="20"/>
        </w:rPr>
        <w:t xml:space="preserve">, M. (2025) ‘Children’s outdoor play at early learning and </w:t>
      </w:r>
      <w:r w:rsidR="007816BE" w:rsidRPr="00DB4DEC">
        <w:rPr>
          <w:rFonts w:ascii="Arial" w:hAnsi="Arial" w:cs="Arial"/>
          <w:sz w:val="20"/>
          <w:szCs w:val="20"/>
        </w:rPr>
        <w:t>childcare</w:t>
      </w:r>
      <w:r w:rsidRPr="00DB4DEC">
        <w:rPr>
          <w:rFonts w:ascii="Arial" w:hAnsi="Arial" w:cs="Arial"/>
          <w:sz w:val="20"/>
          <w:szCs w:val="20"/>
        </w:rPr>
        <w:t xml:space="preserve"> centres: Examining the impact of environmental play features on children’s play behaviour’, </w:t>
      </w:r>
      <w:r w:rsidRPr="00DB4DEC">
        <w:rPr>
          <w:rFonts w:ascii="Arial" w:hAnsi="Arial" w:cs="Arial"/>
          <w:i/>
          <w:iCs/>
          <w:sz w:val="20"/>
          <w:szCs w:val="20"/>
        </w:rPr>
        <w:t>PLOS ONE</w:t>
      </w:r>
      <w:r w:rsidRPr="00DB4DEC">
        <w:rPr>
          <w:rFonts w:ascii="Arial" w:hAnsi="Arial" w:cs="Arial"/>
          <w:sz w:val="20"/>
          <w:szCs w:val="20"/>
        </w:rPr>
        <w:t xml:space="preserve">, 20(12), e0318538. Available at: </w:t>
      </w:r>
      <w:hyperlink r:id="rId15" w:tgtFrame="_new" w:history="1">
        <w:r w:rsidRPr="00DB4DEC">
          <w:rPr>
            <w:rStyle w:val="Hyperlink"/>
            <w:rFonts w:ascii="Arial" w:hAnsi="Arial" w:cs="Arial"/>
            <w:sz w:val="20"/>
            <w:szCs w:val="20"/>
          </w:rPr>
          <w:t>https://doi.org/10.1371/journal.pone.0318538</w:t>
        </w:r>
      </w:hyperlink>
      <w:r w:rsidR="007816BE" w:rsidRPr="00DB4DEC">
        <w:rPr>
          <w:rFonts w:ascii="Arial" w:hAnsi="Arial" w:cs="Arial"/>
          <w:sz w:val="20"/>
          <w:szCs w:val="20"/>
        </w:rPr>
        <w:t xml:space="preserve"> </w:t>
      </w:r>
      <w:r w:rsidR="003C4259" w:rsidRPr="00DB4DEC">
        <w:rPr>
          <w:rFonts w:ascii="Arial" w:hAnsi="Arial" w:cs="Arial"/>
          <w:sz w:val="20"/>
          <w:szCs w:val="20"/>
        </w:rPr>
        <w:t>(Accessed: 26 April 2026).</w:t>
      </w:r>
    </w:p>
    <w:p w14:paraId="1B4DE5F8" w14:textId="4F56C645"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Samuelsson, I.P. and Kaga, Y. (2008) </w:t>
      </w:r>
      <w:r w:rsidRPr="00DB4DEC">
        <w:rPr>
          <w:rFonts w:ascii="Arial" w:hAnsi="Arial" w:cs="Arial"/>
          <w:i/>
          <w:iCs/>
          <w:sz w:val="20"/>
          <w:szCs w:val="20"/>
        </w:rPr>
        <w:t>The Contribution of Early Childhood Education to a Sustainable Society</w:t>
      </w:r>
      <w:r w:rsidRPr="00DB4DEC">
        <w:rPr>
          <w:rFonts w:ascii="Arial" w:hAnsi="Arial" w:cs="Arial"/>
          <w:sz w:val="20"/>
          <w:szCs w:val="20"/>
        </w:rPr>
        <w:t>. UNESCO.</w:t>
      </w:r>
    </w:p>
    <w:p w14:paraId="167C2EA4" w14:textId="093F6373" w:rsidR="005A4FB1" w:rsidRPr="00DB4DEC" w:rsidRDefault="005A4FB1" w:rsidP="00DB4DEC">
      <w:pPr>
        <w:spacing w:line="360" w:lineRule="auto"/>
        <w:rPr>
          <w:rFonts w:ascii="Arial" w:hAnsi="Arial" w:cs="Arial"/>
          <w:sz w:val="20"/>
          <w:szCs w:val="20"/>
        </w:rPr>
      </w:pPr>
      <w:proofErr w:type="spellStart"/>
      <w:r w:rsidRPr="00DB4DEC">
        <w:rPr>
          <w:rFonts w:ascii="Arial" w:hAnsi="Arial" w:cs="Arial"/>
          <w:sz w:val="20"/>
          <w:szCs w:val="20"/>
        </w:rPr>
        <w:t>Sandseter</w:t>
      </w:r>
      <w:proofErr w:type="spellEnd"/>
      <w:r w:rsidRPr="00DB4DEC">
        <w:rPr>
          <w:rFonts w:ascii="Arial" w:hAnsi="Arial" w:cs="Arial"/>
          <w:sz w:val="20"/>
          <w:szCs w:val="20"/>
        </w:rPr>
        <w:t>, E.B.H. (2007) ‘Categorising risky play</w:t>
      </w:r>
      <w:r w:rsidR="00CD3B40" w:rsidRPr="00DB4DEC">
        <w:rPr>
          <w:rFonts w:ascii="Arial" w:hAnsi="Arial" w:cs="Arial"/>
          <w:sz w:val="20"/>
          <w:szCs w:val="20"/>
        </w:rPr>
        <w:t>-</w:t>
      </w:r>
      <w:r w:rsidRPr="00DB4DEC">
        <w:rPr>
          <w:rFonts w:ascii="Arial" w:hAnsi="Arial" w:cs="Arial"/>
          <w:sz w:val="20"/>
          <w:szCs w:val="20"/>
        </w:rPr>
        <w:t xml:space="preserve">how can we identify risk-taking in children’s play?’, </w:t>
      </w:r>
      <w:r w:rsidRPr="00DB4DEC">
        <w:rPr>
          <w:rFonts w:ascii="Arial" w:hAnsi="Arial" w:cs="Arial"/>
          <w:i/>
          <w:iCs/>
          <w:sz w:val="20"/>
          <w:szCs w:val="20"/>
        </w:rPr>
        <w:t>European Early Childhood Education Research Journal</w:t>
      </w:r>
      <w:r w:rsidRPr="00DB4DEC">
        <w:rPr>
          <w:rFonts w:ascii="Arial" w:hAnsi="Arial" w:cs="Arial"/>
          <w:sz w:val="20"/>
          <w:szCs w:val="20"/>
        </w:rPr>
        <w:t>, 15(2), pp. 237</w:t>
      </w:r>
      <w:r w:rsidR="00392268" w:rsidRPr="00DB4DEC">
        <w:rPr>
          <w:rFonts w:ascii="Arial" w:hAnsi="Arial" w:cs="Arial"/>
          <w:sz w:val="20"/>
          <w:szCs w:val="20"/>
        </w:rPr>
        <w:t>-</w:t>
      </w:r>
      <w:r w:rsidRPr="00DB4DEC">
        <w:rPr>
          <w:rFonts w:ascii="Arial" w:hAnsi="Arial" w:cs="Arial"/>
          <w:sz w:val="20"/>
          <w:szCs w:val="20"/>
        </w:rPr>
        <w:t>252.</w:t>
      </w:r>
    </w:p>
    <w:p w14:paraId="3516115C" w14:textId="77777777"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Siraj-Blatchford, I., Sylva, K., </w:t>
      </w:r>
      <w:proofErr w:type="spellStart"/>
      <w:r w:rsidRPr="00DB4DEC">
        <w:rPr>
          <w:rFonts w:ascii="Arial" w:hAnsi="Arial" w:cs="Arial"/>
          <w:sz w:val="20"/>
          <w:szCs w:val="20"/>
        </w:rPr>
        <w:t>Muttock</w:t>
      </w:r>
      <w:proofErr w:type="spellEnd"/>
      <w:r w:rsidRPr="00DB4DEC">
        <w:rPr>
          <w:rFonts w:ascii="Arial" w:hAnsi="Arial" w:cs="Arial"/>
          <w:sz w:val="20"/>
          <w:szCs w:val="20"/>
        </w:rPr>
        <w:t xml:space="preserve">, S., Gilden, R. and Bell, D. (2002) </w:t>
      </w:r>
      <w:r w:rsidRPr="00DB4DEC">
        <w:rPr>
          <w:rFonts w:ascii="Arial" w:hAnsi="Arial" w:cs="Arial"/>
          <w:i/>
          <w:iCs/>
          <w:sz w:val="20"/>
          <w:szCs w:val="20"/>
        </w:rPr>
        <w:t>Researching Effective Pedagogy in the Early Years (REPEY)</w:t>
      </w:r>
      <w:r w:rsidRPr="00DB4DEC">
        <w:rPr>
          <w:rFonts w:ascii="Arial" w:hAnsi="Arial" w:cs="Arial"/>
          <w:sz w:val="20"/>
          <w:szCs w:val="20"/>
        </w:rPr>
        <w:t xml:space="preserve">. </w:t>
      </w:r>
      <w:r w:rsidRPr="00DB4DEC">
        <w:rPr>
          <w:rFonts w:ascii="Arial" w:hAnsi="Arial" w:cs="Arial"/>
          <w:i/>
          <w:iCs/>
          <w:sz w:val="20"/>
          <w:szCs w:val="20"/>
        </w:rPr>
        <w:t>London:</w:t>
      </w:r>
      <w:r w:rsidRPr="00DB4DEC">
        <w:rPr>
          <w:rFonts w:ascii="Arial" w:hAnsi="Arial" w:cs="Arial"/>
          <w:sz w:val="20"/>
          <w:szCs w:val="20"/>
        </w:rPr>
        <w:t xml:space="preserve"> DfES.</w:t>
      </w:r>
    </w:p>
    <w:p w14:paraId="6F7A4368" w14:textId="4F012F04" w:rsidR="003F52F5" w:rsidRPr="00DB4DEC" w:rsidRDefault="003F52F5" w:rsidP="00DB4DEC">
      <w:pPr>
        <w:spacing w:line="360" w:lineRule="auto"/>
        <w:rPr>
          <w:rFonts w:ascii="Arial" w:hAnsi="Arial" w:cs="Arial"/>
          <w:sz w:val="20"/>
          <w:szCs w:val="20"/>
        </w:rPr>
      </w:pPr>
      <w:r w:rsidRPr="00DB4DEC">
        <w:rPr>
          <w:rFonts w:ascii="Arial" w:hAnsi="Arial" w:cs="Arial"/>
          <w:sz w:val="20"/>
          <w:szCs w:val="20"/>
        </w:rPr>
        <w:t xml:space="preserve">Siraj-Blatchford, J., Hirst, N. and Boyd, D. (2018) </w:t>
      </w:r>
      <w:r w:rsidRPr="00DB4DEC">
        <w:rPr>
          <w:rFonts w:ascii="Arial" w:hAnsi="Arial" w:cs="Arial"/>
          <w:i/>
          <w:iCs/>
          <w:sz w:val="20"/>
          <w:szCs w:val="20"/>
        </w:rPr>
        <w:t>Understanding sustainability in early childhood education: Case studies and approaches from across the UK</w:t>
      </w:r>
      <w:r w:rsidRPr="00DB4DEC">
        <w:rPr>
          <w:rFonts w:ascii="Arial" w:hAnsi="Arial" w:cs="Arial"/>
          <w:sz w:val="20"/>
          <w:szCs w:val="20"/>
        </w:rPr>
        <w:t>. Routledge.</w:t>
      </w:r>
    </w:p>
    <w:p w14:paraId="2AA4D0B6" w14:textId="0D8B2FBC"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lastRenderedPageBreak/>
        <w:t xml:space="preserve">Sylva, K., Melhuish, E., Sammons, P., Siraj-Blatchford, I. and Taggart, B. (2004) </w:t>
      </w:r>
      <w:r w:rsidRPr="00DB4DEC">
        <w:rPr>
          <w:rFonts w:ascii="Arial" w:hAnsi="Arial" w:cs="Arial"/>
          <w:i/>
          <w:iCs/>
          <w:sz w:val="20"/>
          <w:szCs w:val="20"/>
        </w:rPr>
        <w:t>The Effective Provision of Pre</w:t>
      </w:r>
      <w:r w:rsidR="008709CE">
        <w:rPr>
          <w:rFonts w:ascii="Arial" w:hAnsi="Arial" w:cs="Arial"/>
          <w:i/>
          <w:iCs/>
          <w:sz w:val="20"/>
          <w:szCs w:val="20"/>
        </w:rPr>
        <w:t>-</w:t>
      </w:r>
      <w:r w:rsidRPr="00DB4DEC">
        <w:rPr>
          <w:rFonts w:ascii="Arial" w:hAnsi="Arial" w:cs="Arial"/>
          <w:i/>
          <w:iCs/>
          <w:sz w:val="20"/>
          <w:szCs w:val="20"/>
        </w:rPr>
        <w:t>School Education (EPPE) Project</w:t>
      </w:r>
      <w:r w:rsidRPr="00DB4DEC">
        <w:rPr>
          <w:rFonts w:ascii="Arial" w:hAnsi="Arial" w:cs="Arial"/>
          <w:sz w:val="20"/>
          <w:szCs w:val="20"/>
        </w:rPr>
        <w:t>. DfES.</w:t>
      </w:r>
    </w:p>
    <w:p w14:paraId="0FE7AB3D" w14:textId="30BF01E0"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Taylor, A. (2013) </w:t>
      </w:r>
      <w:r w:rsidRPr="00DB4DEC">
        <w:rPr>
          <w:rFonts w:ascii="Arial" w:hAnsi="Arial" w:cs="Arial"/>
          <w:i/>
          <w:iCs/>
          <w:sz w:val="20"/>
          <w:szCs w:val="20"/>
        </w:rPr>
        <w:t>Reconfiguring the Natures of Childhood</w:t>
      </w:r>
      <w:r w:rsidRPr="00DB4DEC">
        <w:rPr>
          <w:rFonts w:ascii="Arial" w:hAnsi="Arial" w:cs="Arial"/>
          <w:sz w:val="20"/>
          <w:szCs w:val="20"/>
        </w:rPr>
        <w:t>. Routledge.</w:t>
      </w:r>
    </w:p>
    <w:p w14:paraId="45A103D3" w14:textId="2AB7C13F"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Tovey, H. (2013) </w:t>
      </w:r>
      <w:r w:rsidRPr="00DB4DEC">
        <w:rPr>
          <w:rFonts w:ascii="Arial" w:hAnsi="Arial" w:cs="Arial"/>
          <w:i/>
          <w:iCs/>
          <w:sz w:val="20"/>
          <w:szCs w:val="20"/>
        </w:rPr>
        <w:t>Bringing the Froebel Approach to your Early Years Practice</w:t>
      </w:r>
      <w:r w:rsidRPr="00DB4DEC">
        <w:rPr>
          <w:rFonts w:ascii="Arial" w:hAnsi="Arial" w:cs="Arial"/>
          <w:sz w:val="20"/>
          <w:szCs w:val="20"/>
        </w:rPr>
        <w:t>. Routledge.</w:t>
      </w:r>
    </w:p>
    <w:p w14:paraId="3DEDA5F9" w14:textId="489304DF" w:rsidR="00E953B3" w:rsidRPr="00DB4DEC" w:rsidRDefault="00E953B3" w:rsidP="00DB4DEC">
      <w:pPr>
        <w:spacing w:line="360" w:lineRule="auto"/>
        <w:rPr>
          <w:rFonts w:ascii="Arial" w:hAnsi="Arial" w:cs="Arial"/>
          <w:sz w:val="20"/>
          <w:szCs w:val="20"/>
        </w:rPr>
      </w:pPr>
      <w:r w:rsidRPr="00DB4DEC">
        <w:rPr>
          <w:rFonts w:ascii="Arial" w:hAnsi="Arial" w:cs="Arial"/>
          <w:sz w:val="20"/>
          <w:szCs w:val="20"/>
        </w:rPr>
        <w:t xml:space="preserve">United Nations (1989) Convention on the Rights of the Child. Available at: </w:t>
      </w:r>
      <w:hyperlink r:id="rId16" w:tgtFrame="_new" w:history="1">
        <w:r w:rsidRPr="00DB4DEC">
          <w:rPr>
            <w:rStyle w:val="Hyperlink"/>
            <w:rFonts w:ascii="Arial" w:hAnsi="Arial" w:cs="Arial"/>
            <w:sz w:val="20"/>
            <w:szCs w:val="20"/>
          </w:rPr>
          <w:t>https://www.unicef.org/child-rights-convention</w:t>
        </w:r>
      </w:hyperlink>
      <w:r w:rsidRPr="00DB4DEC">
        <w:rPr>
          <w:rFonts w:ascii="Arial" w:hAnsi="Arial" w:cs="Arial"/>
          <w:sz w:val="20"/>
          <w:szCs w:val="20"/>
        </w:rPr>
        <w:t xml:space="preserve"> (Accessed: 13 May 2026).</w:t>
      </w:r>
    </w:p>
    <w:p w14:paraId="4D1C8620" w14:textId="667D63AD"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Vygotsky, L.S. (1978) </w:t>
      </w:r>
      <w:r w:rsidRPr="00DB4DEC">
        <w:rPr>
          <w:rFonts w:ascii="Arial" w:hAnsi="Arial" w:cs="Arial"/>
          <w:i/>
          <w:iCs/>
          <w:sz w:val="20"/>
          <w:szCs w:val="20"/>
        </w:rPr>
        <w:t>Mind in Society: The Development of Higher Psychological Processes</w:t>
      </w:r>
      <w:r w:rsidRPr="00DB4DEC">
        <w:rPr>
          <w:rFonts w:ascii="Arial" w:hAnsi="Arial" w:cs="Arial"/>
          <w:sz w:val="20"/>
          <w:szCs w:val="20"/>
        </w:rPr>
        <w:t>. Harvard University Press.</w:t>
      </w:r>
    </w:p>
    <w:p w14:paraId="5A52569C" w14:textId="1D260F9E"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Walsh, G., Sproule, L., McGuinness, C., Trew, K. and Sheehy, N. (2010) ‘Playful teaching and learning in early years’, </w:t>
      </w:r>
      <w:r w:rsidRPr="00DB4DEC">
        <w:rPr>
          <w:rFonts w:ascii="Arial" w:hAnsi="Arial" w:cs="Arial"/>
          <w:i/>
          <w:iCs/>
          <w:sz w:val="20"/>
          <w:szCs w:val="20"/>
        </w:rPr>
        <w:t>Early Years</w:t>
      </w:r>
      <w:r w:rsidRPr="00DB4DEC">
        <w:rPr>
          <w:rFonts w:ascii="Arial" w:hAnsi="Arial" w:cs="Arial"/>
          <w:sz w:val="20"/>
          <w:szCs w:val="20"/>
        </w:rPr>
        <w:t>, 30(1), pp. 53</w:t>
      </w:r>
      <w:r w:rsidR="00CD3B40" w:rsidRPr="00DB4DEC">
        <w:rPr>
          <w:rFonts w:ascii="Arial" w:hAnsi="Arial" w:cs="Arial"/>
          <w:sz w:val="20"/>
          <w:szCs w:val="20"/>
        </w:rPr>
        <w:t>-</w:t>
      </w:r>
      <w:r w:rsidRPr="00DB4DEC">
        <w:rPr>
          <w:rFonts w:ascii="Arial" w:hAnsi="Arial" w:cs="Arial"/>
          <w:sz w:val="20"/>
          <w:szCs w:val="20"/>
        </w:rPr>
        <w:t>67.</w:t>
      </w:r>
    </w:p>
    <w:p w14:paraId="1931C6CE" w14:textId="7365E339" w:rsidR="00CE7579" w:rsidRPr="00DB4DEC" w:rsidRDefault="00CE7579" w:rsidP="00DB4DEC">
      <w:pPr>
        <w:spacing w:line="360" w:lineRule="auto"/>
        <w:rPr>
          <w:rFonts w:ascii="Arial" w:hAnsi="Arial" w:cs="Arial"/>
          <w:sz w:val="20"/>
          <w:szCs w:val="20"/>
        </w:rPr>
      </w:pPr>
      <w:r w:rsidRPr="00DB4DEC">
        <w:rPr>
          <w:rFonts w:ascii="Arial" w:hAnsi="Arial" w:cs="Arial"/>
          <w:sz w:val="20"/>
          <w:szCs w:val="20"/>
        </w:rPr>
        <w:t xml:space="preserve">Waters-Davies, J. (2022) </w:t>
      </w:r>
      <w:r w:rsidRPr="00DB4DEC">
        <w:rPr>
          <w:rFonts w:ascii="Arial" w:hAnsi="Arial" w:cs="Arial"/>
          <w:i/>
          <w:iCs/>
          <w:sz w:val="20"/>
          <w:szCs w:val="20"/>
        </w:rPr>
        <w:t>Introduction to play</w:t>
      </w:r>
      <w:r w:rsidRPr="00DB4DEC">
        <w:rPr>
          <w:rFonts w:ascii="Arial" w:hAnsi="Arial" w:cs="Arial"/>
          <w:sz w:val="20"/>
          <w:szCs w:val="20"/>
        </w:rPr>
        <w:t>. Sage.</w:t>
      </w:r>
    </w:p>
    <w:p w14:paraId="6F6C5424" w14:textId="0E995C03" w:rsidR="00181E44" w:rsidRPr="00DB4DEC" w:rsidRDefault="00181E44" w:rsidP="00DB4DEC">
      <w:pPr>
        <w:spacing w:line="360" w:lineRule="auto"/>
        <w:rPr>
          <w:rFonts w:ascii="Arial" w:hAnsi="Arial" w:cs="Arial"/>
          <w:sz w:val="20"/>
          <w:szCs w:val="20"/>
        </w:rPr>
      </w:pPr>
      <w:r w:rsidRPr="00DB4DEC">
        <w:rPr>
          <w:rFonts w:ascii="Arial" w:hAnsi="Arial" w:cs="Arial"/>
          <w:sz w:val="20"/>
          <w:szCs w:val="20"/>
        </w:rPr>
        <w:t xml:space="preserve">Welsh Government (2014) </w:t>
      </w:r>
      <w:r w:rsidRPr="00DB4DEC">
        <w:rPr>
          <w:rFonts w:ascii="Arial" w:hAnsi="Arial" w:cs="Arial"/>
          <w:i/>
          <w:iCs/>
          <w:sz w:val="20"/>
          <w:szCs w:val="20"/>
        </w:rPr>
        <w:t xml:space="preserve">Wales </w:t>
      </w:r>
      <w:r w:rsidR="00CD3B40" w:rsidRPr="00DB4DEC">
        <w:rPr>
          <w:rFonts w:ascii="Arial" w:hAnsi="Arial" w:cs="Arial"/>
          <w:i/>
          <w:iCs/>
          <w:sz w:val="20"/>
          <w:szCs w:val="20"/>
        </w:rPr>
        <w:t>-</w:t>
      </w:r>
      <w:r w:rsidRPr="00DB4DEC">
        <w:rPr>
          <w:rFonts w:ascii="Arial" w:hAnsi="Arial" w:cs="Arial"/>
          <w:i/>
          <w:iCs/>
          <w:sz w:val="20"/>
          <w:szCs w:val="20"/>
        </w:rPr>
        <w:t xml:space="preserve"> A Play Friendly Country</w:t>
      </w:r>
      <w:r w:rsidRPr="00DB4DEC">
        <w:rPr>
          <w:rFonts w:ascii="Arial" w:hAnsi="Arial" w:cs="Arial"/>
          <w:sz w:val="20"/>
          <w:szCs w:val="20"/>
        </w:rPr>
        <w:t>. Cardiff: Welsh Government. Available at: https://www.gov.wales/wales-play-friendly-country (Accessed: 13 May 2026).</w:t>
      </w:r>
    </w:p>
    <w:p w14:paraId="386D4FB7" w14:textId="7BD1E6BB"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Welsh Government (2015) </w:t>
      </w:r>
      <w:r w:rsidRPr="00DB4DEC">
        <w:rPr>
          <w:rFonts w:ascii="Arial" w:hAnsi="Arial" w:cs="Arial"/>
          <w:i/>
          <w:iCs/>
          <w:sz w:val="20"/>
          <w:szCs w:val="20"/>
        </w:rPr>
        <w:t>Well-being of Future Generations (Wales) Act 2015</w:t>
      </w:r>
      <w:r w:rsidRPr="00DB4DEC">
        <w:rPr>
          <w:rFonts w:ascii="Arial" w:hAnsi="Arial" w:cs="Arial"/>
          <w:sz w:val="20"/>
          <w:szCs w:val="20"/>
        </w:rPr>
        <w:t xml:space="preserve">. Available at: </w:t>
      </w:r>
      <w:hyperlink r:id="rId17" w:history="1">
        <w:r w:rsidR="00110723" w:rsidRPr="00DB4DEC">
          <w:rPr>
            <w:rStyle w:val="Hyperlink"/>
            <w:rFonts w:ascii="Arial" w:hAnsi="Arial" w:cs="Arial"/>
            <w:sz w:val="20"/>
            <w:szCs w:val="20"/>
          </w:rPr>
          <w:t>https://www.gov.wales/well-being-future-generations-act-essentials-html</w:t>
        </w:r>
      </w:hyperlink>
      <w:r w:rsidR="00110723" w:rsidRPr="00DB4DEC">
        <w:rPr>
          <w:rFonts w:ascii="Arial" w:hAnsi="Arial" w:cs="Arial"/>
          <w:sz w:val="20"/>
          <w:szCs w:val="20"/>
        </w:rPr>
        <w:t xml:space="preserve"> </w:t>
      </w:r>
      <w:r w:rsidRPr="00DB4DEC">
        <w:rPr>
          <w:rFonts w:ascii="Arial" w:hAnsi="Arial" w:cs="Arial"/>
          <w:sz w:val="20"/>
          <w:szCs w:val="20"/>
        </w:rPr>
        <w:t xml:space="preserve">(Accessed: </w:t>
      </w:r>
      <w:r w:rsidR="00F643EE" w:rsidRPr="00DB4DEC">
        <w:rPr>
          <w:rFonts w:ascii="Arial" w:hAnsi="Arial" w:cs="Arial"/>
          <w:sz w:val="20"/>
          <w:szCs w:val="20"/>
        </w:rPr>
        <w:t>20 April 2026</w:t>
      </w:r>
      <w:r w:rsidRPr="00DB4DEC">
        <w:rPr>
          <w:rFonts w:ascii="Arial" w:hAnsi="Arial" w:cs="Arial"/>
          <w:sz w:val="20"/>
          <w:szCs w:val="20"/>
        </w:rPr>
        <w:t>).</w:t>
      </w:r>
    </w:p>
    <w:p w14:paraId="100E24BB" w14:textId="77777777" w:rsidR="0017476F" w:rsidRPr="00DB4DEC" w:rsidRDefault="0017476F" w:rsidP="00DB4DEC">
      <w:pPr>
        <w:spacing w:line="360" w:lineRule="auto"/>
        <w:rPr>
          <w:rFonts w:ascii="Arial" w:hAnsi="Arial" w:cs="Arial"/>
          <w:sz w:val="20"/>
          <w:szCs w:val="20"/>
        </w:rPr>
      </w:pPr>
      <w:r w:rsidRPr="00DB4DEC">
        <w:rPr>
          <w:rFonts w:ascii="Arial" w:hAnsi="Arial" w:cs="Arial"/>
          <w:sz w:val="20"/>
          <w:szCs w:val="20"/>
        </w:rPr>
        <w:t xml:space="preserve">Welsh Government (2022) </w:t>
      </w:r>
      <w:r w:rsidRPr="00DB4DEC">
        <w:rPr>
          <w:rFonts w:ascii="Arial" w:hAnsi="Arial" w:cs="Arial"/>
          <w:i/>
          <w:iCs/>
          <w:sz w:val="20"/>
          <w:szCs w:val="20"/>
        </w:rPr>
        <w:t>Curriculum for Wales</w:t>
      </w:r>
      <w:r w:rsidRPr="00DB4DEC">
        <w:rPr>
          <w:rFonts w:ascii="Arial" w:hAnsi="Arial" w:cs="Arial"/>
          <w:sz w:val="20"/>
          <w:szCs w:val="20"/>
        </w:rPr>
        <w:t xml:space="preserve">. Available at: </w:t>
      </w:r>
      <w:hyperlink r:id="rId18" w:tgtFrame="_new" w:history="1">
        <w:r w:rsidRPr="00DB4DEC">
          <w:rPr>
            <w:rStyle w:val="Hyperlink"/>
            <w:rFonts w:ascii="Arial" w:hAnsi="Arial" w:cs="Arial"/>
            <w:sz w:val="20"/>
            <w:szCs w:val="20"/>
          </w:rPr>
          <w:t>https://hwb.gov.wales/curriculum-for-wales</w:t>
        </w:r>
      </w:hyperlink>
      <w:r w:rsidRPr="00DB4DEC">
        <w:rPr>
          <w:rFonts w:ascii="Arial" w:hAnsi="Arial" w:cs="Arial"/>
          <w:sz w:val="20"/>
          <w:szCs w:val="20"/>
        </w:rPr>
        <w:t xml:space="preserve"> (Accessed: 24 April 2026).</w:t>
      </w:r>
    </w:p>
    <w:p w14:paraId="05A2772C" w14:textId="77777777" w:rsidR="007C4F80" w:rsidRPr="00DB4DEC" w:rsidRDefault="007C4F80" w:rsidP="00DB4DEC">
      <w:pPr>
        <w:spacing w:line="360" w:lineRule="auto"/>
        <w:rPr>
          <w:rFonts w:ascii="Arial" w:hAnsi="Arial" w:cs="Arial"/>
          <w:sz w:val="20"/>
          <w:szCs w:val="20"/>
        </w:rPr>
      </w:pPr>
      <w:r w:rsidRPr="00DB4DEC">
        <w:rPr>
          <w:rFonts w:ascii="Arial" w:hAnsi="Arial" w:cs="Arial"/>
          <w:sz w:val="20"/>
          <w:szCs w:val="20"/>
        </w:rPr>
        <w:t xml:space="preserve">Welsh Government (2023) </w:t>
      </w:r>
      <w:r w:rsidRPr="00DB4DEC">
        <w:rPr>
          <w:rFonts w:ascii="Arial" w:hAnsi="Arial" w:cs="Arial"/>
          <w:i/>
          <w:iCs/>
          <w:sz w:val="20"/>
          <w:szCs w:val="20"/>
        </w:rPr>
        <w:t>Curriculum for funded non-maintained nursery settings</w:t>
      </w:r>
      <w:r w:rsidRPr="00DB4DEC">
        <w:rPr>
          <w:rFonts w:ascii="Arial" w:hAnsi="Arial" w:cs="Arial"/>
          <w:sz w:val="20"/>
          <w:szCs w:val="20"/>
        </w:rPr>
        <w:t xml:space="preserve">. Available at: </w:t>
      </w:r>
      <w:hyperlink r:id="rId19" w:history="1">
        <w:r w:rsidRPr="00DB4DEC">
          <w:rPr>
            <w:rStyle w:val="Hyperlink"/>
            <w:rFonts w:ascii="Arial" w:hAnsi="Arial" w:cs="Arial"/>
            <w:sz w:val="20"/>
            <w:szCs w:val="20"/>
          </w:rPr>
          <w:t>https://hwb.gov.wales/curriculum-for-wales/curriculum-for-funded-non-maintained-nursery-settings/</w:t>
        </w:r>
      </w:hyperlink>
      <w:r w:rsidRPr="00DB4DEC">
        <w:rPr>
          <w:rFonts w:ascii="Arial" w:hAnsi="Arial" w:cs="Arial"/>
          <w:sz w:val="20"/>
          <w:szCs w:val="20"/>
        </w:rPr>
        <w:t xml:space="preserve"> (Accessed: 24 April 2026).</w:t>
      </w:r>
    </w:p>
    <w:p w14:paraId="4387983E" w14:textId="346CE729" w:rsidR="005A4FB1" w:rsidRPr="00DB4DEC" w:rsidRDefault="005A4FB1" w:rsidP="00DB4DEC">
      <w:pPr>
        <w:spacing w:line="360" w:lineRule="auto"/>
        <w:rPr>
          <w:rFonts w:ascii="Arial" w:hAnsi="Arial" w:cs="Arial"/>
          <w:sz w:val="20"/>
          <w:szCs w:val="20"/>
        </w:rPr>
      </w:pPr>
      <w:r w:rsidRPr="00DB4DEC">
        <w:rPr>
          <w:rFonts w:ascii="Arial" w:hAnsi="Arial" w:cs="Arial"/>
          <w:sz w:val="20"/>
          <w:szCs w:val="20"/>
        </w:rPr>
        <w:t xml:space="preserve">Wood, E. (2014) ‘Free choice and free play in early childhood education: troubling the discourse’, </w:t>
      </w:r>
      <w:r w:rsidRPr="00DB4DEC">
        <w:rPr>
          <w:rFonts w:ascii="Arial" w:hAnsi="Arial" w:cs="Arial"/>
          <w:i/>
          <w:iCs/>
          <w:sz w:val="20"/>
          <w:szCs w:val="20"/>
        </w:rPr>
        <w:t>International Journal of Early Years Education</w:t>
      </w:r>
      <w:r w:rsidRPr="00DB4DEC">
        <w:rPr>
          <w:rFonts w:ascii="Arial" w:hAnsi="Arial" w:cs="Arial"/>
          <w:sz w:val="20"/>
          <w:szCs w:val="20"/>
        </w:rPr>
        <w:t>, 22(1), pp. 4</w:t>
      </w:r>
      <w:r w:rsidR="00CD3B40" w:rsidRPr="00DB4DEC">
        <w:rPr>
          <w:rFonts w:ascii="Arial" w:hAnsi="Arial" w:cs="Arial"/>
          <w:sz w:val="20"/>
          <w:szCs w:val="20"/>
        </w:rPr>
        <w:t>-</w:t>
      </w:r>
      <w:r w:rsidRPr="00DB4DEC">
        <w:rPr>
          <w:rFonts w:ascii="Arial" w:hAnsi="Arial" w:cs="Arial"/>
          <w:sz w:val="20"/>
          <w:szCs w:val="20"/>
        </w:rPr>
        <w:t>18.</w:t>
      </w:r>
    </w:p>
    <w:p w14:paraId="38076E71" w14:textId="77777777" w:rsidR="00C64352" w:rsidRPr="00DB3F66" w:rsidRDefault="00C64352" w:rsidP="00DB3F66">
      <w:pPr>
        <w:spacing w:line="360" w:lineRule="auto"/>
        <w:rPr>
          <w:rFonts w:ascii="Arial" w:hAnsi="Arial" w:cs="Arial"/>
          <w:sz w:val="20"/>
          <w:szCs w:val="20"/>
        </w:rPr>
      </w:pPr>
    </w:p>
    <w:sectPr w:rsidR="00C64352" w:rsidRPr="00DB3F66" w:rsidSect="00823C67">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B77D2" w14:textId="77777777" w:rsidR="001568DF" w:rsidRPr="009840F8" w:rsidRDefault="001568DF" w:rsidP="00823C67">
      <w:pPr>
        <w:spacing w:after="0" w:line="240" w:lineRule="auto"/>
      </w:pPr>
      <w:r w:rsidRPr="009840F8">
        <w:separator/>
      </w:r>
    </w:p>
  </w:endnote>
  <w:endnote w:type="continuationSeparator" w:id="0">
    <w:p w14:paraId="7903F12A" w14:textId="77777777" w:rsidR="001568DF" w:rsidRPr="009840F8" w:rsidRDefault="001568DF" w:rsidP="00823C67">
      <w:pPr>
        <w:spacing w:after="0" w:line="240" w:lineRule="auto"/>
      </w:pPr>
      <w:r w:rsidRPr="00984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489466"/>
      <w:docPartObj>
        <w:docPartGallery w:val="Page Numbers (Bottom of Page)"/>
        <w:docPartUnique/>
      </w:docPartObj>
    </w:sdtPr>
    <w:sdtEndPr/>
    <w:sdtContent>
      <w:p w14:paraId="167658DA" w14:textId="77777777" w:rsidR="00823C67" w:rsidRPr="009840F8" w:rsidRDefault="00823C67">
        <w:pPr>
          <w:pStyle w:val="Footer"/>
          <w:jc w:val="right"/>
        </w:pPr>
        <w:r w:rsidRPr="009840F8">
          <w:fldChar w:fldCharType="begin"/>
        </w:r>
        <w:r w:rsidRPr="009840F8">
          <w:instrText xml:space="preserve"> PAGE   \* MERGEFORMAT </w:instrText>
        </w:r>
        <w:r w:rsidRPr="009840F8">
          <w:fldChar w:fldCharType="separate"/>
        </w:r>
        <w:r w:rsidRPr="009840F8">
          <w:t>2</w:t>
        </w:r>
        <w:r w:rsidRPr="009840F8">
          <w:fldChar w:fldCharType="end"/>
        </w:r>
      </w:p>
    </w:sdtContent>
  </w:sdt>
  <w:p w14:paraId="553B6C53" w14:textId="77777777" w:rsidR="00823C67" w:rsidRPr="009840F8" w:rsidRDefault="00823C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E3DBA" w14:textId="77777777" w:rsidR="001568DF" w:rsidRPr="009840F8" w:rsidRDefault="001568DF" w:rsidP="00823C67">
      <w:pPr>
        <w:spacing w:after="0" w:line="240" w:lineRule="auto"/>
      </w:pPr>
      <w:r w:rsidRPr="009840F8">
        <w:separator/>
      </w:r>
    </w:p>
  </w:footnote>
  <w:footnote w:type="continuationSeparator" w:id="0">
    <w:p w14:paraId="4580E3FE" w14:textId="77777777" w:rsidR="001568DF" w:rsidRPr="009840F8" w:rsidRDefault="001568DF" w:rsidP="00823C67">
      <w:pPr>
        <w:spacing w:after="0" w:line="240" w:lineRule="auto"/>
      </w:pPr>
      <w:r w:rsidRPr="00984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FF0D0" w14:textId="77777777" w:rsidR="00F124AF" w:rsidRPr="00F124AF" w:rsidRDefault="00F124AF" w:rsidP="00F124AF">
    <w:pPr>
      <w:pStyle w:val="Header"/>
      <w:spacing w:line="360" w:lineRule="auto"/>
      <w:rPr>
        <w:rFonts w:ascii="Arial" w:hAnsi="Arial" w:cs="Arial"/>
        <w:sz w:val="20"/>
        <w:szCs w:val="20"/>
        <w:lang w:val="en-US"/>
      </w:rPr>
    </w:pPr>
    <w:r w:rsidRPr="00F124AF">
      <w:rPr>
        <w:rFonts w:ascii="Arial" w:hAnsi="Arial" w:cs="Arial"/>
        <w:sz w:val="20"/>
        <w:szCs w:val="20"/>
        <w:lang w:val="en-US"/>
      </w:rPr>
      <w:t>Student Number: 2406957</w:t>
    </w:r>
  </w:p>
  <w:p w14:paraId="566AB638" w14:textId="7B144ECE" w:rsidR="00F124AF" w:rsidRPr="00F124AF" w:rsidRDefault="00F124AF" w:rsidP="00F124AF">
    <w:pPr>
      <w:pStyle w:val="Header"/>
      <w:spacing w:line="360" w:lineRule="auto"/>
      <w:rPr>
        <w:rFonts w:ascii="Arial" w:hAnsi="Arial" w:cs="Arial"/>
        <w:sz w:val="20"/>
        <w:szCs w:val="20"/>
        <w:lang w:val="en-US"/>
      </w:rPr>
    </w:pPr>
    <w:r w:rsidRPr="00F124AF">
      <w:rPr>
        <w:rFonts w:ascii="Arial" w:hAnsi="Arial" w:cs="Arial"/>
        <w:sz w:val="20"/>
        <w:szCs w:val="20"/>
        <w:lang w:val="en-US"/>
      </w:rPr>
      <w:t xml:space="preserve">Module Code: </w:t>
    </w:r>
    <w:r w:rsidR="00086CBC" w:rsidRPr="00086CBC">
      <w:rPr>
        <w:rFonts w:ascii="Arial" w:hAnsi="Arial" w:cs="Arial"/>
        <w:sz w:val="20"/>
        <w:szCs w:val="20"/>
        <w:lang w:val="en-US"/>
      </w:rPr>
      <w:t>ECCP7007</w:t>
    </w:r>
  </w:p>
  <w:p w14:paraId="56DD62A0" w14:textId="619DB581" w:rsidR="00F124AF" w:rsidRPr="00F124AF" w:rsidRDefault="00F124AF" w:rsidP="00F124AF">
    <w:pPr>
      <w:pStyle w:val="Header"/>
      <w:spacing w:line="360" w:lineRule="auto"/>
      <w:rPr>
        <w:rFonts w:ascii="Arial" w:hAnsi="Arial" w:cs="Arial"/>
        <w:sz w:val="20"/>
        <w:szCs w:val="20"/>
      </w:rPr>
    </w:pPr>
    <w:r w:rsidRPr="00F124AF">
      <w:rPr>
        <w:rFonts w:ascii="Arial" w:hAnsi="Arial" w:cs="Arial"/>
        <w:sz w:val="20"/>
        <w:szCs w:val="20"/>
      </w:rPr>
      <w:t xml:space="preserve">Module: </w:t>
    </w:r>
    <w:r w:rsidR="000A57AA" w:rsidRPr="000A57AA">
      <w:rPr>
        <w:rFonts w:ascii="Arial" w:hAnsi="Arial" w:cs="Arial"/>
        <w:sz w:val="20"/>
        <w:szCs w:val="20"/>
      </w:rPr>
      <w:t>Young Children Learning</w:t>
    </w:r>
  </w:p>
  <w:p w14:paraId="11800050" w14:textId="30B21593" w:rsidR="000F75FF" w:rsidRPr="00D514EE" w:rsidRDefault="00F124AF" w:rsidP="000F75FF">
    <w:pPr>
      <w:pStyle w:val="Header"/>
      <w:spacing w:line="360" w:lineRule="auto"/>
      <w:rPr>
        <w:rFonts w:ascii="Arial" w:hAnsi="Arial" w:cs="Arial"/>
        <w:sz w:val="20"/>
        <w:szCs w:val="20"/>
        <w:lang w:val="en-US"/>
      </w:rPr>
    </w:pPr>
    <w:r w:rsidRPr="00F124AF">
      <w:rPr>
        <w:rFonts w:ascii="Arial" w:hAnsi="Arial" w:cs="Arial"/>
        <w:sz w:val="20"/>
        <w:szCs w:val="20"/>
        <w:lang w:val="en-US"/>
      </w:rPr>
      <w:t xml:space="preserve">Word Count: </w:t>
    </w:r>
    <w:r w:rsidR="002E4B60">
      <w:rPr>
        <w:rFonts w:ascii="Arial" w:hAnsi="Arial" w:cs="Arial"/>
        <w:sz w:val="20"/>
        <w:szCs w:val="20"/>
        <w:lang w:val="en-US"/>
      </w:rPr>
      <w:t>3</w:t>
    </w:r>
    <w:r w:rsidR="00996D2B">
      <w:rPr>
        <w:rFonts w:ascii="Arial" w:hAnsi="Arial" w:cs="Arial"/>
        <w:sz w:val="20"/>
        <w:szCs w:val="20"/>
        <w:lang w:val="en-US"/>
      </w:rPr>
      <w:t>943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7F3E75"/>
    <w:multiLevelType w:val="multilevel"/>
    <w:tmpl w:val="A21EE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F17FB6"/>
    <w:multiLevelType w:val="hybridMultilevel"/>
    <w:tmpl w:val="80B06EB2"/>
    <w:lvl w:ilvl="0" w:tplc="45008704">
      <w:start w:val="1"/>
      <w:numFmt w:val="bullet"/>
      <w:lvlText w:val=""/>
      <w:lvlJc w:val="left"/>
      <w:pPr>
        <w:ind w:left="1080" w:hanging="360"/>
      </w:pPr>
      <w:rPr>
        <w:rFonts w:ascii="Symbol" w:hAnsi="Symbol"/>
      </w:rPr>
    </w:lvl>
    <w:lvl w:ilvl="1" w:tplc="2FC85AEA">
      <w:start w:val="1"/>
      <w:numFmt w:val="bullet"/>
      <w:lvlText w:val=""/>
      <w:lvlJc w:val="left"/>
      <w:pPr>
        <w:ind w:left="1080" w:hanging="360"/>
      </w:pPr>
      <w:rPr>
        <w:rFonts w:ascii="Symbol" w:hAnsi="Symbol"/>
      </w:rPr>
    </w:lvl>
    <w:lvl w:ilvl="2" w:tplc="35A42168">
      <w:start w:val="1"/>
      <w:numFmt w:val="bullet"/>
      <w:lvlText w:val=""/>
      <w:lvlJc w:val="left"/>
      <w:pPr>
        <w:ind w:left="1080" w:hanging="360"/>
      </w:pPr>
      <w:rPr>
        <w:rFonts w:ascii="Symbol" w:hAnsi="Symbol"/>
      </w:rPr>
    </w:lvl>
    <w:lvl w:ilvl="3" w:tplc="EC8A0AE4">
      <w:start w:val="1"/>
      <w:numFmt w:val="bullet"/>
      <w:lvlText w:val=""/>
      <w:lvlJc w:val="left"/>
      <w:pPr>
        <w:ind w:left="1080" w:hanging="360"/>
      </w:pPr>
      <w:rPr>
        <w:rFonts w:ascii="Symbol" w:hAnsi="Symbol"/>
      </w:rPr>
    </w:lvl>
    <w:lvl w:ilvl="4" w:tplc="47A87D12">
      <w:start w:val="1"/>
      <w:numFmt w:val="bullet"/>
      <w:lvlText w:val=""/>
      <w:lvlJc w:val="left"/>
      <w:pPr>
        <w:ind w:left="1080" w:hanging="360"/>
      </w:pPr>
      <w:rPr>
        <w:rFonts w:ascii="Symbol" w:hAnsi="Symbol"/>
      </w:rPr>
    </w:lvl>
    <w:lvl w:ilvl="5" w:tplc="9ED6EACC">
      <w:start w:val="1"/>
      <w:numFmt w:val="bullet"/>
      <w:lvlText w:val=""/>
      <w:lvlJc w:val="left"/>
      <w:pPr>
        <w:ind w:left="1080" w:hanging="360"/>
      </w:pPr>
      <w:rPr>
        <w:rFonts w:ascii="Symbol" w:hAnsi="Symbol"/>
      </w:rPr>
    </w:lvl>
    <w:lvl w:ilvl="6" w:tplc="24E24D3A">
      <w:start w:val="1"/>
      <w:numFmt w:val="bullet"/>
      <w:lvlText w:val=""/>
      <w:lvlJc w:val="left"/>
      <w:pPr>
        <w:ind w:left="1080" w:hanging="360"/>
      </w:pPr>
      <w:rPr>
        <w:rFonts w:ascii="Symbol" w:hAnsi="Symbol"/>
      </w:rPr>
    </w:lvl>
    <w:lvl w:ilvl="7" w:tplc="36C0E0B0">
      <w:start w:val="1"/>
      <w:numFmt w:val="bullet"/>
      <w:lvlText w:val=""/>
      <w:lvlJc w:val="left"/>
      <w:pPr>
        <w:ind w:left="1080" w:hanging="360"/>
      </w:pPr>
      <w:rPr>
        <w:rFonts w:ascii="Symbol" w:hAnsi="Symbol"/>
      </w:rPr>
    </w:lvl>
    <w:lvl w:ilvl="8" w:tplc="3C2CE1DA">
      <w:start w:val="1"/>
      <w:numFmt w:val="bullet"/>
      <w:lvlText w:val=""/>
      <w:lvlJc w:val="left"/>
      <w:pPr>
        <w:ind w:left="1080" w:hanging="360"/>
      </w:pPr>
      <w:rPr>
        <w:rFonts w:ascii="Symbol" w:hAnsi="Symbol"/>
      </w:rPr>
    </w:lvl>
  </w:abstractNum>
  <w:abstractNum w:abstractNumId="2" w15:restartNumberingAfterBreak="0">
    <w:nsid w:val="51377373"/>
    <w:multiLevelType w:val="hybridMultilevel"/>
    <w:tmpl w:val="9970E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A37AA1"/>
    <w:multiLevelType w:val="hybridMultilevel"/>
    <w:tmpl w:val="8B96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483C07"/>
    <w:multiLevelType w:val="hybridMultilevel"/>
    <w:tmpl w:val="429C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FC1EDA"/>
    <w:multiLevelType w:val="multilevel"/>
    <w:tmpl w:val="937C7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7934E8"/>
    <w:multiLevelType w:val="multilevel"/>
    <w:tmpl w:val="DF0A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518381">
    <w:abstractNumId w:val="3"/>
  </w:num>
  <w:num w:numId="2" w16cid:durableId="76681285">
    <w:abstractNumId w:val="2"/>
  </w:num>
  <w:num w:numId="3" w16cid:durableId="683284400">
    <w:abstractNumId w:val="4"/>
  </w:num>
  <w:num w:numId="4" w16cid:durableId="23363032">
    <w:abstractNumId w:val="6"/>
  </w:num>
  <w:num w:numId="5" w16cid:durableId="193352328">
    <w:abstractNumId w:val="0"/>
  </w:num>
  <w:num w:numId="6" w16cid:durableId="681124842">
    <w:abstractNumId w:val="5"/>
  </w:num>
  <w:num w:numId="7" w16cid:durableId="379979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354"/>
    <w:rsid w:val="0000244A"/>
    <w:rsid w:val="00011017"/>
    <w:rsid w:val="00013003"/>
    <w:rsid w:val="0002131A"/>
    <w:rsid w:val="00021FE7"/>
    <w:rsid w:val="0002406B"/>
    <w:rsid w:val="00031EF0"/>
    <w:rsid w:val="00035C19"/>
    <w:rsid w:val="00037BF4"/>
    <w:rsid w:val="0004437A"/>
    <w:rsid w:val="00045380"/>
    <w:rsid w:val="0004577B"/>
    <w:rsid w:val="00045D43"/>
    <w:rsid w:val="00050338"/>
    <w:rsid w:val="00052793"/>
    <w:rsid w:val="0005287A"/>
    <w:rsid w:val="00052AF4"/>
    <w:rsid w:val="000535FF"/>
    <w:rsid w:val="00054350"/>
    <w:rsid w:val="00055096"/>
    <w:rsid w:val="00073B7A"/>
    <w:rsid w:val="00080546"/>
    <w:rsid w:val="00086CBC"/>
    <w:rsid w:val="000904B0"/>
    <w:rsid w:val="000A465F"/>
    <w:rsid w:val="000A57AA"/>
    <w:rsid w:val="000B1C45"/>
    <w:rsid w:val="000B73B2"/>
    <w:rsid w:val="000E2963"/>
    <w:rsid w:val="000E49EA"/>
    <w:rsid w:val="000F4FA4"/>
    <w:rsid w:val="000F75FF"/>
    <w:rsid w:val="000F7805"/>
    <w:rsid w:val="00104EFA"/>
    <w:rsid w:val="00110258"/>
    <w:rsid w:val="00110723"/>
    <w:rsid w:val="00113D19"/>
    <w:rsid w:val="0011580D"/>
    <w:rsid w:val="00115C1B"/>
    <w:rsid w:val="00116218"/>
    <w:rsid w:val="00117113"/>
    <w:rsid w:val="00121F6A"/>
    <w:rsid w:val="001252C1"/>
    <w:rsid w:val="00130DA3"/>
    <w:rsid w:val="001313E9"/>
    <w:rsid w:val="001363DD"/>
    <w:rsid w:val="00142783"/>
    <w:rsid w:val="001458C2"/>
    <w:rsid w:val="00145FCD"/>
    <w:rsid w:val="00146B98"/>
    <w:rsid w:val="00146F98"/>
    <w:rsid w:val="00147A7C"/>
    <w:rsid w:val="001568DF"/>
    <w:rsid w:val="00162011"/>
    <w:rsid w:val="00162A88"/>
    <w:rsid w:val="00162C47"/>
    <w:rsid w:val="001665F1"/>
    <w:rsid w:val="00170CF9"/>
    <w:rsid w:val="001726AD"/>
    <w:rsid w:val="0017476F"/>
    <w:rsid w:val="00181E44"/>
    <w:rsid w:val="001879E5"/>
    <w:rsid w:val="00190BE5"/>
    <w:rsid w:val="001A117B"/>
    <w:rsid w:val="001B2030"/>
    <w:rsid w:val="001B33A6"/>
    <w:rsid w:val="001B563D"/>
    <w:rsid w:val="001C158A"/>
    <w:rsid w:val="001C1FAC"/>
    <w:rsid w:val="001C49E0"/>
    <w:rsid w:val="001C6A86"/>
    <w:rsid w:val="001D3884"/>
    <w:rsid w:val="001E27D6"/>
    <w:rsid w:val="001E58F1"/>
    <w:rsid w:val="001E79DA"/>
    <w:rsid w:val="001F6EE6"/>
    <w:rsid w:val="002020F4"/>
    <w:rsid w:val="00207818"/>
    <w:rsid w:val="002104E8"/>
    <w:rsid w:val="00212092"/>
    <w:rsid w:val="00215208"/>
    <w:rsid w:val="00215F38"/>
    <w:rsid w:val="00230D07"/>
    <w:rsid w:val="00231605"/>
    <w:rsid w:val="00231977"/>
    <w:rsid w:val="00232F90"/>
    <w:rsid w:val="00243A87"/>
    <w:rsid w:val="00243F28"/>
    <w:rsid w:val="00251059"/>
    <w:rsid w:val="002537B6"/>
    <w:rsid w:val="002602F1"/>
    <w:rsid w:val="002645E0"/>
    <w:rsid w:val="002724BF"/>
    <w:rsid w:val="00281336"/>
    <w:rsid w:val="0028575F"/>
    <w:rsid w:val="002B272E"/>
    <w:rsid w:val="002B2A0F"/>
    <w:rsid w:val="002C6D6E"/>
    <w:rsid w:val="002C77CA"/>
    <w:rsid w:val="002D1957"/>
    <w:rsid w:val="002D77C9"/>
    <w:rsid w:val="002E2BEC"/>
    <w:rsid w:val="002E4B60"/>
    <w:rsid w:val="002F12B7"/>
    <w:rsid w:val="002F3CCA"/>
    <w:rsid w:val="00300726"/>
    <w:rsid w:val="003034E5"/>
    <w:rsid w:val="00303C52"/>
    <w:rsid w:val="00306300"/>
    <w:rsid w:val="003173B1"/>
    <w:rsid w:val="0032753B"/>
    <w:rsid w:val="003278D7"/>
    <w:rsid w:val="00327F1B"/>
    <w:rsid w:val="003324B9"/>
    <w:rsid w:val="003361D3"/>
    <w:rsid w:val="00343B39"/>
    <w:rsid w:val="00351774"/>
    <w:rsid w:val="00354D8E"/>
    <w:rsid w:val="003557B1"/>
    <w:rsid w:val="00355ADA"/>
    <w:rsid w:val="00360BA5"/>
    <w:rsid w:val="003673F2"/>
    <w:rsid w:val="00374877"/>
    <w:rsid w:val="00381668"/>
    <w:rsid w:val="0038279F"/>
    <w:rsid w:val="00382C6C"/>
    <w:rsid w:val="003868DF"/>
    <w:rsid w:val="00386AE4"/>
    <w:rsid w:val="00392268"/>
    <w:rsid w:val="003A4F3E"/>
    <w:rsid w:val="003A69B0"/>
    <w:rsid w:val="003B083D"/>
    <w:rsid w:val="003B2277"/>
    <w:rsid w:val="003B3BBA"/>
    <w:rsid w:val="003B4C36"/>
    <w:rsid w:val="003B675B"/>
    <w:rsid w:val="003C3BCC"/>
    <w:rsid w:val="003C4259"/>
    <w:rsid w:val="003C5AF5"/>
    <w:rsid w:val="003D198D"/>
    <w:rsid w:val="003E2EA6"/>
    <w:rsid w:val="003F2558"/>
    <w:rsid w:val="003F52F5"/>
    <w:rsid w:val="003F737C"/>
    <w:rsid w:val="003F789F"/>
    <w:rsid w:val="004001A8"/>
    <w:rsid w:val="00401FDF"/>
    <w:rsid w:val="00404391"/>
    <w:rsid w:val="00404A6C"/>
    <w:rsid w:val="00405BE6"/>
    <w:rsid w:val="00414A53"/>
    <w:rsid w:val="00422505"/>
    <w:rsid w:val="00422E52"/>
    <w:rsid w:val="00425362"/>
    <w:rsid w:val="00426D41"/>
    <w:rsid w:val="00427F82"/>
    <w:rsid w:val="0043012D"/>
    <w:rsid w:val="004306EA"/>
    <w:rsid w:val="004318FE"/>
    <w:rsid w:val="00433890"/>
    <w:rsid w:val="004368FC"/>
    <w:rsid w:val="00436EE1"/>
    <w:rsid w:val="00437968"/>
    <w:rsid w:val="004411B9"/>
    <w:rsid w:val="00447A70"/>
    <w:rsid w:val="00461E3F"/>
    <w:rsid w:val="00463B0B"/>
    <w:rsid w:val="00463E35"/>
    <w:rsid w:val="00470019"/>
    <w:rsid w:val="0047123B"/>
    <w:rsid w:val="00482738"/>
    <w:rsid w:val="00485B58"/>
    <w:rsid w:val="004871D9"/>
    <w:rsid w:val="00490B3B"/>
    <w:rsid w:val="00492558"/>
    <w:rsid w:val="004B0D40"/>
    <w:rsid w:val="004B2CE6"/>
    <w:rsid w:val="004B4847"/>
    <w:rsid w:val="004B4C07"/>
    <w:rsid w:val="004C34C1"/>
    <w:rsid w:val="004C4495"/>
    <w:rsid w:val="004D21D7"/>
    <w:rsid w:val="004E084C"/>
    <w:rsid w:val="004F3794"/>
    <w:rsid w:val="004F7542"/>
    <w:rsid w:val="00503A91"/>
    <w:rsid w:val="005049E9"/>
    <w:rsid w:val="00505C47"/>
    <w:rsid w:val="005163F5"/>
    <w:rsid w:val="00516D70"/>
    <w:rsid w:val="00517F4E"/>
    <w:rsid w:val="00521098"/>
    <w:rsid w:val="00523857"/>
    <w:rsid w:val="00537D25"/>
    <w:rsid w:val="0054257B"/>
    <w:rsid w:val="00546990"/>
    <w:rsid w:val="00553463"/>
    <w:rsid w:val="0055593D"/>
    <w:rsid w:val="00573421"/>
    <w:rsid w:val="0058063D"/>
    <w:rsid w:val="00582FCE"/>
    <w:rsid w:val="00586188"/>
    <w:rsid w:val="0059396F"/>
    <w:rsid w:val="005943F0"/>
    <w:rsid w:val="00594403"/>
    <w:rsid w:val="00595A59"/>
    <w:rsid w:val="0059718C"/>
    <w:rsid w:val="005A37C0"/>
    <w:rsid w:val="005A4FB1"/>
    <w:rsid w:val="005E00AF"/>
    <w:rsid w:val="005E2AE0"/>
    <w:rsid w:val="005E311A"/>
    <w:rsid w:val="005F63FA"/>
    <w:rsid w:val="00602984"/>
    <w:rsid w:val="00603344"/>
    <w:rsid w:val="00615782"/>
    <w:rsid w:val="00617895"/>
    <w:rsid w:val="0062026F"/>
    <w:rsid w:val="0062091D"/>
    <w:rsid w:val="006303AF"/>
    <w:rsid w:val="00631F27"/>
    <w:rsid w:val="00634891"/>
    <w:rsid w:val="00637ABA"/>
    <w:rsid w:val="0064358A"/>
    <w:rsid w:val="00653B9C"/>
    <w:rsid w:val="0065539D"/>
    <w:rsid w:val="00662CA3"/>
    <w:rsid w:val="00672902"/>
    <w:rsid w:val="006764FD"/>
    <w:rsid w:val="00686291"/>
    <w:rsid w:val="006923CA"/>
    <w:rsid w:val="0069508C"/>
    <w:rsid w:val="006A1503"/>
    <w:rsid w:val="006A69B8"/>
    <w:rsid w:val="006A70AD"/>
    <w:rsid w:val="006A73FA"/>
    <w:rsid w:val="006B05B5"/>
    <w:rsid w:val="006B1FDA"/>
    <w:rsid w:val="006B20E1"/>
    <w:rsid w:val="006B3CEC"/>
    <w:rsid w:val="006B5510"/>
    <w:rsid w:val="006B7DD3"/>
    <w:rsid w:val="006C1E4E"/>
    <w:rsid w:val="006C3AD9"/>
    <w:rsid w:val="006C49EE"/>
    <w:rsid w:val="006D1ADA"/>
    <w:rsid w:val="006D1EC5"/>
    <w:rsid w:val="006D71F3"/>
    <w:rsid w:val="006D7A70"/>
    <w:rsid w:val="006E0C5D"/>
    <w:rsid w:val="006F3CAF"/>
    <w:rsid w:val="006F539C"/>
    <w:rsid w:val="006F6391"/>
    <w:rsid w:val="007074F1"/>
    <w:rsid w:val="00716F0F"/>
    <w:rsid w:val="0072017F"/>
    <w:rsid w:val="00725774"/>
    <w:rsid w:val="00743425"/>
    <w:rsid w:val="0074493C"/>
    <w:rsid w:val="00745A5B"/>
    <w:rsid w:val="0075090D"/>
    <w:rsid w:val="00760E60"/>
    <w:rsid w:val="0076761C"/>
    <w:rsid w:val="00767B31"/>
    <w:rsid w:val="007816BE"/>
    <w:rsid w:val="00794187"/>
    <w:rsid w:val="007B5F6D"/>
    <w:rsid w:val="007C3DD5"/>
    <w:rsid w:val="007C4F80"/>
    <w:rsid w:val="007D3678"/>
    <w:rsid w:val="007D60B0"/>
    <w:rsid w:val="007D7B4F"/>
    <w:rsid w:val="007E0418"/>
    <w:rsid w:val="007E1444"/>
    <w:rsid w:val="007E56B9"/>
    <w:rsid w:val="007F17FB"/>
    <w:rsid w:val="00823A29"/>
    <w:rsid w:val="00823C67"/>
    <w:rsid w:val="00824BD8"/>
    <w:rsid w:val="0084169D"/>
    <w:rsid w:val="008416D6"/>
    <w:rsid w:val="00841E5F"/>
    <w:rsid w:val="00846D10"/>
    <w:rsid w:val="00853FAC"/>
    <w:rsid w:val="008709CE"/>
    <w:rsid w:val="0087113B"/>
    <w:rsid w:val="00872FC6"/>
    <w:rsid w:val="00873312"/>
    <w:rsid w:val="0087568C"/>
    <w:rsid w:val="00883354"/>
    <w:rsid w:val="008843E9"/>
    <w:rsid w:val="00890D80"/>
    <w:rsid w:val="00891034"/>
    <w:rsid w:val="00891732"/>
    <w:rsid w:val="00895EF4"/>
    <w:rsid w:val="008976EB"/>
    <w:rsid w:val="008A28E8"/>
    <w:rsid w:val="008C4DAA"/>
    <w:rsid w:val="008E24C0"/>
    <w:rsid w:val="008E6457"/>
    <w:rsid w:val="008F023D"/>
    <w:rsid w:val="008F2F86"/>
    <w:rsid w:val="00902172"/>
    <w:rsid w:val="009049A9"/>
    <w:rsid w:val="00907B50"/>
    <w:rsid w:val="00911D96"/>
    <w:rsid w:val="009131A7"/>
    <w:rsid w:val="00923EF5"/>
    <w:rsid w:val="0093326A"/>
    <w:rsid w:val="00935368"/>
    <w:rsid w:val="0093569D"/>
    <w:rsid w:val="0094728D"/>
    <w:rsid w:val="00956B30"/>
    <w:rsid w:val="00965987"/>
    <w:rsid w:val="009702BD"/>
    <w:rsid w:val="0098111B"/>
    <w:rsid w:val="00981475"/>
    <w:rsid w:val="009826F5"/>
    <w:rsid w:val="009840F8"/>
    <w:rsid w:val="00985795"/>
    <w:rsid w:val="0098638A"/>
    <w:rsid w:val="009919F7"/>
    <w:rsid w:val="00996D2B"/>
    <w:rsid w:val="009A0363"/>
    <w:rsid w:val="009A2FF1"/>
    <w:rsid w:val="009A42A8"/>
    <w:rsid w:val="009A4CFC"/>
    <w:rsid w:val="009A735B"/>
    <w:rsid w:val="009B052B"/>
    <w:rsid w:val="009B12A9"/>
    <w:rsid w:val="009C0030"/>
    <w:rsid w:val="009C0560"/>
    <w:rsid w:val="009C4170"/>
    <w:rsid w:val="009E75D6"/>
    <w:rsid w:val="009E76FF"/>
    <w:rsid w:val="009F6494"/>
    <w:rsid w:val="00A2044C"/>
    <w:rsid w:val="00A20AC1"/>
    <w:rsid w:val="00A2192E"/>
    <w:rsid w:val="00A23519"/>
    <w:rsid w:val="00A2358B"/>
    <w:rsid w:val="00A32053"/>
    <w:rsid w:val="00A35E50"/>
    <w:rsid w:val="00A36BA9"/>
    <w:rsid w:val="00A44246"/>
    <w:rsid w:val="00A478FD"/>
    <w:rsid w:val="00A47F2B"/>
    <w:rsid w:val="00A513F2"/>
    <w:rsid w:val="00A51A56"/>
    <w:rsid w:val="00A53904"/>
    <w:rsid w:val="00A53AD5"/>
    <w:rsid w:val="00A6348B"/>
    <w:rsid w:val="00A63925"/>
    <w:rsid w:val="00A71F6B"/>
    <w:rsid w:val="00A9018C"/>
    <w:rsid w:val="00A91197"/>
    <w:rsid w:val="00A946D4"/>
    <w:rsid w:val="00AA19A6"/>
    <w:rsid w:val="00AA2B5D"/>
    <w:rsid w:val="00AA3B0C"/>
    <w:rsid w:val="00AA6ABF"/>
    <w:rsid w:val="00AB2A93"/>
    <w:rsid w:val="00AC5755"/>
    <w:rsid w:val="00AE1CE5"/>
    <w:rsid w:val="00AE7129"/>
    <w:rsid w:val="00AE7ECC"/>
    <w:rsid w:val="00AF347A"/>
    <w:rsid w:val="00B130D9"/>
    <w:rsid w:val="00B202EE"/>
    <w:rsid w:val="00B24D63"/>
    <w:rsid w:val="00B25698"/>
    <w:rsid w:val="00B27933"/>
    <w:rsid w:val="00B30CC3"/>
    <w:rsid w:val="00B32DB6"/>
    <w:rsid w:val="00B52987"/>
    <w:rsid w:val="00B6373A"/>
    <w:rsid w:val="00B76E06"/>
    <w:rsid w:val="00B844A4"/>
    <w:rsid w:val="00B96CA0"/>
    <w:rsid w:val="00B97678"/>
    <w:rsid w:val="00BA7EB8"/>
    <w:rsid w:val="00BB1C2C"/>
    <w:rsid w:val="00BB3BBF"/>
    <w:rsid w:val="00BC4EBB"/>
    <w:rsid w:val="00BE1E99"/>
    <w:rsid w:val="00BE2235"/>
    <w:rsid w:val="00BF5D39"/>
    <w:rsid w:val="00C03B13"/>
    <w:rsid w:val="00C05CAF"/>
    <w:rsid w:val="00C06665"/>
    <w:rsid w:val="00C06743"/>
    <w:rsid w:val="00C13C35"/>
    <w:rsid w:val="00C25D63"/>
    <w:rsid w:val="00C31BF4"/>
    <w:rsid w:val="00C333CA"/>
    <w:rsid w:val="00C4169E"/>
    <w:rsid w:val="00C455B1"/>
    <w:rsid w:val="00C521A6"/>
    <w:rsid w:val="00C56D7A"/>
    <w:rsid w:val="00C60DF9"/>
    <w:rsid w:val="00C64352"/>
    <w:rsid w:val="00C6449E"/>
    <w:rsid w:val="00C64AA1"/>
    <w:rsid w:val="00C65AEC"/>
    <w:rsid w:val="00C77166"/>
    <w:rsid w:val="00C80B05"/>
    <w:rsid w:val="00C81D5B"/>
    <w:rsid w:val="00C83BFE"/>
    <w:rsid w:val="00C8450F"/>
    <w:rsid w:val="00C85D97"/>
    <w:rsid w:val="00C8612A"/>
    <w:rsid w:val="00C869C7"/>
    <w:rsid w:val="00C87E0A"/>
    <w:rsid w:val="00C9475E"/>
    <w:rsid w:val="00CA022D"/>
    <w:rsid w:val="00CA0FCA"/>
    <w:rsid w:val="00CA35CD"/>
    <w:rsid w:val="00CA56A8"/>
    <w:rsid w:val="00CA77D6"/>
    <w:rsid w:val="00CA7AE5"/>
    <w:rsid w:val="00CB3418"/>
    <w:rsid w:val="00CB3982"/>
    <w:rsid w:val="00CB4176"/>
    <w:rsid w:val="00CC520E"/>
    <w:rsid w:val="00CD3B40"/>
    <w:rsid w:val="00CD58A4"/>
    <w:rsid w:val="00CD71A1"/>
    <w:rsid w:val="00CE40D4"/>
    <w:rsid w:val="00CE5B44"/>
    <w:rsid w:val="00CE7579"/>
    <w:rsid w:val="00CF7231"/>
    <w:rsid w:val="00D0085C"/>
    <w:rsid w:val="00D10719"/>
    <w:rsid w:val="00D11039"/>
    <w:rsid w:val="00D116B6"/>
    <w:rsid w:val="00D1248E"/>
    <w:rsid w:val="00D141D7"/>
    <w:rsid w:val="00D14523"/>
    <w:rsid w:val="00D22FED"/>
    <w:rsid w:val="00D411B1"/>
    <w:rsid w:val="00D41E44"/>
    <w:rsid w:val="00D46074"/>
    <w:rsid w:val="00D47BD8"/>
    <w:rsid w:val="00D514EE"/>
    <w:rsid w:val="00D528B8"/>
    <w:rsid w:val="00D542D3"/>
    <w:rsid w:val="00D627CE"/>
    <w:rsid w:val="00D644F2"/>
    <w:rsid w:val="00D657CE"/>
    <w:rsid w:val="00D661CE"/>
    <w:rsid w:val="00D716C5"/>
    <w:rsid w:val="00D75082"/>
    <w:rsid w:val="00D77548"/>
    <w:rsid w:val="00D80A7C"/>
    <w:rsid w:val="00D85597"/>
    <w:rsid w:val="00D9276D"/>
    <w:rsid w:val="00D92B91"/>
    <w:rsid w:val="00DA141D"/>
    <w:rsid w:val="00DA29C4"/>
    <w:rsid w:val="00DA42EE"/>
    <w:rsid w:val="00DA5375"/>
    <w:rsid w:val="00DB0888"/>
    <w:rsid w:val="00DB29D3"/>
    <w:rsid w:val="00DB3F66"/>
    <w:rsid w:val="00DB4DEC"/>
    <w:rsid w:val="00DC4BEF"/>
    <w:rsid w:val="00DC7DC5"/>
    <w:rsid w:val="00DD54DB"/>
    <w:rsid w:val="00DE5CB9"/>
    <w:rsid w:val="00DE5EEB"/>
    <w:rsid w:val="00DF2E07"/>
    <w:rsid w:val="00DF343E"/>
    <w:rsid w:val="00E03B0E"/>
    <w:rsid w:val="00E05AE9"/>
    <w:rsid w:val="00E115CB"/>
    <w:rsid w:val="00E11FA0"/>
    <w:rsid w:val="00E16EE9"/>
    <w:rsid w:val="00E20404"/>
    <w:rsid w:val="00E32457"/>
    <w:rsid w:val="00E34702"/>
    <w:rsid w:val="00E34E50"/>
    <w:rsid w:val="00E361FC"/>
    <w:rsid w:val="00E42C73"/>
    <w:rsid w:val="00E46D00"/>
    <w:rsid w:val="00E5068F"/>
    <w:rsid w:val="00E51D4B"/>
    <w:rsid w:val="00E5358B"/>
    <w:rsid w:val="00E5625E"/>
    <w:rsid w:val="00E61546"/>
    <w:rsid w:val="00E677C4"/>
    <w:rsid w:val="00E735EB"/>
    <w:rsid w:val="00E75D27"/>
    <w:rsid w:val="00E82F71"/>
    <w:rsid w:val="00E84246"/>
    <w:rsid w:val="00E903E8"/>
    <w:rsid w:val="00E91931"/>
    <w:rsid w:val="00E92DDB"/>
    <w:rsid w:val="00E932D4"/>
    <w:rsid w:val="00E93AD5"/>
    <w:rsid w:val="00E948CF"/>
    <w:rsid w:val="00E953B3"/>
    <w:rsid w:val="00EA1784"/>
    <w:rsid w:val="00EA2268"/>
    <w:rsid w:val="00EA3674"/>
    <w:rsid w:val="00EA5955"/>
    <w:rsid w:val="00EB2117"/>
    <w:rsid w:val="00EB2996"/>
    <w:rsid w:val="00EB2A64"/>
    <w:rsid w:val="00EB315C"/>
    <w:rsid w:val="00EB5F4D"/>
    <w:rsid w:val="00EC22B8"/>
    <w:rsid w:val="00ED1FE0"/>
    <w:rsid w:val="00EE3C4E"/>
    <w:rsid w:val="00EE6326"/>
    <w:rsid w:val="00EF47E5"/>
    <w:rsid w:val="00EF5477"/>
    <w:rsid w:val="00EF5C9D"/>
    <w:rsid w:val="00EF73AC"/>
    <w:rsid w:val="00F000ED"/>
    <w:rsid w:val="00F03707"/>
    <w:rsid w:val="00F03FDD"/>
    <w:rsid w:val="00F05F68"/>
    <w:rsid w:val="00F06DC7"/>
    <w:rsid w:val="00F07541"/>
    <w:rsid w:val="00F07810"/>
    <w:rsid w:val="00F124AF"/>
    <w:rsid w:val="00F15FEB"/>
    <w:rsid w:val="00F17AEE"/>
    <w:rsid w:val="00F21C81"/>
    <w:rsid w:val="00F245F8"/>
    <w:rsid w:val="00F427DC"/>
    <w:rsid w:val="00F43DCC"/>
    <w:rsid w:val="00F44646"/>
    <w:rsid w:val="00F60954"/>
    <w:rsid w:val="00F643EE"/>
    <w:rsid w:val="00F6567F"/>
    <w:rsid w:val="00F65F47"/>
    <w:rsid w:val="00F67E07"/>
    <w:rsid w:val="00F75427"/>
    <w:rsid w:val="00F91CC3"/>
    <w:rsid w:val="00F97BEC"/>
    <w:rsid w:val="00FA1DFD"/>
    <w:rsid w:val="00FA7C28"/>
    <w:rsid w:val="00FB3303"/>
    <w:rsid w:val="00FB4E3A"/>
    <w:rsid w:val="00FC1F0A"/>
    <w:rsid w:val="00FD66C8"/>
    <w:rsid w:val="00FE1E2D"/>
    <w:rsid w:val="00FE20E1"/>
    <w:rsid w:val="00FE617E"/>
    <w:rsid w:val="00FF6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CBF5C"/>
  <w15:chartTrackingRefBased/>
  <w15:docId w15:val="{94D217B9-6B9D-420A-8776-9B86E2DF9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3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3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33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33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3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3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3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3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3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354"/>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883354"/>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883354"/>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883354"/>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883354"/>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883354"/>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883354"/>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883354"/>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883354"/>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8833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354"/>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8833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354"/>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883354"/>
    <w:pPr>
      <w:spacing w:before="160"/>
      <w:jc w:val="center"/>
    </w:pPr>
    <w:rPr>
      <w:i/>
      <w:iCs/>
      <w:color w:val="404040" w:themeColor="text1" w:themeTint="BF"/>
    </w:rPr>
  </w:style>
  <w:style w:type="character" w:customStyle="1" w:styleId="QuoteChar">
    <w:name w:val="Quote Char"/>
    <w:basedOn w:val="DefaultParagraphFont"/>
    <w:link w:val="Quote"/>
    <w:uiPriority w:val="29"/>
    <w:rsid w:val="00883354"/>
    <w:rPr>
      <w:i/>
      <w:iCs/>
      <w:color w:val="404040" w:themeColor="text1" w:themeTint="BF"/>
      <w:lang w:val="cy-GB"/>
    </w:rPr>
  </w:style>
  <w:style w:type="paragraph" w:styleId="ListParagraph">
    <w:name w:val="List Paragraph"/>
    <w:basedOn w:val="Normal"/>
    <w:uiPriority w:val="34"/>
    <w:qFormat/>
    <w:rsid w:val="00883354"/>
    <w:pPr>
      <w:ind w:left="720"/>
      <w:contextualSpacing/>
    </w:pPr>
  </w:style>
  <w:style w:type="character" w:styleId="IntenseEmphasis">
    <w:name w:val="Intense Emphasis"/>
    <w:basedOn w:val="DefaultParagraphFont"/>
    <w:uiPriority w:val="21"/>
    <w:qFormat/>
    <w:rsid w:val="00883354"/>
    <w:rPr>
      <w:i/>
      <w:iCs/>
      <w:color w:val="0F4761" w:themeColor="accent1" w:themeShade="BF"/>
    </w:rPr>
  </w:style>
  <w:style w:type="paragraph" w:styleId="IntenseQuote">
    <w:name w:val="Intense Quote"/>
    <w:basedOn w:val="Normal"/>
    <w:next w:val="Normal"/>
    <w:link w:val="IntenseQuoteChar"/>
    <w:uiPriority w:val="30"/>
    <w:qFormat/>
    <w:rsid w:val="008833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354"/>
    <w:rPr>
      <w:i/>
      <w:iCs/>
      <w:color w:val="0F4761" w:themeColor="accent1" w:themeShade="BF"/>
      <w:lang w:val="cy-GB"/>
    </w:rPr>
  </w:style>
  <w:style w:type="character" w:styleId="IntenseReference">
    <w:name w:val="Intense Reference"/>
    <w:basedOn w:val="DefaultParagraphFont"/>
    <w:uiPriority w:val="32"/>
    <w:qFormat/>
    <w:rsid w:val="00883354"/>
    <w:rPr>
      <w:b/>
      <w:bCs/>
      <w:smallCaps/>
      <w:color w:val="0F4761" w:themeColor="accent1" w:themeShade="BF"/>
      <w:spacing w:val="5"/>
    </w:rPr>
  </w:style>
  <w:style w:type="paragraph" w:styleId="Footer">
    <w:name w:val="footer"/>
    <w:basedOn w:val="Normal"/>
    <w:link w:val="FooterChar"/>
    <w:uiPriority w:val="99"/>
    <w:unhideWhenUsed/>
    <w:rsid w:val="00823C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C67"/>
    <w:rPr>
      <w:lang w:val="cy-GB"/>
    </w:rPr>
  </w:style>
  <w:style w:type="character" w:styleId="Hyperlink">
    <w:name w:val="Hyperlink"/>
    <w:basedOn w:val="DefaultParagraphFont"/>
    <w:uiPriority w:val="99"/>
    <w:unhideWhenUsed/>
    <w:rsid w:val="00823C67"/>
    <w:rPr>
      <w:color w:val="467886" w:themeColor="hyperlink"/>
      <w:u w:val="single"/>
    </w:rPr>
  </w:style>
  <w:style w:type="character" w:styleId="UnresolvedMention">
    <w:name w:val="Unresolved Mention"/>
    <w:basedOn w:val="DefaultParagraphFont"/>
    <w:uiPriority w:val="99"/>
    <w:semiHidden/>
    <w:unhideWhenUsed/>
    <w:rsid w:val="00823C67"/>
    <w:rPr>
      <w:color w:val="605E5C"/>
      <w:shd w:val="clear" w:color="auto" w:fill="E1DFDD"/>
    </w:rPr>
  </w:style>
  <w:style w:type="paragraph" w:styleId="Header">
    <w:name w:val="header"/>
    <w:basedOn w:val="Normal"/>
    <w:link w:val="HeaderChar"/>
    <w:uiPriority w:val="99"/>
    <w:unhideWhenUsed/>
    <w:rsid w:val="00823C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C67"/>
    <w:rPr>
      <w:lang w:val="cy-GB"/>
    </w:rPr>
  </w:style>
  <w:style w:type="character" w:styleId="FollowedHyperlink">
    <w:name w:val="FollowedHyperlink"/>
    <w:basedOn w:val="DefaultParagraphFont"/>
    <w:uiPriority w:val="99"/>
    <w:semiHidden/>
    <w:unhideWhenUsed/>
    <w:rsid w:val="005A4FB1"/>
    <w:rPr>
      <w:color w:val="96607D" w:themeColor="followedHyperlink"/>
      <w:u w:val="single"/>
    </w:rPr>
  </w:style>
  <w:style w:type="paragraph" w:styleId="NormalWeb">
    <w:name w:val="Normal (Web)"/>
    <w:basedOn w:val="Normal"/>
    <w:uiPriority w:val="99"/>
    <w:semiHidden/>
    <w:unhideWhenUsed/>
    <w:rsid w:val="009E75D6"/>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E91931"/>
    <w:rPr>
      <w:sz w:val="16"/>
      <w:szCs w:val="16"/>
    </w:rPr>
  </w:style>
  <w:style w:type="paragraph" w:styleId="CommentText">
    <w:name w:val="annotation text"/>
    <w:basedOn w:val="Normal"/>
    <w:link w:val="CommentTextChar"/>
    <w:uiPriority w:val="99"/>
    <w:unhideWhenUsed/>
    <w:rsid w:val="00E91931"/>
    <w:pPr>
      <w:spacing w:line="240" w:lineRule="auto"/>
    </w:pPr>
    <w:rPr>
      <w:sz w:val="20"/>
      <w:szCs w:val="20"/>
    </w:rPr>
  </w:style>
  <w:style w:type="character" w:customStyle="1" w:styleId="CommentTextChar">
    <w:name w:val="Comment Text Char"/>
    <w:basedOn w:val="DefaultParagraphFont"/>
    <w:link w:val="CommentText"/>
    <w:uiPriority w:val="99"/>
    <w:rsid w:val="00E91931"/>
    <w:rPr>
      <w:sz w:val="20"/>
      <w:szCs w:val="20"/>
    </w:rPr>
  </w:style>
  <w:style w:type="paragraph" w:styleId="CommentSubject">
    <w:name w:val="annotation subject"/>
    <w:basedOn w:val="CommentText"/>
    <w:next w:val="CommentText"/>
    <w:link w:val="CommentSubjectChar"/>
    <w:uiPriority w:val="99"/>
    <w:semiHidden/>
    <w:unhideWhenUsed/>
    <w:rsid w:val="00E91931"/>
    <w:rPr>
      <w:b/>
      <w:bCs/>
    </w:rPr>
  </w:style>
  <w:style w:type="character" w:customStyle="1" w:styleId="CommentSubjectChar">
    <w:name w:val="Comment Subject Char"/>
    <w:basedOn w:val="CommentTextChar"/>
    <w:link w:val="CommentSubject"/>
    <w:uiPriority w:val="99"/>
    <w:semiHidden/>
    <w:rsid w:val="00E9193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ebel.org.uk/research-library/slow-knowledge-and-the-unhurried-child-time-for-slow-pedagogies-in-early-childhood-education" TargetMode="External"/><Relationship Id="rId13" Type="http://schemas.openxmlformats.org/officeDocument/2006/relationships/hyperlink" Target="https://meithrin.cymru/bod-y-tu-allan/" TargetMode="External"/><Relationship Id="rId18" Type="http://schemas.openxmlformats.org/officeDocument/2006/relationships/hyperlink" Target="https://hwb.gov.wales/curriculum-for-wale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nurseryworld.co.uk/content/opinion/aaron-bradbury-the-problem-isn-t-play-it-s-the-system" TargetMode="External"/><Relationship Id="rId12" Type="http://schemas.openxmlformats.org/officeDocument/2006/relationships/hyperlink" Target="https://www.meithrin.cymru" TargetMode="External"/><Relationship Id="rId17" Type="http://schemas.openxmlformats.org/officeDocument/2006/relationships/hyperlink" Target="https://www.gov.wales/well-being-future-generations-act-essentials-html" TargetMode="External"/><Relationship Id="rId2" Type="http://schemas.openxmlformats.org/officeDocument/2006/relationships/styles" Target="styles.xml"/><Relationship Id="rId16" Type="http://schemas.openxmlformats.org/officeDocument/2006/relationships/hyperlink" Target="https://www.unicef.org/child-rights-conventio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4HI-Xa9X0AU" TargetMode="External"/><Relationship Id="rId5" Type="http://schemas.openxmlformats.org/officeDocument/2006/relationships/footnotes" Target="footnotes.xml"/><Relationship Id="rId15" Type="http://schemas.openxmlformats.org/officeDocument/2006/relationships/hyperlink" Target="https://doi.org/10.1371/journal.pone.0318538" TargetMode="External"/><Relationship Id="rId23" Type="http://schemas.openxmlformats.org/officeDocument/2006/relationships/theme" Target="theme/theme1.xml"/><Relationship Id="rId10" Type="http://schemas.openxmlformats.org/officeDocument/2006/relationships/hyperlink" Target="https://estyn.gov.wales/improvement-resources/thematic-report-impact-of-poverty-on-educational-attainment-support-provision-and-transition-for-early-education/" TargetMode="External"/><Relationship Id="rId19" Type="http://schemas.openxmlformats.org/officeDocument/2006/relationships/hyperlink" Target="https://hwb.gov.wales/curriculum-for-wales/curriculum-for-funded-non-maintained-nursery-settings/" TargetMode="External"/><Relationship Id="rId4" Type="http://schemas.openxmlformats.org/officeDocument/2006/relationships/webSettings" Target="webSettings.xml"/><Relationship Id="rId9" Type="http://schemas.openxmlformats.org/officeDocument/2006/relationships/hyperlink" Target="https://www.estyn.gov.wales/annual-report" TargetMode="External"/><Relationship Id="rId14" Type="http://schemas.openxmlformats.org/officeDocument/2006/relationships/hyperlink" Target="https://doi.org/10.3389/feduc.2022.75180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13</Pages>
  <Words>5692</Words>
  <Characters>32449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Thomas</dc:creator>
  <cp:keywords/>
  <dc:description/>
  <cp:lastModifiedBy>Vikki Thomas</cp:lastModifiedBy>
  <cp:revision>78</cp:revision>
  <dcterms:created xsi:type="dcterms:W3CDTF">2026-05-19T22:19:00Z</dcterms:created>
  <dcterms:modified xsi:type="dcterms:W3CDTF">2026-05-24T17:14:00Z</dcterms:modified>
</cp:coreProperties>
</file>