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08B27" w14:textId="19439917" w:rsidR="007048E7" w:rsidRPr="00E63B7F" w:rsidRDefault="007048E7" w:rsidP="00D17C25">
      <w:pPr>
        <w:spacing w:line="360" w:lineRule="auto"/>
        <w:jc w:val="center"/>
        <w:rPr>
          <w:rFonts w:ascii="Arial" w:hAnsi="Arial" w:cs="Arial"/>
          <w:color w:val="FF0000"/>
          <w:u w:val="single"/>
        </w:rPr>
      </w:pPr>
      <w:r w:rsidRPr="00E63B7F">
        <w:rPr>
          <w:rFonts w:ascii="Arial" w:hAnsi="Arial" w:cs="Arial"/>
          <w:u w:val="single"/>
        </w:rPr>
        <w:t>Early Years Curricula</w:t>
      </w:r>
    </w:p>
    <w:p w14:paraId="53B75A2D" w14:textId="6278FAF6" w:rsidR="007048E7" w:rsidRPr="00E63B7F" w:rsidRDefault="007048E7" w:rsidP="00D17C25">
      <w:pPr>
        <w:spacing w:line="360" w:lineRule="auto"/>
        <w:rPr>
          <w:rFonts w:ascii="Arial" w:hAnsi="Arial" w:cs="Arial"/>
          <w:color w:val="FF0000"/>
          <w:u w:val="single"/>
        </w:rPr>
      </w:pPr>
      <w:r w:rsidRPr="00E63B7F">
        <w:rPr>
          <w:rFonts w:ascii="Arial" w:hAnsi="Arial" w:cs="Arial"/>
          <w:color w:val="FF0000"/>
          <w:u w:val="single"/>
        </w:rPr>
        <w:t>AI acknowledgement:</w:t>
      </w:r>
    </w:p>
    <w:p w14:paraId="3C0B489D" w14:textId="38421D80" w:rsidR="007048E7" w:rsidRPr="00E63B7F" w:rsidRDefault="007048E7" w:rsidP="00D17C25">
      <w:pPr>
        <w:spacing w:line="360" w:lineRule="auto"/>
        <w:rPr>
          <w:rFonts w:ascii="Arial" w:hAnsi="Arial" w:cs="Arial"/>
          <w:color w:val="FF0000"/>
          <w:u w:val="single"/>
        </w:rPr>
      </w:pPr>
      <w:r w:rsidRPr="00E63B7F">
        <w:rPr>
          <w:rFonts w:ascii="Arial" w:hAnsi="Arial" w:cs="Arial"/>
          <w:color w:val="FF0000"/>
          <w:u w:val="single"/>
        </w:rPr>
        <w:t>I can confirm that I have not used any AI tools in the research and creation of this assignment. I can confirm I have not presented any AI-generated materials as my work. I have copies of my drafts, notes, and other resources that I may be asked to provide as evidence.</w:t>
      </w:r>
    </w:p>
    <w:p w14:paraId="5E8F46F3" w14:textId="77777777" w:rsidR="007048E7" w:rsidRPr="00E63B7F" w:rsidRDefault="007048E7"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 xml:space="preserve">Part 1: </w:t>
      </w:r>
    </w:p>
    <w:p w14:paraId="059D7C68" w14:textId="4DEA2DDF" w:rsidR="009003E5" w:rsidRPr="00E63B7F" w:rsidRDefault="007048E7"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 xml:space="preserve">Compare and contrast two different play-based approaches. </w:t>
      </w:r>
    </w:p>
    <w:p w14:paraId="11ACBE0E" w14:textId="1BB63C27" w:rsidR="00840664" w:rsidRPr="00E63B7F" w:rsidRDefault="00840664" w:rsidP="00D17C25">
      <w:pPr>
        <w:spacing w:line="360" w:lineRule="auto"/>
        <w:rPr>
          <w:rFonts w:ascii="Arial" w:hAnsi="Arial" w:cs="Arial"/>
          <w:color w:val="000000" w:themeColor="text1"/>
        </w:rPr>
      </w:pPr>
      <w:r w:rsidRPr="00E63B7F">
        <w:rPr>
          <w:rFonts w:ascii="Arial" w:hAnsi="Arial" w:cs="Arial"/>
          <w:color w:val="000000" w:themeColor="text1"/>
        </w:rPr>
        <w:t xml:space="preserve">Early childhood education in Wales </w:t>
      </w:r>
      <w:r w:rsidR="00DE4A90" w:rsidRPr="00E63B7F">
        <w:rPr>
          <w:rFonts w:ascii="Arial" w:hAnsi="Arial" w:cs="Arial"/>
          <w:color w:val="000000" w:themeColor="text1"/>
        </w:rPr>
        <w:t>has undergone</w:t>
      </w:r>
      <w:r w:rsidRPr="00E63B7F">
        <w:rPr>
          <w:rFonts w:ascii="Arial" w:hAnsi="Arial" w:cs="Arial"/>
          <w:color w:val="000000" w:themeColor="text1"/>
        </w:rPr>
        <w:t xml:space="preserve"> significant changes with the introduction of the </w:t>
      </w:r>
      <w:r w:rsidR="00DE4A90" w:rsidRPr="00E63B7F">
        <w:rPr>
          <w:rFonts w:ascii="Arial" w:hAnsi="Arial" w:cs="Arial"/>
          <w:color w:val="000000" w:themeColor="text1"/>
        </w:rPr>
        <w:t>C</w:t>
      </w:r>
      <w:r w:rsidRPr="00E63B7F">
        <w:rPr>
          <w:rFonts w:ascii="Arial" w:hAnsi="Arial" w:cs="Arial"/>
          <w:color w:val="000000" w:themeColor="text1"/>
        </w:rPr>
        <w:t xml:space="preserve">urriculum for Wales, which has replaced the Foundation Phase. </w:t>
      </w:r>
    </w:p>
    <w:p w14:paraId="002C7192" w14:textId="1778D5BF" w:rsidR="009003E5" w:rsidRPr="00E63B7F" w:rsidRDefault="009003E5" w:rsidP="00D17C25">
      <w:pPr>
        <w:spacing w:line="360" w:lineRule="auto"/>
        <w:rPr>
          <w:rFonts w:ascii="Arial" w:hAnsi="Arial" w:cs="Arial"/>
          <w:color w:val="000000" w:themeColor="text1"/>
        </w:rPr>
      </w:pPr>
      <w:r w:rsidRPr="00E63B7F">
        <w:rPr>
          <w:rFonts w:ascii="Arial" w:hAnsi="Arial" w:cs="Arial"/>
          <w:color w:val="000000" w:themeColor="text1"/>
        </w:rPr>
        <w:t>The curriculum for non-maintained settings in Wales is a framework which is designed to support children in the early years education sector aged three to four, who receive funded nursery provision</w:t>
      </w:r>
      <w:r w:rsidR="00540775" w:rsidRPr="00E63B7F">
        <w:rPr>
          <w:rFonts w:ascii="Arial" w:hAnsi="Arial" w:cs="Arial"/>
          <w:color w:val="000000" w:themeColor="text1"/>
        </w:rPr>
        <w:t>,</w:t>
      </w:r>
      <w:r w:rsidRPr="00E63B7F">
        <w:rPr>
          <w:rFonts w:ascii="Arial" w:hAnsi="Arial" w:cs="Arial"/>
          <w:color w:val="000000" w:themeColor="text1"/>
        </w:rPr>
        <w:t xml:space="preserve"> such as education. This curriculum aligns with the Curriculum for Wales</w:t>
      </w:r>
      <w:r w:rsidR="00540775" w:rsidRPr="00E63B7F">
        <w:rPr>
          <w:rFonts w:ascii="Arial" w:hAnsi="Arial" w:cs="Arial"/>
          <w:color w:val="000000" w:themeColor="text1"/>
        </w:rPr>
        <w:t>,</w:t>
      </w:r>
      <w:r w:rsidRPr="00E63B7F">
        <w:rPr>
          <w:rFonts w:ascii="Arial" w:hAnsi="Arial" w:cs="Arial"/>
          <w:color w:val="000000" w:themeColor="text1"/>
        </w:rPr>
        <w:t xml:space="preserve"> which is tailored to meet the developmental needs of children in non-school settings such as private or nursery settings. </w:t>
      </w:r>
      <w:r w:rsidR="00540775" w:rsidRPr="00E63B7F">
        <w:rPr>
          <w:rFonts w:ascii="Arial" w:hAnsi="Arial" w:cs="Arial"/>
          <w:color w:val="000000" w:themeColor="text1"/>
        </w:rPr>
        <w:t>The Welsh Government (2020) supports the diverse culture, heritage and language of Wales, which fosters pride in national identity as well as promoting inclusivity and respect for others.</w:t>
      </w:r>
    </w:p>
    <w:p w14:paraId="0888C60C" w14:textId="02226AD8" w:rsidR="0066332E" w:rsidRPr="00E63B7F" w:rsidRDefault="00540775" w:rsidP="00D17C25">
      <w:pPr>
        <w:spacing w:line="360" w:lineRule="auto"/>
        <w:rPr>
          <w:rFonts w:ascii="Arial" w:hAnsi="Arial" w:cs="Arial"/>
          <w:color w:val="000000" w:themeColor="text1"/>
        </w:rPr>
      </w:pPr>
      <w:r w:rsidRPr="00E63B7F">
        <w:rPr>
          <w:rFonts w:ascii="Arial" w:hAnsi="Arial" w:cs="Arial"/>
          <w:color w:val="000000" w:themeColor="text1"/>
        </w:rPr>
        <w:t xml:space="preserve">The curriculum for non-maintained settings in Wales has a strong emphasis </w:t>
      </w:r>
      <w:r w:rsidR="0066332E" w:rsidRPr="00E63B7F">
        <w:rPr>
          <w:rFonts w:ascii="Arial" w:hAnsi="Arial" w:cs="Arial"/>
          <w:color w:val="000000" w:themeColor="text1"/>
        </w:rPr>
        <w:t>on nurturing a sense of belonging, effective communication, active exploration, physical development and well-being. A core focus of the curriculum is the development of ‘Cynefin’, a Welsh concept describing the sense of belonging to a familiar place or community, which supports children with feeling connected, secure and confident in their own identities (Welsh Government, 2020).</w:t>
      </w:r>
    </w:p>
    <w:p w14:paraId="2106CA1A" w14:textId="7EED8777" w:rsidR="00AC7FBE" w:rsidRPr="00E63B7F" w:rsidRDefault="00255F70" w:rsidP="00D17C25">
      <w:pPr>
        <w:spacing w:line="360" w:lineRule="auto"/>
        <w:rPr>
          <w:rFonts w:ascii="Arial" w:hAnsi="Arial" w:cs="Arial"/>
          <w:color w:val="000000" w:themeColor="text1"/>
        </w:rPr>
      </w:pPr>
      <w:r w:rsidRPr="00E63B7F">
        <w:rPr>
          <w:rFonts w:ascii="Arial" w:hAnsi="Arial" w:cs="Arial"/>
          <w:color w:val="000000" w:themeColor="text1"/>
        </w:rPr>
        <w:t>The curriculum for Wales for non-maintained nursery settings is supported by three core enablers</w:t>
      </w:r>
      <w:r w:rsidR="00AC7FBE" w:rsidRPr="00E63B7F">
        <w:rPr>
          <w:rFonts w:ascii="Arial" w:hAnsi="Arial" w:cs="Arial"/>
          <w:color w:val="000000" w:themeColor="text1"/>
        </w:rPr>
        <w:t>,</w:t>
      </w:r>
      <w:r w:rsidRPr="00E63B7F">
        <w:rPr>
          <w:rFonts w:ascii="Arial" w:hAnsi="Arial" w:cs="Arial"/>
          <w:color w:val="000000" w:themeColor="text1"/>
        </w:rPr>
        <w:t xml:space="preserve"> which help practitioners deliver high-quality learning opportunities for children. The enablers are the effective environment, the enabling adult and the engaging experiences. These enablers underpin effective curriculum implement</w:t>
      </w:r>
      <w:r w:rsidR="00AC7FBE" w:rsidRPr="00E63B7F">
        <w:rPr>
          <w:rFonts w:ascii="Arial" w:hAnsi="Arial" w:cs="Arial"/>
          <w:color w:val="000000" w:themeColor="text1"/>
        </w:rPr>
        <w:t>ation in early years education. Some key features of the enablers are play and playful learning, being outdoors, observation and authentic and purposeful learning.</w:t>
      </w:r>
    </w:p>
    <w:p w14:paraId="2280CBDC" w14:textId="20CBF070" w:rsidR="00255F70" w:rsidRPr="00E63B7F" w:rsidRDefault="00AC7FBE" w:rsidP="00D17C25">
      <w:pPr>
        <w:spacing w:line="360" w:lineRule="auto"/>
        <w:rPr>
          <w:rFonts w:ascii="Arial" w:hAnsi="Arial" w:cs="Arial"/>
          <w:color w:val="000000" w:themeColor="text1"/>
        </w:rPr>
      </w:pPr>
      <w:r w:rsidRPr="00E63B7F">
        <w:rPr>
          <w:rFonts w:ascii="Arial" w:hAnsi="Arial" w:cs="Arial"/>
          <w:color w:val="000000" w:themeColor="text1"/>
        </w:rPr>
        <w:lastRenderedPageBreak/>
        <w:t>As well as the three enablers, the curriculum for non-maintained nursery settings has five developmental pathways, these being belonging, communication, exploration, physical development and well-being. The five developmental pathways align with ‘I need to…’</w:t>
      </w:r>
      <w:r w:rsidR="00840664" w:rsidRPr="00E63B7F">
        <w:rPr>
          <w:rFonts w:ascii="Arial" w:hAnsi="Arial" w:cs="Arial"/>
          <w:color w:val="000000" w:themeColor="text1"/>
        </w:rPr>
        <w:t>,</w:t>
      </w:r>
      <w:r w:rsidRPr="00E63B7F">
        <w:rPr>
          <w:rFonts w:ascii="Arial" w:hAnsi="Arial" w:cs="Arial"/>
          <w:color w:val="000000" w:themeColor="text1"/>
        </w:rPr>
        <w:t xml:space="preserve"> </w:t>
      </w:r>
      <w:r w:rsidR="00840664" w:rsidRPr="00E63B7F">
        <w:rPr>
          <w:rFonts w:ascii="Arial" w:hAnsi="Arial" w:cs="Arial"/>
          <w:color w:val="000000" w:themeColor="text1"/>
        </w:rPr>
        <w:t>‘I</w:t>
      </w:r>
      <w:r w:rsidRPr="00E63B7F">
        <w:rPr>
          <w:rFonts w:ascii="Arial" w:hAnsi="Arial" w:cs="Arial"/>
          <w:color w:val="000000" w:themeColor="text1"/>
        </w:rPr>
        <w:t xml:space="preserve"> am learning to…’, and ‘my development is enhanced by…’.</w:t>
      </w:r>
    </w:p>
    <w:p w14:paraId="3D607D06" w14:textId="08457879" w:rsidR="007048E7" w:rsidRPr="00E63B7F" w:rsidRDefault="0066332E" w:rsidP="00D17C25">
      <w:pPr>
        <w:spacing w:line="360" w:lineRule="auto"/>
        <w:rPr>
          <w:rFonts w:ascii="Arial" w:hAnsi="Arial" w:cs="Arial"/>
          <w:color w:val="000000" w:themeColor="text1"/>
        </w:rPr>
      </w:pPr>
      <w:r w:rsidRPr="00E63B7F">
        <w:rPr>
          <w:rFonts w:ascii="Arial" w:hAnsi="Arial" w:cs="Arial"/>
          <w:color w:val="000000" w:themeColor="text1"/>
        </w:rPr>
        <w:t>The foundation phase is a statutory curriculum for children aged three to seven in Wales, which is used in schools and funded non-maintained settings before the implementation of the Curriculum for Wales. The foundation phases are a play-based, developmental curriculum focused on the holistic development of children. The foundation phase focuses on learning activities and hands-on learning, both indoors and outdoors.</w:t>
      </w:r>
    </w:p>
    <w:p w14:paraId="58A1F20A" w14:textId="3BD7EEB6" w:rsidR="0066332E" w:rsidRPr="00E63B7F" w:rsidRDefault="0066332E" w:rsidP="00D17C25">
      <w:pPr>
        <w:spacing w:line="360" w:lineRule="auto"/>
        <w:rPr>
          <w:rFonts w:ascii="Arial" w:hAnsi="Arial" w:cs="Arial"/>
          <w:color w:val="000000" w:themeColor="text1"/>
        </w:rPr>
      </w:pPr>
      <w:r w:rsidRPr="00E63B7F">
        <w:rPr>
          <w:rFonts w:ascii="Arial" w:hAnsi="Arial" w:cs="Arial"/>
          <w:color w:val="000000" w:themeColor="text1"/>
        </w:rPr>
        <w:t>The foundation phases curriculum encourages exploration, creativit</w:t>
      </w:r>
      <w:r w:rsidR="00255F70" w:rsidRPr="00E63B7F">
        <w:rPr>
          <w:rFonts w:ascii="Arial" w:hAnsi="Arial" w:cs="Arial"/>
          <w:color w:val="000000" w:themeColor="text1"/>
        </w:rPr>
        <w:t>y</w:t>
      </w:r>
      <w:r w:rsidRPr="00E63B7F">
        <w:rPr>
          <w:rFonts w:ascii="Arial" w:hAnsi="Arial" w:cs="Arial"/>
          <w:color w:val="000000" w:themeColor="text1"/>
        </w:rPr>
        <w:t xml:space="preserve"> and indepen</w:t>
      </w:r>
      <w:r w:rsidR="00255F70" w:rsidRPr="00E63B7F">
        <w:rPr>
          <w:rFonts w:ascii="Arial" w:hAnsi="Arial" w:cs="Arial"/>
          <w:color w:val="000000" w:themeColor="text1"/>
        </w:rPr>
        <w:t>de</w:t>
      </w:r>
      <w:r w:rsidRPr="00E63B7F">
        <w:rPr>
          <w:rFonts w:ascii="Arial" w:hAnsi="Arial" w:cs="Arial"/>
          <w:color w:val="000000" w:themeColor="text1"/>
        </w:rPr>
        <w:t>nce</w:t>
      </w:r>
      <w:r w:rsidR="00255F70" w:rsidRPr="00E63B7F">
        <w:rPr>
          <w:rFonts w:ascii="Arial" w:hAnsi="Arial" w:cs="Arial"/>
          <w:color w:val="000000" w:themeColor="text1"/>
        </w:rPr>
        <w:t>,</w:t>
      </w:r>
      <w:r w:rsidRPr="00E63B7F">
        <w:rPr>
          <w:rFonts w:ascii="Arial" w:hAnsi="Arial" w:cs="Arial"/>
          <w:color w:val="000000" w:themeColor="text1"/>
        </w:rPr>
        <w:t xml:space="preserve"> aiming to support children’s emotional, social, physical and cognitive growth.</w:t>
      </w:r>
      <w:r w:rsidR="00255F70" w:rsidRPr="00E63B7F">
        <w:rPr>
          <w:rFonts w:ascii="Arial" w:hAnsi="Arial" w:cs="Arial"/>
          <w:color w:val="000000" w:themeColor="text1"/>
        </w:rPr>
        <w:t xml:space="preserve"> There are seven areas of learning, these being personal and social development, well-being and cultural diversity, language, literacy and communication skills, mathematical development, Welsh language development and creative development (Welsh Government, 2015).</w:t>
      </w:r>
    </w:p>
    <w:p w14:paraId="76C3027D" w14:textId="2E005E19" w:rsidR="00840664" w:rsidRPr="00E63B7F" w:rsidRDefault="00840664" w:rsidP="00D17C25">
      <w:pPr>
        <w:spacing w:line="360" w:lineRule="auto"/>
        <w:rPr>
          <w:rFonts w:ascii="Arial" w:hAnsi="Arial" w:cs="Arial"/>
          <w:color w:val="000000" w:themeColor="text1"/>
        </w:rPr>
      </w:pPr>
      <w:r w:rsidRPr="00E63B7F">
        <w:rPr>
          <w:rFonts w:ascii="Arial" w:hAnsi="Arial" w:cs="Arial"/>
          <w:color w:val="000000" w:themeColor="text1"/>
        </w:rPr>
        <w:t xml:space="preserve">There are many similarities; child-centred, play-based approaches are embedded in both curricula. The foundation phase was designed to foster learning through play, exploration and hands-on experiences, recognising that children learn best through being active (Welsh Government, 2015). Similarly, the Curriculum for Non-maintained nursery settings </w:t>
      </w:r>
      <w:proofErr w:type="gramStart"/>
      <w:r w:rsidRPr="00E63B7F">
        <w:rPr>
          <w:rFonts w:ascii="Arial" w:hAnsi="Arial" w:cs="Arial"/>
          <w:color w:val="000000" w:themeColor="text1"/>
        </w:rPr>
        <w:t>maintains</w:t>
      </w:r>
      <w:proofErr w:type="gramEnd"/>
      <w:r w:rsidRPr="00E63B7F">
        <w:rPr>
          <w:rFonts w:ascii="Arial" w:hAnsi="Arial" w:cs="Arial"/>
          <w:color w:val="000000" w:themeColor="text1"/>
        </w:rPr>
        <w:t xml:space="preserve"> the approach, emphasising the importance of play, child-led learning as central to early development (Welsh Government, 2020).</w:t>
      </w:r>
    </w:p>
    <w:p w14:paraId="384C58BA" w14:textId="6A60A6A9" w:rsidR="00840664" w:rsidRPr="00E63B7F" w:rsidRDefault="00840664" w:rsidP="00D17C25">
      <w:pPr>
        <w:spacing w:line="360" w:lineRule="auto"/>
        <w:rPr>
          <w:rFonts w:ascii="Arial" w:hAnsi="Arial" w:cs="Arial"/>
          <w:color w:val="000000" w:themeColor="text1"/>
        </w:rPr>
      </w:pPr>
      <w:r w:rsidRPr="00E63B7F">
        <w:rPr>
          <w:rFonts w:ascii="Arial" w:hAnsi="Arial" w:cs="Arial"/>
          <w:color w:val="000000" w:themeColor="text1"/>
        </w:rPr>
        <w:t xml:space="preserve">Additionally, both </w:t>
      </w:r>
      <w:r w:rsidR="005C4D71" w:rsidRPr="00E63B7F">
        <w:rPr>
          <w:rFonts w:ascii="Arial" w:hAnsi="Arial" w:cs="Arial"/>
          <w:color w:val="000000" w:themeColor="text1"/>
        </w:rPr>
        <w:t>frameworks</w:t>
      </w:r>
      <w:r w:rsidRPr="00E63B7F">
        <w:rPr>
          <w:rFonts w:ascii="Arial" w:hAnsi="Arial" w:cs="Arial"/>
          <w:color w:val="000000" w:themeColor="text1"/>
        </w:rPr>
        <w:t xml:space="preserve"> advocate for the holistic </w:t>
      </w:r>
      <w:r w:rsidR="005C4D71" w:rsidRPr="00E63B7F">
        <w:rPr>
          <w:rFonts w:ascii="Arial" w:hAnsi="Arial" w:cs="Arial"/>
          <w:color w:val="000000" w:themeColor="text1"/>
        </w:rPr>
        <w:t>development, focusing on the children’s physical, emotional, social and cognitive growth. The nurturing of well-being and personal and social development is fundamental in both curricula, reflecting and commitment to supporting the whole child rather than just the academic skills (Welsh Government, 2015; Welsh Government, 2020). Both curricula promote inclusivity and respect for children’s diverse backgrounds, languages and cultures, with particular attention to the Welsh language and culture identity, fostering a sense of belonging within the children.</w:t>
      </w:r>
    </w:p>
    <w:p w14:paraId="02C03C5D" w14:textId="7BF86A22" w:rsidR="005C4D71" w:rsidRPr="00E63B7F" w:rsidRDefault="005C4D71" w:rsidP="00D17C25">
      <w:pPr>
        <w:spacing w:line="360" w:lineRule="auto"/>
        <w:rPr>
          <w:rFonts w:ascii="Arial" w:hAnsi="Arial" w:cs="Arial"/>
          <w:color w:val="000000" w:themeColor="text1"/>
        </w:rPr>
      </w:pPr>
      <w:r w:rsidRPr="00E63B7F">
        <w:rPr>
          <w:rFonts w:ascii="Arial" w:hAnsi="Arial" w:cs="Arial"/>
          <w:color w:val="000000" w:themeColor="text1"/>
        </w:rPr>
        <w:t xml:space="preserve">Despite these similarities, there are differences in structure, scope, and cultural emphasis. The Foundation Phase was organised around seven specific Areas of </w:t>
      </w:r>
      <w:r w:rsidRPr="00E63B7F">
        <w:rPr>
          <w:rFonts w:ascii="Arial" w:hAnsi="Arial" w:cs="Arial"/>
          <w:color w:val="000000" w:themeColor="text1"/>
        </w:rPr>
        <w:lastRenderedPageBreak/>
        <w:t>Learning and was mandatory for maintained schools and funded early years settings, targeting children aged three to seven (Welsh Government, 2015). In contrast, the curriculum for Wales introduces five developmental pathways offering greater flexibility and a more integrated approach to learning across age groups (Welsh Government, 2020). Another key difference lies in the statutory status and curriculum continuity. The Foundation Phase was limited to early years and Key Stage 1, while the Curriculum for Wales establishes a continuous progression model throughout compulsory education, aiming to provide coherent learning experiences that build on prior knowledge and skills (Welsh Government, 2020).</w:t>
      </w:r>
    </w:p>
    <w:p w14:paraId="632871BA" w14:textId="0CD7514E" w:rsidR="008709D2" w:rsidRPr="00E63B7F" w:rsidRDefault="008709D2" w:rsidP="00D17C25">
      <w:pPr>
        <w:spacing w:line="360" w:lineRule="auto"/>
        <w:rPr>
          <w:rFonts w:ascii="Arial" w:hAnsi="Arial" w:cs="Arial"/>
          <w:color w:val="000000" w:themeColor="text1"/>
        </w:rPr>
      </w:pPr>
      <w:r w:rsidRPr="00E63B7F">
        <w:rPr>
          <w:rFonts w:ascii="Arial" w:hAnsi="Arial" w:cs="Arial"/>
          <w:color w:val="000000" w:themeColor="text1"/>
        </w:rPr>
        <w:t>In conclusion, the Curriculum for Non-Maintained Nursery Settings and the Foundation Phase share fundamental ideas of play-based, holistic, and inclusive early childhood education. However, the Curriculum for Wales represents a shift towards a more adaptable, culturally grounded, and progression-focused framework that covers a broader age range and more firmly embeds Welsh identity. This transition reflects Wales' commitment to promoting lifelong learning and well-being</w:t>
      </w:r>
      <w:r w:rsidR="00DE4A90" w:rsidRPr="00E63B7F">
        <w:rPr>
          <w:rFonts w:ascii="Arial" w:hAnsi="Arial" w:cs="Arial"/>
          <w:color w:val="000000" w:themeColor="text1"/>
        </w:rPr>
        <w:t>,</w:t>
      </w:r>
      <w:r w:rsidRPr="00E63B7F">
        <w:rPr>
          <w:rFonts w:ascii="Arial" w:hAnsi="Arial" w:cs="Arial"/>
          <w:color w:val="000000" w:themeColor="text1"/>
        </w:rPr>
        <w:t xml:space="preserve"> beginning in early childhood, as well as current educational principles and societal requirements.</w:t>
      </w:r>
    </w:p>
    <w:p w14:paraId="56D4E0F3" w14:textId="3C09E87A" w:rsidR="007048E7" w:rsidRPr="00E63B7F" w:rsidRDefault="007048E7" w:rsidP="00D17C25">
      <w:pPr>
        <w:spacing w:line="360" w:lineRule="auto"/>
        <w:rPr>
          <w:rFonts w:ascii="Arial" w:hAnsi="Arial" w:cs="Arial"/>
          <w:color w:val="000000" w:themeColor="text1"/>
        </w:rPr>
      </w:pPr>
      <w:r w:rsidRPr="00E63B7F">
        <w:rPr>
          <w:rFonts w:ascii="Arial" w:hAnsi="Arial" w:cs="Arial"/>
          <w:color w:val="000000" w:themeColor="text1"/>
          <w:u w:val="single"/>
        </w:rPr>
        <w:t>Part 2:</w:t>
      </w:r>
    </w:p>
    <w:p w14:paraId="216C920A" w14:textId="721B9440" w:rsidR="007048E7" w:rsidRPr="00E63B7F" w:rsidRDefault="007048E7"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 xml:space="preserve">Consider the concept of the ‘unique child’ and evaluate assessments, progress tracking, and age-stage related development models within play-based curricula. </w:t>
      </w:r>
    </w:p>
    <w:p w14:paraId="3E4E1EC1" w14:textId="3B409092" w:rsidR="00DE4A90" w:rsidRPr="00E63B7F" w:rsidRDefault="00DE4A90" w:rsidP="00D17C25">
      <w:pPr>
        <w:spacing w:line="360" w:lineRule="auto"/>
        <w:rPr>
          <w:rFonts w:ascii="Arial" w:hAnsi="Arial" w:cs="Arial"/>
          <w:color w:val="000000" w:themeColor="text1"/>
        </w:rPr>
      </w:pPr>
      <w:r w:rsidRPr="00E63B7F">
        <w:rPr>
          <w:rFonts w:ascii="Arial" w:hAnsi="Arial" w:cs="Arial"/>
          <w:color w:val="000000" w:themeColor="text1"/>
        </w:rPr>
        <w:t xml:space="preserve">The concept of the ‘unique child’ is foundational in early years education and underpins many international frameworks, including the Early Years Foundation Stage (EYFS) in England (DfE, 2023), Te Whāriki in New Zealand (Ministry of Education NZ, 2017), and the Reggio Emilia approach. This principle recognises that each child is a competent individual with distinct needs, interests, abilities, and cultural backgrounds. It calls for an educational practice that is responsive, inclusive, and </w:t>
      </w:r>
      <w:proofErr w:type="gramStart"/>
      <w:r w:rsidR="00E63B7F" w:rsidRPr="00E63B7F">
        <w:rPr>
          <w:rFonts w:ascii="Arial" w:hAnsi="Arial" w:cs="Arial"/>
          <w:color w:val="000000" w:themeColor="text1"/>
        </w:rPr>
        <w:t>child</w:t>
      </w:r>
      <w:r w:rsidR="00E63B7F">
        <w:rPr>
          <w:rFonts w:ascii="Arial" w:hAnsi="Arial" w:cs="Arial"/>
          <w:color w:val="000000" w:themeColor="text1"/>
        </w:rPr>
        <w:t>-</w:t>
      </w:r>
      <w:r w:rsidR="00E63B7F" w:rsidRPr="00E63B7F">
        <w:rPr>
          <w:rFonts w:ascii="Arial" w:hAnsi="Arial" w:cs="Arial"/>
          <w:color w:val="000000" w:themeColor="text1"/>
        </w:rPr>
        <w:t>centred</w:t>
      </w:r>
      <w:proofErr w:type="gramEnd"/>
      <w:r w:rsidRPr="00E63B7F">
        <w:rPr>
          <w:rFonts w:ascii="Arial" w:hAnsi="Arial" w:cs="Arial"/>
          <w:color w:val="000000" w:themeColor="text1"/>
        </w:rPr>
        <w:t>.</w:t>
      </w:r>
      <w:r w:rsidR="00B770BF" w:rsidRPr="00E63B7F">
        <w:rPr>
          <w:rFonts w:ascii="Arial" w:hAnsi="Arial" w:cs="Arial"/>
          <w:color w:val="000000" w:themeColor="text1"/>
        </w:rPr>
        <w:t xml:space="preserve"> </w:t>
      </w:r>
      <w:r w:rsidR="00E81DC2" w:rsidRPr="00E63B7F">
        <w:rPr>
          <w:rFonts w:ascii="Arial" w:hAnsi="Arial" w:cs="Arial"/>
          <w:color w:val="000000" w:themeColor="text1"/>
        </w:rPr>
        <w:t xml:space="preserve">The concept of the ‘unique child’ highlights that each child is an individual with distinct needs, experiences, and developmental pathways (Department for Education, 2023). To effectively support these differences, early years practitioners should carry out regular observations and assessments, particularly within play-based contexts, to understand children’s learning styles, interests, and emerging skills (Wood, 2020). It is important that practitioners offer </w:t>
      </w:r>
      <w:r w:rsidR="00E81DC2" w:rsidRPr="00E63B7F">
        <w:rPr>
          <w:rFonts w:ascii="Arial" w:hAnsi="Arial" w:cs="Arial"/>
          <w:color w:val="000000" w:themeColor="text1"/>
        </w:rPr>
        <w:lastRenderedPageBreak/>
        <w:t>a broad range of materials, experiences, and languages that reflect and value the diverse cultural backgrounds of all children (Rogoff, 2003). Furthermore, developing strong, collaborative relationships with parents and carers is vital, as this partnership provides valuable insights into the child’s life outside the setting and helps to promote consistency between home and early education environments (Bronfenbrenner, 1979).</w:t>
      </w:r>
    </w:p>
    <w:p w14:paraId="43AEA2C7" w14:textId="0B6799B1" w:rsidR="00DE4A90" w:rsidRPr="00E63B7F" w:rsidRDefault="00B770BF" w:rsidP="00D17C25">
      <w:pPr>
        <w:spacing w:line="360" w:lineRule="auto"/>
        <w:rPr>
          <w:rFonts w:ascii="Arial" w:hAnsi="Arial" w:cs="Arial"/>
          <w:color w:val="000000" w:themeColor="text1"/>
        </w:rPr>
      </w:pPr>
      <w:r w:rsidRPr="00E63B7F">
        <w:rPr>
          <w:rFonts w:ascii="Arial" w:hAnsi="Arial" w:cs="Arial"/>
          <w:color w:val="000000" w:themeColor="text1"/>
        </w:rPr>
        <w:t xml:space="preserve">Assessment is essential for tailoring learning experiences that both support and challenge each child appropriately. It should help build a comprehensive understanding of the learner, including their strengths, preferred learning approaches, and areas needing further development. This understanding is crucial for planning meaningful next steps in both teaching and learning. Assessment should not be used to make fixed, one-time judgments about a child’s overall attainment at a specific age or stage, nor should it rely solely on ‘best-fit’ comparisons to generalised criteria (Scottish Government, 2020). </w:t>
      </w:r>
      <w:r w:rsidR="00DE4A90" w:rsidRPr="00E63B7F">
        <w:rPr>
          <w:rFonts w:ascii="Arial" w:hAnsi="Arial" w:cs="Arial"/>
          <w:color w:val="000000" w:themeColor="text1"/>
        </w:rPr>
        <w:t xml:space="preserve">Assessment in the early years serves several key purposes, all aimed at supporting young children’s development and learning in a meaningful, appropriate way. </w:t>
      </w:r>
    </w:p>
    <w:p w14:paraId="7FCE5607" w14:textId="68E11BF6" w:rsidR="00B770BF" w:rsidRPr="00E63B7F" w:rsidRDefault="00B770BF"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 xml:space="preserve">Assessments in the </w:t>
      </w:r>
      <w:r w:rsidR="00E047DC" w:rsidRPr="00E63B7F">
        <w:rPr>
          <w:rFonts w:ascii="Arial" w:hAnsi="Arial" w:cs="Arial"/>
          <w:color w:val="000000" w:themeColor="text1"/>
          <w:u w:val="single"/>
        </w:rPr>
        <w:t>C</w:t>
      </w:r>
      <w:r w:rsidRPr="00E63B7F">
        <w:rPr>
          <w:rFonts w:ascii="Arial" w:hAnsi="Arial" w:cs="Arial"/>
          <w:color w:val="000000" w:themeColor="text1"/>
          <w:u w:val="single"/>
        </w:rPr>
        <w:t xml:space="preserve">urriculum for the </w:t>
      </w:r>
      <w:r w:rsidR="00E047DC" w:rsidRPr="00E63B7F">
        <w:rPr>
          <w:rFonts w:ascii="Arial" w:hAnsi="Arial" w:cs="Arial"/>
          <w:color w:val="000000" w:themeColor="text1"/>
          <w:u w:val="single"/>
        </w:rPr>
        <w:t>F</w:t>
      </w:r>
      <w:r w:rsidRPr="00E63B7F">
        <w:rPr>
          <w:rFonts w:ascii="Arial" w:hAnsi="Arial" w:cs="Arial"/>
          <w:color w:val="000000" w:themeColor="text1"/>
          <w:u w:val="single"/>
        </w:rPr>
        <w:t xml:space="preserve">unded </w:t>
      </w:r>
      <w:r w:rsidR="00E047DC" w:rsidRPr="00E63B7F">
        <w:rPr>
          <w:rFonts w:ascii="Arial" w:hAnsi="Arial" w:cs="Arial"/>
          <w:color w:val="000000" w:themeColor="text1"/>
          <w:u w:val="single"/>
        </w:rPr>
        <w:t>N</w:t>
      </w:r>
      <w:r w:rsidRPr="00E63B7F">
        <w:rPr>
          <w:rFonts w:ascii="Arial" w:hAnsi="Arial" w:cs="Arial"/>
          <w:color w:val="000000" w:themeColor="text1"/>
          <w:u w:val="single"/>
        </w:rPr>
        <w:t xml:space="preserve">on-maintained </w:t>
      </w:r>
      <w:r w:rsidR="00E047DC" w:rsidRPr="00E63B7F">
        <w:rPr>
          <w:rFonts w:ascii="Arial" w:hAnsi="Arial" w:cs="Arial"/>
          <w:color w:val="000000" w:themeColor="text1"/>
          <w:u w:val="single"/>
        </w:rPr>
        <w:t>S</w:t>
      </w:r>
      <w:r w:rsidRPr="00E63B7F">
        <w:rPr>
          <w:rFonts w:ascii="Arial" w:hAnsi="Arial" w:cs="Arial"/>
          <w:color w:val="000000" w:themeColor="text1"/>
          <w:u w:val="single"/>
        </w:rPr>
        <w:t>ector.</w:t>
      </w:r>
    </w:p>
    <w:p w14:paraId="36E3E247" w14:textId="39C8F877" w:rsidR="00DE4A90" w:rsidRPr="00E63B7F" w:rsidRDefault="0096617B" w:rsidP="00D17C25">
      <w:pPr>
        <w:spacing w:line="360" w:lineRule="auto"/>
        <w:rPr>
          <w:rFonts w:ascii="Arial" w:hAnsi="Arial" w:cs="Arial"/>
          <w:color w:val="000000" w:themeColor="text1"/>
        </w:rPr>
      </w:pPr>
      <w:r w:rsidRPr="00E63B7F">
        <w:rPr>
          <w:rFonts w:ascii="Arial" w:hAnsi="Arial" w:cs="Arial"/>
          <w:color w:val="000000" w:themeColor="text1"/>
        </w:rPr>
        <w:t>Funded non-maintained settings in Wales, including Flying Start provisions, follow assessment guidance aligned with the Curriculum for Funded Non-Maintained Nursery Settings (CFNMNS). This curriculum promotes developmentally appropriate, play-based learning, where assessment is formative and ongoing. The main aim of assessment is to build a holistic understanding of each child by observing their progress across the curriculum’s five key developmental pathways: belonging, communication, exploration, physical development, and well-being (Welsh Government, 2022). Practitioners are expected to use daily observations and interactions to inform their understanding of the child’s development, which supports responsive planning and differentiated learning opportunities.</w:t>
      </w:r>
    </w:p>
    <w:p w14:paraId="44C3D0B3" w14:textId="04CD26CE" w:rsidR="007048E7" w:rsidRPr="00E63B7F" w:rsidRDefault="0096617B" w:rsidP="00D17C25">
      <w:pPr>
        <w:spacing w:line="360" w:lineRule="auto"/>
        <w:rPr>
          <w:rFonts w:ascii="Arial" w:hAnsi="Arial" w:cs="Arial"/>
          <w:color w:val="000000" w:themeColor="text1"/>
        </w:rPr>
      </w:pPr>
      <w:r w:rsidRPr="00E63B7F">
        <w:rPr>
          <w:rFonts w:ascii="Arial" w:hAnsi="Arial" w:cs="Arial"/>
          <w:color w:val="000000" w:themeColor="text1"/>
        </w:rPr>
        <w:t xml:space="preserve">One of the key strengths of the assessment approach in non-maintained settings is its strong emphasis on the unique child and child-led learning. The framework encourages practitioners to consider children's interests, backgrounds, and home languages, promoting inclusion and equity (Welsh Government, 2022). Assessments are not summative or standardised; instead, they focus on what children can do, </w:t>
      </w:r>
      <w:r w:rsidRPr="00E63B7F">
        <w:rPr>
          <w:rFonts w:ascii="Arial" w:hAnsi="Arial" w:cs="Arial"/>
          <w:color w:val="000000" w:themeColor="text1"/>
        </w:rPr>
        <w:lastRenderedPageBreak/>
        <w:t>supporting progressive, individualised development rather than comparison with age-based norms. This aligns closely with Te Whāriki’s narrative assessment style, fostering strong relationships between practitioners, children, and families, and reinforcing children’s identities as confident and capable learners (Ministry of Education NZ, 2017).</w:t>
      </w:r>
    </w:p>
    <w:p w14:paraId="05F8EBE5" w14:textId="1691665E" w:rsidR="0096617B" w:rsidRPr="00E63B7F" w:rsidRDefault="0096617B" w:rsidP="00D17C25">
      <w:pPr>
        <w:spacing w:line="360" w:lineRule="auto"/>
        <w:rPr>
          <w:rFonts w:ascii="Arial" w:hAnsi="Arial" w:cs="Arial"/>
          <w:color w:val="000000" w:themeColor="text1"/>
        </w:rPr>
      </w:pPr>
      <w:r w:rsidRPr="00E63B7F">
        <w:rPr>
          <w:rFonts w:ascii="Arial" w:hAnsi="Arial" w:cs="Arial"/>
          <w:color w:val="000000" w:themeColor="text1"/>
        </w:rPr>
        <w:t>Despite its child-centred focus, the assessment model in funded non-maintained settings can present challenges in consistency and accountability. As assessment is largely based on practitioner observation and interpretation, there is potential for subjectivity or variability in quality, especially in settings with limited access to professional development (Estyn, 2020). Additionally, the lack of formal tracking or standard benchmarks may make it harder to identify subtle developmental delays or ensure parity across settings. Therefore, while the approach supports holistic and inclusive practice, it requires well-trained staff and ongoing reflective practice to be implemented effectively and equitably.</w:t>
      </w:r>
    </w:p>
    <w:p w14:paraId="64B9C22D" w14:textId="3455984E" w:rsidR="00E047DC" w:rsidRPr="00E63B7F" w:rsidRDefault="00E047DC"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Progress tracking:</w:t>
      </w:r>
    </w:p>
    <w:p w14:paraId="109C1B1F" w14:textId="4A2F2A11" w:rsidR="0096617B" w:rsidRPr="00E63B7F" w:rsidRDefault="00391768" w:rsidP="00D17C25">
      <w:pPr>
        <w:spacing w:line="360" w:lineRule="auto"/>
        <w:rPr>
          <w:rFonts w:ascii="Arial" w:hAnsi="Arial" w:cs="Arial"/>
          <w:color w:val="000000" w:themeColor="text1"/>
        </w:rPr>
      </w:pPr>
      <w:r w:rsidRPr="00E63B7F">
        <w:rPr>
          <w:rFonts w:ascii="Arial" w:hAnsi="Arial" w:cs="Arial"/>
          <w:color w:val="000000" w:themeColor="text1"/>
        </w:rPr>
        <w:t>Progress tracking in funded non-maintained nursery settings in Wales is guided by the Curriculum for Funded Non-Maintained Nursery Settings (CFNMNS), which supports a holistic and formative approach to monitoring children’s development. Rather than relying on standardised testing or checklists, practitioners are encouraged to track progress through daily observations, interactions, and reflective practice across five key developmental pathways: belonging, communication, exploration, physical development, and well-being (Welsh Government, 2022). This approach is highly suited to play-based, child-centred environments, as it allows practitioners to adapt learning opportunities in real time, responding to each child’s needs, interests, and developmental stage. It promotes an inclusive model where progress is seen as individual and non-linear, which aligns with best practices in early years education (Nutbrown, 2011).</w:t>
      </w:r>
    </w:p>
    <w:p w14:paraId="34813F67" w14:textId="46DAB60C" w:rsidR="00391768" w:rsidRPr="00E63B7F" w:rsidRDefault="00391768" w:rsidP="00D17C25">
      <w:pPr>
        <w:spacing w:line="360" w:lineRule="auto"/>
        <w:rPr>
          <w:rFonts w:ascii="Arial" w:hAnsi="Arial" w:cs="Arial"/>
          <w:color w:val="000000" w:themeColor="text1"/>
        </w:rPr>
      </w:pPr>
      <w:r w:rsidRPr="00E63B7F">
        <w:rPr>
          <w:rFonts w:ascii="Arial" w:hAnsi="Arial" w:cs="Arial"/>
          <w:color w:val="000000" w:themeColor="text1"/>
        </w:rPr>
        <w:t xml:space="preserve">Despite its strengths, the progress tracking approach in non-maintained settings presents several practical and professional challenges. The lack of a formal or nationally standardised tracking tool can lead to inconsistencies in how progress is recorded and interpreted across different settings (Estyn, 2020). This can affect the comparability of data and may make it harder to identify subtle developmental delays </w:t>
      </w:r>
      <w:r w:rsidRPr="00E63B7F">
        <w:rPr>
          <w:rFonts w:ascii="Arial" w:hAnsi="Arial" w:cs="Arial"/>
          <w:color w:val="000000" w:themeColor="text1"/>
        </w:rPr>
        <w:lastRenderedPageBreak/>
        <w:t>or ensure early intervention. Furthermore, the quality of progress tracking is largely dependent on practitioner training and confidence in observational assessment. In under-resourced settings, time pressures and limited staff capacity may result in less detailed tracking, potentially undermining the framework’s intention to support the unique developmental journey of each child (Bradbury, 2019). Therefore, while the system supports personalised learning, it requires ongoing professional development and reflective practice to ensure that all children benefit equitably</w:t>
      </w:r>
      <w:r w:rsidR="00E047DC" w:rsidRPr="00E63B7F">
        <w:rPr>
          <w:rFonts w:ascii="Arial" w:hAnsi="Arial" w:cs="Arial"/>
          <w:color w:val="000000" w:themeColor="text1"/>
        </w:rPr>
        <w:t>.</w:t>
      </w:r>
    </w:p>
    <w:p w14:paraId="00020BA0" w14:textId="13CA13A0" w:rsidR="00E047DC" w:rsidRPr="00E63B7F" w:rsidRDefault="00E047DC"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Age-stage related development model within play-based learning:</w:t>
      </w:r>
    </w:p>
    <w:p w14:paraId="6FFCFA1C" w14:textId="77777777" w:rsidR="00391768" w:rsidRPr="00E63B7F" w:rsidRDefault="00391768" w:rsidP="00D17C25">
      <w:pPr>
        <w:spacing w:line="360" w:lineRule="auto"/>
        <w:rPr>
          <w:rFonts w:ascii="Arial" w:hAnsi="Arial" w:cs="Arial"/>
          <w:color w:val="000000" w:themeColor="text1"/>
        </w:rPr>
      </w:pPr>
      <w:r w:rsidRPr="00E63B7F">
        <w:rPr>
          <w:rFonts w:ascii="Arial" w:hAnsi="Arial" w:cs="Arial"/>
          <w:color w:val="000000" w:themeColor="text1"/>
        </w:rPr>
        <w:t>Age-stage related development models, such as those based on Piaget’s stages of cognitive development or the Early Years Foundation Stage (EYFS) developmental milestones, provide useful frameworks for practitioners in play-based non-maintained settings to understand typical patterns of child development (DfE, 2023; Piaget, 1952). These models help educators to anticipate developmental progressions and plan appropriate play opportunities that align with children’s physical, cognitive, social, and emotional capabilities at various ages. When used flexibly within a play-based curriculum, age-stage models can support practitioners in scaffolding learning by offering challenges suited to children’s emerging skills, fostering confidence and autonomy (Wood, 2013). This structured understanding can assist in identifying developmental delays early and ensuring that play activities remain developmentally relevant and engaging.</w:t>
      </w:r>
    </w:p>
    <w:p w14:paraId="0461419C" w14:textId="0D7BA09A" w:rsidR="00391768" w:rsidRPr="00E63B7F" w:rsidRDefault="00391768" w:rsidP="00D17C25">
      <w:pPr>
        <w:spacing w:line="360" w:lineRule="auto"/>
        <w:rPr>
          <w:rFonts w:ascii="Arial" w:hAnsi="Arial" w:cs="Arial"/>
          <w:color w:val="000000" w:themeColor="text1"/>
        </w:rPr>
      </w:pPr>
      <w:r w:rsidRPr="00E63B7F">
        <w:rPr>
          <w:rFonts w:ascii="Arial" w:hAnsi="Arial" w:cs="Arial"/>
          <w:color w:val="000000" w:themeColor="text1"/>
        </w:rPr>
        <w:t>However, strict adherence to age-stage related models within play-based, non-maintained curricula can be problematic, as these models may oversimplify the complex and individual nature of development (Roberts-Holmes, 2015). Children develop at different rates and in diverse ways</w:t>
      </w:r>
      <w:r w:rsidR="00E047DC" w:rsidRPr="00E63B7F">
        <w:rPr>
          <w:rFonts w:ascii="Arial" w:hAnsi="Arial" w:cs="Arial"/>
          <w:color w:val="000000" w:themeColor="text1"/>
        </w:rPr>
        <w:t>,</w:t>
      </w:r>
      <w:r w:rsidRPr="00E63B7F">
        <w:rPr>
          <w:rFonts w:ascii="Arial" w:hAnsi="Arial" w:cs="Arial"/>
          <w:color w:val="000000" w:themeColor="text1"/>
        </w:rPr>
        <w:t xml:space="preserve"> influenced by culture, language, environment, and personal experiences, which linear age-stage models may fail to capture fully (Bronfenbrenner, 1979). Over-reliance on normative milestones risks labelling children who do not fit typical patterns as ‘delayed’ or ‘behind’, potentially impacting self-esteem and learning experiences negatively. Play-based curricula in non-maintained settings, such as those in Flying Start programmes, advocate for a more holistic and responsive approach that values the unique child and encourages practitioners to observe and respond to individual cues rather than rigidly following age benchmarks (Welsh Government, 2022). Therefore, while age-</w:t>
      </w:r>
      <w:r w:rsidRPr="00E63B7F">
        <w:rPr>
          <w:rFonts w:ascii="Arial" w:hAnsi="Arial" w:cs="Arial"/>
          <w:color w:val="000000" w:themeColor="text1"/>
        </w:rPr>
        <w:lastRenderedPageBreak/>
        <w:t>stage models offer guidance, they must be used as flexible tools rather than fixed rules within inclusive, play-based practice.</w:t>
      </w:r>
    </w:p>
    <w:p w14:paraId="7535E67C" w14:textId="6376CA5A" w:rsidR="00E047DC" w:rsidRPr="00E63B7F" w:rsidRDefault="00E047DC"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Assessments with the Foundation Phase Profiles (FPP).</w:t>
      </w:r>
    </w:p>
    <w:p w14:paraId="7644A04A" w14:textId="00270D4D" w:rsidR="00391768" w:rsidRPr="00E63B7F" w:rsidRDefault="00E047DC" w:rsidP="00D17C25">
      <w:pPr>
        <w:spacing w:line="360" w:lineRule="auto"/>
        <w:rPr>
          <w:rFonts w:ascii="Arial" w:hAnsi="Arial" w:cs="Arial"/>
          <w:color w:val="000000" w:themeColor="text1"/>
        </w:rPr>
      </w:pPr>
      <w:r w:rsidRPr="00E63B7F">
        <w:rPr>
          <w:rFonts w:ascii="Arial" w:hAnsi="Arial" w:cs="Arial"/>
          <w:color w:val="000000" w:themeColor="text1"/>
        </w:rPr>
        <w:t>The Foundation Phase Profile (FPP) is a formative assessment tool widely used in Wales to track children’s progress across the Foundation Phase curriculum, which covers ages 3 to 7 (Welsh Government, 2015). One of its key strengths is its holistic and child-centred approach, which aligns with the principles of play-based learning and recognises children’s development across multiple areas, including personal and social development, language, literacy, communication, and mathematical development. The FPP encourages practitioners to observe children in naturalistic settings, capturing authentic evidence of learning through play and everyday activities rather than formal testing (Wiliam, 2016). This approach supports a deeper understanding of the ‘unique child’ and fosters individualised planning, allowing educators to respond effectively to children’s needs and interests while promoting continuity between home and educational settings.</w:t>
      </w:r>
    </w:p>
    <w:p w14:paraId="0E0C5922" w14:textId="06A5CCB4" w:rsidR="00E047DC" w:rsidRPr="00E63B7F" w:rsidRDefault="00E047DC" w:rsidP="00D17C25">
      <w:pPr>
        <w:spacing w:line="360" w:lineRule="auto"/>
        <w:rPr>
          <w:rFonts w:ascii="Arial" w:hAnsi="Arial" w:cs="Arial"/>
          <w:color w:val="000000" w:themeColor="text1"/>
        </w:rPr>
      </w:pPr>
      <w:r w:rsidRPr="00E63B7F">
        <w:rPr>
          <w:rFonts w:ascii="Arial" w:hAnsi="Arial" w:cs="Arial"/>
          <w:color w:val="000000" w:themeColor="text1"/>
        </w:rPr>
        <w:t xml:space="preserve">Despite its advantages, the Foundation Phase Profile has faced criticism related to subjectivity and consistency in its implementation. Because the FPP relies heavily on practitioner observations and judgements, there can be variability in the quality and depth of assessment depending on individual practitioners’ experience and training (Evans and Rich, 2017). This variability can impact the reliability of progress tracking and make it difficult to compare data across settings or use it for accountability purposes. Additionally, some </w:t>
      </w:r>
      <w:proofErr w:type="gramStart"/>
      <w:r w:rsidRPr="00E63B7F">
        <w:rPr>
          <w:rFonts w:ascii="Arial" w:hAnsi="Arial" w:cs="Arial"/>
          <w:color w:val="000000" w:themeColor="text1"/>
        </w:rPr>
        <w:t>educators</w:t>
      </w:r>
      <w:proofErr w:type="gramEnd"/>
      <w:r w:rsidRPr="00E63B7F">
        <w:rPr>
          <w:rFonts w:ascii="Arial" w:hAnsi="Arial" w:cs="Arial"/>
          <w:color w:val="000000" w:themeColor="text1"/>
        </w:rPr>
        <w:t xml:space="preserve"> express concerns that the FPP’s broad criteria, while inclusive, may sometimes lack sufficient clarity or specificity to identify subtle developmental delays or additional learning needs promptly (Roberts-Holmes, 2015). Therefore, while the FPP is valuable for promoting reflective and child-centred assessment, it requires ongoing professional development and moderation to ensure consistency and effectiveness.</w:t>
      </w:r>
    </w:p>
    <w:p w14:paraId="77800DFE" w14:textId="77777777" w:rsidR="00E047DC" w:rsidRPr="00E63B7F" w:rsidRDefault="00E047DC"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Progress tracking:</w:t>
      </w:r>
    </w:p>
    <w:p w14:paraId="1E56802D" w14:textId="77777777" w:rsidR="00E047DC" w:rsidRPr="00E63B7F" w:rsidRDefault="00E047DC" w:rsidP="00D17C25">
      <w:pPr>
        <w:spacing w:line="360" w:lineRule="auto"/>
        <w:rPr>
          <w:rFonts w:ascii="Arial" w:hAnsi="Arial" w:cs="Arial"/>
          <w:color w:val="000000" w:themeColor="text1"/>
        </w:rPr>
      </w:pPr>
    </w:p>
    <w:p w14:paraId="2783FE58" w14:textId="39B59E72" w:rsidR="00391768" w:rsidRPr="00E63B7F" w:rsidRDefault="00E047DC" w:rsidP="00D17C25">
      <w:pPr>
        <w:spacing w:line="360" w:lineRule="auto"/>
        <w:rPr>
          <w:rFonts w:ascii="Arial" w:hAnsi="Arial" w:cs="Arial"/>
          <w:color w:val="000000" w:themeColor="text1"/>
        </w:rPr>
      </w:pPr>
      <w:r w:rsidRPr="00E63B7F">
        <w:rPr>
          <w:rFonts w:ascii="Arial" w:hAnsi="Arial" w:cs="Arial"/>
          <w:color w:val="000000" w:themeColor="text1"/>
        </w:rPr>
        <w:t xml:space="preserve">The Foundation Phase Profile (FPP) serves as a key tool for progress tracking within the Welsh Foundation Phase curriculum, aimed at children aged 3 to 7 (Welsh </w:t>
      </w:r>
      <w:r w:rsidRPr="00E63B7F">
        <w:rPr>
          <w:rFonts w:ascii="Arial" w:hAnsi="Arial" w:cs="Arial"/>
          <w:color w:val="000000" w:themeColor="text1"/>
        </w:rPr>
        <w:lastRenderedPageBreak/>
        <w:t>Government, 2015). Its primary purpose is to provide a continuous, formative assessment approach that supports practitioners in monitoring children's development across multiple domains such as language, literacy, communication, mathematical development, and personal and social skills. Progress tracking with the FPP is designed to be ongoing and holistic, capturing evidence from children’s play and everyday activities, which aligns with the Foundation Phase’s emphasis on play-based learning and child-centred pedagogy (Wiliam, 2016). This approach allows educators to tailor learning experiences to individual needs, promoting personalised learning and early intervention where necessary.</w:t>
      </w:r>
    </w:p>
    <w:p w14:paraId="05F85C22" w14:textId="77777777" w:rsidR="00E047DC" w:rsidRPr="00E63B7F" w:rsidRDefault="00E047DC" w:rsidP="00D17C25">
      <w:pPr>
        <w:spacing w:line="360" w:lineRule="auto"/>
        <w:rPr>
          <w:rFonts w:ascii="Arial" w:hAnsi="Arial" w:cs="Arial"/>
          <w:color w:val="000000" w:themeColor="text1"/>
        </w:rPr>
      </w:pPr>
      <w:r w:rsidRPr="00E63B7F">
        <w:rPr>
          <w:rFonts w:ascii="Arial" w:hAnsi="Arial" w:cs="Arial"/>
          <w:color w:val="000000" w:themeColor="text1"/>
        </w:rPr>
        <w:t>One of the key strengths of the FPP in progress tracking is its focus on authentic observation rather than formal testing, which provides a rich and nuanced picture of a child’s abilities and development over time (Evans and Rich, 2017). By encouraging practitioners to document learning in naturalistic contexts, the FPP supports the identification of children’s strengths and areas for development in a way that respects the ‘unique child’ concept central to Welsh early years policy. Moreover, progress tracking with the FPP fosters collaborative dialogue between practitioners, parents, and other professionals, ensuring a shared understanding of the child’s learning journey and promoting consistency between home and setting (Welsh Government, 2015).</w:t>
      </w:r>
    </w:p>
    <w:p w14:paraId="46B57220" w14:textId="19B626B7" w:rsidR="00E047DC" w:rsidRPr="00E63B7F" w:rsidRDefault="00E047DC" w:rsidP="00D17C25">
      <w:pPr>
        <w:spacing w:line="360" w:lineRule="auto"/>
        <w:rPr>
          <w:rFonts w:ascii="Arial" w:hAnsi="Arial" w:cs="Arial"/>
          <w:color w:val="000000" w:themeColor="text1"/>
        </w:rPr>
      </w:pPr>
      <w:r w:rsidRPr="00E63B7F">
        <w:rPr>
          <w:rFonts w:ascii="Arial" w:hAnsi="Arial" w:cs="Arial"/>
          <w:color w:val="000000" w:themeColor="text1"/>
        </w:rPr>
        <w:t>Despite its benefits, progress tracking using the FPP faces challenges related to subjectivity and consistency. The reliance on practitioner judgement and observational evidence can lead to variability in how progress is recorded and interpreted, especially in settings with differing levels of staff experience and training (Roberts-Holmes, 2015). This can impact the reliability of data for monitoring progress across different settings or for broader accountability purposes. Additionally, while the FPP provides broad developmental criteria, some educators find these descriptions insufficiently specific to detect subtle delays or additional learning needs early enough, which can limit timely intervention (Evans and Rich, 2017). Therefore, effective progress tracking with the FPP requires ongoing professional development, moderation, and reflective practice to ensure assessments are robust, consistent, and meaningful.</w:t>
      </w:r>
    </w:p>
    <w:p w14:paraId="355002D1" w14:textId="77777777" w:rsidR="00E047DC" w:rsidRPr="00E63B7F" w:rsidRDefault="00E047DC"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Age-stage related development model within play-based learning:</w:t>
      </w:r>
    </w:p>
    <w:p w14:paraId="369961F7" w14:textId="77777777" w:rsidR="00E047DC" w:rsidRPr="00E63B7F" w:rsidRDefault="00E047DC" w:rsidP="00D17C25">
      <w:pPr>
        <w:spacing w:line="360" w:lineRule="auto"/>
        <w:rPr>
          <w:rFonts w:ascii="Arial" w:hAnsi="Arial" w:cs="Arial"/>
          <w:color w:val="000000" w:themeColor="text1"/>
        </w:rPr>
      </w:pPr>
    </w:p>
    <w:p w14:paraId="708534E5" w14:textId="77777777" w:rsidR="00E047DC" w:rsidRPr="00E63B7F" w:rsidRDefault="00E047DC" w:rsidP="00D17C25">
      <w:pPr>
        <w:spacing w:line="360" w:lineRule="auto"/>
        <w:rPr>
          <w:rFonts w:ascii="Arial" w:hAnsi="Arial" w:cs="Arial"/>
          <w:color w:val="000000" w:themeColor="text1"/>
        </w:rPr>
      </w:pPr>
      <w:r w:rsidRPr="00E63B7F">
        <w:rPr>
          <w:rFonts w:ascii="Arial" w:hAnsi="Arial" w:cs="Arial"/>
          <w:color w:val="000000" w:themeColor="text1"/>
        </w:rPr>
        <w:t>Age-stage related development models provide a useful framework for understanding typical developmental milestones and guiding early years practitioners in planning appropriate learning experiences. Within the Foundation Phase Profile (FPP), these models help practitioners identify expected progress in areas such as communication, physical development, and personal and social skills for children aged 3 to 7 (Welsh Government, 2015). The FPP complements age-stage theories by embedding these milestones within a play-based curriculum, recognising that children develop through active exploration and meaningful engagement in play (Wood, 2013). This combination supports a balance between structured developmental expectations and the flexibility needed to respect individual learning trajectories, ensuring that play is purposeful and linked to developmental goals.</w:t>
      </w:r>
    </w:p>
    <w:p w14:paraId="1AA19FFF" w14:textId="1BA3A654" w:rsidR="007048E7" w:rsidRPr="00E63B7F" w:rsidRDefault="00E047DC" w:rsidP="00D17C25">
      <w:pPr>
        <w:spacing w:line="360" w:lineRule="auto"/>
        <w:rPr>
          <w:rFonts w:ascii="Arial" w:hAnsi="Arial" w:cs="Arial"/>
          <w:color w:val="000000" w:themeColor="text1"/>
        </w:rPr>
      </w:pPr>
      <w:r w:rsidRPr="00E63B7F">
        <w:rPr>
          <w:rFonts w:ascii="Arial" w:hAnsi="Arial" w:cs="Arial"/>
          <w:color w:val="000000" w:themeColor="text1"/>
        </w:rPr>
        <w:t>Despite their usefulness, age-stage related development models within play-based settings and the FPP must be applied cautiously. Strict adherence to age benchmarks risks oversimplifying children's diverse and non-linear development and may marginalise those whose progress does not fit typical patterns (Roberts-Holmes, 2015). The FPP’s emphasis on observation and holistic assessment within a play-based environment encourages practitioners to view developmental milestones as guidelines rather than rigid criteria, fostering inclusion and recognising the ‘unique child’ (Welsh Government, 2015). However, challenges remain in balancing these models with responsive practice, especially in ensuring that developmental expectations do not constrain creativity or the natural variations in how children learn through play.</w:t>
      </w:r>
    </w:p>
    <w:p w14:paraId="18F09ED5" w14:textId="7AECABB3" w:rsidR="007048E7" w:rsidRPr="00E63B7F" w:rsidRDefault="007048E7"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Part 3:</w:t>
      </w:r>
    </w:p>
    <w:p w14:paraId="17852BEF" w14:textId="4A429876" w:rsidR="00BE2ED9" w:rsidRPr="00E63B7F" w:rsidRDefault="007048E7"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Blog</w:t>
      </w:r>
      <w:r w:rsidR="007D1C29" w:rsidRPr="00E63B7F">
        <w:rPr>
          <w:rFonts w:ascii="Arial" w:hAnsi="Arial" w:cs="Arial"/>
          <w:color w:val="000000" w:themeColor="text1"/>
          <w:u w:val="single"/>
        </w:rPr>
        <w:t>:</w:t>
      </w:r>
    </w:p>
    <w:p w14:paraId="084BC849" w14:textId="5B384C96" w:rsidR="007D1C29" w:rsidRPr="00E63B7F" w:rsidRDefault="007D1C29" w:rsidP="00D17C25">
      <w:pPr>
        <w:spacing w:line="360" w:lineRule="auto"/>
        <w:rPr>
          <w:rFonts w:ascii="Arial" w:hAnsi="Arial" w:cs="Arial"/>
          <w:color w:val="000000" w:themeColor="text1"/>
          <w:u w:val="single"/>
        </w:rPr>
      </w:pPr>
      <w:r w:rsidRPr="00E63B7F">
        <w:rPr>
          <w:rFonts w:ascii="Arial" w:hAnsi="Arial" w:cs="Arial"/>
          <w:color w:val="000000" w:themeColor="text1"/>
          <w:u w:val="single"/>
        </w:rPr>
        <w:t>What is the purpose of education during the early years of childhood development?</w:t>
      </w:r>
    </w:p>
    <w:p w14:paraId="52C66194" w14:textId="77777777" w:rsidR="007D1C29" w:rsidRPr="00E63B7F" w:rsidRDefault="00BE2ED9" w:rsidP="00BE2ED9">
      <w:pPr>
        <w:spacing w:line="360" w:lineRule="auto"/>
        <w:rPr>
          <w:rFonts w:ascii="Arial" w:hAnsi="Arial" w:cs="Arial"/>
          <w:color w:val="000000" w:themeColor="text1"/>
        </w:rPr>
      </w:pPr>
      <w:r w:rsidRPr="00BE2ED9">
        <w:rPr>
          <w:rFonts w:ascii="Arial" w:hAnsi="Arial" w:cs="Arial"/>
          <w:color w:val="000000" w:themeColor="text1"/>
        </w:rPr>
        <w:t xml:space="preserve">Early years education plays a </w:t>
      </w:r>
      <w:r w:rsidR="007D1C29" w:rsidRPr="00E63B7F">
        <w:rPr>
          <w:rFonts w:ascii="Arial" w:hAnsi="Arial" w:cs="Arial"/>
          <w:color w:val="000000" w:themeColor="text1"/>
        </w:rPr>
        <w:t>vital</w:t>
      </w:r>
      <w:r w:rsidRPr="00BE2ED9">
        <w:rPr>
          <w:rFonts w:ascii="Arial" w:hAnsi="Arial" w:cs="Arial"/>
          <w:color w:val="000000" w:themeColor="text1"/>
        </w:rPr>
        <w:t xml:space="preserve"> role in shaping a child's future development, learning, and overall well-being. During the first five years of life, children experience rapid brain development, laying the foundation for cognitive, emotional, and social skills that will support lifelong learning. </w:t>
      </w:r>
    </w:p>
    <w:p w14:paraId="5A59A217" w14:textId="298E0A97" w:rsidR="00BE2ED9" w:rsidRPr="00BE2ED9" w:rsidRDefault="00BE2ED9" w:rsidP="00BE2ED9">
      <w:pPr>
        <w:spacing w:line="360" w:lineRule="auto"/>
        <w:rPr>
          <w:rFonts w:ascii="Arial" w:hAnsi="Arial" w:cs="Arial"/>
          <w:color w:val="000000" w:themeColor="text1"/>
        </w:rPr>
      </w:pPr>
      <w:r w:rsidRPr="00BE2ED9">
        <w:rPr>
          <w:rFonts w:ascii="Arial" w:hAnsi="Arial" w:cs="Arial"/>
          <w:color w:val="000000" w:themeColor="text1"/>
        </w:rPr>
        <w:lastRenderedPageBreak/>
        <w:t>The purpose of education in the early years extends beyond academic preparatio</w:t>
      </w:r>
      <w:r w:rsidR="007D1C29" w:rsidRPr="00E63B7F">
        <w:rPr>
          <w:rFonts w:ascii="Arial" w:hAnsi="Arial" w:cs="Arial"/>
          <w:color w:val="000000" w:themeColor="text1"/>
        </w:rPr>
        <w:t>n;</w:t>
      </w:r>
      <w:r w:rsidRPr="00BE2ED9">
        <w:rPr>
          <w:rFonts w:ascii="Arial" w:hAnsi="Arial" w:cs="Arial"/>
          <w:color w:val="000000" w:themeColor="text1"/>
        </w:rPr>
        <w:t xml:space="preserve"> it is about nurturing the whole child in a safe, engaging, and stimulating environment. As stated by UNESCO (2022), early childhood care and education (ECCE) is not only the first step in the education </w:t>
      </w:r>
      <w:r w:rsidR="007D1C29" w:rsidRPr="00E63B7F">
        <w:rPr>
          <w:rFonts w:ascii="Arial" w:hAnsi="Arial" w:cs="Arial"/>
          <w:color w:val="000000" w:themeColor="text1"/>
        </w:rPr>
        <w:t xml:space="preserve">scale </w:t>
      </w:r>
      <w:r w:rsidRPr="00BE2ED9">
        <w:rPr>
          <w:rFonts w:ascii="Arial" w:hAnsi="Arial" w:cs="Arial"/>
          <w:color w:val="000000" w:themeColor="text1"/>
        </w:rPr>
        <w:t>but also a fundamental right that supports children’s development and reduces inequalities from the earliest age.</w:t>
      </w:r>
    </w:p>
    <w:p w14:paraId="3BAC41D8" w14:textId="06519ED3" w:rsidR="00BE2ED9" w:rsidRPr="00BE2ED9" w:rsidRDefault="00BE2ED9" w:rsidP="00BE2ED9">
      <w:pPr>
        <w:spacing w:line="360" w:lineRule="auto"/>
        <w:rPr>
          <w:rFonts w:ascii="Arial" w:hAnsi="Arial" w:cs="Arial"/>
          <w:color w:val="000000" w:themeColor="text1"/>
        </w:rPr>
      </w:pPr>
      <w:r w:rsidRPr="00BE2ED9">
        <w:rPr>
          <w:rFonts w:ascii="Arial" w:hAnsi="Arial" w:cs="Arial"/>
          <w:color w:val="000000" w:themeColor="text1"/>
        </w:rPr>
        <w:t xml:space="preserve">A key goal of early years education is to support the development of cognitive skills, including language, memory, and problem-solving. Research </w:t>
      </w:r>
      <w:r w:rsidR="007D1C29" w:rsidRPr="00E63B7F">
        <w:rPr>
          <w:rFonts w:ascii="Arial" w:hAnsi="Arial" w:cs="Arial"/>
          <w:color w:val="000000" w:themeColor="text1"/>
        </w:rPr>
        <w:t>indicate</w:t>
      </w:r>
      <w:r w:rsidRPr="00BE2ED9">
        <w:rPr>
          <w:rFonts w:ascii="Arial" w:hAnsi="Arial" w:cs="Arial"/>
          <w:color w:val="000000" w:themeColor="text1"/>
        </w:rPr>
        <w:t xml:space="preserve">s that high-quality early learning experiences </w:t>
      </w:r>
      <w:r w:rsidR="007D1C29" w:rsidRPr="00E63B7F">
        <w:rPr>
          <w:rFonts w:ascii="Arial" w:hAnsi="Arial" w:cs="Arial"/>
          <w:color w:val="000000" w:themeColor="text1"/>
        </w:rPr>
        <w:t xml:space="preserve">significantly </w:t>
      </w:r>
      <w:r w:rsidRPr="00BE2ED9">
        <w:rPr>
          <w:rFonts w:ascii="Arial" w:hAnsi="Arial" w:cs="Arial"/>
          <w:color w:val="000000" w:themeColor="text1"/>
        </w:rPr>
        <w:t xml:space="preserve">enhance children's intellectual abilities and contribute to </w:t>
      </w:r>
      <w:r w:rsidR="007D1C29" w:rsidRPr="00E63B7F">
        <w:rPr>
          <w:rFonts w:ascii="Arial" w:hAnsi="Arial" w:cs="Arial"/>
          <w:color w:val="000000" w:themeColor="text1"/>
        </w:rPr>
        <w:t xml:space="preserve">their </w:t>
      </w:r>
      <w:r w:rsidRPr="00BE2ED9">
        <w:rPr>
          <w:rFonts w:ascii="Arial" w:hAnsi="Arial" w:cs="Arial"/>
          <w:color w:val="000000" w:themeColor="text1"/>
        </w:rPr>
        <w:t>school readiness (Sylva et al., 2004). Activities that promote exploration, communication, and critical thinking during this stage help children acquire foundational literacy and numeracy skills. Furthermore, a rich and interactive learning environment encourages curiosity, concentration, and persistence—qualities essential for lifelong learning.</w:t>
      </w:r>
    </w:p>
    <w:p w14:paraId="5A66CE1D" w14:textId="77777777" w:rsidR="00BE2ED9" w:rsidRPr="00BE2ED9" w:rsidRDefault="00BE2ED9" w:rsidP="00BE2ED9">
      <w:pPr>
        <w:spacing w:line="360" w:lineRule="auto"/>
        <w:rPr>
          <w:rFonts w:ascii="Arial" w:hAnsi="Arial" w:cs="Arial"/>
          <w:color w:val="000000" w:themeColor="text1"/>
        </w:rPr>
      </w:pPr>
      <w:r w:rsidRPr="00BE2ED9">
        <w:rPr>
          <w:rFonts w:ascii="Arial" w:hAnsi="Arial" w:cs="Arial"/>
          <w:color w:val="000000" w:themeColor="text1"/>
        </w:rPr>
        <w:t>Social and emotional development is another vital focus in early years education. In early settings, children learn how to interact with others, manage emotions, and build positive relationships. According to the Department for Education (DfE, 2021), emotional security and positive attachments formed in early years environments contribute to a child's confidence and social competence. This development is crucial for fostering empathy, cooperation, and self-regulation, all of which play significant roles in academic success and future interpersonal relationships.</w:t>
      </w:r>
    </w:p>
    <w:p w14:paraId="34FE15CA" w14:textId="77777777" w:rsidR="00BE2ED9" w:rsidRPr="00BE2ED9" w:rsidRDefault="00BE2ED9" w:rsidP="00BE2ED9">
      <w:pPr>
        <w:spacing w:line="360" w:lineRule="auto"/>
        <w:rPr>
          <w:rFonts w:ascii="Arial" w:hAnsi="Arial" w:cs="Arial"/>
          <w:color w:val="000000" w:themeColor="text1"/>
        </w:rPr>
      </w:pPr>
      <w:r w:rsidRPr="00BE2ED9">
        <w:rPr>
          <w:rFonts w:ascii="Arial" w:hAnsi="Arial" w:cs="Arial"/>
          <w:color w:val="000000" w:themeColor="text1"/>
        </w:rPr>
        <w:t xml:space="preserve">Another purpose of early years education is to identify and support individual learning needs, including special educational needs and disabilities (SEND). Early identification and intervention can significantly improve outcomes for children who might otherwise struggle in mainstream education </w:t>
      </w:r>
      <w:proofErr w:type="gramStart"/>
      <w:r w:rsidRPr="00BE2ED9">
        <w:rPr>
          <w:rFonts w:ascii="Arial" w:hAnsi="Arial" w:cs="Arial"/>
          <w:color w:val="000000" w:themeColor="text1"/>
        </w:rPr>
        <w:t>later on</w:t>
      </w:r>
      <w:proofErr w:type="gramEnd"/>
      <w:r w:rsidRPr="00BE2ED9">
        <w:rPr>
          <w:rFonts w:ascii="Arial" w:hAnsi="Arial" w:cs="Arial"/>
          <w:color w:val="000000" w:themeColor="text1"/>
        </w:rPr>
        <w:t xml:space="preserve"> (Allen, 2011). Practitioners in early years settings are trained to observe, assess, and respond to developmental delays or challenges, working closely with families and professionals to provide targeted support. This proactive approach not only addresses potential barriers to learning but also promotes inclusion and equity from the outset.</w:t>
      </w:r>
    </w:p>
    <w:p w14:paraId="1296A567" w14:textId="13046DFD" w:rsidR="00BE2ED9" w:rsidRPr="00BE2ED9" w:rsidRDefault="00BE2ED9" w:rsidP="00BE2ED9">
      <w:pPr>
        <w:spacing w:line="360" w:lineRule="auto"/>
        <w:rPr>
          <w:rFonts w:ascii="Arial" w:hAnsi="Arial" w:cs="Arial"/>
          <w:color w:val="000000" w:themeColor="text1"/>
        </w:rPr>
      </w:pPr>
      <w:r w:rsidRPr="00BE2ED9">
        <w:rPr>
          <w:rFonts w:ascii="Arial" w:hAnsi="Arial" w:cs="Arial"/>
          <w:color w:val="000000" w:themeColor="text1"/>
        </w:rPr>
        <w:t xml:space="preserve">Furthermore, early years education benefits families and communities by enabling parental employment and providing parenting support. Quality childcare </w:t>
      </w:r>
      <w:r w:rsidR="007D1C29" w:rsidRPr="00E63B7F">
        <w:rPr>
          <w:rFonts w:ascii="Arial" w:hAnsi="Arial" w:cs="Arial"/>
          <w:color w:val="000000" w:themeColor="text1"/>
        </w:rPr>
        <w:t>enable</w:t>
      </w:r>
      <w:r w:rsidRPr="00BE2ED9">
        <w:rPr>
          <w:rFonts w:ascii="Arial" w:hAnsi="Arial" w:cs="Arial"/>
          <w:color w:val="000000" w:themeColor="text1"/>
        </w:rPr>
        <w:t xml:space="preserve">s parents, particularly mothers, to </w:t>
      </w:r>
      <w:r w:rsidR="007D1C29" w:rsidRPr="00E63B7F">
        <w:rPr>
          <w:rFonts w:ascii="Arial" w:hAnsi="Arial" w:cs="Arial"/>
          <w:color w:val="000000" w:themeColor="text1"/>
        </w:rPr>
        <w:t>participat</w:t>
      </w:r>
      <w:r w:rsidRPr="00BE2ED9">
        <w:rPr>
          <w:rFonts w:ascii="Arial" w:hAnsi="Arial" w:cs="Arial"/>
          <w:color w:val="000000" w:themeColor="text1"/>
        </w:rPr>
        <w:t xml:space="preserve">e in the workforce, </w:t>
      </w:r>
      <w:r w:rsidR="007D1C29" w:rsidRPr="00E63B7F">
        <w:rPr>
          <w:rFonts w:ascii="Arial" w:hAnsi="Arial" w:cs="Arial"/>
          <w:color w:val="000000" w:themeColor="text1"/>
        </w:rPr>
        <w:t xml:space="preserve">thereby </w:t>
      </w:r>
      <w:r w:rsidRPr="00BE2ED9">
        <w:rPr>
          <w:rFonts w:ascii="Arial" w:hAnsi="Arial" w:cs="Arial"/>
          <w:color w:val="000000" w:themeColor="text1"/>
        </w:rPr>
        <w:t xml:space="preserve">contributing to economic growth (Melhuish et al., 2015). Additionally, many early years settings offer </w:t>
      </w:r>
      <w:r w:rsidRPr="00BE2ED9">
        <w:rPr>
          <w:rFonts w:ascii="Arial" w:hAnsi="Arial" w:cs="Arial"/>
          <w:color w:val="000000" w:themeColor="text1"/>
        </w:rPr>
        <w:lastRenderedPageBreak/>
        <w:t>parenting programmes and guidance, enhancing parental understanding of child development and strengthening the home learning environment. By supporting families holistically, early years education contributes to broader social outcomes such as reduced poverty and improved health and well-being.</w:t>
      </w:r>
    </w:p>
    <w:p w14:paraId="38540AAE" w14:textId="77777777" w:rsidR="00BE2ED9" w:rsidRPr="00E63B7F" w:rsidRDefault="00BE2ED9" w:rsidP="00BE2ED9">
      <w:pPr>
        <w:spacing w:line="360" w:lineRule="auto"/>
        <w:rPr>
          <w:rFonts w:ascii="Arial" w:hAnsi="Arial" w:cs="Arial"/>
          <w:color w:val="000000" w:themeColor="text1"/>
        </w:rPr>
      </w:pPr>
      <w:r w:rsidRPr="00BE2ED9">
        <w:rPr>
          <w:rFonts w:ascii="Arial" w:hAnsi="Arial" w:cs="Arial"/>
          <w:color w:val="000000" w:themeColor="text1"/>
        </w:rPr>
        <w:t>In conclusion, the point of education in the early years is multifaceted. It aims not only to prepare children for formal schooling but to nurture well-rounded individuals capable of contributing to society. By promoting cognitive, social, emotional, and physical development, early years education lays the groundwork for a lifetime of learning. Moreover, it helps identify and address individual needs early, supports families, and promotes equity and inclusion. Investing in the early years is thus not only beneficial for children but also for families, communities, and society at large.</w:t>
      </w:r>
    </w:p>
    <w:p w14:paraId="19DB1847" w14:textId="77777777" w:rsidR="007D1C29" w:rsidRPr="007D1C29" w:rsidRDefault="007D1C29" w:rsidP="007D1C29">
      <w:pPr>
        <w:spacing w:line="360" w:lineRule="auto"/>
        <w:rPr>
          <w:rFonts w:ascii="Arial" w:hAnsi="Arial" w:cs="Arial"/>
          <w:color w:val="000000" w:themeColor="text1"/>
        </w:rPr>
      </w:pPr>
      <w:r w:rsidRPr="007D1C29">
        <w:rPr>
          <w:rFonts w:ascii="Arial" w:hAnsi="Arial" w:cs="Arial"/>
          <w:color w:val="000000" w:themeColor="text1"/>
        </w:rPr>
        <w:t>The purpose of early years education lies fundamentally in supporting the holistic development of young children during a period of rapid growth and learning. Between birth and five years, children experience the most significant cognitive, social, and emotional development of their lives, with brain architecture forming critical pathways that influence future learning and behaviour (Shonkoff and Phillips, 2000). High-quality early childhood education provides structured opportunities for play, interaction, and exploration, all of which support the development of language, problem-solving skills, and executive functioning. According to UNESCO (2022), early years education not only supports individual potential but also plays a critical role in reducing developmental and educational inequalities from the outset.</w:t>
      </w:r>
    </w:p>
    <w:p w14:paraId="053F0E00" w14:textId="77777777" w:rsidR="007D1C29" w:rsidRPr="007D1C29" w:rsidRDefault="007D1C29" w:rsidP="007D1C29">
      <w:pPr>
        <w:spacing w:line="360" w:lineRule="auto"/>
        <w:rPr>
          <w:rFonts w:ascii="Arial" w:hAnsi="Arial" w:cs="Arial"/>
          <w:color w:val="000000" w:themeColor="text1"/>
        </w:rPr>
      </w:pPr>
      <w:r w:rsidRPr="007D1C29">
        <w:rPr>
          <w:rFonts w:ascii="Arial" w:hAnsi="Arial" w:cs="Arial"/>
          <w:color w:val="000000" w:themeColor="text1"/>
        </w:rPr>
        <w:t>In addition to cognitive outcomes, early childhood education plays a central role in social and emotional development. It helps children learn to form relationships, understand emotions, and develop empathy and resilience—skills that are foundational for future personal and academic success (DfE, 2021). Through carefully planned activities and responsive adult-child interactions, children gain the ability to regulate behaviour, cooperate with peers, and navigate social situations. As noted by Sylva et al. (2004), environments that are rich in both learning opportunities and emotional support lead to higher levels of social competence and reduced behavioural difficulties later in life.</w:t>
      </w:r>
    </w:p>
    <w:p w14:paraId="5F08BDEF" w14:textId="77777777" w:rsidR="007D1C29" w:rsidRPr="007D1C29" w:rsidRDefault="007D1C29" w:rsidP="007D1C29">
      <w:pPr>
        <w:spacing w:line="360" w:lineRule="auto"/>
        <w:rPr>
          <w:rFonts w:ascii="Arial" w:hAnsi="Arial" w:cs="Arial"/>
          <w:color w:val="000000" w:themeColor="text1"/>
        </w:rPr>
      </w:pPr>
      <w:r w:rsidRPr="007D1C29">
        <w:rPr>
          <w:rFonts w:ascii="Arial" w:hAnsi="Arial" w:cs="Arial"/>
          <w:color w:val="000000" w:themeColor="text1"/>
        </w:rPr>
        <w:t xml:space="preserve">Furthermore, early years education facilitates early identification of developmental needs, including speech and language delays, learning difficulties, and other special </w:t>
      </w:r>
      <w:r w:rsidRPr="007D1C29">
        <w:rPr>
          <w:rFonts w:ascii="Arial" w:hAnsi="Arial" w:cs="Arial"/>
          <w:color w:val="000000" w:themeColor="text1"/>
        </w:rPr>
        <w:lastRenderedPageBreak/>
        <w:t>educational needs. This allows for timely intervention and tailored support, increasing the likelihood of positive long-term outcomes (Allen, 2011). Early years practitioners are trained to observe and assess children’s progress in a systematic way, working in collaboration with families and professionals to create inclusive, supportive environments. This early investment in education not only enhances individual well-being and learning trajectories but also contributes to broader societal benefits, including reduced demand for later remedial education and improved social mobility (Melhuish et al., 2015).</w:t>
      </w:r>
    </w:p>
    <w:p w14:paraId="7A793AB0" w14:textId="77777777" w:rsidR="007D1C29" w:rsidRPr="00BE2ED9" w:rsidRDefault="007D1C29" w:rsidP="00BE2ED9">
      <w:pPr>
        <w:spacing w:line="360" w:lineRule="auto"/>
        <w:rPr>
          <w:rFonts w:ascii="Arial Narrow" w:hAnsi="Arial Narrow" w:cs="Arial"/>
          <w:color w:val="000000" w:themeColor="text1"/>
        </w:rPr>
      </w:pPr>
    </w:p>
    <w:p w14:paraId="3A807061" w14:textId="77777777" w:rsidR="00BE2ED9" w:rsidRPr="00E63B7F" w:rsidRDefault="00BE2ED9" w:rsidP="00D17C25">
      <w:pPr>
        <w:spacing w:line="360" w:lineRule="auto"/>
        <w:rPr>
          <w:rFonts w:ascii="Arial Narrow" w:hAnsi="Arial Narrow" w:cs="Arial"/>
          <w:color w:val="000000" w:themeColor="text1"/>
          <w:u w:val="single"/>
        </w:rPr>
      </w:pPr>
    </w:p>
    <w:p w14:paraId="4DBBF6E4" w14:textId="77777777" w:rsidR="0066332E" w:rsidRPr="00E63B7F" w:rsidRDefault="0066332E" w:rsidP="009003E5">
      <w:pPr>
        <w:spacing w:line="360" w:lineRule="auto"/>
        <w:rPr>
          <w:rFonts w:ascii="Arial Narrow" w:hAnsi="Arial Narrow" w:cs="Arial"/>
          <w:color w:val="000000" w:themeColor="text1"/>
          <w:u w:val="single"/>
        </w:rPr>
      </w:pPr>
    </w:p>
    <w:p w14:paraId="360B2974" w14:textId="77777777" w:rsidR="00A42196" w:rsidRPr="00E63B7F" w:rsidRDefault="00A42196" w:rsidP="009003E5">
      <w:pPr>
        <w:spacing w:line="360" w:lineRule="auto"/>
        <w:rPr>
          <w:rFonts w:ascii="Arial Narrow" w:hAnsi="Arial Narrow" w:cs="Arial"/>
          <w:color w:val="000000" w:themeColor="text1"/>
          <w:u w:val="single"/>
        </w:rPr>
      </w:pPr>
    </w:p>
    <w:p w14:paraId="32742BD3" w14:textId="77777777" w:rsidR="00A42196" w:rsidRPr="00E63B7F" w:rsidRDefault="00A42196" w:rsidP="009003E5">
      <w:pPr>
        <w:spacing w:line="360" w:lineRule="auto"/>
        <w:rPr>
          <w:rFonts w:ascii="Arial Narrow" w:hAnsi="Arial Narrow" w:cs="Arial"/>
          <w:color w:val="000000" w:themeColor="text1"/>
          <w:u w:val="single"/>
        </w:rPr>
      </w:pPr>
    </w:p>
    <w:p w14:paraId="0A56CB16" w14:textId="77777777" w:rsidR="00A42196" w:rsidRPr="00E63B7F" w:rsidRDefault="00A42196" w:rsidP="009003E5">
      <w:pPr>
        <w:spacing w:line="360" w:lineRule="auto"/>
        <w:rPr>
          <w:rFonts w:ascii="Arial Narrow" w:hAnsi="Arial Narrow" w:cs="Arial"/>
          <w:color w:val="000000" w:themeColor="text1"/>
          <w:u w:val="single"/>
        </w:rPr>
      </w:pPr>
    </w:p>
    <w:p w14:paraId="77EC4654" w14:textId="77777777" w:rsidR="00A42196" w:rsidRPr="00E63B7F" w:rsidRDefault="00A42196" w:rsidP="009003E5">
      <w:pPr>
        <w:spacing w:line="360" w:lineRule="auto"/>
        <w:rPr>
          <w:rFonts w:ascii="Arial Narrow" w:hAnsi="Arial Narrow" w:cs="Arial"/>
          <w:color w:val="000000" w:themeColor="text1"/>
          <w:u w:val="single"/>
        </w:rPr>
      </w:pPr>
    </w:p>
    <w:p w14:paraId="1353084C" w14:textId="77777777" w:rsidR="00A42196" w:rsidRPr="00E63B7F" w:rsidRDefault="00A42196" w:rsidP="009003E5">
      <w:pPr>
        <w:spacing w:line="360" w:lineRule="auto"/>
        <w:rPr>
          <w:rFonts w:ascii="Arial Narrow" w:hAnsi="Arial Narrow" w:cs="Arial"/>
          <w:color w:val="000000" w:themeColor="text1"/>
          <w:u w:val="single"/>
        </w:rPr>
      </w:pPr>
    </w:p>
    <w:p w14:paraId="7AF9F6A1" w14:textId="77777777" w:rsidR="00A42196" w:rsidRPr="00E63B7F" w:rsidRDefault="00A42196" w:rsidP="009003E5">
      <w:pPr>
        <w:spacing w:line="360" w:lineRule="auto"/>
        <w:rPr>
          <w:rFonts w:ascii="Arial Narrow" w:hAnsi="Arial Narrow" w:cs="Arial"/>
          <w:color w:val="000000" w:themeColor="text1"/>
          <w:u w:val="single"/>
        </w:rPr>
      </w:pPr>
    </w:p>
    <w:p w14:paraId="1DB718E0" w14:textId="77777777" w:rsidR="00A42196" w:rsidRPr="00E63B7F" w:rsidRDefault="00A42196" w:rsidP="009003E5">
      <w:pPr>
        <w:spacing w:line="360" w:lineRule="auto"/>
        <w:rPr>
          <w:rFonts w:ascii="Arial Narrow" w:hAnsi="Arial Narrow" w:cs="Arial"/>
          <w:color w:val="000000" w:themeColor="text1"/>
          <w:u w:val="single"/>
        </w:rPr>
      </w:pPr>
    </w:p>
    <w:p w14:paraId="4792EF0F" w14:textId="77777777" w:rsidR="00A42196" w:rsidRDefault="00A42196" w:rsidP="009003E5">
      <w:pPr>
        <w:spacing w:line="360" w:lineRule="auto"/>
        <w:rPr>
          <w:rFonts w:ascii="Arial Narrow" w:hAnsi="Arial Narrow" w:cs="Arial"/>
          <w:color w:val="000000" w:themeColor="text1"/>
          <w:u w:val="single"/>
        </w:rPr>
      </w:pPr>
    </w:p>
    <w:p w14:paraId="3EC80725" w14:textId="77777777" w:rsidR="00E63B7F" w:rsidRDefault="00E63B7F" w:rsidP="009003E5">
      <w:pPr>
        <w:spacing w:line="360" w:lineRule="auto"/>
        <w:rPr>
          <w:rFonts w:ascii="Arial Narrow" w:hAnsi="Arial Narrow" w:cs="Arial"/>
          <w:color w:val="000000" w:themeColor="text1"/>
          <w:u w:val="single"/>
        </w:rPr>
      </w:pPr>
    </w:p>
    <w:p w14:paraId="59C990AF" w14:textId="77777777" w:rsidR="00E63B7F" w:rsidRDefault="00E63B7F" w:rsidP="009003E5">
      <w:pPr>
        <w:spacing w:line="360" w:lineRule="auto"/>
        <w:rPr>
          <w:rFonts w:ascii="Arial Narrow" w:hAnsi="Arial Narrow" w:cs="Arial"/>
          <w:color w:val="000000" w:themeColor="text1"/>
          <w:u w:val="single"/>
        </w:rPr>
      </w:pPr>
    </w:p>
    <w:p w14:paraId="072AE339" w14:textId="77777777" w:rsidR="00E63B7F" w:rsidRDefault="00E63B7F" w:rsidP="009003E5">
      <w:pPr>
        <w:spacing w:line="360" w:lineRule="auto"/>
        <w:rPr>
          <w:rFonts w:ascii="Arial Narrow" w:hAnsi="Arial Narrow" w:cs="Arial"/>
          <w:color w:val="000000" w:themeColor="text1"/>
          <w:u w:val="single"/>
        </w:rPr>
      </w:pPr>
    </w:p>
    <w:p w14:paraId="3F14CB53" w14:textId="77777777" w:rsidR="00E63B7F" w:rsidRDefault="00E63B7F" w:rsidP="009003E5">
      <w:pPr>
        <w:spacing w:line="360" w:lineRule="auto"/>
        <w:rPr>
          <w:rFonts w:ascii="Arial Narrow" w:hAnsi="Arial Narrow" w:cs="Arial"/>
          <w:color w:val="000000" w:themeColor="text1"/>
          <w:u w:val="single"/>
        </w:rPr>
      </w:pPr>
    </w:p>
    <w:p w14:paraId="0BF4983B" w14:textId="77777777" w:rsidR="00E63B7F" w:rsidRPr="00E63B7F" w:rsidRDefault="00E63B7F" w:rsidP="009003E5">
      <w:pPr>
        <w:spacing w:line="360" w:lineRule="auto"/>
        <w:rPr>
          <w:rFonts w:ascii="Arial Narrow" w:hAnsi="Arial Narrow" w:cs="Arial"/>
          <w:color w:val="000000" w:themeColor="text1"/>
          <w:u w:val="single"/>
        </w:rPr>
      </w:pPr>
    </w:p>
    <w:p w14:paraId="2AEF867F" w14:textId="77777777" w:rsidR="00A42196" w:rsidRPr="00E63B7F" w:rsidRDefault="00A42196" w:rsidP="009003E5">
      <w:pPr>
        <w:spacing w:line="360" w:lineRule="auto"/>
        <w:rPr>
          <w:rFonts w:ascii="Arial Narrow" w:hAnsi="Arial Narrow" w:cs="Arial"/>
          <w:color w:val="000000" w:themeColor="text1"/>
          <w:u w:val="single"/>
        </w:rPr>
      </w:pPr>
    </w:p>
    <w:p w14:paraId="2B6320C4" w14:textId="77777777" w:rsidR="00A42196" w:rsidRPr="00E63B7F" w:rsidRDefault="00A42196" w:rsidP="009003E5">
      <w:pPr>
        <w:spacing w:line="360" w:lineRule="auto"/>
        <w:rPr>
          <w:rFonts w:ascii="Arial Narrow" w:hAnsi="Arial Narrow" w:cs="Arial"/>
          <w:color w:val="000000" w:themeColor="text1"/>
          <w:u w:val="single"/>
        </w:rPr>
      </w:pPr>
    </w:p>
    <w:p w14:paraId="61A27A9C" w14:textId="41DE7053" w:rsidR="00E63B7F" w:rsidRPr="00E63B7F" w:rsidRDefault="0066332E" w:rsidP="00E63B7F">
      <w:pPr>
        <w:spacing w:line="360" w:lineRule="auto"/>
        <w:rPr>
          <w:rFonts w:ascii="Arial Narrow" w:hAnsi="Arial Narrow" w:cs="Arial"/>
          <w:color w:val="000000" w:themeColor="text1"/>
          <w:u w:val="single"/>
        </w:rPr>
      </w:pPr>
      <w:r w:rsidRPr="00E63B7F">
        <w:rPr>
          <w:rFonts w:ascii="Arial Narrow" w:hAnsi="Arial Narrow" w:cs="Arial"/>
          <w:color w:val="000000" w:themeColor="text1"/>
          <w:u w:val="single"/>
        </w:rPr>
        <w:lastRenderedPageBreak/>
        <w:t>References:</w:t>
      </w:r>
    </w:p>
    <w:p w14:paraId="3146A457" w14:textId="77777777" w:rsidR="00E63B7F" w:rsidRPr="007D1C29" w:rsidRDefault="00E63B7F" w:rsidP="007D1C29">
      <w:pPr>
        <w:spacing w:line="360" w:lineRule="auto"/>
        <w:rPr>
          <w:rFonts w:ascii="Arial Narrow" w:hAnsi="Arial Narrow" w:cs="Arial"/>
          <w:color w:val="000000" w:themeColor="text1"/>
        </w:rPr>
      </w:pPr>
      <w:r w:rsidRPr="007D1C29">
        <w:rPr>
          <w:rFonts w:ascii="Arial Narrow" w:hAnsi="Arial Narrow" w:cs="Arial"/>
          <w:color w:val="000000" w:themeColor="text1"/>
        </w:rPr>
        <w:t>Allen, G. (2011)</w:t>
      </w:r>
      <w:r w:rsidRPr="00E63B7F">
        <w:rPr>
          <w:rFonts w:ascii="Arial Narrow" w:hAnsi="Arial Narrow" w:cs="Arial"/>
          <w:color w:val="000000" w:themeColor="text1"/>
        </w:rPr>
        <w:t xml:space="preserve">. </w:t>
      </w:r>
      <w:r w:rsidRPr="007D1C29">
        <w:rPr>
          <w:rFonts w:ascii="Arial Narrow" w:hAnsi="Arial Narrow" w:cs="Arial"/>
          <w:color w:val="000000" w:themeColor="text1"/>
        </w:rPr>
        <w:t>Early Intervention: The Next Steps. An Independent Report to Her Majesty’s Government. London: HM Government.</w:t>
      </w:r>
    </w:p>
    <w:p w14:paraId="7E1B6622"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Bradbury, A. (2019). The impact of the ‘datafication’ of the early years of primary education. Oxford Review of Education, 45(5), pp. 749–765.</w:t>
      </w:r>
    </w:p>
    <w:p w14:paraId="7C2A1FF5" w14:textId="77777777" w:rsidR="00E63B7F" w:rsidRPr="00E63B7F" w:rsidRDefault="00E63B7F" w:rsidP="009003E5">
      <w:pPr>
        <w:spacing w:line="360" w:lineRule="auto"/>
        <w:rPr>
          <w:rFonts w:ascii="Arial Narrow" w:hAnsi="Arial Narrow" w:cs="Arial"/>
          <w:color w:val="000000" w:themeColor="text1"/>
        </w:rPr>
      </w:pPr>
      <w:r w:rsidRPr="00E63B7F">
        <w:rPr>
          <w:rFonts w:ascii="Arial Narrow" w:hAnsi="Arial Narrow" w:cs="Arial"/>
          <w:color w:val="000000" w:themeColor="text1"/>
        </w:rPr>
        <w:t>Bronfenbrenner, U. (1979). The Ecology of Human Development: Experiments by Nature and Design. Harvard University Press.</w:t>
      </w:r>
    </w:p>
    <w:p w14:paraId="7718F2B6"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Bronfenbrenner, U. (1979). The Ecology of Human Development: Experiments by Nature and Design. Cambridge, MA: Harvard University Press.</w:t>
      </w:r>
    </w:p>
    <w:p w14:paraId="132421F0" w14:textId="77777777" w:rsidR="00E63B7F" w:rsidRPr="007D1C29" w:rsidRDefault="00E63B7F" w:rsidP="007D1C29">
      <w:pPr>
        <w:spacing w:line="360" w:lineRule="auto"/>
        <w:rPr>
          <w:rFonts w:ascii="Arial Narrow" w:hAnsi="Arial Narrow" w:cs="Arial"/>
          <w:color w:val="000000" w:themeColor="text1"/>
        </w:rPr>
      </w:pPr>
      <w:r w:rsidRPr="007D1C29">
        <w:rPr>
          <w:rFonts w:ascii="Arial Narrow" w:hAnsi="Arial Narrow" w:cs="Arial"/>
          <w:color w:val="000000" w:themeColor="text1"/>
        </w:rPr>
        <w:t xml:space="preserve">Department for Education (DfE) (2021) Statutory framework for the </w:t>
      </w:r>
      <w:r w:rsidRPr="00E63B7F">
        <w:rPr>
          <w:rFonts w:ascii="Arial Narrow" w:hAnsi="Arial Narrow" w:cs="Arial"/>
          <w:color w:val="000000" w:themeColor="text1"/>
        </w:rPr>
        <w:t>E</w:t>
      </w:r>
      <w:r w:rsidRPr="007D1C29">
        <w:rPr>
          <w:rFonts w:ascii="Arial Narrow" w:hAnsi="Arial Narrow" w:cs="Arial"/>
          <w:color w:val="000000" w:themeColor="text1"/>
        </w:rPr>
        <w:t xml:space="preserve">arly </w:t>
      </w:r>
      <w:r w:rsidRPr="00E63B7F">
        <w:rPr>
          <w:rFonts w:ascii="Arial Narrow" w:hAnsi="Arial Narrow" w:cs="Arial"/>
          <w:color w:val="000000" w:themeColor="text1"/>
        </w:rPr>
        <w:t>Years</w:t>
      </w:r>
      <w:r w:rsidRPr="007D1C29">
        <w:rPr>
          <w:rFonts w:ascii="Arial Narrow" w:hAnsi="Arial Narrow" w:cs="Arial"/>
          <w:color w:val="000000" w:themeColor="text1"/>
        </w:rPr>
        <w:t xml:space="preserve"> </w:t>
      </w:r>
      <w:r w:rsidRPr="00E63B7F">
        <w:rPr>
          <w:rFonts w:ascii="Arial Narrow" w:hAnsi="Arial Narrow" w:cs="Arial"/>
          <w:color w:val="000000" w:themeColor="text1"/>
        </w:rPr>
        <w:t>F</w:t>
      </w:r>
      <w:r w:rsidRPr="007D1C29">
        <w:rPr>
          <w:rFonts w:ascii="Arial Narrow" w:hAnsi="Arial Narrow" w:cs="Arial"/>
          <w:color w:val="000000" w:themeColor="text1"/>
        </w:rPr>
        <w:t xml:space="preserve">oundation </w:t>
      </w:r>
      <w:r w:rsidRPr="00E63B7F">
        <w:rPr>
          <w:rFonts w:ascii="Arial Narrow" w:hAnsi="Arial Narrow" w:cs="Arial"/>
          <w:color w:val="000000" w:themeColor="text1"/>
        </w:rPr>
        <w:t>S</w:t>
      </w:r>
      <w:r w:rsidRPr="007D1C29">
        <w:rPr>
          <w:rFonts w:ascii="Arial Narrow" w:hAnsi="Arial Narrow" w:cs="Arial"/>
          <w:color w:val="000000" w:themeColor="text1"/>
        </w:rPr>
        <w:t>tage. Available at: https://www.gov.uk/government/publications/early-years-foundation-stage-framework--2 </w:t>
      </w:r>
      <w:r w:rsidRPr="00E63B7F">
        <w:rPr>
          <w:rFonts w:ascii="Arial Narrow" w:hAnsi="Arial Narrow" w:cs="Arial"/>
          <w:color w:val="000000" w:themeColor="text1"/>
        </w:rPr>
        <w:t>[</w:t>
      </w:r>
      <w:r w:rsidRPr="007D1C29">
        <w:rPr>
          <w:rFonts w:ascii="Arial Narrow" w:hAnsi="Arial Narrow" w:cs="Arial"/>
          <w:color w:val="000000" w:themeColor="text1"/>
        </w:rPr>
        <w:t>Accessed: 14 June 2025</w:t>
      </w:r>
      <w:r w:rsidRPr="00E63B7F">
        <w:rPr>
          <w:rFonts w:ascii="Arial Narrow" w:hAnsi="Arial Narrow" w:cs="Arial"/>
          <w:color w:val="000000" w:themeColor="text1"/>
        </w:rPr>
        <w:t>]</w:t>
      </w:r>
      <w:r w:rsidRPr="007D1C29">
        <w:rPr>
          <w:rFonts w:ascii="Arial Narrow" w:hAnsi="Arial Narrow" w:cs="Arial"/>
          <w:color w:val="000000" w:themeColor="text1"/>
        </w:rPr>
        <w:t>.</w:t>
      </w:r>
    </w:p>
    <w:p w14:paraId="6C36A45D" w14:textId="77777777" w:rsidR="00E63B7F" w:rsidRPr="00E63B7F" w:rsidRDefault="00E63B7F" w:rsidP="005C4D71">
      <w:pPr>
        <w:spacing w:line="360" w:lineRule="auto"/>
        <w:rPr>
          <w:rFonts w:ascii="Arial Narrow" w:hAnsi="Arial Narrow" w:cs="Arial"/>
          <w:color w:val="000000" w:themeColor="text1"/>
        </w:rPr>
      </w:pPr>
      <w:r w:rsidRPr="00E63B7F">
        <w:rPr>
          <w:rFonts w:ascii="Arial Narrow" w:hAnsi="Arial Narrow" w:cs="Arial"/>
          <w:color w:val="000000" w:themeColor="text1"/>
        </w:rPr>
        <w:t>Department for Education (DfE). (2023). Early Years Foundation Stage (EYFS) Framework. Available at: </w:t>
      </w:r>
      <w:hyperlink r:id="rId6" w:history="1">
        <w:r w:rsidRPr="00E63B7F">
          <w:rPr>
            <w:rStyle w:val="Hyperlink"/>
            <w:rFonts w:ascii="Arial Narrow" w:hAnsi="Arial Narrow" w:cs="Arial"/>
          </w:rPr>
          <w:t>https://www.gov.uk/government/publications/early-years-foundation-stage-framework--2</w:t>
        </w:r>
      </w:hyperlink>
      <w:r w:rsidRPr="00E63B7F">
        <w:rPr>
          <w:rFonts w:ascii="Arial Narrow" w:hAnsi="Arial Narrow" w:cs="Arial"/>
          <w:color w:val="000000" w:themeColor="text1"/>
        </w:rPr>
        <w:t xml:space="preserve"> [Accessed 12 June 2025].</w:t>
      </w:r>
    </w:p>
    <w:p w14:paraId="074C7C20" w14:textId="77777777" w:rsidR="00E63B7F" w:rsidRPr="00E63B7F" w:rsidRDefault="00E63B7F" w:rsidP="009003E5">
      <w:pPr>
        <w:spacing w:line="360" w:lineRule="auto"/>
        <w:rPr>
          <w:rFonts w:ascii="Arial Narrow" w:hAnsi="Arial Narrow" w:cs="Arial"/>
          <w:color w:val="000000" w:themeColor="text1"/>
        </w:rPr>
      </w:pPr>
      <w:r w:rsidRPr="00E63B7F">
        <w:rPr>
          <w:rFonts w:ascii="Arial Narrow" w:hAnsi="Arial Narrow" w:cs="Arial"/>
          <w:color w:val="000000" w:themeColor="text1"/>
        </w:rPr>
        <w:t>Department for Education (DfE). (2023). Statutory Framework for the Early Years Foundation Stage: Setting the standards for learning, development and care for children from birth to five. Available at: https://www.gov.uk/government/publications/early-years-foundation-stage-framework--2 [Accessed 12 June 2025].</w:t>
      </w:r>
    </w:p>
    <w:p w14:paraId="1C42802A"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Department for Education (DfE). (2023). Statutory Framework for the Early Years Foundation Stage. Available at: https://www.gov.uk/government/publications/early-years-foundation-stage-framework--2 [Accessed 12 June 2025].</w:t>
      </w:r>
    </w:p>
    <w:p w14:paraId="3E3B8900" w14:textId="77777777" w:rsidR="00E63B7F" w:rsidRPr="00E63B7F" w:rsidRDefault="00E63B7F" w:rsidP="0096617B">
      <w:pPr>
        <w:spacing w:line="360" w:lineRule="auto"/>
        <w:rPr>
          <w:rFonts w:ascii="Arial Narrow" w:hAnsi="Arial Narrow" w:cs="Arial"/>
          <w:color w:val="000000" w:themeColor="text1"/>
        </w:rPr>
      </w:pPr>
      <w:r w:rsidRPr="00E63B7F">
        <w:rPr>
          <w:rFonts w:ascii="Arial Narrow" w:hAnsi="Arial Narrow" w:cs="Arial"/>
          <w:color w:val="000000" w:themeColor="text1"/>
        </w:rPr>
        <w:t>Estyn. (2020). The quality of education and training in non-maintained settings for children under five.  Available at: https://www.estyn.gov.wales/inspection-reports [Accessed 12 June 2025].</w:t>
      </w:r>
    </w:p>
    <w:p w14:paraId="0D039241"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Estyn. (2020). The quality of education and training in non-maintained settings for children under five. Available at: https://www.estyn.gov.wales/inspection-reports [Accessed 12 June 2025].</w:t>
      </w:r>
    </w:p>
    <w:p w14:paraId="5D0E8581" w14:textId="77777777" w:rsidR="00E63B7F" w:rsidRPr="00E63B7F" w:rsidRDefault="00E63B7F" w:rsidP="00E047DC">
      <w:pPr>
        <w:spacing w:line="360" w:lineRule="auto"/>
        <w:rPr>
          <w:rFonts w:ascii="Arial Narrow" w:hAnsi="Arial Narrow" w:cs="Arial"/>
          <w:color w:val="000000" w:themeColor="text1"/>
        </w:rPr>
      </w:pPr>
      <w:r w:rsidRPr="00E63B7F">
        <w:rPr>
          <w:rFonts w:ascii="Arial Narrow" w:hAnsi="Arial Narrow" w:cs="Arial"/>
          <w:color w:val="000000" w:themeColor="text1"/>
        </w:rPr>
        <w:t>Evans, J. and Rich, E. (2017). Assessment, accountability and professional development: The challenges of implementing the Foundation Phase Profile in Wales. European Early Childhood Education Research Journal, 25(3), pp. 343-355.</w:t>
      </w:r>
    </w:p>
    <w:p w14:paraId="1124810E" w14:textId="77777777" w:rsidR="00E63B7F" w:rsidRPr="007D1C29" w:rsidRDefault="00E63B7F" w:rsidP="007D1C29">
      <w:pPr>
        <w:spacing w:line="360" w:lineRule="auto"/>
        <w:rPr>
          <w:rFonts w:ascii="Arial Narrow" w:hAnsi="Arial Narrow" w:cs="Arial"/>
          <w:color w:val="000000" w:themeColor="text1"/>
        </w:rPr>
      </w:pPr>
      <w:r w:rsidRPr="007D1C29">
        <w:rPr>
          <w:rFonts w:ascii="Arial Narrow" w:hAnsi="Arial Narrow" w:cs="Arial"/>
          <w:color w:val="000000" w:themeColor="text1"/>
        </w:rPr>
        <w:lastRenderedPageBreak/>
        <w:t xml:space="preserve">Melhuish, E., </w:t>
      </w:r>
      <w:proofErr w:type="spellStart"/>
      <w:r w:rsidRPr="007D1C29">
        <w:rPr>
          <w:rFonts w:ascii="Arial Narrow" w:hAnsi="Arial Narrow" w:cs="Arial"/>
          <w:color w:val="000000" w:themeColor="text1"/>
        </w:rPr>
        <w:t>Ereky</w:t>
      </w:r>
      <w:proofErr w:type="spellEnd"/>
      <w:r w:rsidRPr="007D1C29">
        <w:rPr>
          <w:rFonts w:ascii="Arial Narrow" w:hAnsi="Arial Narrow" w:cs="Arial"/>
          <w:color w:val="000000" w:themeColor="text1"/>
        </w:rPr>
        <w:t xml:space="preserve">-Stevens, K., </w:t>
      </w:r>
      <w:proofErr w:type="spellStart"/>
      <w:r w:rsidRPr="007D1C29">
        <w:rPr>
          <w:rFonts w:ascii="Arial Narrow" w:hAnsi="Arial Narrow" w:cs="Arial"/>
          <w:color w:val="000000" w:themeColor="text1"/>
        </w:rPr>
        <w:t>Petrogiannis</w:t>
      </w:r>
      <w:proofErr w:type="spellEnd"/>
      <w:r w:rsidRPr="007D1C29">
        <w:rPr>
          <w:rFonts w:ascii="Arial Narrow" w:hAnsi="Arial Narrow" w:cs="Arial"/>
          <w:color w:val="000000" w:themeColor="text1"/>
        </w:rPr>
        <w:t xml:space="preserve">, K., </w:t>
      </w:r>
      <w:proofErr w:type="spellStart"/>
      <w:r w:rsidRPr="007D1C29">
        <w:rPr>
          <w:rFonts w:ascii="Arial Narrow" w:hAnsi="Arial Narrow" w:cs="Arial"/>
          <w:color w:val="000000" w:themeColor="text1"/>
        </w:rPr>
        <w:t>Ariescu</w:t>
      </w:r>
      <w:proofErr w:type="spellEnd"/>
      <w:r w:rsidRPr="007D1C29">
        <w:rPr>
          <w:rFonts w:ascii="Arial Narrow" w:hAnsi="Arial Narrow" w:cs="Arial"/>
          <w:color w:val="000000" w:themeColor="text1"/>
        </w:rPr>
        <w:t xml:space="preserve">, A., </w:t>
      </w:r>
      <w:proofErr w:type="spellStart"/>
      <w:r w:rsidRPr="007D1C29">
        <w:rPr>
          <w:rFonts w:ascii="Arial Narrow" w:hAnsi="Arial Narrow" w:cs="Arial"/>
          <w:color w:val="000000" w:themeColor="text1"/>
        </w:rPr>
        <w:t>Penderi</w:t>
      </w:r>
      <w:proofErr w:type="spellEnd"/>
      <w:r w:rsidRPr="007D1C29">
        <w:rPr>
          <w:rFonts w:ascii="Arial Narrow" w:hAnsi="Arial Narrow" w:cs="Arial"/>
          <w:color w:val="000000" w:themeColor="text1"/>
        </w:rPr>
        <w:t xml:space="preserve">, E., </w:t>
      </w:r>
      <w:proofErr w:type="spellStart"/>
      <w:r w:rsidRPr="007D1C29">
        <w:rPr>
          <w:rFonts w:ascii="Arial Narrow" w:hAnsi="Arial Narrow" w:cs="Arial"/>
          <w:color w:val="000000" w:themeColor="text1"/>
        </w:rPr>
        <w:t>Rentzou</w:t>
      </w:r>
      <w:proofErr w:type="spellEnd"/>
      <w:r w:rsidRPr="007D1C29">
        <w:rPr>
          <w:rFonts w:ascii="Arial Narrow" w:hAnsi="Arial Narrow" w:cs="Arial"/>
          <w:color w:val="000000" w:themeColor="text1"/>
        </w:rPr>
        <w:t xml:space="preserve">, K., ... &amp; </w:t>
      </w:r>
      <w:proofErr w:type="spellStart"/>
      <w:r w:rsidRPr="007D1C29">
        <w:rPr>
          <w:rFonts w:ascii="Arial Narrow" w:hAnsi="Arial Narrow" w:cs="Arial"/>
          <w:color w:val="000000" w:themeColor="text1"/>
        </w:rPr>
        <w:t>Leseman</w:t>
      </w:r>
      <w:proofErr w:type="spellEnd"/>
      <w:r w:rsidRPr="007D1C29">
        <w:rPr>
          <w:rFonts w:ascii="Arial Narrow" w:hAnsi="Arial Narrow" w:cs="Arial"/>
          <w:color w:val="000000" w:themeColor="text1"/>
        </w:rPr>
        <w:t>, P. (2015) A review of research on the effects of early childhood education and care (ECEC) upon child development. CARE project, EU.</w:t>
      </w:r>
    </w:p>
    <w:p w14:paraId="4077ABBC" w14:textId="77777777" w:rsidR="00E63B7F" w:rsidRPr="00E63B7F" w:rsidRDefault="00E63B7F" w:rsidP="009003E5">
      <w:pPr>
        <w:spacing w:line="360" w:lineRule="auto"/>
        <w:rPr>
          <w:rFonts w:ascii="Arial Narrow" w:hAnsi="Arial Narrow" w:cs="Arial"/>
          <w:color w:val="000000" w:themeColor="text1"/>
        </w:rPr>
      </w:pPr>
      <w:r w:rsidRPr="00E63B7F">
        <w:rPr>
          <w:rFonts w:ascii="Arial Narrow" w:hAnsi="Arial Narrow" w:cs="Arial"/>
          <w:color w:val="000000" w:themeColor="text1"/>
        </w:rPr>
        <w:t xml:space="preserve">Ministry of Education NZ. (2017). Te Whāriki: Early Childhood Curriculum. Wellington: Ministry of Education. </w:t>
      </w:r>
    </w:p>
    <w:p w14:paraId="4A04273C" w14:textId="77777777" w:rsidR="00E63B7F" w:rsidRPr="00E63B7F" w:rsidRDefault="00E63B7F" w:rsidP="0096617B">
      <w:pPr>
        <w:spacing w:line="360" w:lineRule="auto"/>
        <w:rPr>
          <w:rFonts w:ascii="Arial Narrow" w:hAnsi="Arial Narrow" w:cs="Arial"/>
          <w:color w:val="000000" w:themeColor="text1"/>
        </w:rPr>
      </w:pPr>
      <w:r w:rsidRPr="00E63B7F">
        <w:rPr>
          <w:rFonts w:ascii="Arial Narrow" w:hAnsi="Arial Narrow" w:cs="Arial"/>
          <w:color w:val="000000" w:themeColor="text1"/>
        </w:rPr>
        <w:t>Ministry of Education NZ. (2017). Te Whāriki: Early Childhood Curriculum. Wellington: Ministry of Education.</w:t>
      </w:r>
    </w:p>
    <w:p w14:paraId="1C61FDC5"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Nutbrown, C. (2011). Threads of Thinking: Schemas and Young Children’s Learning. 4th ed. London: SAGE.</w:t>
      </w:r>
    </w:p>
    <w:p w14:paraId="7651214A"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Piaget, J. (1952). The Origins of Intelligence in Children. New York: International Universities Press.</w:t>
      </w:r>
    </w:p>
    <w:p w14:paraId="217712F7" w14:textId="77777777" w:rsidR="00E63B7F" w:rsidRPr="00E63B7F" w:rsidRDefault="00E63B7F" w:rsidP="00E047DC">
      <w:pPr>
        <w:spacing w:line="360" w:lineRule="auto"/>
        <w:rPr>
          <w:rFonts w:ascii="Arial Narrow" w:hAnsi="Arial Narrow" w:cs="Arial"/>
          <w:color w:val="000000" w:themeColor="text1"/>
        </w:rPr>
      </w:pPr>
      <w:r w:rsidRPr="00E63B7F">
        <w:rPr>
          <w:rFonts w:ascii="Arial Narrow" w:hAnsi="Arial Narrow" w:cs="Arial"/>
          <w:color w:val="000000" w:themeColor="text1"/>
        </w:rPr>
        <w:t>Roberts-Holmes, G. (2015). The 'datafication' of early years pedagogy: ‘If the teaching is good, the data should be good’. Journal of Education Policy, 30(3), pp. 302–315.</w:t>
      </w:r>
    </w:p>
    <w:p w14:paraId="701F439A" w14:textId="77777777" w:rsidR="00E63B7F" w:rsidRPr="00E63B7F" w:rsidRDefault="00E63B7F" w:rsidP="009003E5">
      <w:pPr>
        <w:spacing w:line="360" w:lineRule="auto"/>
        <w:rPr>
          <w:rFonts w:ascii="Arial Narrow" w:hAnsi="Arial Narrow" w:cs="Arial"/>
          <w:color w:val="000000" w:themeColor="text1"/>
        </w:rPr>
      </w:pPr>
      <w:r w:rsidRPr="00E63B7F">
        <w:rPr>
          <w:rFonts w:ascii="Arial Narrow" w:hAnsi="Arial Narrow" w:cs="Arial"/>
          <w:color w:val="000000" w:themeColor="text1"/>
        </w:rPr>
        <w:t>Rogoff, B. (2003). The Cultural Nature of Human Development. Oxford University Press.</w:t>
      </w:r>
    </w:p>
    <w:p w14:paraId="7A715BC9" w14:textId="77777777" w:rsidR="00E63B7F" w:rsidRPr="00E63B7F" w:rsidRDefault="00E63B7F" w:rsidP="005C4D71">
      <w:pPr>
        <w:spacing w:line="360" w:lineRule="auto"/>
        <w:rPr>
          <w:rFonts w:ascii="Arial Narrow" w:hAnsi="Arial Narrow" w:cs="Arial"/>
          <w:color w:val="000000" w:themeColor="text1"/>
        </w:rPr>
      </w:pPr>
      <w:r w:rsidRPr="00E63B7F">
        <w:rPr>
          <w:rFonts w:ascii="Arial Narrow" w:hAnsi="Arial Narrow" w:cs="Arial"/>
          <w:color w:val="000000" w:themeColor="text1"/>
        </w:rPr>
        <w:t>Scottish Government. (2020). Assessment in the Early Level of Curriculum for Excellence: A Refreshed Narrative. Available at: </w:t>
      </w:r>
      <w:hyperlink r:id="rId7" w:history="1">
        <w:r w:rsidRPr="00E63B7F">
          <w:rPr>
            <w:rStyle w:val="Hyperlink"/>
            <w:rFonts w:ascii="Arial Narrow" w:hAnsi="Arial Narrow" w:cs="Arial"/>
          </w:rPr>
          <w:t>https://www.gov.scot/publications/assessment-early-level-curriculum-excellence-refreshed-narrative/</w:t>
        </w:r>
      </w:hyperlink>
      <w:r w:rsidRPr="00E63B7F">
        <w:rPr>
          <w:rFonts w:ascii="Arial Narrow" w:hAnsi="Arial Narrow" w:cs="Arial"/>
          <w:color w:val="000000" w:themeColor="text1"/>
        </w:rPr>
        <w:t xml:space="preserve">  [Accessed 12 June 2025].</w:t>
      </w:r>
    </w:p>
    <w:p w14:paraId="69DB1CFC" w14:textId="77777777" w:rsidR="00E63B7F" w:rsidRPr="00E63B7F" w:rsidRDefault="00E63B7F" w:rsidP="007D1C29">
      <w:pPr>
        <w:spacing w:line="360" w:lineRule="auto"/>
        <w:rPr>
          <w:rFonts w:ascii="Arial Narrow" w:hAnsi="Arial Narrow" w:cs="Arial"/>
          <w:color w:val="000000" w:themeColor="text1"/>
        </w:rPr>
      </w:pPr>
      <w:r w:rsidRPr="00E63B7F">
        <w:rPr>
          <w:rFonts w:ascii="Arial Narrow" w:hAnsi="Arial Narrow" w:cs="Arial"/>
          <w:color w:val="000000" w:themeColor="text1"/>
        </w:rPr>
        <w:t>Shonkoff, J.P. and Phillips, D.A. (eds.) (2000) From Neurons to Neighbo</w:t>
      </w:r>
      <w:r w:rsidRPr="00E63B7F">
        <w:rPr>
          <w:rFonts w:ascii="Arial Narrow" w:hAnsi="Arial Narrow" w:cs="Arial"/>
          <w:color w:val="000000" w:themeColor="text1"/>
        </w:rPr>
        <w:t>u</w:t>
      </w:r>
      <w:r w:rsidRPr="00E63B7F">
        <w:rPr>
          <w:rFonts w:ascii="Arial Narrow" w:hAnsi="Arial Narrow" w:cs="Arial"/>
          <w:color w:val="000000" w:themeColor="text1"/>
        </w:rPr>
        <w:t>rhoods: The Science of Early Childhood Development. Washington, DC: National Academy Press.</w:t>
      </w:r>
    </w:p>
    <w:p w14:paraId="15F3F034" w14:textId="77777777" w:rsidR="00E63B7F" w:rsidRPr="007D1C29" w:rsidRDefault="00E63B7F" w:rsidP="007D1C29">
      <w:pPr>
        <w:spacing w:line="360" w:lineRule="auto"/>
        <w:rPr>
          <w:rFonts w:ascii="Arial Narrow" w:hAnsi="Arial Narrow" w:cs="Arial"/>
          <w:color w:val="000000" w:themeColor="text1"/>
        </w:rPr>
      </w:pPr>
      <w:r w:rsidRPr="007D1C29">
        <w:rPr>
          <w:rFonts w:ascii="Arial Narrow" w:hAnsi="Arial Narrow" w:cs="Arial"/>
          <w:color w:val="000000" w:themeColor="text1"/>
        </w:rPr>
        <w:t>Sylva, K., Melhuish, E., Sammons, P., Siraj-Blatchford, I. and Taggart, B. (2004) The Effective Provision of Pre-School Education (EPPE) Project: Final Report. London: Institute of Education.</w:t>
      </w:r>
    </w:p>
    <w:p w14:paraId="4A52A9A5" w14:textId="77777777" w:rsidR="00E63B7F" w:rsidRPr="00E63B7F" w:rsidRDefault="00E63B7F" w:rsidP="007D1C29">
      <w:pPr>
        <w:spacing w:line="360" w:lineRule="auto"/>
        <w:rPr>
          <w:rFonts w:ascii="Arial Narrow" w:hAnsi="Arial Narrow" w:cs="Arial"/>
          <w:color w:val="000000" w:themeColor="text1"/>
        </w:rPr>
      </w:pPr>
      <w:r w:rsidRPr="007D1C29">
        <w:rPr>
          <w:rFonts w:ascii="Arial Narrow" w:hAnsi="Arial Narrow" w:cs="Arial"/>
          <w:color w:val="000000" w:themeColor="text1"/>
        </w:rPr>
        <w:t>UNESCO (2022) Right from the Start: Early childhood care and education to support development and reduce inequalities. Available at: </w:t>
      </w:r>
      <w:hyperlink r:id="rId8" w:tgtFrame="_new" w:history="1">
        <w:r w:rsidRPr="007D1C29">
          <w:rPr>
            <w:rStyle w:val="Hyperlink"/>
            <w:rFonts w:ascii="Arial Narrow" w:hAnsi="Arial Narrow" w:cs="Arial"/>
          </w:rPr>
          <w:t>https://www.unesco.org/en/articles/right-start-early-childhood-care-and-education</w:t>
        </w:r>
      </w:hyperlink>
      <w:r w:rsidRPr="007D1C29">
        <w:rPr>
          <w:rFonts w:ascii="Arial Narrow" w:hAnsi="Arial Narrow" w:cs="Arial"/>
          <w:color w:val="000000" w:themeColor="text1"/>
        </w:rPr>
        <w:t> </w:t>
      </w:r>
      <w:r w:rsidRPr="00E63B7F">
        <w:rPr>
          <w:rFonts w:ascii="Arial Narrow" w:hAnsi="Arial Narrow" w:cs="Arial"/>
          <w:color w:val="000000" w:themeColor="text1"/>
        </w:rPr>
        <w:t>[</w:t>
      </w:r>
      <w:r w:rsidRPr="007D1C29">
        <w:rPr>
          <w:rFonts w:ascii="Arial Narrow" w:hAnsi="Arial Narrow" w:cs="Arial"/>
          <w:color w:val="000000" w:themeColor="text1"/>
        </w:rPr>
        <w:t>Accessed: 14 June 2025</w:t>
      </w:r>
      <w:r w:rsidRPr="00E63B7F">
        <w:rPr>
          <w:rFonts w:ascii="Arial Narrow" w:hAnsi="Arial Narrow" w:cs="Arial"/>
          <w:color w:val="000000" w:themeColor="text1"/>
        </w:rPr>
        <w:t>]</w:t>
      </w:r>
      <w:r w:rsidRPr="007D1C29">
        <w:rPr>
          <w:rFonts w:ascii="Arial Narrow" w:hAnsi="Arial Narrow" w:cs="Arial"/>
          <w:color w:val="000000" w:themeColor="text1"/>
        </w:rPr>
        <w:t>.</w:t>
      </w:r>
    </w:p>
    <w:p w14:paraId="604305F7" w14:textId="77777777" w:rsidR="00E63B7F" w:rsidRPr="00E63B7F" w:rsidRDefault="00E63B7F" w:rsidP="00255F70">
      <w:pPr>
        <w:spacing w:line="360" w:lineRule="auto"/>
        <w:rPr>
          <w:rFonts w:ascii="Arial Narrow" w:hAnsi="Arial Narrow" w:cs="Arial"/>
          <w:color w:val="000000" w:themeColor="text1"/>
        </w:rPr>
      </w:pPr>
      <w:r w:rsidRPr="00E63B7F">
        <w:rPr>
          <w:rFonts w:ascii="Arial Narrow" w:hAnsi="Arial Narrow" w:cs="Arial"/>
          <w:color w:val="000000" w:themeColor="text1"/>
        </w:rPr>
        <w:t>Welsh Government (2015) Foundation Phase framework. Available at: </w:t>
      </w:r>
      <w:hyperlink r:id="rId9" w:history="1">
        <w:r w:rsidRPr="00E63B7F">
          <w:rPr>
            <w:rStyle w:val="Hyperlink"/>
            <w:rFonts w:ascii="Arial Narrow" w:hAnsi="Arial Narrow" w:cs="Arial"/>
          </w:rPr>
          <w:t>https://www.gov.wales/foundation-phase-framework</w:t>
        </w:r>
      </w:hyperlink>
      <w:r w:rsidRPr="00E63B7F">
        <w:rPr>
          <w:rFonts w:ascii="Arial Narrow" w:hAnsi="Arial Narrow" w:cs="Arial"/>
          <w:color w:val="000000" w:themeColor="text1"/>
        </w:rPr>
        <w:t xml:space="preserve">  [Accessed 9 June 2025].</w:t>
      </w:r>
    </w:p>
    <w:p w14:paraId="0648CB92" w14:textId="77777777" w:rsidR="00E63B7F" w:rsidRPr="00E63B7F" w:rsidRDefault="00E63B7F" w:rsidP="005C4D71">
      <w:pPr>
        <w:spacing w:line="360" w:lineRule="auto"/>
        <w:rPr>
          <w:rFonts w:ascii="Arial Narrow" w:hAnsi="Arial Narrow" w:cs="Arial"/>
          <w:color w:val="000000" w:themeColor="text1"/>
        </w:rPr>
      </w:pPr>
      <w:r w:rsidRPr="00E63B7F">
        <w:rPr>
          <w:rFonts w:ascii="Arial Narrow" w:hAnsi="Arial Narrow" w:cs="Arial"/>
          <w:color w:val="000000" w:themeColor="text1"/>
        </w:rPr>
        <w:t>Welsh Government (2015) Foundation Phase framework. Available at: </w:t>
      </w:r>
      <w:hyperlink r:id="rId10" w:history="1">
        <w:r w:rsidRPr="00E63B7F">
          <w:rPr>
            <w:rStyle w:val="Hyperlink"/>
            <w:rFonts w:ascii="Arial Narrow" w:hAnsi="Arial Narrow" w:cs="Arial"/>
          </w:rPr>
          <w:t>https://www.gov.wales/foundation-phase-framework</w:t>
        </w:r>
      </w:hyperlink>
      <w:r w:rsidRPr="00E63B7F">
        <w:rPr>
          <w:rFonts w:ascii="Arial Narrow" w:hAnsi="Arial Narrow" w:cs="Arial"/>
          <w:color w:val="000000" w:themeColor="text1"/>
        </w:rPr>
        <w:t xml:space="preserve">  [Accessed 9 June 2025].</w:t>
      </w:r>
    </w:p>
    <w:p w14:paraId="31B656AA" w14:textId="77777777" w:rsidR="00E63B7F" w:rsidRPr="00E63B7F" w:rsidRDefault="00E63B7F" w:rsidP="009003E5">
      <w:pPr>
        <w:spacing w:line="360" w:lineRule="auto"/>
        <w:rPr>
          <w:rFonts w:ascii="Arial Narrow" w:hAnsi="Arial Narrow" w:cs="Arial"/>
          <w:color w:val="000000" w:themeColor="text1"/>
        </w:rPr>
      </w:pPr>
      <w:r w:rsidRPr="00E63B7F">
        <w:rPr>
          <w:rFonts w:ascii="Arial Narrow" w:hAnsi="Arial Narrow" w:cs="Arial"/>
          <w:color w:val="000000" w:themeColor="text1"/>
        </w:rPr>
        <w:lastRenderedPageBreak/>
        <w:t>Welsh Government (2020) Curriculum for funded non-maintained nursery settings: guidance.  Available at: </w:t>
      </w:r>
      <w:hyperlink r:id="rId11" w:history="1">
        <w:r w:rsidRPr="00E63B7F">
          <w:rPr>
            <w:rStyle w:val="Hyperlink"/>
            <w:rFonts w:ascii="Arial Narrow" w:hAnsi="Arial Narrow" w:cs="Arial"/>
          </w:rPr>
          <w:t>https://www.gov.wales/curriculum-funded-non-maintained-nursery-settings-guidance</w:t>
        </w:r>
      </w:hyperlink>
      <w:r w:rsidRPr="00E63B7F">
        <w:rPr>
          <w:rFonts w:ascii="Arial Narrow" w:hAnsi="Arial Narrow" w:cs="Arial"/>
          <w:color w:val="000000" w:themeColor="text1"/>
        </w:rPr>
        <w:t xml:space="preserve">  [Accessed 9 June 2025]</w:t>
      </w:r>
    </w:p>
    <w:p w14:paraId="3B277B32" w14:textId="77777777" w:rsidR="00E63B7F" w:rsidRPr="00E63B7F" w:rsidRDefault="00E63B7F" w:rsidP="005C4D71">
      <w:pPr>
        <w:spacing w:line="360" w:lineRule="auto"/>
        <w:rPr>
          <w:rFonts w:ascii="Arial Narrow" w:hAnsi="Arial Narrow" w:cs="Arial"/>
          <w:color w:val="000000" w:themeColor="text1"/>
        </w:rPr>
      </w:pPr>
      <w:r w:rsidRPr="00E63B7F">
        <w:rPr>
          <w:rFonts w:ascii="Arial Narrow" w:hAnsi="Arial Narrow" w:cs="Arial"/>
          <w:color w:val="000000" w:themeColor="text1"/>
        </w:rPr>
        <w:t>Welsh Government (2020) Curriculum for funded non-maintained nursery settings: guidance. Available at: </w:t>
      </w:r>
      <w:hyperlink r:id="rId12" w:history="1">
        <w:r w:rsidRPr="00E63B7F">
          <w:rPr>
            <w:rStyle w:val="Hyperlink"/>
            <w:rFonts w:ascii="Arial Narrow" w:hAnsi="Arial Narrow" w:cs="Arial"/>
          </w:rPr>
          <w:t>https://www.gov.wales/curriculum-funded-non-maintained-nursery-settings-guidance</w:t>
        </w:r>
      </w:hyperlink>
      <w:r w:rsidRPr="00E63B7F">
        <w:rPr>
          <w:rFonts w:ascii="Arial Narrow" w:hAnsi="Arial Narrow" w:cs="Arial"/>
          <w:color w:val="000000" w:themeColor="text1"/>
        </w:rPr>
        <w:t xml:space="preserve">  [Accessed 9 June 2025].</w:t>
      </w:r>
    </w:p>
    <w:p w14:paraId="74ADF2EB" w14:textId="77777777" w:rsidR="00E63B7F" w:rsidRPr="00E63B7F" w:rsidRDefault="00E63B7F" w:rsidP="00E047DC">
      <w:pPr>
        <w:spacing w:line="360" w:lineRule="auto"/>
        <w:rPr>
          <w:rFonts w:ascii="Arial Narrow" w:hAnsi="Arial Narrow" w:cs="Arial"/>
          <w:color w:val="000000" w:themeColor="text1"/>
        </w:rPr>
      </w:pPr>
      <w:r w:rsidRPr="00E63B7F">
        <w:rPr>
          <w:rFonts w:ascii="Arial Narrow" w:hAnsi="Arial Narrow" w:cs="Arial"/>
          <w:color w:val="000000" w:themeColor="text1"/>
        </w:rPr>
        <w:t>Welsh Government. (2015). Foundation Phase Framework for Children’s Learning for 3 to 7-Year-Olds in Wales. Cardiff: Welsh Government.</w:t>
      </w:r>
    </w:p>
    <w:p w14:paraId="504D25B2" w14:textId="77777777" w:rsidR="00E63B7F" w:rsidRPr="00E63B7F" w:rsidRDefault="00E63B7F" w:rsidP="0096617B">
      <w:pPr>
        <w:spacing w:line="360" w:lineRule="auto"/>
        <w:rPr>
          <w:rFonts w:ascii="Arial Narrow" w:hAnsi="Arial Narrow" w:cs="Arial"/>
          <w:color w:val="000000" w:themeColor="text1"/>
        </w:rPr>
      </w:pPr>
      <w:r w:rsidRPr="00E63B7F">
        <w:rPr>
          <w:rFonts w:ascii="Arial Narrow" w:hAnsi="Arial Narrow" w:cs="Arial"/>
          <w:color w:val="000000" w:themeColor="text1"/>
        </w:rPr>
        <w:t>Welsh Government. (2022). Curriculum for Funded Non-Maintained Nursery Settings.  Available at: https://www.gov.wales/curriculum-funded-non-maintained-nursery-settings [Accessed 12 June 2025].</w:t>
      </w:r>
    </w:p>
    <w:p w14:paraId="3AABEEF6"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Welsh Government. (2022). Curriculum for Funded Non-Maintained Nursery Settings.  Available at: https://www.gov.wales/curriculum-funded-non-maintained-nursery-settings [Accessed 12 June 2025].</w:t>
      </w:r>
    </w:p>
    <w:p w14:paraId="70FB3047"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Welsh Government. (2022). Curriculum for Funded Non-Maintained Nursery Settings. Available at: https://www.gov.wales/curriculum-funded-non-maintained-nursery-settings [Accessed 12 June 2025].</w:t>
      </w:r>
    </w:p>
    <w:p w14:paraId="6F77F69F" w14:textId="77777777" w:rsidR="00E63B7F" w:rsidRPr="00E63B7F" w:rsidRDefault="00E63B7F" w:rsidP="00E047DC">
      <w:pPr>
        <w:spacing w:line="360" w:lineRule="auto"/>
        <w:rPr>
          <w:rFonts w:ascii="Arial Narrow" w:hAnsi="Arial Narrow" w:cs="Arial"/>
          <w:color w:val="000000" w:themeColor="text1"/>
        </w:rPr>
      </w:pPr>
      <w:r w:rsidRPr="00E63B7F">
        <w:rPr>
          <w:rFonts w:ascii="Arial Narrow" w:hAnsi="Arial Narrow" w:cs="Arial"/>
          <w:color w:val="000000" w:themeColor="text1"/>
        </w:rPr>
        <w:t>William, D. (2016). Leadership for Teacher Learning: Creating a Culture Where All Teachers Improve So That All Students Succeed. West Palm Beach: Learning Sciences International.</w:t>
      </w:r>
    </w:p>
    <w:p w14:paraId="683D2214" w14:textId="77777777" w:rsidR="00E63B7F" w:rsidRPr="00E63B7F" w:rsidRDefault="00E63B7F" w:rsidP="00391768">
      <w:pPr>
        <w:spacing w:line="360" w:lineRule="auto"/>
        <w:rPr>
          <w:rFonts w:ascii="Arial Narrow" w:hAnsi="Arial Narrow" w:cs="Arial"/>
          <w:color w:val="000000" w:themeColor="text1"/>
        </w:rPr>
      </w:pPr>
      <w:r w:rsidRPr="00E63B7F">
        <w:rPr>
          <w:rFonts w:ascii="Arial Narrow" w:hAnsi="Arial Narrow" w:cs="Arial"/>
          <w:color w:val="000000" w:themeColor="text1"/>
        </w:rPr>
        <w:t>Wood, E. (2013). Play, Learning and the Early Childhood Curriculum. 3rd ed. London: SAGE.</w:t>
      </w:r>
    </w:p>
    <w:p w14:paraId="0C513DE6" w14:textId="77777777" w:rsidR="00E63B7F" w:rsidRPr="00E63B7F" w:rsidRDefault="00E63B7F" w:rsidP="009003E5">
      <w:pPr>
        <w:spacing w:line="360" w:lineRule="auto"/>
        <w:rPr>
          <w:rFonts w:ascii="Arial Narrow" w:hAnsi="Arial Narrow" w:cs="Arial"/>
          <w:color w:val="000000" w:themeColor="text1"/>
        </w:rPr>
      </w:pPr>
      <w:r w:rsidRPr="00E63B7F">
        <w:rPr>
          <w:rFonts w:ascii="Arial Narrow" w:hAnsi="Arial Narrow" w:cs="Arial"/>
          <w:color w:val="000000" w:themeColor="text1"/>
        </w:rPr>
        <w:t>Wood, E. (2020). Reconceptualising quality in early childhood education: From inspection to reflection. Contemporary Issues in Early Childhood, 21(1), pp. 65–78.</w:t>
      </w:r>
    </w:p>
    <w:sectPr w:rsidR="00E63B7F" w:rsidRPr="00E63B7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1EBE22" w14:textId="77777777" w:rsidR="005D4237" w:rsidRDefault="005D4237" w:rsidP="007048E7">
      <w:pPr>
        <w:spacing w:after="0" w:line="240" w:lineRule="auto"/>
      </w:pPr>
      <w:r>
        <w:separator/>
      </w:r>
    </w:p>
  </w:endnote>
  <w:endnote w:type="continuationSeparator" w:id="0">
    <w:p w14:paraId="50DC5448" w14:textId="77777777" w:rsidR="005D4237" w:rsidRDefault="005D4237" w:rsidP="00704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99A4F" w14:textId="77777777" w:rsidR="005D4237" w:rsidRDefault="005D4237" w:rsidP="007048E7">
      <w:pPr>
        <w:spacing w:after="0" w:line="240" w:lineRule="auto"/>
      </w:pPr>
      <w:r>
        <w:separator/>
      </w:r>
    </w:p>
  </w:footnote>
  <w:footnote w:type="continuationSeparator" w:id="0">
    <w:p w14:paraId="730AA351" w14:textId="77777777" w:rsidR="005D4237" w:rsidRDefault="005D4237" w:rsidP="00704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20AB0" w14:textId="60D10A7A" w:rsidR="007048E7" w:rsidRDefault="007048E7">
    <w:pPr>
      <w:pStyle w:val="Header"/>
    </w:pPr>
    <w:r>
      <w:t>ECEY6010</w:t>
    </w:r>
    <w:r>
      <w:tab/>
      <w:t>2306601</w:t>
    </w:r>
    <w:r>
      <w:tab/>
      <w:t>Word Count:</w:t>
    </w:r>
    <w:r w:rsidR="00E63B7F">
      <w:t xml:space="preserve"> 3627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E7"/>
    <w:rsid w:val="000C4B14"/>
    <w:rsid w:val="00117908"/>
    <w:rsid w:val="00255F70"/>
    <w:rsid w:val="00391768"/>
    <w:rsid w:val="00540775"/>
    <w:rsid w:val="005C4D71"/>
    <w:rsid w:val="005D4237"/>
    <w:rsid w:val="00607C2A"/>
    <w:rsid w:val="0066332E"/>
    <w:rsid w:val="007048E7"/>
    <w:rsid w:val="007C0BDA"/>
    <w:rsid w:val="007D1C29"/>
    <w:rsid w:val="00840664"/>
    <w:rsid w:val="0086761C"/>
    <w:rsid w:val="008709D2"/>
    <w:rsid w:val="009003E5"/>
    <w:rsid w:val="0096617B"/>
    <w:rsid w:val="00A2706C"/>
    <w:rsid w:val="00A42196"/>
    <w:rsid w:val="00AC7FBE"/>
    <w:rsid w:val="00B770BF"/>
    <w:rsid w:val="00BE2ED9"/>
    <w:rsid w:val="00CE62AE"/>
    <w:rsid w:val="00D17C25"/>
    <w:rsid w:val="00DE4A90"/>
    <w:rsid w:val="00E047DC"/>
    <w:rsid w:val="00E63B7F"/>
    <w:rsid w:val="00E81DC2"/>
    <w:rsid w:val="00EE140E"/>
    <w:rsid w:val="00EF157F"/>
    <w:rsid w:val="00F11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BD430"/>
  <w15:chartTrackingRefBased/>
  <w15:docId w15:val="{5D821D9B-051B-F345-B1BD-87B67C7C0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8E7"/>
  </w:style>
  <w:style w:type="paragraph" w:styleId="Heading1">
    <w:name w:val="heading 1"/>
    <w:basedOn w:val="Normal"/>
    <w:next w:val="Normal"/>
    <w:link w:val="Heading1Char"/>
    <w:uiPriority w:val="9"/>
    <w:qFormat/>
    <w:rsid w:val="00704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8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8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8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8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8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8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8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8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8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8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8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8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8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8E7"/>
    <w:rPr>
      <w:rFonts w:eastAsiaTheme="majorEastAsia" w:cstheme="majorBidi"/>
      <w:color w:val="272727" w:themeColor="text1" w:themeTint="D8"/>
    </w:rPr>
  </w:style>
  <w:style w:type="paragraph" w:styleId="Title">
    <w:name w:val="Title"/>
    <w:basedOn w:val="Normal"/>
    <w:next w:val="Normal"/>
    <w:link w:val="TitleChar"/>
    <w:uiPriority w:val="10"/>
    <w:qFormat/>
    <w:rsid w:val="007048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8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8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8E7"/>
    <w:pPr>
      <w:spacing w:before="160"/>
      <w:jc w:val="center"/>
    </w:pPr>
    <w:rPr>
      <w:i/>
      <w:iCs/>
      <w:color w:val="404040" w:themeColor="text1" w:themeTint="BF"/>
    </w:rPr>
  </w:style>
  <w:style w:type="character" w:customStyle="1" w:styleId="QuoteChar">
    <w:name w:val="Quote Char"/>
    <w:basedOn w:val="DefaultParagraphFont"/>
    <w:link w:val="Quote"/>
    <w:uiPriority w:val="29"/>
    <w:rsid w:val="007048E7"/>
    <w:rPr>
      <w:i/>
      <w:iCs/>
      <w:color w:val="404040" w:themeColor="text1" w:themeTint="BF"/>
    </w:rPr>
  </w:style>
  <w:style w:type="paragraph" w:styleId="ListParagraph">
    <w:name w:val="List Paragraph"/>
    <w:basedOn w:val="Normal"/>
    <w:uiPriority w:val="34"/>
    <w:qFormat/>
    <w:rsid w:val="007048E7"/>
    <w:pPr>
      <w:ind w:left="720"/>
      <w:contextualSpacing/>
    </w:pPr>
  </w:style>
  <w:style w:type="character" w:styleId="IntenseEmphasis">
    <w:name w:val="Intense Emphasis"/>
    <w:basedOn w:val="DefaultParagraphFont"/>
    <w:uiPriority w:val="21"/>
    <w:qFormat/>
    <w:rsid w:val="007048E7"/>
    <w:rPr>
      <w:i/>
      <w:iCs/>
      <w:color w:val="0F4761" w:themeColor="accent1" w:themeShade="BF"/>
    </w:rPr>
  </w:style>
  <w:style w:type="paragraph" w:styleId="IntenseQuote">
    <w:name w:val="Intense Quote"/>
    <w:basedOn w:val="Normal"/>
    <w:next w:val="Normal"/>
    <w:link w:val="IntenseQuoteChar"/>
    <w:uiPriority w:val="30"/>
    <w:qFormat/>
    <w:rsid w:val="00704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8E7"/>
    <w:rPr>
      <w:i/>
      <w:iCs/>
      <w:color w:val="0F4761" w:themeColor="accent1" w:themeShade="BF"/>
    </w:rPr>
  </w:style>
  <w:style w:type="character" w:styleId="IntenseReference">
    <w:name w:val="Intense Reference"/>
    <w:basedOn w:val="DefaultParagraphFont"/>
    <w:uiPriority w:val="32"/>
    <w:qFormat/>
    <w:rsid w:val="007048E7"/>
    <w:rPr>
      <w:b/>
      <w:bCs/>
      <w:smallCaps/>
      <w:color w:val="0F4761" w:themeColor="accent1" w:themeShade="BF"/>
      <w:spacing w:val="5"/>
    </w:rPr>
  </w:style>
  <w:style w:type="paragraph" w:styleId="Header">
    <w:name w:val="header"/>
    <w:basedOn w:val="Normal"/>
    <w:link w:val="HeaderChar"/>
    <w:uiPriority w:val="99"/>
    <w:unhideWhenUsed/>
    <w:rsid w:val="00704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8E7"/>
  </w:style>
  <w:style w:type="paragraph" w:styleId="Footer">
    <w:name w:val="footer"/>
    <w:basedOn w:val="Normal"/>
    <w:link w:val="FooterChar"/>
    <w:uiPriority w:val="99"/>
    <w:unhideWhenUsed/>
    <w:rsid w:val="00704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8E7"/>
  </w:style>
  <w:style w:type="character" w:styleId="Hyperlink">
    <w:name w:val="Hyperlink"/>
    <w:basedOn w:val="DefaultParagraphFont"/>
    <w:uiPriority w:val="99"/>
    <w:unhideWhenUsed/>
    <w:rsid w:val="00B770BF"/>
    <w:rPr>
      <w:color w:val="467886" w:themeColor="hyperlink"/>
      <w:u w:val="single"/>
    </w:rPr>
  </w:style>
  <w:style w:type="character" w:styleId="UnresolvedMention">
    <w:name w:val="Unresolved Mention"/>
    <w:basedOn w:val="DefaultParagraphFont"/>
    <w:uiPriority w:val="99"/>
    <w:semiHidden/>
    <w:unhideWhenUsed/>
    <w:rsid w:val="00B77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25">
      <w:bodyDiv w:val="1"/>
      <w:marLeft w:val="0"/>
      <w:marRight w:val="0"/>
      <w:marTop w:val="0"/>
      <w:marBottom w:val="0"/>
      <w:divBdr>
        <w:top w:val="none" w:sz="0" w:space="0" w:color="auto"/>
        <w:left w:val="none" w:sz="0" w:space="0" w:color="auto"/>
        <w:bottom w:val="none" w:sz="0" w:space="0" w:color="auto"/>
        <w:right w:val="none" w:sz="0" w:space="0" w:color="auto"/>
      </w:divBdr>
    </w:div>
    <w:div w:id="82848998">
      <w:bodyDiv w:val="1"/>
      <w:marLeft w:val="0"/>
      <w:marRight w:val="0"/>
      <w:marTop w:val="0"/>
      <w:marBottom w:val="0"/>
      <w:divBdr>
        <w:top w:val="none" w:sz="0" w:space="0" w:color="auto"/>
        <w:left w:val="none" w:sz="0" w:space="0" w:color="auto"/>
        <w:bottom w:val="none" w:sz="0" w:space="0" w:color="auto"/>
        <w:right w:val="none" w:sz="0" w:space="0" w:color="auto"/>
      </w:divBdr>
    </w:div>
    <w:div w:id="165367973">
      <w:bodyDiv w:val="1"/>
      <w:marLeft w:val="0"/>
      <w:marRight w:val="0"/>
      <w:marTop w:val="0"/>
      <w:marBottom w:val="0"/>
      <w:divBdr>
        <w:top w:val="none" w:sz="0" w:space="0" w:color="auto"/>
        <w:left w:val="none" w:sz="0" w:space="0" w:color="auto"/>
        <w:bottom w:val="none" w:sz="0" w:space="0" w:color="auto"/>
        <w:right w:val="none" w:sz="0" w:space="0" w:color="auto"/>
      </w:divBdr>
    </w:div>
    <w:div w:id="213396104">
      <w:bodyDiv w:val="1"/>
      <w:marLeft w:val="0"/>
      <w:marRight w:val="0"/>
      <w:marTop w:val="0"/>
      <w:marBottom w:val="0"/>
      <w:divBdr>
        <w:top w:val="none" w:sz="0" w:space="0" w:color="auto"/>
        <w:left w:val="none" w:sz="0" w:space="0" w:color="auto"/>
        <w:bottom w:val="none" w:sz="0" w:space="0" w:color="auto"/>
        <w:right w:val="none" w:sz="0" w:space="0" w:color="auto"/>
      </w:divBdr>
    </w:div>
    <w:div w:id="243535348">
      <w:bodyDiv w:val="1"/>
      <w:marLeft w:val="0"/>
      <w:marRight w:val="0"/>
      <w:marTop w:val="0"/>
      <w:marBottom w:val="0"/>
      <w:divBdr>
        <w:top w:val="none" w:sz="0" w:space="0" w:color="auto"/>
        <w:left w:val="none" w:sz="0" w:space="0" w:color="auto"/>
        <w:bottom w:val="none" w:sz="0" w:space="0" w:color="auto"/>
        <w:right w:val="none" w:sz="0" w:space="0" w:color="auto"/>
      </w:divBdr>
    </w:div>
    <w:div w:id="323631231">
      <w:bodyDiv w:val="1"/>
      <w:marLeft w:val="0"/>
      <w:marRight w:val="0"/>
      <w:marTop w:val="0"/>
      <w:marBottom w:val="0"/>
      <w:divBdr>
        <w:top w:val="none" w:sz="0" w:space="0" w:color="auto"/>
        <w:left w:val="none" w:sz="0" w:space="0" w:color="auto"/>
        <w:bottom w:val="none" w:sz="0" w:space="0" w:color="auto"/>
        <w:right w:val="none" w:sz="0" w:space="0" w:color="auto"/>
      </w:divBdr>
      <w:divsChild>
        <w:div w:id="1092898852">
          <w:marLeft w:val="0"/>
          <w:marRight w:val="0"/>
          <w:marTop w:val="0"/>
          <w:marBottom w:val="0"/>
          <w:divBdr>
            <w:top w:val="none" w:sz="0" w:space="0" w:color="auto"/>
            <w:left w:val="none" w:sz="0" w:space="0" w:color="auto"/>
            <w:bottom w:val="none" w:sz="0" w:space="0" w:color="auto"/>
            <w:right w:val="none" w:sz="0" w:space="0" w:color="auto"/>
          </w:divBdr>
        </w:div>
      </w:divsChild>
    </w:div>
    <w:div w:id="330960035">
      <w:bodyDiv w:val="1"/>
      <w:marLeft w:val="0"/>
      <w:marRight w:val="0"/>
      <w:marTop w:val="0"/>
      <w:marBottom w:val="0"/>
      <w:divBdr>
        <w:top w:val="none" w:sz="0" w:space="0" w:color="auto"/>
        <w:left w:val="none" w:sz="0" w:space="0" w:color="auto"/>
        <w:bottom w:val="none" w:sz="0" w:space="0" w:color="auto"/>
        <w:right w:val="none" w:sz="0" w:space="0" w:color="auto"/>
      </w:divBdr>
    </w:div>
    <w:div w:id="352341181">
      <w:bodyDiv w:val="1"/>
      <w:marLeft w:val="0"/>
      <w:marRight w:val="0"/>
      <w:marTop w:val="0"/>
      <w:marBottom w:val="0"/>
      <w:divBdr>
        <w:top w:val="none" w:sz="0" w:space="0" w:color="auto"/>
        <w:left w:val="none" w:sz="0" w:space="0" w:color="auto"/>
        <w:bottom w:val="none" w:sz="0" w:space="0" w:color="auto"/>
        <w:right w:val="none" w:sz="0" w:space="0" w:color="auto"/>
      </w:divBdr>
    </w:div>
    <w:div w:id="594247425">
      <w:bodyDiv w:val="1"/>
      <w:marLeft w:val="0"/>
      <w:marRight w:val="0"/>
      <w:marTop w:val="0"/>
      <w:marBottom w:val="0"/>
      <w:divBdr>
        <w:top w:val="none" w:sz="0" w:space="0" w:color="auto"/>
        <w:left w:val="none" w:sz="0" w:space="0" w:color="auto"/>
        <w:bottom w:val="none" w:sz="0" w:space="0" w:color="auto"/>
        <w:right w:val="none" w:sz="0" w:space="0" w:color="auto"/>
      </w:divBdr>
      <w:divsChild>
        <w:div w:id="1537766492">
          <w:marLeft w:val="0"/>
          <w:marRight w:val="0"/>
          <w:marTop w:val="0"/>
          <w:marBottom w:val="0"/>
          <w:divBdr>
            <w:top w:val="none" w:sz="0" w:space="0" w:color="auto"/>
            <w:left w:val="none" w:sz="0" w:space="0" w:color="auto"/>
            <w:bottom w:val="none" w:sz="0" w:space="0" w:color="auto"/>
            <w:right w:val="none" w:sz="0" w:space="0" w:color="auto"/>
          </w:divBdr>
        </w:div>
      </w:divsChild>
    </w:div>
    <w:div w:id="636571319">
      <w:bodyDiv w:val="1"/>
      <w:marLeft w:val="0"/>
      <w:marRight w:val="0"/>
      <w:marTop w:val="0"/>
      <w:marBottom w:val="0"/>
      <w:divBdr>
        <w:top w:val="none" w:sz="0" w:space="0" w:color="auto"/>
        <w:left w:val="none" w:sz="0" w:space="0" w:color="auto"/>
        <w:bottom w:val="none" w:sz="0" w:space="0" w:color="auto"/>
        <w:right w:val="none" w:sz="0" w:space="0" w:color="auto"/>
      </w:divBdr>
    </w:div>
    <w:div w:id="698161859">
      <w:bodyDiv w:val="1"/>
      <w:marLeft w:val="0"/>
      <w:marRight w:val="0"/>
      <w:marTop w:val="0"/>
      <w:marBottom w:val="0"/>
      <w:divBdr>
        <w:top w:val="none" w:sz="0" w:space="0" w:color="auto"/>
        <w:left w:val="none" w:sz="0" w:space="0" w:color="auto"/>
        <w:bottom w:val="none" w:sz="0" w:space="0" w:color="auto"/>
        <w:right w:val="none" w:sz="0" w:space="0" w:color="auto"/>
      </w:divBdr>
    </w:div>
    <w:div w:id="866795097">
      <w:bodyDiv w:val="1"/>
      <w:marLeft w:val="0"/>
      <w:marRight w:val="0"/>
      <w:marTop w:val="0"/>
      <w:marBottom w:val="0"/>
      <w:divBdr>
        <w:top w:val="none" w:sz="0" w:space="0" w:color="auto"/>
        <w:left w:val="none" w:sz="0" w:space="0" w:color="auto"/>
        <w:bottom w:val="none" w:sz="0" w:space="0" w:color="auto"/>
        <w:right w:val="none" w:sz="0" w:space="0" w:color="auto"/>
      </w:divBdr>
    </w:div>
    <w:div w:id="871109745">
      <w:bodyDiv w:val="1"/>
      <w:marLeft w:val="0"/>
      <w:marRight w:val="0"/>
      <w:marTop w:val="0"/>
      <w:marBottom w:val="0"/>
      <w:divBdr>
        <w:top w:val="none" w:sz="0" w:space="0" w:color="auto"/>
        <w:left w:val="none" w:sz="0" w:space="0" w:color="auto"/>
        <w:bottom w:val="none" w:sz="0" w:space="0" w:color="auto"/>
        <w:right w:val="none" w:sz="0" w:space="0" w:color="auto"/>
      </w:divBdr>
    </w:div>
    <w:div w:id="968364683">
      <w:bodyDiv w:val="1"/>
      <w:marLeft w:val="0"/>
      <w:marRight w:val="0"/>
      <w:marTop w:val="0"/>
      <w:marBottom w:val="0"/>
      <w:divBdr>
        <w:top w:val="none" w:sz="0" w:space="0" w:color="auto"/>
        <w:left w:val="none" w:sz="0" w:space="0" w:color="auto"/>
        <w:bottom w:val="none" w:sz="0" w:space="0" w:color="auto"/>
        <w:right w:val="none" w:sz="0" w:space="0" w:color="auto"/>
      </w:divBdr>
    </w:div>
    <w:div w:id="980959161">
      <w:bodyDiv w:val="1"/>
      <w:marLeft w:val="0"/>
      <w:marRight w:val="0"/>
      <w:marTop w:val="0"/>
      <w:marBottom w:val="0"/>
      <w:divBdr>
        <w:top w:val="none" w:sz="0" w:space="0" w:color="auto"/>
        <w:left w:val="none" w:sz="0" w:space="0" w:color="auto"/>
        <w:bottom w:val="none" w:sz="0" w:space="0" w:color="auto"/>
        <w:right w:val="none" w:sz="0" w:space="0" w:color="auto"/>
      </w:divBdr>
    </w:div>
    <w:div w:id="1002318365">
      <w:bodyDiv w:val="1"/>
      <w:marLeft w:val="0"/>
      <w:marRight w:val="0"/>
      <w:marTop w:val="0"/>
      <w:marBottom w:val="0"/>
      <w:divBdr>
        <w:top w:val="none" w:sz="0" w:space="0" w:color="auto"/>
        <w:left w:val="none" w:sz="0" w:space="0" w:color="auto"/>
        <w:bottom w:val="none" w:sz="0" w:space="0" w:color="auto"/>
        <w:right w:val="none" w:sz="0" w:space="0" w:color="auto"/>
      </w:divBdr>
    </w:div>
    <w:div w:id="1041057011">
      <w:bodyDiv w:val="1"/>
      <w:marLeft w:val="0"/>
      <w:marRight w:val="0"/>
      <w:marTop w:val="0"/>
      <w:marBottom w:val="0"/>
      <w:divBdr>
        <w:top w:val="none" w:sz="0" w:space="0" w:color="auto"/>
        <w:left w:val="none" w:sz="0" w:space="0" w:color="auto"/>
        <w:bottom w:val="none" w:sz="0" w:space="0" w:color="auto"/>
        <w:right w:val="none" w:sz="0" w:space="0" w:color="auto"/>
      </w:divBdr>
    </w:div>
    <w:div w:id="1044407904">
      <w:bodyDiv w:val="1"/>
      <w:marLeft w:val="0"/>
      <w:marRight w:val="0"/>
      <w:marTop w:val="0"/>
      <w:marBottom w:val="0"/>
      <w:divBdr>
        <w:top w:val="none" w:sz="0" w:space="0" w:color="auto"/>
        <w:left w:val="none" w:sz="0" w:space="0" w:color="auto"/>
        <w:bottom w:val="none" w:sz="0" w:space="0" w:color="auto"/>
        <w:right w:val="none" w:sz="0" w:space="0" w:color="auto"/>
      </w:divBdr>
      <w:divsChild>
        <w:div w:id="110252179">
          <w:marLeft w:val="0"/>
          <w:marRight w:val="0"/>
          <w:marTop w:val="0"/>
          <w:marBottom w:val="0"/>
          <w:divBdr>
            <w:top w:val="none" w:sz="0" w:space="0" w:color="auto"/>
            <w:left w:val="none" w:sz="0" w:space="0" w:color="auto"/>
            <w:bottom w:val="none" w:sz="0" w:space="0" w:color="auto"/>
            <w:right w:val="none" w:sz="0" w:space="0" w:color="auto"/>
          </w:divBdr>
        </w:div>
      </w:divsChild>
    </w:div>
    <w:div w:id="1183787365">
      <w:bodyDiv w:val="1"/>
      <w:marLeft w:val="0"/>
      <w:marRight w:val="0"/>
      <w:marTop w:val="0"/>
      <w:marBottom w:val="0"/>
      <w:divBdr>
        <w:top w:val="none" w:sz="0" w:space="0" w:color="auto"/>
        <w:left w:val="none" w:sz="0" w:space="0" w:color="auto"/>
        <w:bottom w:val="none" w:sz="0" w:space="0" w:color="auto"/>
        <w:right w:val="none" w:sz="0" w:space="0" w:color="auto"/>
      </w:divBdr>
    </w:div>
    <w:div w:id="1199585058">
      <w:bodyDiv w:val="1"/>
      <w:marLeft w:val="0"/>
      <w:marRight w:val="0"/>
      <w:marTop w:val="0"/>
      <w:marBottom w:val="0"/>
      <w:divBdr>
        <w:top w:val="none" w:sz="0" w:space="0" w:color="auto"/>
        <w:left w:val="none" w:sz="0" w:space="0" w:color="auto"/>
        <w:bottom w:val="none" w:sz="0" w:space="0" w:color="auto"/>
        <w:right w:val="none" w:sz="0" w:space="0" w:color="auto"/>
      </w:divBdr>
      <w:divsChild>
        <w:div w:id="1201741608">
          <w:marLeft w:val="0"/>
          <w:marRight w:val="0"/>
          <w:marTop w:val="0"/>
          <w:marBottom w:val="0"/>
          <w:divBdr>
            <w:top w:val="none" w:sz="0" w:space="0" w:color="auto"/>
            <w:left w:val="none" w:sz="0" w:space="0" w:color="auto"/>
            <w:bottom w:val="none" w:sz="0" w:space="0" w:color="auto"/>
            <w:right w:val="none" w:sz="0" w:space="0" w:color="auto"/>
          </w:divBdr>
        </w:div>
      </w:divsChild>
    </w:div>
    <w:div w:id="1206872305">
      <w:bodyDiv w:val="1"/>
      <w:marLeft w:val="0"/>
      <w:marRight w:val="0"/>
      <w:marTop w:val="0"/>
      <w:marBottom w:val="0"/>
      <w:divBdr>
        <w:top w:val="none" w:sz="0" w:space="0" w:color="auto"/>
        <w:left w:val="none" w:sz="0" w:space="0" w:color="auto"/>
        <w:bottom w:val="none" w:sz="0" w:space="0" w:color="auto"/>
        <w:right w:val="none" w:sz="0" w:space="0" w:color="auto"/>
      </w:divBdr>
    </w:div>
    <w:div w:id="1307902597">
      <w:bodyDiv w:val="1"/>
      <w:marLeft w:val="0"/>
      <w:marRight w:val="0"/>
      <w:marTop w:val="0"/>
      <w:marBottom w:val="0"/>
      <w:divBdr>
        <w:top w:val="none" w:sz="0" w:space="0" w:color="auto"/>
        <w:left w:val="none" w:sz="0" w:space="0" w:color="auto"/>
        <w:bottom w:val="none" w:sz="0" w:space="0" w:color="auto"/>
        <w:right w:val="none" w:sz="0" w:space="0" w:color="auto"/>
      </w:divBdr>
    </w:div>
    <w:div w:id="1432434620">
      <w:bodyDiv w:val="1"/>
      <w:marLeft w:val="0"/>
      <w:marRight w:val="0"/>
      <w:marTop w:val="0"/>
      <w:marBottom w:val="0"/>
      <w:divBdr>
        <w:top w:val="none" w:sz="0" w:space="0" w:color="auto"/>
        <w:left w:val="none" w:sz="0" w:space="0" w:color="auto"/>
        <w:bottom w:val="none" w:sz="0" w:space="0" w:color="auto"/>
        <w:right w:val="none" w:sz="0" w:space="0" w:color="auto"/>
      </w:divBdr>
    </w:div>
    <w:div w:id="1522545627">
      <w:bodyDiv w:val="1"/>
      <w:marLeft w:val="0"/>
      <w:marRight w:val="0"/>
      <w:marTop w:val="0"/>
      <w:marBottom w:val="0"/>
      <w:divBdr>
        <w:top w:val="none" w:sz="0" w:space="0" w:color="auto"/>
        <w:left w:val="none" w:sz="0" w:space="0" w:color="auto"/>
        <w:bottom w:val="none" w:sz="0" w:space="0" w:color="auto"/>
        <w:right w:val="none" w:sz="0" w:space="0" w:color="auto"/>
      </w:divBdr>
    </w:div>
    <w:div w:id="1570071405">
      <w:bodyDiv w:val="1"/>
      <w:marLeft w:val="0"/>
      <w:marRight w:val="0"/>
      <w:marTop w:val="0"/>
      <w:marBottom w:val="0"/>
      <w:divBdr>
        <w:top w:val="none" w:sz="0" w:space="0" w:color="auto"/>
        <w:left w:val="none" w:sz="0" w:space="0" w:color="auto"/>
        <w:bottom w:val="none" w:sz="0" w:space="0" w:color="auto"/>
        <w:right w:val="none" w:sz="0" w:space="0" w:color="auto"/>
      </w:divBdr>
    </w:div>
    <w:div w:id="1603488412">
      <w:bodyDiv w:val="1"/>
      <w:marLeft w:val="0"/>
      <w:marRight w:val="0"/>
      <w:marTop w:val="0"/>
      <w:marBottom w:val="0"/>
      <w:divBdr>
        <w:top w:val="none" w:sz="0" w:space="0" w:color="auto"/>
        <w:left w:val="none" w:sz="0" w:space="0" w:color="auto"/>
        <w:bottom w:val="none" w:sz="0" w:space="0" w:color="auto"/>
        <w:right w:val="none" w:sz="0" w:space="0" w:color="auto"/>
      </w:divBdr>
    </w:div>
    <w:div w:id="1633974373">
      <w:bodyDiv w:val="1"/>
      <w:marLeft w:val="0"/>
      <w:marRight w:val="0"/>
      <w:marTop w:val="0"/>
      <w:marBottom w:val="0"/>
      <w:divBdr>
        <w:top w:val="none" w:sz="0" w:space="0" w:color="auto"/>
        <w:left w:val="none" w:sz="0" w:space="0" w:color="auto"/>
        <w:bottom w:val="none" w:sz="0" w:space="0" w:color="auto"/>
        <w:right w:val="none" w:sz="0" w:space="0" w:color="auto"/>
      </w:divBdr>
    </w:div>
    <w:div w:id="1665039943">
      <w:bodyDiv w:val="1"/>
      <w:marLeft w:val="0"/>
      <w:marRight w:val="0"/>
      <w:marTop w:val="0"/>
      <w:marBottom w:val="0"/>
      <w:divBdr>
        <w:top w:val="none" w:sz="0" w:space="0" w:color="auto"/>
        <w:left w:val="none" w:sz="0" w:space="0" w:color="auto"/>
        <w:bottom w:val="none" w:sz="0" w:space="0" w:color="auto"/>
        <w:right w:val="none" w:sz="0" w:space="0" w:color="auto"/>
      </w:divBdr>
    </w:div>
    <w:div w:id="1732656030">
      <w:bodyDiv w:val="1"/>
      <w:marLeft w:val="0"/>
      <w:marRight w:val="0"/>
      <w:marTop w:val="0"/>
      <w:marBottom w:val="0"/>
      <w:divBdr>
        <w:top w:val="none" w:sz="0" w:space="0" w:color="auto"/>
        <w:left w:val="none" w:sz="0" w:space="0" w:color="auto"/>
        <w:bottom w:val="none" w:sz="0" w:space="0" w:color="auto"/>
        <w:right w:val="none" w:sz="0" w:space="0" w:color="auto"/>
      </w:divBdr>
    </w:div>
    <w:div w:id="1845512869">
      <w:bodyDiv w:val="1"/>
      <w:marLeft w:val="0"/>
      <w:marRight w:val="0"/>
      <w:marTop w:val="0"/>
      <w:marBottom w:val="0"/>
      <w:divBdr>
        <w:top w:val="none" w:sz="0" w:space="0" w:color="auto"/>
        <w:left w:val="none" w:sz="0" w:space="0" w:color="auto"/>
        <w:bottom w:val="none" w:sz="0" w:space="0" w:color="auto"/>
        <w:right w:val="none" w:sz="0" w:space="0" w:color="auto"/>
      </w:divBdr>
    </w:div>
    <w:div w:id="1936280846">
      <w:bodyDiv w:val="1"/>
      <w:marLeft w:val="0"/>
      <w:marRight w:val="0"/>
      <w:marTop w:val="0"/>
      <w:marBottom w:val="0"/>
      <w:divBdr>
        <w:top w:val="none" w:sz="0" w:space="0" w:color="auto"/>
        <w:left w:val="none" w:sz="0" w:space="0" w:color="auto"/>
        <w:bottom w:val="none" w:sz="0" w:space="0" w:color="auto"/>
        <w:right w:val="none" w:sz="0" w:space="0" w:color="auto"/>
      </w:divBdr>
    </w:div>
    <w:div w:id="2093232531">
      <w:bodyDiv w:val="1"/>
      <w:marLeft w:val="0"/>
      <w:marRight w:val="0"/>
      <w:marTop w:val="0"/>
      <w:marBottom w:val="0"/>
      <w:divBdr>
        <w:top w:val="none" w:sz="0" w:space="0" w:color="auto"/>
        <w:left w:val="none" w:sz="0" w:space="0" w:color="auto"/>
        <w:bottom w:val="none" w:sz="0" w:space="0" w:color="auto"/>
        <w:right w:val="none" w:sz="0" w:space="0" w:color="auto"/>
      </w:divBdr>
    </w:div>
    <w:div w:id="2110924905">
      <w:bodyDiv w:val="1"/>
      <w:marLeft w:val="0"/>
      <w:marRight w:val="0"/>
      <w:marTop w:val="0"/>
      <w:marBottom w:val="0"/>
      <w:divBdr>
        <w:top w:val="none" w:sz="0" w:space="0" w:color="auto"/>
        <w:left w:val="none" w:sz="0" w:space="0" w:color="auto"/>
        <w:bottom w:val="none" w:sz="0" w:space="0" w:color="auto"/>
        <w:right w:val="none" w:sz="0" w:space="0" w:color="auto"/>
      </w:divBdr>
    </w:div>
    <w:div w:id="213694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esco.org/en/articles/right-start-early-childhood-care-and-educatio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scot/publications/assessment-early-level-curriculum-excellence-refreshed-narrative/" TargetMode="External"/><Relationship Id="rId12" Type="http://schemas.openxmlformats.org/officeDocument/2006/relationships/hyperlink" Target="https://www.gov.wales/curriculum-funded-non-maintained-nursery-settings-guida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early-years-foundation-stage-framework--2" TargetMode="External"/><Relationship Id="rId11" Type="http://schemas.openxmlformats.org/officeDocument/2006/relationships/hyperlink" Target="https://www.gov.wales/curriculum-funded-non-maintained-nursery-settings-guidanc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gov.wales/foundation-phase-framework" TargetMode="External"/><Relationship Id="rId4" Type="http://schemas.openxmlformats.org/officeDocument/2006/relationships/footnotes" Target="footnotes.xml"/><Relationship Id="rId9" Type="http://schemas.openxmlformats.org/officeDocument/2006/relationships/hyperlink" Target="https://www.gov.wales/foundation-phase-framewo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15</Pages>
  <Words>4970</Words>
  <Characters>28329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5</cp:revision>
  <dcterms:created xsi:type="dcterms:W3CDTF">2025-06-09T18:31:00Z</dcterms:created>
  <dcterms:modified xsi:type="dcterms:W3CDTF">2025-06-14T10:44:00Z</dcterms:modified>
</cp:coreProperties>
</file>