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8A460" w14:textId="56335F74" w:rsidR="003A15EE" w:rsidRDefault="003A15EE" w:rsidP="00C75D87">
      <w:pPr>
        <w:pStyle w:val="Heading1"/>
        <w:jc w:val="center"/>
      </w:pPr>
      <w:r>
        <w:t>HIH5</w:t>
      </w:r>
      <w:r w:rsidR="001050E7">
        <w:t>029/6029</w:t>
      </w:r>
      <w:r>
        <w:t xml:space="preserve"> Global Genocides</w:t>
      </w:r>
    </w:p>
    <w:p w14:paraId="1982D31E" w14:textId="3610EBBF" w:rsidR="00703BB7" w:rsidRDefault="00703BB7" w:rsidP="00703BB7">
      <w:r>
        <w:rPr>
          <w:noProof/>
        </w:rPr>
        <w:drawing>
          <wp:inline distT="0" distB="0" distL="0" distR="0" wp14:anchorId="039F9089" wp14:editId="0E0B2CF2">
            <wp:extent cx="5731510" cy="3823970"/>
            <wp:effectExtent l="0" t="0" r="2540" b="5080"/>
            <wp:docPr id="1161618569" name="Picture 1" descr="A white arch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18569" name="Picture 1" descr="A white arch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4ACAED9F" w14:textId="16B35FF5" w:rsidR="00C75D87" w:rsidRPr="00E660A4" w:rsidRDefault="00C75D87" w:rsidP="00C75D87">
      <w:pPr>
        <w:jc w:val="center"/>
      </w:pPr>
      <w:r w:rsidRPr="00E660A4">
        <w:t>(Image: Bisesero Genocide Memorial, Rwanda)</w:t>
      </w:r>
    </w:p>
    <w:p w14:paraId="1EE3EB7E" w14:textId="1EA93062" w:rsidR="003A15EE" w:rsidRDefault="003A15EE" w:rsidP="00C75D87">
      <w:pPr>
        <w:pStyle w:val="Heading2"/>
        <w:jc w:val="center"/>
      </w:pPr>
      <w:r>
        <w:t>Module Lead: Dr Rhian Elinor Keyse (</w:t>
      </w:r>
      <w:hyperlink r:id="rId9" w:history="1">
        <w:r w:rsidRPr="00B536E3">
          <w:rPr>
            <w:rStyle w:val="Hyperlink"/>
          </w:rPr>
          <w:t>r.keyse@uwtsd.ac.uk</w:t>
        </w:r>
      </w:hyperlink>
      <w:r>
        <w:t>)</w:t>
      </w:r>
    </w:p>
    <w:p w14:paraId="323A849B" w14:textId="77777777" w:rsidR="00C440C2" w:rsidRDefault="00C440C2">
      <w:pPr>
        <w:rPr>
          <w:rFonts w:asciiTheme="majorHAnsi" w:eastAsiaTheme="majorEastAsia" w:hAnsiTheme="majorHAnsi" w:cstheme="majorBidi"/>
          <w:color w:val="0F4761" w:themeColor="accent1" w:themeShade="BF"/>
          <w:sz w:val="32"/>
          <w:szCs w:val="32"/>
        </w:rPr>
      </w:pPr>
      <w:r>
        <w:br w:type="page"/>
      </w:r>
    </w:p>
    <w:p w14:paraId="23316071" w14:textId="1D35C104" w:rsidR="007E3144" w:rsidRDefault="007E3144" w:rsidP="007E3144">
      <w:pPr>
        <w:pStyle w:val="Heading2"/>
      </w:pPr>
      <w:r>
        <w:lastRenderedPageBreak/>
        <w:t>Contents</w:t>
      </w:r>
    </w:p>
    <w:p w14:paraId="63AD9172" w14:textId="63C882D0" w:rsidR="007E3144" w:rsidRDefault="007E3144" w:rsidP="007E3144">
      <w:r>
        <w:t>Introduction</w:t>
      </w:r>
      <w:r w:rsidR="0046277F">
        <w:t xml:space="preserve"> and learning objectives</w:t>
      </w:r>
      <w:r w:rsidR="0046277F">
        <w:tab/>
      </w:r>
      <w:r w:rsidR="0046277F">
        <w:tab/>
      </w:r>
      <w:r w:rsidR="0046277F">
        <w:tab/>
      </w:r>
      <w:r w:rsidR="0046277F">
        <w:tab/>
      </w:r>
      <w:r w:rsidR="0046277F">
        <w:tab/>
        <w:t>p.3</w:t>
      </w:r>
    </w:p>
    <w:p w14:paraId="1DFF03FC" w14:textId="1B041026" w:rsidR="007E3144" w:rsidRDefault="007E3144" w:rsidP="007E3144">
      <w:r>
        <w:t>Teaching arrangements</w:t>
      </w:r>
      <w:r w:rsidR="0069554F">
        <w:tab/>
      </w:r>
      <w:r w:rsidR="0069554F">
        <w:tab/>
      </w:r>
      <w:r w:rsidR="0069554F">
        <w:tab/>
      </w:r>
      <w:r w:rsidR="0069554F">
        <w:tab/>
      </w:r>
      <w:r w:rsidR="0069554F">
        <w:tab/>
      </w:r>
      <w:r w:rsidR="0069554F">
        <w:tab/>
      </w:r>
      <w:r w:rsidR="0069554F">
        <w:tab/>
        <w:t>p.</w:t>
      </w:r>
      <w:r w:rsidR="001C16E1">
        <w:t>4</w:t>
      </w:r>
    </w:p>
    <w:p w14:paraId="6CB3248A" w14:textId="5306CE58" w:rsidR="007E3144" w:rsidRDefault="007E3144" w:rsidP="007E3144">
      <w:r>
        <w:t>Reading</w:t>
      </w:r>
      <w:r w:rsidR="0069554F">
        <w:tab/>
      </w:r>
      <w:r w:rsidR="0069554F">
        <w:tab/>
      </w:r>
      <w:r w:rsidR="0069554F">
        <w:tab/>
      </w:r>
      <w:r w:rsidR="0069554F">
        <w:tab/>
      </w:r>
      <w:r w:rsidR="0069554F">
        <w:tab/>
      </w:r>
      <w:r w:rsidR="0069554F">
        <w:tab/>
      </w:r>
      <w:r w:rsidR="0069554F">
        <w:tab/>
      </w:r>
      <w:r w:rsidR="0069554F">
        <w:tab/>
      </w:r>
      <w:r w:rsidR="0069554F">
        <w:tab/>
        <w:t>p.</w:t>
      </w:r>
      <w:r w:rsidR="001C16E1">
        <w:t>5</w:t>
      </w:r>
    </w:p>
    <w:p w14:paraId="6A167200" w14:textId="39259CB8" w:rsidR="007E3144" w:rsidRDefault="007E3144" w:rsidP="007E3144">
      <w:r>
        <w:t>Assessment</w:t>
      </w:r>
      <w:r w:rsidR="0069554F">
        <w:tab/>
      </w:r>
      <w:r w:rsidR="0069554F">
        <w:tab/>
      </w:r>
      <w:r w:rsidR="0069554F">
        <w:tab/>
      </w:r>
      <w:r w:rsidR="0069554F">
        <w:tab/>
      </w:r>
      <w:r w:rsidR="0069554F">
        <w:tab/>
      </w:r>
      <w:r w:rsidR="0069554F">
        <w:tab/>
      </w:r>
      <w:r w:rsidR="0069554F">
        <w:tab/>
      </w:r>
      <w:r w:rsidR="0069554F">
        <w:tab/>
      </w:r>
      <w:r w:rsidR="0069554F">
        <w:tab/>
        <w:t>p.</w:t>
      </w:r>
      <w:r w:rsidR="001C16E1">
        <w:t>5</w:t>
      </w:r>
    </w:p>
    <w:p w14:paraId="450FC58E" w14:textId="6CF9374D" w:rsidR="00E3344D" w:rsidRDefault="008B44E7" w:rsidP="007E3144">
      <w:r>
        <w:t>Seminar outlines</w:t>
      </w:r>
      <w:r>
        <w:tab/>
      </w:r>
      <w:r>
        <w:tab/>
      </w:r>
      <w:r>
        <w:tab/>
      </w:r>
      <w:r>
        <w:tab/>
      </w:r>
      <w:r>
        <w:tab/>
      </w:r>
      <w:r>
        <w:tab/>
      </w:r>
      <w:r>
        <w:tab/>
      </w:r>
      <w:r>
        <w:tab/>
        <w:t>p.8</w:t>
      </w:r>
    </w:p>
    <w:p w14:paraId="2791E5E4" w14:textId="7BD76E2E" w:rsidR="00E3344D" w:rsidRPr="007E3144" w:rsidRDefault="008B44E7" w:rsidP="007E3144">
      <w:r>
        <w:t>Supplementary r</w:t>
      </w:r>
      <w:r w:rsidR="008D21A5">
        <w:t>eading list</w:t>
      </w:r>
      <w:r>
        <w:tab/>
      </w:r>
      <w:r>
        <w:tab/>
      </w:r>
      <w:r>
        <w:tab/>
      </w:r>
      <w:r>
        <w:tab/>
      </w:r>
      <w:r>
        <w:tab/>
      </w:r>
      <w:r>
        <w:tab/>
      </w:r>
      <w:r>
        <w:tab/>
        <w:t>p.2</w:t>
      </w:r>
      <w:r w:rsidR="001C16E1">
        <w:t>3</w:t>
      </w:r>
    </w:p>
    <w:p w14:paraId="6E63AFD1" w14:textId="77777777" w:rsidR="00C440C2" w:rsidRDefault="00C440C2">
      <w:pPr>
        <w:rPr>
          <w:rFonts w:asciiTheme="majorHAnsi" w:eastAsiaTheme="majorEastAsia" w:hAnsiTheme="majorHAnsi" w:cstheme="majorBidi"/>
          <w:color w:val="0F4761" w:themeColor="accent1" w:themeShade="BF"/>
          <w:sz w:val="32"/>
          <w:szCs w:val="32"/>
        </w:rPr>
      </w:pPr>
      <w:r>
        <w:br w:type="page"/>
      </w:r>
    </w:p>
    <w:p w14:paraId="02898B19" w14:textId="09FDF319" w:rsidR="003A15EE" w:rsidRDefault="003A15EE" w:rsidP="00376206">
      <w:pPr>
        <w:pStyle w:val="Heading2"/>
      </w:pPr>
      <w:r>
        <w:lastRenderedPageBreak/>
        <w:t>Introduction</w:t>
      </w:r>
    </w:p>
    <w:p w14:paraId="50EFC1D0" w14:textId="7134FA61" w:rsidR="00376206" w:rsidRDefault="0010079C" w:rsidP="0010079C">
      <w:r w:rsidRPr="0010079C">
        <w:t>Welcome to Global Genocides (HPHI5029/HPHI6029). I'm Dr Rhian Elinor Keyse, the module convenor for this course. Over the four weeks of the block, we'll be investigating the patterns of genocidal violence across the globe, and examining the various scholarly explanations of mass violence. Through the analysis of several case studies, we'll be thinking about what leads to genocide, and what causes some people to commit it. We'll also be examining the aftermath of genocide, considering how the legacies of violence are remembered, as well as the issue of genocide denial.</w:t>
      </w:r>
    </w:p>
    <w:p w14:paraId="5F927A54" w14:textId="272ADE50" w:rsidR="00C57F74" w:rsidRDefault="00C57F74" w:rsidP="0010079C">
      <w:r>
        <w:t>Here at Lampeter we have a strong tradition of teaching in small groups. Take advantage of this – it means that you can engage and interact in classes to an extent that isn’t possible in a larger lecture group. Don’t be shy to ask questions if there’s something that doesn’t quite make sense, or if you want to know more. I might not always know the answer, but we can find out collaboratively! I actively encourage you to ask questions. Don’t be afraid to have a go at answering questions</w:t>
      </w:r>
      <w:r w:rsidR="00CE4D26">
        <w:t>. I recognise that some of the subjects discussed during the module will be unfamiliar to some of you. Remember you’re encouraged to think and explore, and there are rarely right or wrong answers.</w:t>
      </w:r>
    </w:p>
    <w:p w14:paraId="05FB9455" w14:textId="527692E1" w:rsidR="004D0AF8" w:rsidRDefault="004D0AF8" w:rsidP="004D0AF8">
      <w:pPr>
        <w:pStyle w:val="Heading2"/>
      </w:pPr>
      <w:r>
        <w:t>Content note</w:t>
      </w:r>
    </w:p>
    <w:p w14:paraId="153ED3A3" w14:textId="61873EFC" w:rsidR="00CF0E9F" w:rsidRDefault="00CF0E9F" w:rsidP="00CF0E9F">
      <w:r>
        <w:t xml:space="preserve">As you might expect on a module relating to genocide, the material we will cover this block will </w:t>
      </w:r>
      <w:r w:rsidR="00C43802">
        <w:t>cover challenging material</w:t>
      </w:r>
      <w:r w:rsidR="002261E9">
        <w:t xml:space="preserve"> that could be potentially distressing.</w:t>
      </w:r>
      <w:r w:rsidR="00C43802">
        <w:t xml:space="preserve"> Topics covered will include violence (including sexual and racist violence), murder, sexual assault, </w:t>
      </w:r>
      <w:r w:rsidR="00CA26FE">
        <w:t xml:space="preserve">racism, homophobia and transphobia. </w:t>
      </w:r>
      <w:r w:rsidR="002261E9">
        <w:t xml:space="preserve">If there is anything that concerns you in the course outline, </w:t>
      </w:r>
      <w:r w:rsidR="00473DE2">
        <w:t>please do not hesitate to contact me. You will not need to discuss why you do not wish to engage with particular topics, we can simply discuss how you might meet the learning objectives of the module.</w:t>
      </w:r>
    </w:p>
    <w:p w14:paraId="2DDF1D58" w14:textId="47E9996F" w:rsidR="00473DE2" w:rsidRDefault="00473DE2" w:rsidP="00CF0E9F">
      <w:r>
        <w:t>I am committed to ensuring that our work together this block occurs in a safe space for discussing difficult topics. This isn’t about limiting critical engagement, but rather ensuring that everyone feels respected and safe</w:t>
      </w:r>
      <w:r w:rsidR="003D4888">
        <w:t xml:space="preserve">. </w:t>
      </w:r>
      <w:r w:rsidR="002847E4">
        <w:t>I ask that we all treat each other carefully.</w:t>
      </w:r>
    </w:p>
    <w:p w14:paraId="690DC43D" w14:textId="5A4AB262" w:rsidR="002847E4" w:rsidRPr="00CF0E9F" w:rsidRDefault="002847E4" w:rsidP="00CF0E9F">
      <w:r>
        <w:t>There will be scheduled breaks in our classes, but you’re welcome to step outside if you need to take care of yourself – no questions will be asked if you need to do this, and you’re very welcome to rejoin the class when you feel able.</w:t>
      </w:r>
    </w:p>
    <w:p w14:paraId="555F34F8" w14:textId="6B018B6D" w:rsidR="00CF0E9F" w:rsidRPr="00CF0E9F" w:rsidRDefault="00CF0E9F" w:rsidP="00CF0E9F">
      <w:r w:rsidRPr="00CF0E9F">
        <w:t>Local and national support resources are available – these are linked here:</w:t>
      </w:r>
    </w:p>
    <w:p w14:paraId="407FFB0A" w14:textId="77777777" w:rsidR="00CF0E9F" w:rsidRPr="00CF0E9F" w:rsidRDefault="00CF0E9F" w:rsidP="00CF0E9F">
      <w:pPr>
        <w:numPr>
          <w:ilvl w:val="1"/>
          <w:numId w:val="28"/>
        </w:numPr>
      </w:pPr>
      <w:hyperlink r:id="rId10" w:history="1">
        <w:r w:rsidRPr="00CF0E9F">
          <w:rPr>
            <w:rStyle w:val="Hyperlink"/>
            <w:highlight w:val="white"/>
          </w:rPr>
          <w:t>Wellbeing Support | University of Wales Trinity Saint David (uwtsd.ac.uk)</w:t>
        </w:r>
      </w:hyperlink>
    </w:p>
    <w:p w14:paraId="08CE8C86" w14:textId="77777777" w:rsidR="00CF0E9F" w:rsidRPr="00CF0E9F" w:rsidRDefault="00CF0E9F" w:rsidP="00CF0E9F">
      <w:pPr>
        <w:numPr>
          <w:ilvl w:val="1"/>
          <w:numId w:val="28"/>
        </w:numPr>
      </w:pPr>
      <w:hyperlink r:id="rId11" w:history="1">
        <w:r w:rsidRPr="00CF0E9F">
          <w:rPr>
            <w:rStyle w:val="Hyperlink"/>
            <w:highlight w:val="white"/>
          </w:rPr>
          <w:t>Domestic abuse | GOV.WALES</w:t>
        </w:r>
      </w:hyperlink>
    </w:p>
    <w:p w14:paraId="76F194A4" w14:textId="77777777" w:rsidR="00CF0E9F" w:rsidRPr="00CF0E9F" w:rsidRDefault="00CF0E9F" w:rsidP="00CF0E9F">
      <w:pPr>
        <w:numPr>
          <w:ilvl w:val="1"/>
          <w:numId w:val="28"/>
        </w:numPr>
      </w:pPr>
      <w:hyperlink r:id="rId12" w:history="1">
        <w:r w:rsidRPr="00CF0E9F">
          <w:rPr>
            <w:rStyle w:val="Hyperlink"/>
            <w:highlight w:val="white"/>
          </w:rPr>
          <w:t>New Pathways Rape crisis and sexual abuse support services.</w:t>
        </w:r>
      </w:hyperlink>
    </w:p>
    <w:p w14:paraId="664C3EB0" w14:textId="56005D30" w:rsidR="00512056" w:rsidRDefault="00512056" w:rsidP="00512056">
      <w:pPr>
        <w:pStyle w:val="Heading2"/>
      </w:pPr>
      <w:r>
        <w:lastRenderedPageBreak/>
        <w:t>Help and advice</w:t>
      </w:r>
    </w:p>
    <w:p w14:paraId="00B95184" w14:textId="424F4744" w:rsidR="00512056" w:rsidRDefault="00512056" w:rsidP="00512056">
      <w:r>
        <w:t xml:space="preserve">If you have any queries about the module, please do not hesitate to ask for help. The best way to reach me is always by email: </w:t>
      </w:r>
      <w:hyperlink r:id="rId13" w:history="1">
        <w:r w:rsidRPr="00F93D87">
          <w:rPr>
            <w:rStyle w:val="Hyperlink"/>
          </w:rPr>
          <w:t>r.keyse@uwtsd.ac.uk</w:t>
        </w:r>
      </w:hyperlink>
    </w:p>
    <w:p w14:paraId="318BA7BC" w14:textId="62512709" w:rsidR="00AA1674" w:rsidRDefault="00AA1674" w:rsidP="00AA1674">
      <w:pPr>
        <w:pStyle w:val="Heading2"/>
      </w:pPr>
      <w:r>
        <w:t>Learning objectives</w:t>
      </w:r>
    </w:p>
    <w:p w14:paraId="48BEC663" w14:textId="367DD297" w:rsidR="0010079C" w:rsidRDefault="0010079C" w:rsidP="0010079C">
      <w:r>
        <w:t xml:space="preserve">By the end of the module </w:t>
      </w:r>
      <w:r w:rsidR="00AA1674">
        <w:t>you should be able to:</w:t>
      </w:r>
    </w:p>
    <w:p w14:paraId="13B8EC55" w14:textId="5E5E7B83" w:rsidR="00AA1674" w:rsidRDefault="00AA1674" w:rsidP="00AA1674">
      <w:pPr>
        <w:pStyle w:val="ListParagraph"/>
        <w:numPr>
          <w:ilvl w:val="0"/>
          <w:numId w:val="6"/>
        </w:numPr>
      </w:pPr>
      <w:r>
        <w:t>Demonstrate knowledge and critical understanding of the well-established field of genocide studies</w:t>
      </w:r>
    </w:p>
    <w:p w14:paraId="6762E189" w14:textId="2DCEADA1" w:rsidR="00AA1674" w:rsidRDefault="00AA1674" w:rsidP="00AA1674">
      <w:pPr>
        <w:pStyle w:val="ListParagraph"/>
        <w:numPr>
          <w:ilvl w:val="0"/>
          <w:numId w:val="6"/>
        </w:numPr>
      </w:pPr>
      <w:r>
        <w:t>Have a good grasp of the case studies and the scholarly debates around them</w:t>
      </w:r>
    </w:p>
    <w:p w14:paraId="1549C7B1" w14:textId="1CA6147E" w:rsidR="00AA1674" w:rsidRDefault="00AA1674" w:rsidP="00AA1674">
      <w:pPr>
        <w:pStyle w:val="ListParagraph"/>
        <w:numPr>
          <w:ilvl w:val="0"/>
          <w:numId w:val="6"/>
        </w:numPr>
      </w:pPr>
      <w:r>
        <w:t>Identify, locate, and analyse pertinent primary evidence in order to illustrate/demonstrate more general scholarly argument.</w:t>
      </w:r>
    </w:p>
    <w:p w14:paraId="09AA6CFD" w14:textId="39604CBD" w:rsidR="003A15EE" w:rsidRDefault="003A15EE" w:rsidP="00AA1674">
      <w:pPr>
        <w:pStyle w:val="Heading2"/>
      </w:pPr>
      <w:r>
        <w:t>Teaching arrangements</w:t>
      </w:r>
    </w:p>
    <w:p w14:paraId="0B91C196" w14:textId="68706A46" w:rsidR="003A5255" w:rsidRDefault="003A15EE" w:rsidP="003A5255">
      <w:r>
        <w:t xml:space="preserve">This year (2024/25), the course will run in Block 4. It will be taught in-person through 12 x 3 hour classes </w:t>
      </w:r>
      <w:r w:rsidR="003A5255">
        <w:t xml:space="preserve">in </w:t>
      </w:r>
      <w:r w:rsidR="003A5255" w:rsidRPr="003A5255">
        <w:rPr>
          <w:b/>
          <w:bCs/>
        </w:rPr>
        <w:t>Arts 1</w:t>
      </w:r>
      <w:r w:rsidR="003A5255">
        <w:t xml:space="preserve"> between </w:t>
      </w:r>
      <w:r w:rsidR="003A5255" w:rsidRPr="003A5255">
        <w:rPr>
          <w:b/>
          <w:bCs/>
        </w:rPr>
        <w:t>10am and 1pm</w:t>
      </w:r>
      <w:r w:rsidR="003A5255">
        <w:t xml:space="preserve"> on the following dates:</w:t>
      </w:r>
    </w:p>
    <w:tbl>
      <w:tblPr>
        <w:tblStyle w:val="TableGrid"/>
        <w:tblW w:w="0" w:type="auto"/>
        <w:tblLook w:val="04A0" w:firstRow="1" w:lastRow="0" w:firstColumn="1" w:lastColumn="0" w:noHBand="0" w:noVBand="1"/>
      </w:tblPr>
      <w:tblGrid>
        <w:gridCol w:w="4508"/>
        <w:gridCol w:w="4508"/>
      </w:tblGrid>
      <w:tr w:rsidR="00C440C2" w14:paraId="57D2C5BF" w14:textId="77777777" w:rsidTr="00C440C2">
        <w:tc>
          <w:tcPr>
            <w:tcW w:w="4508" w:type="dxa"/>
          </w:tcPr>
          <w:p w14:paraId="621F9C36" w14:textId="16DCB1D6" w:rsidR="00C440C2" w:rsidRPr="00C440C2" w:rsidRDefault="00C440C2" w:rsidP="003A5255">
            <w:pPr>
              <w:rPr>
                <w:b/>
                <w:bCs/>
              </w:rPr>
            </w:pPr>
            <w:r>
              <w:rPr>
                <w:b/>
                <w:bCs/>
              </w:rPr>
              <w:t>Date</w:t>
            </w:r>
          </w:p>
        </w:tc>
        <w:tc>
          <w:tcPr>
            <w:tcW w:w="4508" w:type="dxa"/>
          </w:tcPr>
          <w:p w14:paraId="71B8C10B" w14:textId="389453BF" w:rsidR="00C440C2" w:rsidRPr="00C440C2" w:rsidRDefault="00C440C2" w:rsidP="003A5255">
            <w:pPr>
              <w:rPr>
                <w:b/>
                <w:bCs/>
              </w:rPr>
            </w:pPr>
            <w:r>
              <w:rPr>
                <w:b/>
                <w:bCs/>
              </w:rPr>
              <w:t>Class topic</w:t>
            </w:r>
          </w:p>
        </w:tc>
      </w:tr>
      <w:tr w:rsidR="00C440C2" w14:paraId="5B3CF461" w14:textId="77777777" w:rsidTr="00C440C2">
        <w:tc>
          <w:tcPr>
            <w:tcW w:w="4508" w:type="dxa"/>
          </w:tcPr>
          <w:p w14:paraId="4BF908E0" w14:textId="40F46741" w:rsidR="00C440C2" w:rsidRDefault="00C440C2" w:rsidP="003A5255">
            <w:r>
              <w:t>Monday 13 January</w:t>
            </w:r>
          </w:p>
        </w:tc>
        <w:tc>
          <w:tcPr>
            <w:tcW w:w="4508" w:type="dxa"/>
          </w:tcPr>
          <w:p w14:paraId="2BD66712" w14:textId="72C096E8" w:rsidR="00C440C2" w:rsidRDefault="00C440C2" w:rsidP="003A5255">
            <w:r>
              <w:t>Introduction to the module</w:t>
            </w:r>
          </w:p>
        </w:tc>
      </w:tr>
      <w:tr w:rsidR="00C440C2" w14:paraId="2CA85063" w14:textId="77777777" w:rsidTr="00C440C2">
        <w:tc>
          <w:tcPr>
            <w:tcW w:w="4508" w:type="dxa"/>
          </w:tcPr>
          <w:p w14:paraId="4C781B15" w14:textId="40A836D3" w:rsidR="00C440C2" w:rsidRDefault="00C440C2" w:rsidP="003A5255">
            <w:r>
              <w:t>Tuesday 14 January</w:t>
            </w:r>
          </w:p>
        </w:tc>
        <w:tc>
          <w:tcPr>
            <w:tcW w:w="4508" w:type="dxa"/>
          </w:tcPr>
          <w:p w14:paraId="36B3D969" w14:textId="5935AAAA" w:rsidR="00C440C2" w:rsidRDefault="00C440C2" w:rsidP="003A5255">
            <w:r>
              <w:t>What is genocide?</w:t>
            </w:r>
          </w:p>
        </w:tc>
      </w:tr>
      <w:tr w:rsidR="00C440C2" w14:paraId="33ECFA8A" w14:textId="77777777" w:rsidTr="00C440C2">
        <w:tc>
          <w:tcPr>
            <w:tcW w:w="4508" w:type="dxa"/>
          </w:tcPr>
          <w:p w14:paraId="5020A521" w14:textId="50E8DCF1" w:rsidR="00C440C2" w:rsidRDefault="00C440C2" w:rsidP="003A5255">
            <w:r>
              <w:t>Thursday 16 January</w:t>
            </w:r>
          </w:p>
        </w:tc>
        <w:tc>
          <w:tcPr>
            <w:tcW w:w="4508" w:type="dxa"/>
          </w:tcPr>
          <w:p w14:paraId="0F6BC18D" w14:textId="6F9B2416" w:rsidR="00C440C2" w:rsidRDefault="00777558" w:rsidP="003A5255">
            <w:r>
              <w:t>The genocide against the Herero and Nama people</w:t>
            </w:r>
          </w:p>
        </w:tc>
      </w:tr>
      <w:tr w:rsidR="00C440C2" w14:paraId="1657C407" w14:textId="77777777" w:rsidTr="00C440C2">
        <w:tc>
          <w:tcPr>
            <w:tcW w:w="4508" w:type="dxa"/>
          </w:tcPr>
          <w:p w14:paraId="25546271" w14:textId="235B34D4" w:rsidR="00C440C2" w:rsidRDefault="00777558" w:rsidP="003A5255">
            <w:r>
              <w:t>Monday 20 January</w:t>
            </w:r>
          </w:p>
        </w:tc>
        <w:tc>
          <w:tcPr>
            <w:tcW w:w="4508" w:type="dxa"/>
          </w:tcPr>
          <w:p w14:paraId="31514884" w14:textId="08A50A99" w:rsidR="00C440C2" w:rsidRDefault="00777558" w:rsidP="003A5255">
            <w:r>
              <w:t>The Armenian genocide</w:t>
            </w:r>
          </w:p>
        </w:tc>
      </w:tr>
      <w:tr w:rsidR="00C440C2" w14:paraId="33E7A4F4" w14:textId="77777777" w:rsidTr="00C440C2">
        <w:tc>
          <w:tcPr>
            <w:tcW w:w="4508" w:type="dxa"/>
          </w:tcPr>
          <w:p w14:paraId="4007EC60" w14:textId="1373B4D4" w:rsidR="00C440C2" w:rsidRDefault="00777558" w:rsidP="003A5255">
            <w:r>
              <w:t>Tuesday 21 January</w:t>
            </w:r>
          </w:p>
        </w:tc>
        <w:tc>
          <w:tcPr>
            <w:tcW w:w="4508" w:type="dxa"/>
          </w:tcPr>
          <w:p w14:paraId="0B0402AF" w14:textId="47DFFAB4" w:rsidR="00C440C2" w:rsidRDefault="00777558" w:rsidP="003A5255">
            <w:r>
              <w:t>The origins of the Holocaust</w:t>
            </w:r>
          </w:p>
        </w:tc>
      </w:tr>
      <w:tr w:rsidR="00C440C2" w14:paraId="4393E12D" w14:textId="77777777" w:rsidTr="00C440C2">
        <w:tc>
          <w:tcPr>
            <w:tcW w:w="4508" w:type="dxa"/>
          </w:tcPr>
          <w:p w14:paraId="58AFF304" w14:textId="20B2A70E" w:rsidR="00C440C2" w:rsidRDefault="00777558" w:rsidP="003A5255">
            <w:r>
              <w:t>Thursday 23 January</w:t>
            </w:r>
          </w:p>
        </w:tc>
        <w:tc>
          <w:tcPr>
            <w:tcW w:w="4508" w:type="dxa"/>
          </w:tcPr>
          <w:p w14:paraId="710ABA24" w14:textId="2633509C" w:rsidR="00C440C2" w:rsidRDefault="00777558" w:rsidP="003A5255">
            <w:r>
              <w:t>The Holocaust and genocide perpetrators</w:t>
            </w:r>
          </w:p>
        </w:tc>
      </w:tr>
      <w:tr w:rsidR="00C440C2" w14:paraId="24A8E431" w14:textId="77777777" w:rsidTr="00C440C2">
        <w:tc>
          <w:tcPr>
            <w:tcW w:w="4508" w:type="dxa"/>
          </w:tcPr>
          <w:p w14:paraId="1B325CFB" w14:textId="7F800123" w:rsidR="00C440C2" w:rsidRDefault="00777558" w:rsidP="003A5255">
            <w:r>
              <w:t>Monday 27 January</w:t>
            </w:r>
          </w:p>
        </w:tc>
        <w:tc>
          <w:tcPr>
            <w:tcW w:w="4508" w:type="dxa"/>
          </w:tcPr>
          <w:p w14:paraId="7625D6A8" w14:textId="0072EE64" w:rsidR="00C440C2" w:rsidRDefault="00777558" w:rsidP="003A5255">
            <w:r>
              <w:t>Genocide in Cambodia</w:t>
            </w:r>
          </w:p>
        </w:tc>
      </w:tr>
      <w:tr w:rsidR="00777558" w14:paraId="6C5A1656" w14:textId="77777777" w:rsidTr="00C440C2">
        <w:tc>
          <w:tcPr>
            <w:tcW w:w="4508" w:type="dxa"/>
          </w:tcPr>
          <w:p w14:paraId="1C8ADF66" w14:textId="65A5B67A" w:rsidR="00777558" w:rsidRDefault="00777558" w:rsidP="003A5255">
            <w:r>
              <w:t>Tuesday 28 January</w:t>
            </w:r>
          </w:p>
        </w:tc>
        <w:tc>
          <w:tcPr>
            <w:tcW w:w="4508" w:type="dxa"/>
          </w:tcPr>
          <w:p w14:paraId="16A8FF62" w14:textId="0E821F32" w:rsidR="00777558" w:rsidRDefault="00777558" w:rsidP="003A5255">
            <w:r>
              <w:t>The fall of Yugoslavia and the genocide in Bosnia</w:t>
            </w:r>
          </w:p>
        </w:tc>
      </w:tr>
      <w:tr w:rsidR="00777558" w:rsidRPr="004D0AF8" w14:paraId="382F944D" w14:textId="77777777" w:rsidTr="00C440C2">
        <w:tc>
          <w:tcPr>
            <w:tcW w:w="4508" w:type="dxa"/>
          </w:tcPr>
          <w:p w14:paraId="5C38B6D6" w14:textId="5A9CF818" w:rsidR="00777558" w:rsidRDefault="00777558" w:rsidP="003A5255">
            <w:r>
              <w:t>Thursday 30 January</w:t>
            </w:r>
          </w:p>
        </w:tc>
        <w:tc>
          <w:tcPr>
            <w:tcW w:w="4508" w:type="dxa"/>
          </w:tcPr>
          <w:p w14:paraId="06CB169F" w14:textId="0CB11C2C" w:rsidR="00777558" w:rsidRPr="00777558" w:rsidRDefault="00777558" w:rsidP="003A5255">
            <w:pPr>
              <w:rPr>
                <w:lang w:val="de-DE"/>
              </w:rPr>
            </w:pPr>
            <w:r w:rsidRPr="00777558">
              <w:rPr>
                <w:lang w:val="de-DE"/>
              </w:rPr>
              <w:t>Gender and genocide in Rwanda</w:t>
            </w:r>
          </w:p>
        </w:tc>
      </w:tr>
      <w:tr w:rsidR="00777558" w:rsidRPr="00777558" w14:paraId="727A5496" w14:textId="77777777" w:rsidTr="00C440C2">
        <w:tc>
          <w:tcPr>
            <w:tcW w:w="4508" w:type="dxa"/>
          </w:tcPr>
          <w:p w14:paraId="548E8DD4" w14:textId="3CE6EBF4" w:rsidR="00777558" w:rsidRDefault="00777558" w:rsidP="003A5255">
            <w:r>
              <w:t>Monday 3 February</w:t>
            </w:r>
          </w:p>
        </w:tc>
        <w:tc>
          <w:tcPr>
            <w:tcW w:w="4508" w:type="dxa"/>
          </w:tcPr>
          <w:p w14:paraId="7BE3EFFA" w14:textId="2F6EB05C" w:rsidR="00777558" w:rsidRPr="00777558" w:rsidRDefault="00777558" w:rsidP="003A5255">
            <w:pPr>
              <w:rPr>
                <w:lang w:val="de-DE"/>
              </w:rPr>
            </w:pPr>
            <w:r>
              <w:rPr>
                <w:lang w:val="de-DE"/>
              </w:rPr>
              <w:t>Cultural genocide</w:t>
            </w:r>
          </w:p>
        </w:tc>
      </w:tr>
      <w:tr w:rsidR="00777558" w:rsidRPr="00777558" w14:paraId="49B25CFE" w14:textId="77777777" w:rsidTr="00C440C2">
        <w:tc>
          <w:tcPr>
            <w:tcW w:w="4508" w:type="dxa"/>
          </w:tcPr>
          <w:p w14:paraId="101464A4" w14:textId="78F16F48" w:rsidR="00777558" w:rsidRDefault="00777558" w:rsidP="003A5255">
            <w:r>
              <w:t xml:space="preserve">Tuesday 4 </w:t>
            </w:r>
            <w:r w:rsidR="00E660A4">
              <w:t>February</w:t>
            </w:r>
          </w:p>
        </w:tc>
        <w:tc>
          <w:tcPr>
            <w:tcW w:w="4508" w:type="dxa"/>
          </w:tcPr>
          <w:p w14:paraId="7965992D" w14:textId="62E13B1F" w:rsidR="00777558" w:rsidRDefault="00E660A4" w:rsidP="003A5255">
            <w:pPr>
              <w:rPr>
                <w:lang w:val="de-DE"/>
              </w:rPr>
            </w:pPr>
            <w:r>
              <w:rPr>
                <w:lang w:val="de-DE"/>
              </w:rPr>
              <w:t>Genocide in Darfur</w:t>
            </w:r>
          </w:p>
        </w:tc>
      </w:tr>
      <w:tr w:rsidR="00E660A4" w:rsidRPr="00777558" w14:paraId="57DCF509" w14:textId="77777777" w:rsidTr="00C440C2">
        <w:tc>
          <w:tcPr>
            <w:tcW w:w="4508" w:type="dxa"/>
          </w:tcPr>
          <w:p w14:paraId="07FD1685" w14:textId="5265EDB6" w:rsidR="00E660A4" w:rsidRDefault="00E660A4" w:rsidP="003A5255">
            <w:r>
              <w:t xml:space="preserve">Thursday 6 February </w:t>
            </w:r>
          </w:p>
        </w:tc>
        <w:tc>
          <w:tcPr>
            <w:tcW w:w="4508" w:type="dxa"/>
          </w:tcPr>
          <w:p w14:paraId="1355A664" w14:textId="206C08B7" w:rsidR="00E660A4" w:rsidRDefault="004D3EED" w:rsidP="003A5255">
            <w:pPr>
              <w:rPr>
                <w:lang w:val="de-DE"/>
              </w:rPr>
            </w:pPr>
            <w:r>
              <w:rPr>
                <w:lang w:val="de-DE"/>
              </w:rPr>
              <w:t>Memory, forgetting and denial</w:t>
            </w:r>
          </w:p>
        </w:tc>
      </w:tr>
    </w:tbl>
    <w:p w14:paraId="5F0F0B5D" w14:textId="77777777" w:rsidR="00C440C2" w:rsidRPr="00777558" w:rsidRDefault="00C440C2" w:rsidP="003A5255">
      <w:pPr>
        <w:rPr>
          <w:lang w:val="de-DE"/>
        </w:rPr>
      </w:pPr>
    </w:p>
    <w:p w14:paraId="3C78DBAD" w14:textId="00076D01" w:rsidR="003A15EE" w:rsidRDefault="003A15EE" w:rsidP="003A15EE">
      <w:r>
        <w:t xml:space="preserve">If for any reason you are unable to attend a class, please advise me by email, ideally well in advance. </w:t>
      </w:r>
      <w:r w:rsidR="00B43EF6">
        <w:t>Absences without notice will be marked as unauthorised, and a</w:t>
      </w:r>
      <w:r>
        <w:t>ttendance records are submitted to the Faculty Office.</w:t>
      </w:r>
    </w:p>
    <w:p w14:paraId="661BA74E" w14:textId="6880FFF1" w:rsidR="003A15EE" w:rsidRDefault="003A15EE" w:rsidP="00892790">
      <w:pPr>
        <w:pStyle w:val="Heading2"/>
      </w:pPr>
      <w:r>
        <w:t>Reading</w:t>
      </w:r>
    </w:p>
    <w:p w14:paraId="5A42A37A" w14:textId="731976B7" w:rsidR="00892790" w:rsidRDefault="003A15EE" w:rsidP="003A15EE">
      <w:r>
        <w:t>You are expected to engage with the reading set for each class.</w:t>
      </w:r>
      <w:r w:rsidR="00892790">
        <w:t xml:space="preserve"> </w:t>
      </w:r>
      <w:r w:rsidR="00073978">
        <w:t xml:space="preserve">Please be aware that the listed contact (in-class) hours are only a small amount of the time you are expected to be working on this module. This means reading, preparing for class, and working on your assignments. </w:t>
      </w:r>
      <w:r w:rsidR="00892790">
        <w:t xml:space="preserve">The set reading for each </w:t>
      </w:r>
      <w:r w:rsidR="00073978">
        <w:t>class</w:t>
      </w:r>
      <w:r w:rsidR="00892790">
        <w:t xml:space="preserve"> is listed on Moodle. </w:t>
      </w:r>
      <w:r w:rsidR="00C127EA">
        <w:t xml:space="preserve">For each class, please </w:t>
      </w:r>
      <w:r w:rsidR="00C127EA">
        <w:lastRenderedPageBreak/>
        <w:t xml:space="preserve">read the </w:t>
      </w:r>
      <w:r w:rsidR="00F12BD2">
        <w:t xml:space="preserve">key reading item, the primary source, and </w:t>
      </w:r>
      <w:r w:rsidR="00073978">
        <w:t xml:space="preserve">ideally </w:t>
      </w:r>
      <w:r w:rsidR="00F12BD2">
        <w:t xml:space="preserve">one further item of your choice from the further reading list provided. Please bring notes </w:t>
      </w:r>
      <w:r w:rsidR="00A336AC">
        <w:t xml:space="preserve">on your reading to class, focusing on the questions raised by what you’ve read, and the arguments set forth in the work, </w:t>
      </w:r>
      <w:r w:rsidR="00F12BD2">
        <w:t>as you will be expected to draw upon your reading in class exercises.</w:t>
      </w:r>
    </w:p>
    <w:p w14:paraId="39659904" w14:textId="505F4101" w:rsidR="003A15EE" w:rsidRDefault="003A15EE" w:rsidP="003A15EE">
      <w:r>
        <w:t xml:space="preserve"> To expedite your reading, much of the material will be available in e-book format through the UWTSD library catalogue, or as online journal articles. I hope that you will find the set material stimulating. </w:t>
      </w:r>
      <w:r w:rsidR="00A336AC">
        <w:t xml:space="preserve">A fuller reading list is provided at the end of this handbook, to help you to research your assignments. </w:t>
      </w:r>
      <w:r>
        <w:t>The reading lists are not exhaustive and you are encouraged to research supplementary materials for your assignments.</w:t>
      </w:r>
    </w:p>
    <w:p w14:paraId="7D585BC6" w14:textId="26208066" w:rsidR="003A15EE" w:rsidRDefault="003A15EE" w:rsidP="00A336AC">
      <w:pPr>
        <w:pStyle w:val="Heading2"/>
      </w:pPr>
      <w:r>
        <w:t>Assessment</w:t>
      </w:r>
    </w:p>
    <w:p w14:paraId="1E1723AE" w14:textId="69DA8254" w:rsidR="00A336AC" w:rsidRPr="006B057E" w:rsidRDefault="00A336AC" w:rsidP="00A336AC">
      <w:r>
        <w:t xml:space="preserve">There are two </w:t>
      </w:r>
      <w:r w:rsidR="005D6C4A">
        <w:t>assignments</w:t>
      </w:r>
      <w:r>
        <w:t xml:space="preserve"> for this module. </w:t>
      </w:r>
      <w:r w:rsidR="005D6C4A">
        <w:t xml:space="preserve">Both are due on </w:t>
      </w:r>
      <w:r w:rsidR="005D6C4A">
        <w:rPr>
          <w:b/>
          <w:bCs/>
        </w:rPr>
        <w:t>Sunday 9 February at 23:59 PM.</w:t>
      </w:r>
      <w:r w:rsidR="006B057E">
        <w:rPr>
          <w:b/>
          <w:bCs/>
        </w:rPr>
        <w:t xml:space="preserve"> </w:t>
      </w:r>
      <w:r w:rsidR="006B057E">
        <w:t>All assessment is by written assignments submitted via Moodle</w:t>
      </w:r>
      <w:r w:rsidR="00D1595D">
        <w:t>, and grades will be returned on Moodle. When the marks are available, I will email you to inform you, and you will be able to read your feedback on Moodle. I aim to make the feedback constructive and helpful. It may comment on your understanding of the issues raised, the organisation of your work, or on how clearly you are expressing yourself, for example. Please do take the time to read the comments carefully and consider them. If anything is unclear, please do ask. With that in mind, you are very welcome to make an appointment with me to discuss your feedback. I’m here to help and want to support you to do the best you can.</w:t>
      </w:r>
    </w:p>
    <w:p w14:paraId="6B6522F0" w14:textId="4826EE57" w:rsidR="005D6C4A" w:rsidRDefault="005D6C4A" w:rsidP="006D041D">
      <w:pPr>
        <w:pStyle w:val="Heading3"/>
      </w:pPr>
      <w:r>
        <w:t>Assignment 1: Primary Source Analysis</w:t>
      </w:r>
      <w:r w:rsidR="00A2666F">
        <w:t xml:space="preserve"> (40%)</w:t>
      </w:r>
    </w:p>
    <w:p w14:paraId="7D6963CA" w14:textId="035BA159" w:rsidR="00022CF9" w:rsidRPr="00022CF9" w:rsidRDefault="00022CF9" w:rsidP="00022CF9">
      <w:r w:rsidRPr="00022CF9">
        <w:t>Write a 2000 word analysis of a primary source document. I have provided a selection of primary source documents for each of the case studies we have examined during the course. </w:t>
      </w:r>
      <w:r w:rsidR="00183EC5">
        <w:t xml:space="preserve"> You are welcome to select your own primary source </w:t>
      </w:r>
      <w:r w:rsidR="00367D8B">
        <w:t xml:space="preserve">as an alternative </w:t>
      </w:r>
      <w:r w:rsidR="00183EC5">
        <w:t xml:space="preserve">but </w:t>
      </w:r>
      <w:r w:rsidR="00367D8B">
        <w:t>we will need to discuss this to ensure it’s a viable and suitable source.</w:t>
      </w:r>
    </w:p>
    <w:p w14:paraId="4F263CBC" w14:textId="77777777" w:rsidR="00022CF9" w:rsidRPr="00022CF9" w:rsidRDefault="00022CF9" w:rsidP="00022CF9">
      <w:r w:rsidRPr="00022CF9">
        <w:t>Questions you will need to address in your analysis: </w:t>
      </w:r>
    </w:p>
    <w:p w14:paraId="08F4D7FC" w14:textId="77777777" w:rsidR="00022CF9" w:rsidRPr="00022CF9" w:rsidRDefault="00022CF9" w:rsidP="00022CF9">
      <w:pPr>
        <w:numPr>
          <w:ilvl w:val="0"/>
          <w:numId w:val="16"/>
        </w:numPr>
        <w:spacing w:after="0"/>
      </w:pPr>
      <w:r w:rsidRPr="00022CF9">
        <w:t>Background about the document itself e.g. who was the author/photographer/artist etc? What do you know about them? </w:t>
      </w:r>
    </w:p>
    <w:p w14:paraId="340E904D" w14:textId="77777777" w:rsidR="00022CF9" w:rsidRPr="00022CF9" w:rsidRDefault="00022CF9" w:rsidP="00022CF9">
      <w:pPr>
        <w:numPr>
          <w:ilvl w:val="0"/>
          <w:numId w:val="17"/>
        </w:numPr>
        <w:spacing w:after="0"/>
      </w:pPr>
      <w:r w:rsidRPr="00022CF9">
        <w:t>When was it produced? What is the significance of the context? </w:t>
      </w:r>
    </w:p>
    <w:p w14:paraId="5101AF16" w14:textId="72FF2244" w:rsidR="00C54AD9" w:rsidRPr="00022CF9" w:rsidRDefault="00022CF9" w:rsidP="00C54AD9">
      <w:pPr>
        <w:numPr>
          <w:ilvl w:val="0"/>
          <w:numId w:val="18"/>
        </w:numPr>
        <w:spacing w:after="0"/>
      </w:pPr>
      <w:r w:rsidRPr="00022CF9">
        <w:t>Where did it appear? Who were the intended audience? Who might have had access to it? What kind of response might its audience have had? Did the author intend to provoke a particular response? How successful were they in doing so? </w:t>
      </w:r>
    </w:p>
    <w:p w14:paraId="1F3A1E1A" w14:textId="77777777" w:rsidR="00022CF9" w:rsidRPr="00022CF9" w:rsidRDefault="00022CF9" w:rsidP="00022CF9">
      <w:pPr>
        <w:numPr>
          <w:ilvl w:val="0"/>
          <w:numId w:val="19"/>
        </w:numPr>
        <w:spacing w:after="0"/>
      </w:pPr>
      <w:r w:rsidRPr="00022CF9">
        <w:t>Analysis of the content: what are the key themes and ideas in the source? What kind of language or imagery is used? What does the source not address – what does it leave out? </w:t>
      </w:r>
    </w:p>
    <w:p w14:paraId="758B22F8" w14:textId="432A9228" w:rsidR="00023EA3" w:rsidRDefault="00C54AD9" w:rsidP="00022CF9">
      <w:pPr>
        <w:numPr>
          <w:ilvl w:val="0"/>
          <w:numId w:val="20"/>
        </w:numPr>
        <w:spacing w:after="0"/>
      </w:pPr>
      <w:r>
        <w:lastRenderedPageBreak/>
        <w:t xml:space="preserve">Does it belong to a particular genre – e.g. </w:t>
      </w:r>
      <w:r w:rsidR="00023EA3">
        <w:t>diary, memoir, official report? What are the implications for interpreting it?</w:t>
      </w:r>
    </w:p>
    <w:p w14:paraId="13A1910F" w14:textId="158DA1F6" w:rsidR="00022CF9" w:rsidRPr="00022CF9" w:rsidRDefault="00022CF9" w:rsidP="00022CF9">
      <w:pPr>
        <w:numPr>
          <w:ilvl w:val="0"/>
          <w:numId w:val="20"/>
        </w:numPr>
        <w:spacing w:after="0"/>
      </w:pPr>
      <w:r w:rsidRPr="00022CF9">
        <w:t>What are the strengths and potential weaknesses of this kind of source material? Are there problems with using it as an historical source? </w:t>
      </w:r>
    </w:p>
    <w:p w14:paraId="3846961C" w14:textId="57FDB3FD" w:rsidR="00022CF9" w:rsidRDefault="00022CF9" w:rsidP="00022CF9">
      <w:pPr>
        <w:numPr>
          <w:ilvl w:val="0"/>
          <w:numId w:val="21"/>
        </w:numPr>
        <w:spacing w:after="0"/>
      </w:pPr>
      <w:r w:rsidRPr="00022CF9">
        <w:t>What does it tell us about the subject being studied? Do the insights from the source support or contradict historians’ conclusions about the subject?</w:t>
      </w:r>
    </w:p>
    <w:p w14:paraId="78186012" w14:textId="77777777" w:rsidR="00F23131" w:rsidRDefault="00F23131" w:rsidP="00F23131">
      <w:pPr>
        <w:spacing w:after="0"/>
      </w:pPr>
    </w:p>
    <w:p w14:paraId="2DEA992B" w14:textId="7F45BB48" w:rsidR="00F23131" w:rsidRPr="00022CF9" w:rsidRDefault="00F23131" w:rsidP="00F23131">
      <w:pPr>
        <w:spacing w:after="0"/>
      </w:pPr>
      <w:r>
        <w:t>Please present your work in continuous prose rather than as a list of bullet points.</w:t>
      </w:r>
    </w:p>
    <w:p w14:paraId="6E3F0F5F" w14:textId="77777777" w:rsidR="0045506C" w:rsidRPr="0045506C" w:rsidRDefault="0045506C" w:rsidP="0045506C"/>
    <w:p w14:paraId="1AAC210B" w14:textId="4B13E968" w:rsidR="00BE37CC" w:rsidRDefault="00BE37CC" w:rsidP="006D041D">
      <w:pPr>
        <w:pStyle w:val="Heading3"/>
      </w:pPr>
      <w:r>
        <w:t>Assignment 2: Essay</w:t>
      </w:r>
      <w:r w:rsidR="00A2666F">
        <w:t xml:space="preserve"> (60%)</w:t>
      </w:r>
    </w:p>
    <w:p w14:paraId="0E9919A1" w14:textId="77777777" w:rsidR="00BE37CC" w:rsidRPr="00BE37CC" w:rsidRDefault="00BE37CC" w:rsidP="00BE37CC">
      <w:r w:rsidRPr="00BE37CC">
        <w:t>Write a 3000 word essay in response to one of the following questions: </w:t>
      </w:r>
    </w:p>
    <w:p w14:paraId="2278F9C0" w14:textId="77777777" w:rsidR="00BE37CC" w:rsidRPr="00BE37CC" w:rsidRDefault="00BE37CC" w:rsidP="00BE37CC">
      <w:pPr>
        <w:pStyle w:val="ListParagraph"/>
        <w:numPr>
          <w:ilvl w:val="0"/>
          <w:numId w:val="15"/>
        </w:numPr>
      </w:pPr>
      <w:r w:rsidRPr="00BE37CC">
        <w:t>How useful is it to conceptualise the genocide of the Herero and Nama people in Namibia as a precursor to the Holocaust? </w:t>
      </w:r>
    </w:p>
    <w:p w14:paraId="16120070" w14:textId="77777777" w:rsidR="00BE37CC" w:rsidRPr="00BE37CC" w:rsidRDefault="00BE37CC" w:rsidP="00BE37CC">
      <w:pPr>
        <w:pStyle w:val="ListParagraph"/>
        <w:numPr>
          <w:ilvl w:val="0"/>
          <w:numId w:val="15"/>
        </w:numPr>
      </w:pPr>
      <w:r w:rsidRPr="00BE37CC">
        <w:t>Why has recognising the Armenian genocide proved controversial? </w:t>
      </w:r>
    </w:p>
    <w:p w14:paraId="4BA77951" w14:textId="77777777" w:rsidR="00BE37CC" w:rsidRPr="00BE37CC" w:rsidRDefault="00BE37CC" w:rsidP="00BE37CC">
      <w:pPr>
        <w:pStyle w:val="ListParagraph"/>
        <w:numPr>
          <w:ilvl w:val="0"/>
          <w:numId w:val="15"/>
        </w:numPr>
      </w:pPr>
      <w:r w:rsidRPr="00BE37CC">
        <w:t>Was the road to Auschwitz a ‘straight road’ or a ‘twisted path’? </w:t>
      </w:r>
    </w:p>
    <w:p w14:paraId="72E5EDD7" w14:textId="77777777" w:rsidR="00BE37CC" w:rsidRPr="00BE37CC" w:rsidRDefault="00BE37CC" w:rsidP="00BE37CC">
      <w:pPr>
        <w:pStyle w:val="ListParagraph"/>
        <w:numPr>
          <w:ilvl w:val="0"/>
          <w:numId w:val="15"/>
        </w:numPr>
      </w:pPr>
      <w:r w:rsidRPr="00BE37CC">
        <w:t>Was the violence following the fall of the former Yugoslavia “ethnic cleansing” or “genocide”? </w:t>
      </w:r>
    </w:p>
    <w:p w14:paraId="79E25401" w14:textId="77777777" w:rsidR="00BE37CC" w:rsidRPr="00BE37CC" w:rsidRDefault="00BE37CC" w:rsidP="00BE37CC">
      <w:pPr>
        <w:pStyle w:val="ListParagraph"/>
        <w:numPr>
          <w:ilvl w:val="0"/>
          <w:numId w:val="15"/>
        </w:numPr>
      </w:pPr>
      <w:r w:rsidRPr="00BE37CC">
        <w:t>How far was ethnicity the key driver of genocide in Rwanda? </w:t>
      </w:r>
    </w:p>
    <w:p w14:paraId="7ABD90C9" w14:textId="77777777" w:rsidR="00BE37CC" w:rsidRPr="00BE37CC" w:rsidRDefault="00BE37CC" w:rsidP="00BE37CC">
      <w:pPr>
        <w:pStyle w:val="ListParagraph"/>
        <w:numPr>
          <w:ilvl w:val="0"/>
          <w:numId w:val="15"/>
        </w:numPr>
      </w:pPr>
      <w:r w:rsidRPr="00BE37CC">
        <w:t>Evaluate the impact of gender on experiences of genocide, with reference to</w:t>
      </w:r>
      <w:r w:rsidRPr="00BE37CC">
        <w:rPr>
          <w:b/>
          <w:bCs/>
        </w:rPr>
        <w:t xml:space="preserve"> one </w:t>
      </w:r>
      <w:r w:rsidRPr="00BE37CC">
        <w:t xml:space="preserve">of the following case studies: the Holocaust; the Bosnian genocide; the Cambodian genocide; </w:t>
      </w:r>
      <w:r w:rsidRPr="00BE37CC">
        <w:rPr>
          <w:b/>
          <w:bCs/>
        </w:rPr>
        <w:t xml:space="preserve">or </w:t>
      </w:r>
      <w:r w:rsidRPr="00BE37CC">
        <w:t>the Rwandan genocide. </w:t>
      </w:r>
    </w:p>
    <w:p w14:paraId="55687AE9" w14:textId="77777777" w:rsidR="00BE37CC" w:rsidRPr="00BE37CC" w:rsidRDefault="00BE37CC" w:rsidP="00BE37CC">
      <w:pPr>
        <w:pStyle w:val="ListParagraph"/>
        <w:numPr>
          <w:ilvl w:val="0"/>
          <w:numId w:val="15"/>
        </w:numPr>
      </w:pPr>
      <w:r w:rsidRPr="00BE37CC">
        <w:t>How useful is the term ‘auto-genocide’ for understanding violence in Democratic Kampuchea? </w:t>
      </w:r>
    </w:p>
    <w:p w14:paraId="24401B48" w14:textId="77777777" w:rsidR="00BE37CC" w:rsidRDefault="00BE37CC" w:rsidP="00BE37CC">
      <w:pPr>
        <w:pStyle w:val="ListParagraph"/>
        <w:numPr>
          <w:ilvl w:val="0"/>
          <w:numId w:val="15"/>
        </w:numPr>
      </w:pPr>
      <w:r w:rsidRPr="00BE37CC">
        <w:t xml:space="preserve">Assess the international response to genocide in </w:t>
      </w:r>
      <w:r w:rsidRPr="00BE37CC">
        <w:rPr>
          <w:b/>
          <w:bCs/>
        </w:rPr>
        <w:t xml:space="preserve">one </w:t>
      </w:r>
      <w:r w:rsidRPr="00BE37CC">
        <w:t xml:space="preserve">of the following case studies: the Bosnian genocide; the Rwandan genocide; </w:t>
      </w:r>
      <w:r w:rsidRPr="00BE37CC">
        <w:rPr>
          <w:b/>
          <w:bCs/>
        </w:rPr>
        <w:t xml:space="preserve">or </w:t>
      </w:r>
      <w:r w:rsidRPr="00BE37CC">
        <w:t>genocide in Darfur. </w:t>
      </w:r>
    </w:p>
    <w:p w14:paraId="6B3A210F" w14:textId="77F05E79" w:rsidR="002B483B" w:rsidRDefault="002B483B" w:rsidP="002B483B">
      <w:r>
        <w:t xml:space="preserve">NB: You </w:t>
      </w:r>
      <w:r w:rsidRPr="002B483B">
        <w:rPr>
          <w:b/>
          <w:bCs/>
        </w:rPr>
        <w:t>are permitted</w:t>
      </w:r>
      <w:r>
        <w:t xml:space="preserve"> to choose the same case study for your primary source analysis and your essay.</w:t>
      </w:r>
    </w:p>
    <w:p w14:paraId="729D7773" w14:textId="52F4980E" w:rsidR="000D7322" w:rsidRDefault="000D7322" w:rsidP="00957D0E">
      <w:pPr>
        <w:pStyle w:val="Heading3"/>
      </w:pPr>
      <w:r>
        <w:t>Guidance for essays:</w:t>
      </w:r>
    </w:p>
    <w:p w14:paraId="6ED2662D" w14:textId="778CC091" w:rsidR="00AE589E" w:rsidRDefault="00AE589E" w:rsidP="002B483B">
      <w:r>
        <w:t>An excellent essay will be strong in the following areas:</w:t>
      </w:r>
    </w:p>
    <w:p w14:paraId="34078E88" w14:textId="44DEFBEE" w:rsidR="00811AC1" w:rsidRDefault="00AE589E" w:rsidP="00C33941">
      <w:r w:rsidRPr="00811AC1">
        <w:rPr>
          <w:b/>
          <w:bCs/>
        </w:rPr>
        <w:t>Context</w:t>
      </w:r>
      <w:r w:rsidR="00C33941">
        <w:rPr>
          <w:b/>
          <w:bCs/>
        </w:rPr>
        <w:t>, k</w:t>
      </w:r>
      <w:r w:rsidRPr="00811AC1">
        <w:rPr>
          <w:b/>
          <w:bCs/>
        </w:rPr>
        <w:t>nowledge and coverage of the material</w:t>
      </w:r>
      <w:r w:rsidR="00C33941">
        <w:rPr>
          <w:b/>
          <w:bCs/>
        </w:rPr>
        <w:t xml:space="preserve">: </w:t>
      </w:r>
      <w:r>
        <w:t xml:space="preserve">The essay will contain arguments based on specific examples from </w:t>
      </w:r>
      <w:r w:rsidR="00811AC1">
        <w:t>your reading.</w:t>
      </w:r>
      <w:r w:rsidR="00C33941">
        <w:t xml:space="preserve"> </w:t>
      </w:r>
      <w:r w:rsidR="00811AC1">
        <w:t>It will demonstrate a good understanding of all the issues and good coverage of the relevant material.</w:t>
      </w:r>
      <w:r w:rsidR="00C33941">
        <w:t xml:space="preserve"> </w:t>
      </w:r>
      <w:r w:rsidR="00811AC1">
        <w:t>It will demonstrate that you have researched the topic in adequate dept</w:t>
      </w:r>
      <w:r w:rsidR="00C33941">
        <w:t xml:space="preserve">h and drawn upon </w:t>
      </w:r>
      <w:r w:rsidR="00FB195C">
        <w:t>appropriate academic sources.</w:t>
      </w:r>
    </w:p>
    <w:p w14:paraId="73126D19" w14:textId="1EB03511" w:rsidR="00811AC1" w:rsidRDefault="00811AC1" w:rsidP="00C33941">
      <w:r>
        <w:rPr>
          <w:b/>
          <w:bCs/>
        </w:rPr>
        <w:t>Structure and argument</w:t>
      </w:r>
      <w:r w:rsidR="00C33941">
        <w:rPr>
          <w:b/>
          <w:bCs/>
        </w:rPr>
        <w:t xml:space="preserve">: </w:t>
      </w:r>
      <w:r>
        <w:t xml:space="preserve">Your essay should be clearly structured and argued. This will include a clearly stated thesis statement in the introduction. This statement of the </w:t>
      </w:r>
      <w:r>
        <w:lastRenderedPageBreak/>
        <w:t xml:space="preserve">argument will then be systematically developed throughout the essay, </w:t>
      </w:r>
      <w:r w:rsidR="00B73C2C">
        <w:t xml:space="preserve">with use of evidence to support your analysis, </w:t>
      </w:r>
      <w:r>
        <w:t>and summarised in a concluding paragraph.</w:t>
      </w:r>
    </w:p>
    <w:p w14:paraId="04D9FA13" w14:textId="60CAA318" w:rsidR="00952CFD" w:rsidRDefault="00952CFD" w:rsidP="00C33941">
      <w:r>
        <w:rPr>
          <w:b/>
          <w:bCs/>
        </w:rPr>
        <w:t>Critical technique:</w:t>
      </w:r>
      <w:r w:rsidR="00C33941">
        <w:rPr>
          <w:b/>
          <w:bCs/>
        </w:rPr>
        <w:t xml:space="preserve"> </w:t>
      </w:r>
      <w:r>
        <w:t>Your essay will show an awareness of the historiography, and how scholars have debated your topic. It will also demonstrate an awareness of the problems and biases of particular source materials.</w:t>
      </w:r>
    </w:p>
    <w:p w14:paraId="4AC2BC53" w14:textId="4D25C1E5" w:rsidR="00952CFD" w:rsidRDefault="00952CFD" w:rsidP="00C33941">
      <w:r>
        <w:rPr>
          <w:b/>
          <w:bCs/>
        </w:rPr>
        <w:t>Analysis</w:t>
      </w:r>
      <w:r w:rsidR="00C33941">
        <w:rPr>
          <w:b/>
          <w:bCs/>
        </w:rPr>
        <w:t xml:space="preserve">: </w:t>
      </w:r>
      <w:r>
        <w:t xml:space="preserve">Your essay will not simply explain events, nor </w:t>
      </w:r>
      <w:r w:rsidR="00C33941">
        <w:t>restate the evidence and argument from other texts, but rather will appraise the validity of the evidence and closely analyse the topic or question under consideration.</w:t>
      </w:r>
    </w:p>
    <w:p w14:paraId="4C1D78FF" w14:textId="277A5D83" w:rsidR="00FB195C" w:rsidRDefault="00FB195C" w:rsidP="00C33941">
      <w:r>
        <w:rPr>
          <w:b/>
          <w:bCs/>
        </w:rPr>
        <w:t xml:space="preserve">Originality: </w:t>
      </w:r>
      <w:r>
        <w:t>It will display original ideas and be thought-provoking</w:t>
      </w:r>
      <w:r w:rsidR="00C329F4">
        <w:t xml:space="preserve"> – you are encouraged to express your own position on a debate, supporting it with evidence.</w:t>
      </w:r>
    </w:p>
    <w:p w14:paraId="00DC8227" w14:textId="54552847" w:rsidR="00C329F4" w:rsidRDefault="00C329F4" w:rsidP="006F6EB7">
      <w:r>
        <w:rPr>
          <w:b/>
          <w:bCs/>
        </w:rPr>
        <w:t xml:space="preserve">Style and presentation: </w:t>
      </w:r>
      <w:r>
        <w:t xml:space="preserve">Your work will have a good standard of grammar and syntax. It will preferably use the active voice, and will avoid contractions and informal language. All references will be </w:t>
      </w:r>
      <w:r w:rsidR="000E6F98">
        <w:t xml:space="preserve">correctly </w:t>
      </w:r>
      <w:r>
        <w:t xml:space="preserve">cited according to </w:t>
      </w:r>
      <w:r w:rsidR="000E6F98">
        <w:t>either MHRA or Harvard style.</w:t>
      </w:r>
    </w:p>
    <w:p w14:paraId="6213A46C" w14:textId="735D9BDD" w:rsidR="000E6F98" w:rsidRPr="00957D0E" w:rsidRDefault="000E6F98" w:rsidP="00C33941">
      <w:pPr>
        <w:rPr>
          <w:b/>
          <w:bCs/>
        </w:rPr>
      </w:pPr>
      <w:r w:rsidRPr="00957D0E">
        <w:rPr>
          <w:b/>
          <w:bCs/>
        </w:rPr>
        <w:t>Approaching essay questions:</w:t>
      </w:r>
    </w:p>
    <w:p w14:paraId="2482115B" w14:textId="785738E7" w:rsidR="000E6F98" w:rsidRDefault="000E6F98" w:rsidP="000E6F98">
      <w:pPr>
        <w:pStyle w:val="ListParagraph"/>
        <w:numPr>
          <w:ilvl w:val="0"/>
          <w:numId w:val="27"/>
        </w:numPr>
      </w:pPr>
      <w:r>
        <w:t>Unpack the question: make sure you’re answering every clause or aspect of the question?</w:t>
      </w:r>
    </w:p>
    <w:p w14:paraId="05BA9065" w14:textId="76FDC554" w:rsidR="00876F03" w:rsidRDefault="000E6F98" w:rsidP="00876F03">
      <w:pPr>
        <w:pStyle w:val="ListParagraph"/>
        <w:numPr>
          <w:ilvl w:val="0"/>
          <w:numId w:val="27"/>
        </w:numPr>
      </w:pPr>
      <w:r>
        <w:t>Think behind the question: why is it being asked? What larger themes does it address</w:t>
      </w:r>
      <w:r w:rsidR="00876F03">
        <w:t>?</w:t>
      </w:r>
    </w:p>
    <w:p w14:paraId="00E1A12F" w14:textId="2866AF15" w:rsidR="00876F03" w:rsidRPr="00C329F4" w:rsidRDefault="00876F03" w:rsidP="00876F03">
      <w:pPr>
        <w:pStyle w:val="ListParagraph"/>
        <w:numPr>
          <w:ilvl w:val="0"/>
          <w:numId w:val="27"/>
        </w:numPr>
      </w:pPr>
      <w:r>
        <w:t>Think about the evidence you are using: what are its strengths and weaknesses?</w:t>
      </w:r>
    </w:p>
    <w:p w14:paraId="001C2DE2" w14:textId="331DB753" w:rsidR="00BF3076" w:rsidRDefault="00BF3076" w:rsidP="00E34324">
      <w:r>
        <w:t>Please check the relevant assessment criteria</w:t>
      </w:r>
      <w:r w:rsidR="00E34324">
        <w:t>:</w:t>
      </w:r>
    </w:p>
    <w:p w14:paraId="0FBD4C9A" w14:textId="3797EB3A" w:rsidR="001B26F3" w:rsidRPr="00B978D3" w:rsidRDefault="001B26F3" w:rsidP="00E34324">
      <w:pPr>
        <w:rPr>
          <w:highlight w:val="yellow"/>
        </w:rPr>
      </w:pPr>
      <w:hyperlink r:id="rId14" w:history="1">
        <w:r w:rsidRPr="001B26F3">
          <w:rPr>
            <w:rStyle w:val="Hyperlink"/>
          </w:rPr>
          <w:t>Assessment Criteria</w:t>
        </w:r>
      </w:hyperlink>
    </w:p>
    <w:p w14:paraId="337E71D7" w14:textId="77777777" w:rsidR="006F6EB7" w:rsidRDefault="006F6EB7" w:rsidP="00D034E2">
      <w:pPr>
        <w:pStyle w:val="Heading3"/>
      </w:pPr>
      <w:r>
        <w:t>Referencing</w:t>
      </w:r>
    </w:p>
    <w:p w14:paraId="3F4EB82B" w14:textId="25DE34EB" w:rsidR="006F6EB7" w:rsidRDefault="006F6EB7" w:rsidP="006F6EB7">
      <w:r>
        <w:t>For this module, you may use either MHRA or Harvard referencing styles. It is important that you reference properly and accurately, and I recommend that you</w:t>
      </w:r>
      <w:r w:rsidR="0080685B">
        <w:t xml:space="preserve"> refer carefully to the </w:t>
      </w:r>
      <w:r w:rsidR="00340489">
        <w:t>referencing handbook for your chosen style when you’re proofreading your references before submitting.</w:t>
      </w:r>
      <w:r w:rsidR="006006C9">
        <w:t xml:space="preserve"> Referencing handbooks can be consulted on the UWTSD intranet here:</w:t>
      </w:r>
    </w:p>
    <w:p w14:paraId="2992C170" w14:textId="77D0D323" w:rsidR="00340489" w:rsidRPr="006F6EB7" w:rsidRDefault="00340489" w:rsidP="00340489">
      <w:hyperlink r:id="rId15" w:history="1">
        <w:r w:rsidRPr="00340489">
          <w:rPr>
            <w:rStyle w:val="Hyperlink"/>
          </w:rPr>
          <w:t>Referencing handbooks | UWTSD Intranet</w:t>
        </w:r>
      </w:hyperlink>
    </w:p>
    <w:p w14:paraId="5673081A" w14:textId="2A950F73" w:rsidR="006D041D" w:rsidRDefault="006D041D" w:rsidP="00D034E2">
      <w:pPr>
        <w:pStyle w:val="Heading3"/>
      </w:pPr>
      <w:r>
        <w:t>Use of AI</w:t>
      </w:r>
    </w:p>
    <w:p w14:paraId="087766AE" w14:textId="128A01CB" w:rsidR="00D034E2" w:rsidRDefault="00D034E2" w:rsidP="0085547C">
      <w:r>
        <w:t xml:space="preserve">For this module, </w:t>
      </w:r>
      <w:r w:rsidRPr="006006C9">
        <w:rPr>
          <w:b/>
          <w:bCs/>
        </w:rPr>
        <w:t xml:space="preserve">the only permitted use of AI is </w:t>
      </w:r>
      <w:r w:rsidR="0085547C" w:rsidRPr="006006C9">
        <w:rPr>
          <w:b/>
          <w:bCs/>
        </w:rPr>
        <w:t>for proofreading</w:t>
      </w:r>
      <w:r w:rsidR="0085547C">
        <w:t>. Y</w:t>
      </w:r>
      <w:r w:rsidR="0085547C" w:rsidRPr="0085547C">
        <w:t>ou can use Generative AI to check your own text/creation for grammatical and syntactical mistakes, including rephrasing of your own work within specific standards. </w:t>
      </w:r>
    </w:p>
    <w:p w14:paraId="37D09709" w14:textId="0A0ED6E6" w:rsidR="004679F8" w:rsidRDefault="004679F8" w:rsidP="0085547C">
      <w:r>
        <w:lastRenderedPageBreak/>
        <w:t>You are expected to keep drafts of your work, including notes, etc. before and after the use of any AI tool. You will be expected to produce these drafts and materials as necessary.</w:t>
      </w:r>
    </w:p>
    <w:p w14:paraId="013EF22D" w14:textId="7204E638" w:rsidR="004679F8" w:rsidRPr="00D034E2" w:rsidRDefault="004679F8" w:rsidP="0085547C">
      <w:r>
        <w:t>You must acknowledge any use of AI in a separate page at the beginning of your submission, following this format:</w:t>
      </w:r>
    </w:p>
    <w:p w14:paraId="25C61106" w14:textId="77777777" w:rsidR="004679F8" w:rsidRPr="004679F8" w:rsidRDefault="004679F8" w:rsidP="004679F8">
      <w:r w:rsidRPr="004679F8">
        <w:t xml:space="preserve">I acknowledge the use of [AI Tool] [(AI Tool url)] on [Date] to [Purpose my work]. </w:t>
      </w:r>
    </w:p>
    <w:p w14:paraId="0AEA7283" w14:textId="77777777" w:rsidR="004679F8" w:rsidRPr="004679F8" w:rsidRDefault="004679F8" w:rsidP="004679F8">
      <w:r w:rsidRPr="004679F8">
        <w:t xml:space="preserve">I used the prompt(s): </w:t>
      </w:r>
    </w:p>
    <w:p w14:paraId="76A45820" w14:textId="77777777" w:rsidR="004679F8" w:rsidRPr="004679F8" w:rsidRDefault="004679F8" w:rsidP="004679F8">
      <w:r w:rsidRPr="004679F8">
        <w:t xml:space="preserve">1. [Prompt] </w:t>
      </w:r>
    </w:p>
    <w:p w14:paraId="34E3DA83" w14:textId="77777777" w:rsidR="004679F8" w:rsidRPr="004679F8" w:rsidRDefault="004679F8" w:rsidP="004679F8">
      <w:r w:rsidRPr="004679F8">
        <w:t xml:space="preserve">2. [Prompt] </w:t>
      </w:r>
    </w:p>
    <w:p w14:paraId="2935B27A" w14:textId="77777777" w:rsidR="004679F8" w:rsidRPr="004679F8" w:rsidRDefault="004679F8" w:rsidP="004679F8">
      <w:r w:rsidRPr="004679F8">
        <w:t>3. [Prompt]</w:t>
      </w:r>
    </w:p>
    <w:p w14:paraId="5E945A02" w14:textId="77777777" w:rsidR="004679F8" w:rsidRDefault="004679F8" w:rsidP="004679F8">
      <w:r w:rsidRPr="004679F8">
        <w:t xml:space="preserve"> I confirm that I have not presented any AI generated text as my own work. I confirm I have copies of my drafts, notes, and other resources I used before, and after the use of AI tools which I may be asked to provide in evidence.</w:t>
      </w:r>
    </w:p>
    <w:p w14:paraId="55CCB28E" w14:textId="0FE349C7" w:rsidR="004679F8" w:rsidRDefault="004679F8" w:rsidP="004679F8">
      <w:r>
        <w:t>For example:</w:t>
      </w:r>
    </w:p>
    <w:p w14:paraId="799CA2C5" w14:textId="77777777" w:rsidR="004679F8" w:rsidRDefault="004679F8" w:rsidP="004679F8">
      <w:r w:rsidRPr="004679F8">
        <w:t>I acknowledge the use of Grammarly (https://www.grammarly.com/) on 10 February 2024 to check my work using the prompt(s):</w:t>
      </w:r>
    </w:p>
    <w:p w14:paraId="4391811C" w14:textId="61E0275A" w:rsidR="004679F8" w:rsidRDefault="004679F8" w:rsidP="004679F8">
      <w:pPr>
        <w:pStyle w:val="ListParagraph"/>
        <w:numPr>
          <w:ilvl w:val="1"/>
          <w:numId w:val="20"/>
        </w:numPr>
      </w:pPr>
      <w:r w:rsidRPr="004679F8">
        <w:t>Please check the following text for readability, grammar and syntax.</w:t>
      </w:r>
    </w:p>
    <w:p w14:paraId="748825D6" w14:textId="64464A5F" w:rsidR="005D6C4A" w:rsidRDefault="004679F8" w:rsidP="004679F8">
      <w:r w:rsidRPr="004679F8">
        <w:t xml:space="preserve"> I confirm that I have not presented any AI generated text as my own work. I confirm I have copies of my drafts, notes, and other resources I used before, and after the use of AI tools which I may be asked to provide in evidence</w:t>
      </w:r>
      <w:r>
        <w:t>.</w:t>
      </w:r>
    </w:p>
    <w:p w14:paraId="21A4EE06" w14:textId="6AFB1D22" w:rsidR="004679F8" w:rsidRDefault="004679F8" w:rsidP="004679F8">
      <w:r>
        <w:t>If you have not used AI, you must also acknowledge this</w:t>
      </w:r>
      <w:r w:rsidR="007E3144">
        <w:t>, using the following declaration:</w:t>
      </w:r>
    </w:p>
    <w:p w14:paraId="1D1D99AC" w14:textId="1A6AA11B" w:rsidR="004679F8" w:rsidRDefault="007E3144" w:rsidP="007E3144">
      <w:r w:rsidRPr="007E314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57BCAD7" w14:textId="29F378A3" w:rsidR="001E633B" w:rsidRDefault="001E633B" w:rsidP="008D21A5">
      <w:pPr>
        <w:pStyle w:val="Heading2"/>
      </w:pPr>
      <w:r>
        <w:t>Seminar</w:t>
      </w:r>
      <w:r w:rsidR="008B44E7">
        <w:t xml:space="preserve"> outlines</w:t>
      </w:r>
    </w:p>
    <w:p w14:paraId="372A09A9" w14:textId="677ACDC7" w:rsidR="008D21A5" w:rsidRDefault="008D21A5" w:rsidP="008D21A5">
      <w:pPr>
        <w:pStyle w:val="Heading3"/>
      </w:pPr>
      <w:r>
        <w:t>Session 1: Introduction to the module</w:t>
      </w:r>
    </w:p>
    <w:p w14:paraId="5E3D5839" w14:textId="04A7725A" w:rsidR="008D21A5" w:rsidRDefault="00846261" w:rsidP="00846261">
      <w:r w:rsidRPr="00846261">
        <w:t>This session will be a gentle introduction to the module. We'll talk about what we'll cover together in the sessions, as well as strategies for approaching the assignments. As you might expect, the module will cover some difficult material, and we'll talk about ways of looking after ourselves while studying this important but challenging topic.</w:t>
      </w:r>
    </w:p>
    <w:p w14:paraId="3FBC6C63" w14:textId="2CE3039B" w:rsidR="00E2282B" w:rsidRDefault="00E2282B" w:rsidP="00846261">
      <w:r>
        <w:lastRenderedPageBreak/>
        <w:t>In preparation for this class, please familiarise yourself with the contents of this handbook.</w:t>
      </w:r>
    </w:p>
    <w:p w14:paraId="67189CC9" w14:textId="3E2E1BD4" w:rsidR="00E2282B" w:rsidRDefault="00E2282B" w:rsidP="00E2282B">
      <w:pPr>
        <w:pStyle w:val="Heading3"/>
      </w:pPr>
      <w:r>
        <w:t>Session 2: What is genocide?</w:t>
      </w:r>
    </w:p>
    <w:p w14:paraId="68EFC082" w14:textId="4A48FCC5" w:rsidR="00E55B21" w:rsidRDefault="00E55B21" w:rsidP="00E55B21">
      <w:r w:rsidRPr="00E55B21">
        <w:t>In this session, we'll be thinking about the concept of genocide</w:t>
      </w:r>
      <w:r w:rsidR="00046D1D">
        <w:t>, how it has been conceptualised and framed</w:t>
      </w:r>
      <w:r w:rsidRPr="00E55B21">
        <w:t xml:space="preserve">. </w:t>
      </w:r>
    </w:p>
    <w:p w14:paraId="7E75F51F" w14:textId="79BE31FB" w:rsidR="00D45CB1" w:rsidRPr="00D45CB1" w:rsidRDefault="00D45CB1" w:rsidP="00E55B21">
      <w:pPr>
        <w:rPr>
          <w:b/>
          <w:bCs/>
        </w:rPr>
      </w:pPr>
      <w:r w:rsidRPr="00D45CB1">
        <w:rPr>
          <w:b/>
          <w:bCs/>
        </w:rPr>
        <w:t>Questions to guide your reading:</w:t>
      </w:r>
    </w:p>
    <w:p w14:paraId="1050DE13" w14:textId="03CEE8D4" w:rsidR="00D45CB1" w:rsidRDefault="00D45CB1" w:rsidP="00D45CB1">
      <w:pPr>
        <w:pStyle w:val="ListParagraph"/>
        <w:numPr>
          <w:ilvl w:val="0"/>
          <w:numId w:val="23"/>
        </w:numPr>
      </w:pPr>
      <w:r>
        <w:t>What is genocide?</w:t>
      </w:r>
    </w:p>
    <w:p w14:paraId="6B940AC7" w14:textId="20C2C8C6" w:rsidR="00D45CB1" w:rsidRDefault="00D45CB1" w:rsidP="00D45CB1">
      <w:pPr>
        <w:pStyle w:val="ListParagraph"/>
        <w:numPr>
          <w:ilvl w:val="0"/>
          <w:numId w:val="23"/>
        </w:numPr>
      </w:pPr>
      <w:r>
        <w:t>When was it defined?</w:t>
      </w:r>
    </w:p>
    <w:p w14:paraId="01E17614" w14:textId="7F0276D8" w:rsidR="00D45CB1" w:rsidRPr="00E55B21" w:rsidRDefault="00D45CB1" w:rsidP="00D45CB1">
      <w:pPr>
        <w:pStyle w:val="ListParagraph"/>
        <w:numPr>
          <w:ilvl w:val="0"/>
          <w:numId w:val="23"/>
        </w:numPr>
      </w:pPr>
      <w:r>
        <w:t>What separates ‘genocide’ from other forms of mass killing?</w:t>
      </w:r>
    </w:p>
    <w:p w14:paraId="50B92613" w14:textId="77777777" w:rsidR="00E55B21" w:rsidRPr="00E55B21" w:rsidRDefault="00E55B21" w:rsidP="00E55B21">
      <w:r w:rsidRPr="00E55B21">
        <w:t>Please read the key reading and the primary source for the seminar as well as one item from the 'Further Reading' list below, and bring your notes - you will be expected to be able to explain your reading in class.</w:t>
      </w:r>
    </w:p>
    <w:p w14:paraId="69F6817D" w14:textId="77777777" w:rsidR="00E55B21" w:rsidRPr="00E55B21" w:rsidRDefault="00E55B21" w:rsidP="00E55B21">
      <w:r w:rsidRPr="00E55B21">
        <w:rPr>
          <w:b/>
          <w:bCs/>
        </w:rPr>
        <w:t>Key reading:</w:t>
      </w:r>
    </w:p>
    <w:p w14:paraId="35B737D8" w14:textId="77777777" w:rsidR="007556CB" w:rsidRPr="00E55B21" w:rsidRDefault="007556CB" w:rsidP="007556CB">
      <w:pPr>
        <w:pStyle w:val="ListParagraph"/>
        <w:numPr>
          <w:ilvl w:val="0"/>
          <w:numId w:val="22"/>
        </w:numPr>
      </w:pPr>
      <w:r w:rsidRPr="00E55B21">
        <w:t>Martha Minow, ‘Naming Horror: Legal and Political Words for Mass Atrocities’, </w:t>
      </w:r>
      <w:r w:rsidRPr="00E55B21">
        <w:rPr>
          <w:i/>
          <w:iCs/>
        </w:rPr>
        <w:t>Genocide Studies and Prevention </w:t>
      </w:r>
      <w:r w:rsidRPr="00E55B21">
        <w:t>2:1 (2007).</w:t>
      </w:r>
    </w:p>
    <w:p w14:paraId="17EE0AF7" w14:textId="77777777" w:rsidR="00E55B21" w:rsidRPr="00E55B21" w:rsidRDefault="00E55B21" w:rsidP="00E55B21">
      <w:r w:rsidRPr="00E55B21">
        <w:rPr>
          <w:b/>
          <w:bCs/>
        </w:rPr>
        <w:t>Primary source:</w:t>
      </w:r>
    </w:p>
    <w:p w14:paraId="22275157" w14:textId="77777777" w:rsidR="00E55B21" w:rsidRPr="00E55B21" w:rsidRDefault="00E55B21" w:rsidP="00E55B21">
      <w:pPr>
        <w:pStyle w:val="ListParagraph"/>
        <w:numPr>
          <w:ilvl w:val="0"/>
          <w:numId w:val="22"/>
        </w:numPr>
      </w:pPr>
      <w:hyperlink r:id="rId16" w:history="1">
        <w:r w:rsidRPr="00E55B21">
          <w:rPr>
            <w:rStyle w:val="Hyperlink"/>
          </w:rPr>
          <w:t>UN Genocide Convention 1948</w:t>
        </w:r>
      </w:hyperlink>
    </w:p>
    <w:p w14:paraId="59684581" w14:textId="77777777" w:rsidR="00E55B21" w:rsidRPr="00E55B21" w:rsidRDefault="00E55B21" w:rsidP="00E55B21">
      <w:r w:rsidRPr="00E55B21">
        <w:rPr>
          <w:b/>
          <w:bCs/>
        </w:rPr>
        <w:t>Further reading:</w:t>
      </w:r>
    </w:p>
    <w:p w14:paraId="465DF593" w14:textId="77777777" w:rsidR="00E11FC1" w:rsidRDefault="008F33E2" w:rsidP="00E55B21">
      <w:pPr>
        <w:pStyle w:val="ListParagraph"/>
        <w:numPr>
          <w:ilvl w:val="0"/>
          <w:numId w:val="22"/>
        </w:numPr>
      </w:pPr>
      <w:r>
        <w:t xml:space="preserve">Anthony Court, </w:t>
      </w:r>
      <w:r w:rsidR="00B23051">
        <w:t>‘Do we need an alternative to the concept of genocide?’</w:t>
      </w:r>
      <w:r w:rsidR="00E11FC1">
        <w:t xml:space="preserve">, </w:t>
      </w:r>
      <w:r w:rsidR="00E11FC1">
        <w:rPr>
          <w:i/>
          <w:iCs/>
        </w:rPr>
        <w:t xml:space="preserve">Development Dialogue </w:t>
      </w:r>
      <w:r w:rsidR="00E11FC1">
        <w:t>50 (2008), 125-154.</w:t>
      </w:r>
    </w:p>
    <w:p w14:paraId="103F49F9" w14:textId="5D133ED2" w:rsidR="00E55B21" w:rsidRPr="00E55B21" w:rsidRDefault="00E55B21" w:rsidP="00E55B21">
      <w:pPr>
        <w:pStyle w:val="ListParagraph"/>
        <w:numPr>
          <w:ilvl w:val="0"/>
          <w:numId w:val="22"/>
        </w:numPr>
      </w:pPr>
      <w:r w:rsidRPr="00E55B21">
        <w:t>Adam Jones, </w:t>
      </w:r>
      <w:r w:rsidRPr="00E55B21">
        <w:rPr>
          <w:i/>
          <w:iCs/>
        </w:rPr>
        <w:t>Genocide: A Comprehensive Introduction </w:t>
      </w:r>
      <w:r w:rsidRPr="00E55B21">
        <w:t>(2nd. ed.) </w:t>
      </w:r>
      <w:r w:rsidRPr="00E55B21">
        <w:rPr>
          <w:i/>
          <w:iCs/>
        </w:rPr>
        <w:t> </w:t>
      </w:r>
      <w:r w:rsidRPr="00E55B21">
        <w:t>(Abingdon, 2011), Chapter 1.</w:t>
      </w:r>
    </w:p>
    <w:p w14:paraId="67057C58" w14:textId="5897367F" w:rsidR="00E55B21" w:rsidRDefault="00E55B21" w:rsidP="00E55B21">
      <w:pPr>
        <w:pStyle w:val="ListParagraph"/>
        <w:numPr>
          <w:ilvl w:val="0"/>
          <w:numId w:val="22"/>
        </w:numPr>
      </w:pPr>
      <w:r w:rsidRPr="00E55B21">
        <w:t xml:space="preserve">Robert Gellately and Ben Kiernan, ‘The Study of Mass Murder and Genocide’ in Robert Gellately and Ben Kiernan (eds.), </w:t>
      </w:r>
      <w:r w:rsidRPr="00E55B21">
        <w:rPr>
          <w:i/>
          <w:iCs/>
        </w:rPr>
        <w:t>The Specter of Genocide: Mass Murder in Historical Perspective </w:t>
      </w:r>
      <w:r w:rsidRPr="00E55B21">
        <w:t>(Cambridge, 2003), pp. 3-26.</w:t>
      </w:r>
    </w:p>
    <w:p w14:paraId="56FFDE9C" w14:textId="103C4B52" w:rsidR="00C02230" w:rsidRPr="00C02230" w:rsidRDefault="00C02230" w:rsidP="00E55B21">
      <w:pPr>
        <w:pStyle w:val="ListParagraph"/>
        <w:numPr>
          <w:ilvl w:val="0"/>
          <w:numId w:val="22"/>
        </w:numPr>
      </w:pPr>
      <w:r w:rsidRPr="00C02230">
        <w:t>Luke Glanville, ‘Is “Genocide” still a</w:t>
      </w:r>
      <w:r>
        <w:t xml:space="preserve"> powerful word?’, </w:t>
      </w:r>
      <w:r>
        <w:rPr>
          <w:i/>
          <w:iCs/>
        </w:rPr>
        <w:t xml:space="preserve">Journal of Genocide Research </w:t>
      </w:r>
      <w:r>
        <w:t>11:4 (2009).</w:t>
      </w:r>
    </w:p>
    <w:p w14:paraId="58802039" w14:textId="2C852E57" w:rsidR="00E55B21" w:rsidRPr="00E55B21" w:rsidRDefault="00E55B21" w:rsidP="00E55B21">
      <w:pPr>
        <w:pStyle w:val="ListParagraph"/>
        <w:numPr>
          <w:ilvl w:val="0"/>
          <w:numId w:val="22"/>
        </w:numPr>
      </w:pPr>
      <w:r w:rsidRPr="00E55B21">
        <w:t xml:space="preserve">Ben Kiernan, ‘Twentieth-Century Genocides: Underlying Ideological Themes from Armenia to East Timor’ in Robert Gellately and Ben Kiernan (eds.), </w:t>
      </w:r>
      <w:r w:rsidRPr="00E55B21">
        <w:rPr>
          <w:i/>
          <w:iCs/>
        </w:rPr>
        <w:t>The Specter of Genocide: Mass Murder in Historical Perspective </w:t>
      </w:r>
      <w:r w:rsidRPr="00E55B21">
        <w:t>(Cambridge, 2003) pp. 29-51.</w:t>
      </w:r>
    </w:p>
    <w:p w14:paraId="752FAE51" w14:textId="77777777" w:rsidR="007556CB" w:rsidRDefault="007556CB" w:rsidP="007556CB">
      <w:pPr>
        <w:pStyle w:val="ListParagraph"/>
        <w:numPr>
          <w:ilvl w:val="0"/>
          <w:numId w:val="22"/>
        </w:numPr>
      </w:pPr>
      <w:r w:rsidRPr="00E55B21">
        <w:t>Mark Levene, ‘Why Is the Twentieth Century the Century of Genocide?’ </w:t>
      </w:r>
      <w:r w:rsidRPr="00E55B21">
        <w:rPr>
          <w:i/>
          <w:iCs/>
        </w:rPr>
        <w:t>Journal of World History, </w:t>
      </w:r>
      <w:r w:rsidRPr="00E55B21">
        <w:t>11:2 (2000), 305-336.</w:t>
      </w:r>
    </w:p>
    <w:p w14:paraId="120B319E" w14:textId="58F68575" w:rsidR="00A66CE2" w:rsidRPr="00A66CE2" w:rsidRDefault="00A66CE2" w:rsidP="007556CB">
      <w:pPr>
        <w:pStyle w:val="ListParagraph"/>
        <w:numPr>
          <w:ilvl w:val="0"/>
          <w:numId w:val="22"/>
        </w:numPr>
      </w:pPr>
      <w:r w:rsidRPr="00A66CE2">
        <w:t xml:space="preserve">Thomas W. Simon, ‘Defining genocide’, </w:t>
      </w:r>
      <w:r w:rsidRPr="00A66CE2">
        <w:rPr>
          <w:i/>
          <w:iCs/>
        </w:rPr>
        <w:t>Wisconsin Inte</w:t>
      </w:r>
      <w:r>
        <w:rPr>
          <w:i/>
          <w:iCs/>
        </w:rPr>
        <w:t xml:space="preserve">rnational Law Journal </w:t>
      </w:r>
      <w:r>
        <w:t>15:1</w:t>
      </w:r>
      <w:r w:rsidR="00D573EB">
        <w:t xml:space="preserve"> (1996)</w:t>
      </w:r>
      <w:r>
        <w:t>, 243-</w:t>
      </w:r>
      <w:r w:rsidR="00D573EB">
        <w:t>256.</w:t>
      </w:r>
    </w:p>
    <w:p w14:paraId="132BFE35" w14:textId="77777777" w:rsidR="00E55B21" w:rsidRDefault="00E55B21" w:rsidP="00E55B21">
      <w:pPr>
        <w:pStyle w:val="ListParagraph"/>
        <w:numPr>
          <w:ilvl w:val="0"/>
          <w:numId w:val="22"/>
        </w:numPr>
      </w:pPr>
      <w:r w:rsidRPr="00E55B21">
        <w:lastRenderedPageBreak/>
        <w:t>Krista K. Thomason, ‘If Everything is Genocide, Nothing Is: Scepticism and the Concept of Genocide’, </w:t>
      </w:r>
      <w:r w:rsidRPr="00E55B21">
        <w:rPr>
          <w:i/>
          <w:iCs/>
        </w:rPr>
        <w:t>Journal of Genocide Research </w:t>
      </w:r>
      <w:r w:rsidRPr="00E55B21">
        <w:t>20:3 (2018), 412-416.</w:t>
      </w:r>
    </w:p>
    <w:p w14:paraId="4EB03B11" w14:textId="77777777" w:rsidR="008F0E37" w:rsidRDefault="008F0E37" w:rsidP="008F0E37"/>
    <w:p w14:paraId="6B743535" w14:textId="6A7378E2" w:rsidR="00B7417D" w:rsidRDefault="00B7417D" w:rsidP="00B7417D">
      <w:pPr>
        <w:pStyle w:val="Heading3"/>
      </w:pPr>
      <w:r>
        <w:t xml:space="preserve">Session 3: Genocide </w:t>
      </w:r>
      <w:r w:rsidR="00046D1D">
        <w:t>against the Herero and Nama people, 1904-1908.</w:t>
      </w:r>
    </w:p>
    <w:p w14:paraId="2B76DAD1" w14:textId="77777777" w:rsidR="00046D1D" w:rsidRPr="00046D1D" w:rsidRDefault="00046D1D" w:rsidP="00046D1D">
      <w:r w:rsidRPr="00046D1D">
        <w:t>This session will focus on the genocide of the Herero and Nama people in German Southwest Africa (present-day Namibia), which occurred between 1904 and 1908 in the context of a Herero and Nama rebellion against German colonial rule. Between 24,000 and 100,000 Herero and 10,000 Nama were killed in the genocide, which was characterised by starvation and the use of concentration camps.</w:t>
      </w:r>
    </w:p>
    <w:p w14:paraId="09B54E2F" w14:textId="77777777" w:rsidR="00046D1D" w:rsidRDefault="00046D1D" w:rsidP="00046D1D">
      <w:r w:rsidRPr="00046D1D">
        <w:t>Questions we will consider include:</w:t>
      </w:r>
    </w:p>
    <w:p w14:paraId="177479B3" w14:textId="51DFD164" w:rsidR="00D45CB1" w:rsidRDefault="00D45CB1" w:rsidP="00D45CB1">
      <w:pPr>
        <w:pStyle w:val="ListParagraph"/>
        <w:numPr>
          <w:ilvl w:val="0"/>
          <w:numId w:val="24"/>
        </w:numPr>
      </w:pPr>
      <w:r>
        <w:t>What were the causes of the genocide against the Herero and Nama people?</w:t>
      </w:r>
    </w:p>
    <w:p w14:paraId="6585B6B9" w14:textId="0E23B7C0" w:rsidR="00D45CB1" w:rsidRDefault="00D45CB1" w:rsidP="00D45CB1">
      <w:pPr>
        <w:pStyle w:val="ListParagraph"/>
        <w:numPr>
          <w:ilvl w:val="0"/>
          <w:numId w:val="24"/>
        </w:numPr>
      </w:pPr>
      <w:r>
        <w:t>How was genocide carried out?</w:t>
      </w:r>
    </w:p>
    <w:p w14:paraId="0AF8DE6A" w14:textId="1CD9C8AE" w:rsidR="00D45CB1" w:rsidRDefault="00D45CB1" w:rsidP="00D45CB1">
      <w:pPr>
        <w:pStyle w:val="ListParagraph"/>
        <w:numPr>
          <w:ilvl w:val="0"/>
          <w:numId w:val="24"/>
        </w:numPr>
      </w:pPr>
      <w:r>
        <w:t>Is it useful to link the genocide against the Herero and Nama people to the Holocaust? What do we gain and lose from this framing?</w:t>
      </w:r>
    </w:p>
    <w:p w14:paraId="2050DD1E" w14:textId="14249FD0" w:rsidR="00D45CB1" w:rsidRPr="00046D1D" w:rsidRDefault="00D45CB1" w:rsidP="00D45CB1">
      <w:pPr>
        <w:pStyle w:val="ListParagraph"/>
        <w:numPr>
          <w:ilvl w:val="0"/>
          <w:numId w:val="24"/>
        </w:numPr>
      </w:pPr>
      <w:r>
        <w:t>What are the legacies of the genocide? How has it been remembered?</w:t>
      </w:r>
    </w:p>
    <w:p w14:paraId="0B7AD683" w14:textId="61042705" w:rsidR="00046D1D" w:rsidRPr="00046D1D" w:rsidRDefault="00046D1D" w:rsidP="00046D1D">
      <w:r w:rsidRPr="00046D1D">
        <w:t xml:space="preserve">Please read the 'Key Reading' item and one other item from the 'Further Reading' list. The primary source for this session is </w:t>
      </w:r>
      <w:r w:rsidR="007556CB" w:rsidRPr="00046D1D">
        <w:t>long and</w:t>
      </w:r>
      <w:r w:rsidRPr="00046D1D">
        <w:t xml:space="preserve"> contains many testimonies of survivors and witnesses to the genocide. To make this manageable, select only one testimony to read before class.</w:t>
      </w:r>
    </w:p>
    <w:p w14:paraId="02840642" w14:textId="77777777" w:rsidR="00046D1D" w:rsidRPr="00046D1D" w:rsidRDefault="00046D1D" w:rsidP="00046D1D">
      <w:r w:rsidRPr="00046D1D">
        <w:rPr>
          <w:b/>
          <w:bCs/>
        </w:rPr>
        <w:t>Key reading:</w:t>
      </w:r>
    </w:p>
    <w:p w14:paraId="1DF0BAF7" w14:textId="77777777" w:rsidR="00046D1D" w:rsidRPr="00046D1D" w:rsidRDefault="00046D1D" w:rsidP="00B14E70">
      <w:pPr>
        <w:pStyle w:val="ListParagraph"/>
        <w:numPr>
          <w:ilvl w:val="0"/>
          <w:numId w:val="25"/>
        </w:numPr>
      </w:pPr>
      <w:r w:rsidRPr="00046D1D">
        <w:t>Jon Bridgman and Leslie J. Worley, ‘Genocide of the Hereros’ in Samuel Totten and William S. Parsons (eds.), </w:t>
      </w:r>
      <w:r w:rsidRPr="00B14E70">
        <w:rPr>
          <w:i/>
          <w:iCs/>
        </w:rPr>
        <w:t>Century of Genocide: Critical Essays and Eyewitness Accounts, </w:t>
      </w:r>
      <w:r w:rsidRPr="00046D1D">
        <w:t>(New York, 2009), pp. 14-42.</w:t>
      </w:r>
    </w:p>
    <w:p w14:paraId="374156EC" w14:textId="77777777" w:rsidR="00046D1D" w:rsidRPr="00046D1D" w:rsidRDefault="00046D1D" w:rsidP="00046D1D">
      <w:r w:rsidRPr="00046D1D">
        <w:rPr>
          <w:b/>
          <w:bCs/>
        </w:rPr>
        <w:t>Primary Source</w:t>
      </w:r>
    </w:p>
    <w:p w14:paraId="60B06743" w14:textId="77777777" w:rsidR="00046D1D" w:rsidRPr="00046D1D" w:rsidRDefault="00046D1D" w:rsidP="00B14E70">
      <w:pPr>
        <w:pStyle w:val="ListParagraph"/>
        <w:numPr>
          <w:ilvl w:val="0"/>
          <w:numId w:val="25"/>
        </w:numPr>
      </w:pPr>
      <w:hyperlink r:id="rId17" w:history="1">
        <w:r w:rsidRPr="00B14E70">
          <w:rPr>
            <w:rStyle w:val="Hyperlink"/>
            <w:b/>
            <w:bCs/>
          </w:rPr>
          <w:t>Report on the natives of South-west Africa and their treatment by Germany / prepared in the Administrator's Office, Windhuk, South-West Africa, January 1918. | Wellcome Collection</w:t>
        </w:r>
      </w:hyperlink>
    </w:p>
    <w:p w14:paraId="6A7652C6" w14:textId="77777777" w:rsidR="00046D1D" w:rsidRPr="00046D1D" w:rsidRDefault="00046D1D" w:rsidP="00046D1D">
      <w:r w:rsidRPr="00046D1D">
        <w:rPr>
          <w:b/>
          <w:bCs/>
        </w:rPr>
        <w:t>Further Reading</w:t>
      </w:r>
    </w:p>
    <w:p w14:paraId="63B3E17F" w14:textId="7E838C6C" w:rsidR="007556CB" w:rsidRPr="00046D1D" w:rsidRDefault="007556CB" w:rsidP="00E63EFE">
      <w:pPr>
        <w:pStyle w:val="ListParagraph"/>
        <w:numPr>
          <w:ilvl w:val="0"/>
          <w:numId w:val="25"/>
        </w:numPr>
      </w:pPr>
      <w:r w:rsidRPr="00046D1D">
        <w:t>Isabel V. Hull, ‘Military Culture and the Production of “Final Solutions” in the Colonies: The Example of Wilhelminian Germany’ in Robert Gellately and Ben Kiernan (eds.), ‘ </w:t>
      </w:r>
      <w:r w:rsidRPr="00B14E70">
        <w:rPr>
          <w:i/>
          <w:iCs/>
        </w:rPr>
        <w:t>The Specter of Genocide: Mass Murder in Historical Perspective </w:t>
      </w:r>
      <w:r w:rsidRPr="00046D1D">
        <w:t>(Cambridge, 2003), pp. 141-162.</w:t>
      </w:r>
    </w:p>
    <w:p w14:paraId="5852632D" w14:textId="77777777" w:rsidR="00046D1D" w:rsidRPr="00046D1D" w:rsidRDefault="00046D1D" w:rsidP="00B14E70">
      <w:pPr>
        <w:pStyle w:val="ListParagraph"/>
        <w:numPr>
          <w:ilvl w:val="0"/>
          <w:numId w:val="25"/>
        </w:numPr>
      </w:pPr>
      <w:r w:rsidRPr="00046D1D">
        <w:t>Birthe Kundrus, ‘From the Herero to the Holocaust? Some Remarks on the Current Debate’, </w:t>
      </w:r>
      <w:r w:rsidRPr="00B14E70">
        <w:rPr>
          <w:i/>
          <w:iCs/>
        </w:rPr>
        <w:t>Afrika Spectrum </w:t>
      </w:r>
      <w:r w:rsidRPr="00046D1D">
        <w:t>40:2 (2005), pp.299-308, available open access here: </w:t>
      </w:r>
      <w:hyperlink r:id="rId18" w:history="1">
        <w:r w:rsidRPr="00046D1D">
          <w:rPr>
            <w:rStyle w:val="Hyperlink"/>
          </w:rPr>
          <w:t>KundrusLast.PDF (ssoar.info)</w:t>
        </w:r>
      </w:hyperlink>
    </w:p>
    <w:p w14:paraId="6BB388BE" w14:textId="77777777" w:rsidR="00046D1D" w:rsidRPr="00046D1D" w:rsidRDefault="00046D1D" w:rsidP="00B14E70">
      <w:pPr>
        <w:pStyle w:val="ListParagraph"/>
        <w:numPr>
          <w:ilvl w:val="0"/>
          <w:numId w:val="25"/>
        </w:numPr>
      </w:pPr>
      <w:r w:rsidRPr="00046D1D">
        <w:lastRenderedPageBreak/>
        <w:t>Janne Lahti, ‘</w:t>
      </w:r>
      <w:r w:rsidRPr="00B14E70">
        <w:rPr>
          <w:i/>
          <w:iCs/>
        </w:rPr>
        <w:t>Südwester Reiter: </w:t>
      </w:r>
      <w:r w:rsidRPr="00046D1D">
        <w:t>Fear, Belonging, and Settler Colonial Violence in Namibia’, </w:t>
      </w:r>
      <w:r w:rsidRPr="00B14E70">
        <w:rPr>
          <w:i/>
          <w:iCs/>
        </w:rPr>
        <w:t>Journal of Genocide Research </w:t>
      </w:r>
      <w:r w:rsidRPr="00046D1D">
        <w:t>24:4 (2022), 529-548.</w:t>
      </w:r>
    </w:p>
    <w:p w14:paraId="6191C13B" w14:textId="77777777" w:rsidR="00046D1D" w:rsidRPr="00046D1D" w:rsidRDefault="00046D1D" w:rsidP="00B14E70">
      <w:pPr>
        <w:pStyle w:val="ListParagraph"/>
        <w:numPr>
          <w:ilvl w:val="0"/>
          <w:numId w:val="25"/>
        </w:numPr>
      </w:pPr>
      <w:r w:rsidRPr="00046D1D">
        <w:t>Benjamin Madley, ‘From Africa to Auschwitz: How German South West Africa Incubated Ideas and Methods Adopted and Developed by the Nazis in Eastern Europe’, </w:t>
      </w:r>
      <w:r w:rsidRPr="00B14E70">
        <w:rPr>
          <w:i/>
          <w:iCs/>
        </w:rPr>
        <w:t>European History Quarterly, </w:t>
      </w:r>
      <w:r w:rsidRPr="00046D1D">
        <w:t>35:3 (2005), 429-464.</w:t>
      </w:r>
    </w:p>
    <w:p w14:paraId="3D82E028" w14:textId="55DCB931" w:rsidR="00B14E70" w:rsidRDefault="00046D1D" w:rsidP="00B14E70">
      <w:pPr>
        <w:pStyle w:val="ListParagraph"/>
        <w:numPr>
          <w:ilvl w:val="0"/>
          <w:numId w:val="25"/>
        </w:numPr>
      </w:pPr>
      <w:r w:rsidRPr="00046D1D">
        <w:t>Dominik J. Schaller, ‘“Every Herero Will Be Shot”: Genocide, Concentration Camps and Slave Labour in German South-West Africa” in René Lemarchand (ed.), </w:t>
      </w:r>
      <w:r w:rsidRPr="00B14E70">
        <w:rPr>
          <w:i/>
          <w:iCs/>
        </w:rPr>
        <w:t>Forgotten Genocides: Oblivion, Denial, and Memory </w:t>
      </w:r>
      <w:r w:rsidRPr="00046D1D">
        <w:t>(</w:t>
      </w:r>
      <w:r w:rsidR="00CF1B91">
        <w:t>Philadelphia,</w:t>
      </w:r>
      <w:r w:rsidRPr="00046D1D">
        <w:t xml:space="preserve"> 2011), pp. 37-50.</w:t>
      </w:r>
    </w:p>
    <w:p w14:paraId="1505FA72" w14:textId="77777777" w:rsidR="0067398B" w:rsidRDefault="0067398B" w:rsidP="00B21435">
      <w:pPr>
        <w:pStyle w:val="Heading3"/>
      </w:pPr>
      <w:r>
        <w:t>Session 4: The Armenian Genocide</w:t>
      </w:r>
    </w:p>
    <w:p w14:paraId="443FF29F" w14:textId="12D39C1B" w:rsidR="00044B24" w:rsidRDefault="00DF2197" w:rsidP="00044B24">
      <w:r>
        <w:t xml:space="preserve">During the First World War, the Armenian people in the Ottoman Empire were </w:t>
      </w:r>
      <w:r w:rsidR="00BF6AED">
        <w:t>subjected to genocide by the ruling Committee of Union and Progress</w:t>
      </w:r>
      <w:r w:rsidR="00E4555F">
        <w:t xml:space="preserve"> (CUP). Over one million Armenians perished in this campaign of mass murder and forced death marches to the Syrian Desert. Others</w:t>
      </w:r>
      <w:r w:rsidR="00E56D9D">
        <w:t>, primarily women and children, were forced to convert to Islam.</w:t>
      </w:r>
      <w:r w:rsidR="002018F8">
        <w:t xml:space="preserve"> These events continue to have global significance more than a century later, with the Turkish state </w:t>
      </w:r>
      <w:r w:rsidR="00566CC7">
        <w:t xml:space="preserve">maintaining that the events cannot be described as genocide. </w:t>
      </w:r>
    </w:p>
    <w:p w14:paraId="556243F6" w14:textId="1768AA41" w:rsidR="00A430B0" w:rsidRDefault="00A430B0" w:rsidP="00044B24">
      <w:r>
        <w:t xml:space="preserve">Questions we will consider in this session include: </w:t>
      </w:r>
    </w:p>
    <w:p w14:paraId="463C2D8A" w14:textId="6AE1C66D" w:rsidR="00A430B0" w:rsidRDefault="004D7322" w:rsidP="004D7322">
      <w:pPr>
        <w:pStyle w:val="ListParagraph"/>
        <w:numPr>
          <w:ilvl w:val="0"/>
          <w:numId w:val="26"/>
        </w:numPr>
      </w:pPr>
      <w:r>
        <w:t>What were the causes of the genocide and how was it committed?</w:t>
      </w:r>
    </w:p>
    <w:p w14:paraId="32259020" w14:textId="1FB99F62" w:rsidR="00E63EFE" w:rsidRDefault="00E63EFE" w:rsidP="004D7322">
      <w:pPr>
        <w:pStyle w:val="ListParagraph"/>
        <w:numPr>
          <w:ilvl w:val="0"/>
          <w:numId w:val="26"/>
        </w:numPr>
      </w:pPr>
      <w:r>
        <w:t>Was the genocide planned in advance or a response to changing circumstances?</w:t>
      </w:r>
    </w:p>
    <w:p w14:paraId="207A0889" w14:textId="2FBD8D2D" w:rsidR="004D7322" w:rsidRDefault="00ED60BF" w:rsidP="004D7322">
      <w:pPr>
        <w:pStyle w:val="ListParagraph"/>
        <w:numPr>
          <w:ilvl w:val="0"/>
          <w:numId w:val="26"/>
        </w:numPr>
      </w:pPr>
      <w:r>
        <w:t>What motivates genocide denial in this case?</w:t>
      </w:r>
    </w:p>
    <w:p w14:paraId="7A61E4DB" w14:textId="0DADE2D9" w:rsidR="009B0A7C" w:rsidRDefault="009B0A7C" w:rsidP="009B0A7C">
      <w:pPr>
        <w:rPr>
          <w:b/>
          <w:bCs/>
        </w:rPr>
      </w:pPr>
      <w:r>
        <w:rPr>
          <w:b/>
          <w:bCs/>
        </w:rPr>
        <w:t>Key reading:</w:t>
      </w:r>
    </w:p>
    <w:p w14:paraId="1D2FA89C" w14:textId="77777777" w:rsidR="009B0A7C" w:rsidRDefault="009B0A7C" w:rsidP="009B0A7C">
      <w:r>
        <w:t xml:space="preserve">Jay Winter, ‘Under Cover of War: The Armenian Genocide in the Context of Total War’ in </w:t>
      </w:r>
      <w:r w:rsidRPr="00046D1D">
        <w:t xml:space="preserve">Robert Gellately and Ben Kiernan (eds.), </w:t>
      </w:r>
      <w:r w:rsidRPr="00B14E70">
        <w:rPr>
          <w:i/>
          <w:iCs/>
        </w:rPr>
        <w:t>The Specter of Genocide: Mass Murder in Historical Perspective </w:t>
      </w:r>
      <w:r w:rsidRPr="00046D1D">
        <w:t>(Cambridge, 2003),</w:t>
      </w:r>
      <w:r>
        <w:t xml:space="preserve"> pp. 189-213.</w:t>
      </w:r>
    </w:p>
    <w:p w14:paraId="6D2AC760" w14:textId="0E05E624" w:rsidR="009B0A7C" w:rsidRPr="009B0A7C" w:rsidRDefault="009B0A7C" w:rsidP="009B0A7C">
      <w:pPr>
        <w:rPr>
          <w:b/>
          <w:bCs/>
        </w:rPr>
      </w:pPr>
      <w:r>
        <w:rPr>
          <w:b/>
          <w:bCs/>
        </w:rPr>
        <w:t>Further reading:</w:t>
      </w:r>
    </w:p>
    <w:p w14:paraId="1CD77B36" w14:textId="57A885AB" w:rsidR="00511A80" w:rsidRDefault="00511A80" w:rsidP="00511A80">
      <w:r w:rsidRPr="00511A80">
        <w:t>Taner Akçam, “The Initial Phase of anti-Armenian Policy” and “Final Steps in the Decision</w:t>
      </w:r>
      <w:r>
        <w:t>-</w:t>
      </w:r>
      <w:r w:rsidRPr="00511A80">
        <w:t xml:space="preserve">Making Process,” in </w:t>
      </w:r>
      <w:r w:rsidRPr="00511A80">
        <w:rPr>
          <w:i/>
          <w:iCs/>
        </w:rPr>
        <w:t>The Young Turks’ Crime against Humanity: The Armenian Genocide and Ethnic Cleansing in the Ottoman Empire</w:t>
      </w:r>
      <w:r w:rsidRPr="00511A80">
        <w:t xml:space="preserve"> (Princeton</w:t>
      </w:r>
      <w:r w:rsidR="00CE434F">
        <w:t xml:space="preserve">, </w:t>
      </w:r>
      <w:r w:rsidRPr="00511A80">
        <w:t>2012), 125- 202.</w:t>
      </w:r>
    </w:p>
    <w:p w14:paraId="77E56B0B" w14:textId="58ED6EBC" w:rsidR="00A87788" w:rsidRDefault="00C440C2" w:rsidP="00A87788">
      <w:r>
        <w:t xml:space="preserve">Taner </w:t>
      </w:r>
      <w:r w:rsidR="00A87788" w:rsidRPr="00A87788">
        <w:t>Akçam, 2019. “When Was the Decision to Annihilate the Armenians Taken?” </w:t>
      </w:r>
      <w:r w:rsidR="00A87788" w:rsidRPr="00A87788">
        <w:rPr>
          <w:i/>
          <w:iCs/>
        </w:rPr>
        <w:t>Journal of Genocide Research</w:t>
      </w:r>
      <w:r w:rsidR="00A87788" w:rsidRPr="00A87788">
        <w:t> 21</w:t>
      </w:r>
      <w:r w:rsidR="00CE434F">
        <w:t xml:space="preserve">:4 (2019), </w:t>
      </w:r>
      <w:r w:rsidR="00A87788" w:rsidRPr="00A87788">
        <w:t>457–80.</w:t>
      </w:r>
    </w:p>
    <w:p w14:paraId="26D34884" w14:textId="4266A7AB" w:rsidR="009616B4" w:rsidRDefault="009616B4" w:rsidP="009616B4">
      <w:r w:rsidRPr="009616B4">
        <w:t>Donald</w:t>
      </w:r>
      <w:r>
        <w:t xml:space="preserve"> Bloxham</w:t>
      </w:r>
      <w:r w:rsidRPr="009616B4">
        <w:t>, </w:t>
      </w:r>
      <w:r w:rsidRPr="009616B4">
        <w:rPr>
          <w:i/>
          <w:iCs/>
        </w:rPr>
        <w:t>The Great Game of Genocide</w:t>
      </w:r>
      <w:r w:rsidRPr="009616B4">
        <w:rPr>
          <w:rFonts w:ascii="Arial" w:hAnsi="Arial" w:cs="Arial"/>
          <w:i/>
          <w:iCs/>
        </w:rPr>
        <w:t> </w:t>
      </w:r>
      <w:r w:rsidRPr="009616B4">
        <w:rPr>
          <w:i/>
          <w:iCs/>
        </w:rPr>
        <w:t>: Imperialism, Nationalism, and the Destruction of the Ottoman Armenians</w:t>
      </w:r>
      <w:r w:rsidRPr="009616B4">
        <w:t> (Oxford</w:t>
      </w:r>
      <w:r w:rsidR="00CE434F">
        <w:t>,</w:t>
      </w:r>
      <w:r w:rsidRPr="009616B4">
        <w:t xml:space="preserve"> 2005)</w:t>
      </w:r>
      <w:r w:rsidR="00A438BD">
        <w:t>.</w:t>
      </w:r>
    </w:p>
    <w:p w14:paraId="07540301" w14:textId="4BEDF0D7" w:rsidR="001351D5" w:rsidRDefault="0090668F" w:rsidP="001351D5">
      <w:r>
        <w:t>V</w:t>
      </w:r>
      <w:r w:rsidR="001351D5" w:rsidRPr="001351D5">
        <w:t>ahakn N</w:t>
      </w:r>
      <w:r>
        <w:t>. Dadrian,</w:t>
      </w:r>
      <w:r w:rsidR="001351D5" w:rsidRPr="001351D5">
        <w:t xml:space="preserve"> ‘Children as Victims of Genocide: The Armenian Case’, </w:t>
      </w:r>
      <w:r w:rsidR="001351D5" w:rsidRPr="001351D5">
        <w:rPr>
          <w:i/>
          <w:iCs/>
        </w:rPr>
        <w:t>Journal of Genocide Research</w:t>
      </w:r>
      <w:r w:rsidR="001351D5" w:rsidRPr="001351D5">
        <w:t>, 5</w:t>
      </w:r>
      <w:r>
        <w:t>:</w:t>
      </w:r>
      <w:r w:rsidR="001351D5" w:rsidRPr="001351D5">
        <w:t>3 (2003), 421–37</w:t>
      </w:r>
    </w:p>
    <w:p w14:paraId="66F0329C" w14:textId="3E7A4AA1" w:rsidR="00736827" w:rsidRDefault="00736827" w:rsidP="00736827">
      <w:r w:rsidRPr="00736827">
        <w:lastRenderedPageBreak/>
        <w:t>Keith David</w:t>
      </w:r>
      <w:r w:rsidR="00A10F0A">
        <w:t xml:space="preserve"> Watenpaugh</w:t>
      </w:r>
      <w:r w:rsidRPr="00736827">
        <w:t>, ‘“Are There Any Children for Sale?”: Genocide and the Transfer of Armenian Children (1915-1922)’, </w:t>
      </w:r>
      <w:r w:rsidRPr="00736827">
        <w:rPr>
          <w:i/>
          <w:iCs/>
        </w:rPr>
        <w:t>Journal of Human Rights</w:t>
      </w:r>
      <w:r w:rsidRPr="00736827">
        <w:t>, 12</w:t>
      </w:r>
      <w:r w:rsidR="00A10F0A">
        <w:t>:</w:t>
      </w:r>
      <w:r w:rsidRPr="00736827">
        <w:t>3 (2013), 283–95</w:t>
      </w:r>
    </w:p>
    <w:p w14:paraId="3CF2550E" w14:textId="122DE4B6" w:rsidR="00211CCA" w:rsidRPr="00A10F0A" w:rsidRDefault="00211CCA" w:rsidP="00211CCA">
      <w:r w:rsidRPr="00A10F0A">
        <w:t>Robert M</w:t>
      </w:r>
      <w:r w:rsidR="00A10F0A">
        <w:t>. Kaplan</w:t>
      </w:r>
      <w:r w:rsidRPr="00A10F0A">
        <w:t>, ‘Doctors and the Armenian and Bosnian Genocides’, </w:t>
      </w:r>
      <w:r w:rsidRPr="00A10F0A">
        <w:rPr>
          <w:i/>
          <w:iCs/>
        </w:rPr>
        <w:t>Health and History</w:t>
      </w:r>
      <w:r w:rsidRPr="00A10F0A">
        <w:t>, 18</w:t>
      </w:r>
      <w:r w:rsidR="00A10F0A">
        <w:t>:</w:t>
      </w:r>
      <w:r w:rsidRPr="00A10F0A">
        <w:t>2 (2016), 40–62</w:t>
      </w:r>
      <w:r w:rsidR="00A10F0A">
        <w:t>.</w:t>
      </w:r>
    </w:p>
    <w:p w14:paraId="2B5DF761" w14:textId="4D3E6A4B" w:rsidR="00B21435" w:rsidRPr="00046D1D" w:rsidRDefault="00B21435" w:rsidP="00B21435">
      <w:pPr>
        <w:pStyle w:val="Heading3"/>
      </w:pPr>
      <w:r>
        <w:t xml:space="preserve">Session </w:t>
      </w:r>
      <w:r w:rsidR="0067398B">
        <w:t>5</w:t>
      </w:r>
      <w:r>
        <w:t xml:space="preserve">: </w:t>
      </w:r>
      <w:r w:rsidR="00453DCC">
        <w:t>Origins of t</w:t>
      </w:r>
      <w:r>
        <w:t>he Holocaust</w:t>
      </w:r>
    </w:p>
    <w:p w14:paraId="7C69C7AE" w14:textId="77777777" w:rsidR="001E633B" w:rsidRDefault="001E633B" w:rsidP="001E633B">
      <w:r>
        <w:t>The Holocaust, perpetrated under Hitler’s National Socialists, is one of the most-researched topics by historians. Yet, there are areas of contentious debate. The origins of the genocide is just one of those areas. We will examine these debates in this session.</w:t>
      </w:r>
    </w:p>
    <w:p w14:paraId="011E6370" w14:textId="77777777" w:rsidR="001E633B" w:rsidRDefault="001E633B" w:rsidP="001E633B">
      <w:r>
        <w:t>Key questions for our seminar:</w:t>
      </w:r>
    </w:p>
    <w:p w14:paraId="05D971AB" w14:textId="77777777" w:rsidR="001E633B" w:rsidRDefault="001E633B" w:rsidP="001E633B">
      <w:pPr>
        <w:pStyle w:val="ListParagraph"/>
        <w:numPr>
          <w:ilvl w:val="0"/>
          <w:numId w:val="1"/>
        </w:numPr>
      </w:pPr>
      <w:r>
        <w:t>Was the Holocaust meticulously planned by Hitler years in advance? Or an unforeseen outcome of military planning?</w:t>
      </w:r>
    </w:p>
    <w:p w14:paraId="712828CC" w14:textId="77777777" w:rsidR="005726AE" w:rsidRDefault="005726AE" w:rsidP="001E633B">
      <w:pPr>
        <w:rPr>
          <w:b/>
          <w:bCs/>
        </w:rPr>
      </w:pPr>
      <w:r>
        <w:rPr>
          <w:b/>
          <w:bCs/>
        </w:rPr>
        <w:t xml:space="preserve">Key reading: </w:t>
      </w:r>
    </w:p>
    <w:p w14:paraId="62349531" w14:textId="2A614887" w:rsidR="001E633B" w:rsidRDefault="001E633B" w:rsidP="001E633B">
      <w:r>
        <w:t xml:space="preserve">Christopher R. Browning, </w:t>
      </w:r>
      <w:r>
        <w:rPr>
          <w:i/>
          <w:iCs/>
        </w:rPr>
        <w:t>The Path to Genocide: Essays on Launching the Final Solution</w:t>
      </w:r>
      <w:r>
        <w:t xml:space="preserve"> (Cambridge, 1992), Chapter 1.</w:t>
      </w:r>
    </w:p>
    <w:p w14:paraId="711A4C20" w14:textId="77777777" w:rsidR="002A1BC4" w:rsidRDefault="002A1BC4" w:rsidP="001E633B">
      <w:pPr>
        <w:rPr>
          <w:b/>
          <w:bCs/>
        </w:rPr>
      </w:pPr>
      <w:r>
        <w:rPr>
          <w:b/>
          <w:bCs/>
        </w:rPr>
        <w:t>Further reading:</w:t>
      </w:r>
    </w:p>
    <w:p w14:paraId="164C7137" w14:textId="57C563EB" w:rsidR="001E633B" w:rsidRDefault="001E633B" w:rsidP="001E633B">
      <w:r>
        <w:t xml:space="preserve">Robert Gellately, ‘The Third Reich, the Holocaust, and Visions of Serial Genocide’ in Robert Gellately and Ben Kiernan (eds.), </w:t>
      </w:r>
      <w:r>
        <w:rPr>
          <w:i/>
          <w:iCs/>
        </w:rPr>
        <w:t xml:space="preserve">The Specter of Genocide: Mass Murder in Historical Perspective </w:t>
      </w:r>
      <w:r>
        <w:t>(Cambridge, 2003), pp. 241-263.</w:t>
      </w:r>
    </w:p>
    <w:p w14:paraId="412788BC" w14:textId="77777777" w:rsidR="001E633B" w:rsidRPr="003B6D43" w:rsidRDefault="001E633B" w:rsidP="001E633B">
      <w:r>
        <w:t xml:space="preserve">John Connelly, ‘Nazis and Slavs: From Racial Theory to Racist Practice’, </w:t>
      </w:r>
      <w:r>
        <w:rPr>
          <w:i/>
          <w:iCs/>
        </w:rPr>
        <w:t xml:space="preserve">Central European History, </w:t>
      </w:r>
      <w:r>
        <w:t>32:1 (1999), 1-33.</w:t>
      </w:r>
    </w:p>
    <w:p w14:paraId="60F59360" w14:textId="77777777" w:rsidR="001E633B" w:rsidRDefault="001E633B" w:rsidP="001E633B">
      <w:r>
        <w:t xml:space="preserve">Christian Gerlach, ‘The Wannsee Conference, the Fate of German Jews, and Hitler’s Decision in Principle to Exterminate All European Jews’, </w:t>
      </w:r>
      <w:r>
        <w:rPr>
          <w:i/>
          <w:iCs/>
        </w:rPr>
        <w:t xml:space="preserve">Journal of Modern History </w:t>
      </w:r>
      <w:r>
        <w:t>7:4 (1998), 759-812.</w:t>
      </w:r>
    </w:p>
    <w:p w14:paraId="204F4EFA" w14:textId="4A9724AF" w:rsidR="001E633B" w:rsidRDefault="001E633B" w:rsidP="001E633B">
      <w:r>
        <w:t xml:space="preserve">Timothy Snyder, ‘The Causes of the Holocaust’, </w:t>
      </w:r>
      <w:r>
        <w:rPr>
          <w:i/>
          <w:iCs/>
        </w:rPr>
        <w:t xml:space="preserve">Contemporary European History, </w:t>
      </w:r>
      <w:r>
        <w:t xml:space="preserve">21:2 (2012), 149-168. </w:t>
      </w:r>
    </w:p>
    <w:p w14:paraId="1D9584CB" w14:textId="77777777" w:rsidR="001E633B" w:rsidRDefault="001E633B" w:rsidP="001E633B">
      <w:r>
        <w:t xml:space="preserve">Tom Lawson, </w:t>
      </w:r>
      <w:r>
        <w:rPr>
          <w:i/>
          <w:iCs/>
        </w:rPr>
        <w:t xml:space="preserve">Debates on the Holocaust </w:t>
      </w:r>
      <w:r>
        <w:t>(Manchester, 2010), Chapter 4.</w:t>
      </w:r>
    </w:p>
    <w:p w14:paraId="7D2335FB" w14:textId="64A57CBE" w:rsidR="001E633B" w:rsidRDefault="00533255" w:rsidP="00533255">
      <w:pPr>
        <w:pStyle w:val="Heading3"/>
      </w:pPr>
      <w:r>
        <w:t xml:space="preserve">Session </w:t>
      </w:r>
      <w:r w:rsidR="00D42D89">
        <w:t>6</w:t>
      </w:r>
      <w:r>
        <w:t>:</w:t>
      </w:r>
      <w:r w:rsidR="001E633B">
        <w:t xml:space="preserve"> Ordinary Killers? Holocaust Perpetrators</w:t>
      </w:r>
    </w:p>
    <w:p w14:paraId="4ADAE940" w14:textId="77777777" w:rsidR="001E633B" w:rsidRDefault="001E633B" w:rsidP="001E633B">
      <w:r>
        <w:t>We will now turn from examining the mechanisms, ideologies, power structures and decision-making processes that underpin genocides, to the thorny issue of genocide perpetration. This class will examine the motivations of individual killers, exploring the question of what turns ordinary people into genocidal murderers?</w:t>
      </w:r>
    </w:p>
    <w:p w14:paraId="7910BF67" w14:textId="2C6FA659" w:rsidR="00281D39" w:rsidRDefault="00281D39" w:rsidP="001E633B">
      <w:r>
        <w:t>For this class, please read both key readings.</w:t>
      </w:r>
    </w:p>
    <w:p w14:paraId="2036F525" w14:textId="45678D65" w:rsidR="00D2275A" w:rsidRPr="00D2275A" w:rsidRDefault="00D2275A" w:rsidP="001E633B">
      <w:pPr>
        <w:rPr>
          <w:b/>
          <w:bCs/>
        </w:rPr>
      </w:pPr>
      <w:r>
        <w:rPr>
          <w:b/>
          <w:bCs/>
        </w:rPr>
        <w:lastRenderedPageBreak/>
        <w:t>Key reading:</w:t>
      </w:r>
    </w:p>
    <w:p w14:paraId="0239BCBC" w14:textId="32D4D083" w:rsidR="00D2275A" w:rsidRDefault="00D2275A" w:rsidP="00D2275A">
      <w:r>
        <w:t xml:space="preserve">Christopher R. Browning, </w:t>
      </w:r>
      <w:r>
        <w:rPr>
          <w:i/>
          <w:iCs/>
        </w:rPr>
        <w:t xml:space="preserve">Ordinary Men: Reserve Police Battalion 101 and the Final Solution in Poland </w:t>
      </w:r>
      <w:r>
        <w:t>(New York, 1992)</w:t>
      </w:r>
      <w:r w:rsidR="00281D39">
        <w:t>.</w:t>
      </w:r>
    </w:p>
    <w:p w14:paraId="332B5F3B" w14:textId="77777777" w:rsidR="00281D39" w:rsidRDefault="00281D39" w:rsidP="00281D39">
      <w:r>
        <w:t xml:space="preserve">Tom Lawson, </w:t>
      </w:r>
      <w:r>
        <w:rPr>
          <w:i/>
          <w:iCs/>
        </w:rPr>
        <w:t xml:space="preserve">Debates on the Holocaust </w:t>
      </w:r>
      <w:r>
        <w:t>(Manchester, 2010), Chapter 6.</w:t>
      </w:r>
    </w:p>
    <w:p w14:paraId="419BA2C0" w14:textId="7BE196F8" w:rsidR="00D2275A" w:rsidRPr="00D2275A" w:rsidRDefault="00D2275A" w:rsidP="00D2275A">
      <w:pPr>
        <w:rPr>
          <w:b/>
          <w:bCs/>
        </w:rPr>
      </w:pPr>
      <w:r>
        <w:rPr>
          <w:b/>
          <w:bCs/>
        </w:rPr>
        <w:t>Further reading:</w:t>
      </w:r>
    </w:p>
    <w:p w14:paraId="5756E6CF" w14:textId="69B742A0" w:rsidR="001E633B" w:rsidRDefault="001E633B" w:rsidP="001E633B">
      <w:r w:rsidRPr="003B6D43">
        <w:t>Natalia Aleksiun, ‘On Humanizing Victims a</w:t>
      </w:r>
      <w:r>
        <w:t xml:space="preserve">nd Perpetrators of the Holocaust in Eastern Europe’, </w:t>
      </w:r>
      <w:r>
        <w:rPr>
          <w:i/>
          <w:iCs/>
        </w:rPr>
        <w:t xml:space="preserve">Journal of Genocide Research, </w:t>
      </w:r>
      <w:r>
        <w:t>20:4 (2018)</w:t>
      </w:r>
      <w:r w:rsidR="00A21BB8">
        <w:t>.</w:t>
      </w:r>
    </w:p>
    <w:p w14:paraId="22FE1010" w14:textId="77777777" w:rsidR="001E633B" w:rsidRPr="003E1128" w:rsidRDefault="001E633B" w:rsidP="001E633B">
      <w:r>
        <w:t xml:space="preserve">Michael Mann, ‘Were the Perpetrators of Genocide “Ordinary Men” or “Real Nazis”? Results from Fifteen Hundred Biographies’, </w:t>
      </w:r>
      <w:r>
        <w:rPr>
          <w:i/>
          <w:iCs/>
        </w:rPr>
        <w:t xml:space="preserve">Holocaust and Genocide Studies </w:t>
      </w:r>
      <w:r>
        <w:t>14:3 (2000), 331-366.</w:t>
      </w:r>
    </w:p>
    <w:p w14:paraId="31CA9876" w14:textId="12A79145" w:rsidR="001E633B" w:rsidRDefault="001E633B" w:rsidP="001E633B">
      <w:r>
        <w:t xml:space="preserve">Ervin Staub, ‘The Psychology of Bystanders, Perpetrators, and Heroic Helpers’ in Jennifer Heath and Ashraf Zahedi (eds.), </w:t>
      </w:r>
      <w:r>
        <w:rPr>
          <w:i/>
          <w:iCs/>
        </w:rPr>
        <w:t xml:space="preserve">Book of the Disappeared: The Quest for Transnational Justice </w:t>
      </w:r>
      <w:r>
        <w:t>(</w:t>
      </w:r>
      <w:r w:rsidR="00847FE1">
        <w:t>Ann Arbor</w:t>
      </w:r>
      <w:r>
        <w:t>, 2023), pp. 306-326.</w:t>
      </w:r>
    </w:p>
    <w:p w14:paraId="56A131CE" w14:textId="3168FE88" w:rsidR="00D42D89" w:rsidRDefault="00D42D89" w:rsidP="00D42D89">
      <w:pPr>
        <w:pStyle w:val="Heading3"/>
      </w:pPr>
      <w:r>
        <w:t>Session 7: Genocide in Cambodia</w:t>
      </w:r>
    </w:p>
    <w:p w14:paraId="7117118D" w14:textId="67D6A9F6" w:rsidR="00D42D89" w:rsidRPr="00D42D89" w:rsidRDefault="00D42D89" w:rsidP="00D42D89">
      <w:pPr>
        <w:shd w:val="clear" w:color="auto" w:fill="FFFFFF"/>
        <w:spacing w:after="100" w:afterAutospacing="1" w:line="240" w:lineRule="auto"/>
        <w:rPr>
          <w:rFonts w:eastAsia="Times New Roman" w:cs="Segoe UI"/>
          <w:color w:val="1D2125"/>
          <w:kern w:val="0"/>
          <w14:ligatures w14:val="none"/>
        </w:rPr>
      </w:pPr>
      <w:r w:rsidRPr="00D42D89">
        <w:rPr>
          <w:rFonts w:eastAsia="Times New Roman" w:cs="Segoe UI"/>
          <w:color w:val="1D2125"/>
          <w:kern w:val="0"/>
          <w14:ligatures w14:val="none"/>
        </w:rPr>
        <w:t xml:space="preserve">Violence in Cambodia, perpetrated by the Khmer Rouge regime under Pol Pot from 1975 to 1979, resulted in the deaths of 1.5 to 2 million people through forced labour, starvation, and torture.  Despite the large-scale killing, many genocide scholars believe that this period of Cambodian history do not qualify as a genocide under the UN Convention, given that most of the victims were members of the Khmer ethnic group. Some scholars have instead suggested the term 'auto-genocide'. We'll be re-examining definitions of genocide in the light of the Cambodian </w:t>
      </w:r>
      <w:r w:rsidR="00847FE1" w:rsidRPr="00D42D89">
        <w:rPr>
          <w:rFonts w:eastAsia="Times New Roman" w:cs="Segoe UI"/>
          <w:color w:val="1D2125"/>
          <w:kern w:val="0"/>
          <w14:ligatures w14:val="none"/>
        </w:rPr>
        <w:t>case and</w:t>
      </w:r>
      <w:r w:rsidRPr="00D42D89">
        <w:rPr>
          <w:rFonts w:eastAsia="Times New Roman" w:cs="Segoe UI"/>
          <w:color w:val="1D2125"/>
          <w:kern w:val="0"/>
          <w14:ligatures w14:val="none"/>
        </w:rPr>
        <w:t xml:space="preserve"> considering the issues it raises for international law. We'll also be thinking about issues of memory and justice after mass killing. </w:t>
      </w:r>
    </w:p>
    <w:p w14:paraId="1D093660" w14:textId="77777777" w:rsidR="00D42D89" w:rsidRPr="00A21BB8" w:rsidRDefault="00D42D89" w:rsidP="00D42D89">
      <w:pPr>
        <w:shd w:val="clear" w:color="auto" w:fill="FFFFFF"/>
        <w:spacing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Key questions for our seminar:</w:t>
      </w:r>
    </w:p>
    <w:p w14:paraId="0577C6F0" w14:textId="77777777" w:rsidR="00D42D89" w:rsidRPr="00A21BB8" w:rsidRDefault="00D42D89" w:rsidP="00D42D89">
      <w:pPr>
        <w:numPr>
          <w:ilvl w:val="0"/>
          <w:numId w:val="3"/>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Was the Cambodian violence a 'genocide'?</w:t>
      </w:r>
    </w:p>
    <w:p w14:paraId="5F17924B" w14:textId="77777777" w:rsidR="00D42D89" w:rsidRPr="00A21BB8" w:rsidRDefault="00D42D89" w:rsidP="00D42D89">
      <w:pPr>
        <w:numPr>
          <w:ilvl w:val="0"/>
          <w:numId w:val="3"/>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Is 'auto-genocide' a useful concept? </w:t>
      </w:r>
    </w:p>
    <w:p w14:paraId="26542E6D" w14:textId="096DCDEF" w:rsidR="00D42D89" w:rsidRPr="00A21BB8" w:rsidRDefault="00D42D89" w:rsidP="00D42D89">
      <w:pPr>
        <w:numPr>
          <w:ilvl w:val="0"/>
          <w:numId w:val="3"/>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What legal issues were raised by the Cambodian case?</w:t>
      </w:r>
    </w:p>
    <w:p w14:paraId="0685C3A6" w14:textId="79ADF6C3" w:rsidR="00D42D89" w:rsidRPr="005D55D1" w:rsidRDefault="005D55D1" w:rsidP="005D55D1">
      <w:pPr>
        <w:rPr>
          <w:b/>
          <w:bCs/>
        </w:rPr>
      </w:pPr>
      <w:r>
        <w:rPr>
          <w:b/>
          <w:bCs/>
        </w:rPr>
        <w:t>Key reading:</w:t>
      </w:r>
    </w:p>
    <w:p w14:paraId="54AF65AF" w14:textId="77777777" w:rsidR="00D42D89" w:rsidRDefault="00D42D89" w:rsidP="00D42D89">
      <w:r w:rsidRPr="006F3802">
        <w:t>Ben Kiernan,  ‘The Cambodian Genocide 1975</w:t>
      </w:r>
      <w:r>
        <w:t xml:space="preserve">-1979’ in Samuel Totten and William S. Parsons (eds.), </w:t>
      </w:r>
      <w:r>
        <w:rPr>
          <w:i/>
          <w:iCs/>
        </w:rPr>
        <w:t xml:space="preserve">Century of Genocide: Critical Essays and Eyewitness Accounts, </w:t>
      </w:r>
      <w:r>
        <w:t>(New York, 2009), pp. 311.</w:t>
      </w:r>
    </w:p>
    <w:p w14:paraId="79D8DFDD" w14:textId="139881FC" w:rsidR="005D55D1" w:rsidRPr="005D55D1" w:rsidRDefault="005D55D1" w:rsidP="00D42D89">
      <w:pPr>
        <w:rPr>
          <w:b/>
          <w:bCs/>
        </w:rPr>
      </w:pPr>
      <w:r>
        <w:rPr>
          <w:b/>
          <w:bCs/>
        </w:rPr>
        <w:t>Further reading:</w:t>
      </w:r>
    </w:p>
    <w:p w14:paraId="2C99E2D2" w14:textId="26B6ED8E" w:rsidR="00E269F1" w:rsidRDefault="00E269F1" w:rsidP="00D42D89">
      <w:r>
        <w:t xml:space="preserve">Emilie A. Caspar, ‘Understanding individual motivations and desistance: Interviews with genocide perpetrators from Rwanda and Cambodia’, </w:t>
      </w:r>
      <w:r>
        <w:rPr>
          <w:i/>
          <w:iCs/>
        </w:rPr>
        <w:t xml:space="preserve">Journal of Perpetrator Research </w:t>
      </w:r>
      <w:r>
        <w:t>6:2 (2024), 105-144.</w:t>
      </w:r>
    </w:p>
    <w:p w14:paraId="4573E207" w14:textId="24DCA090" w:rsidR="008F018C" w:rsidRPr="008F018C" w:rsidRDefault="008F018C" w:rsidP="00D42D89">
      <w:r w:rsidRPr="008F018C">
        <w:lastRenderedPageBreak/>
        <w:t>Myriam Denov, Pok Panhavichetr, Soph</w:t>
      </w:r>
      <w:r>
        <w:t xml:space="preserve">eap Suong and Meaghan Shevell, ‘“We vowed by force, not by our heart”: Men’s and women’s perspectives on forced marriage during the Cambodian genocide’, </w:t>
      </w:r>
      <w:r>
        <w:rPr>
          <w:i/>
          <w:iCs/>
        </w:rPr>
        <w:t xml:space="preserve">International Journal of Human Rights </w:t>
      </w:r>
      <w:r>
        <w:t>26:9 (2022), 1547-1570.</w:t>
      </w:r>
    </w:p>
    <w:p w14:paraId="5A01DC8B" w14:textId="77777777" w:rsidR="00356BD5" w:rsidRDefault="00356BD5" w:rsidP="00D42D89">
      <w:r>
        <w:t xml:space="preserve">Rosemary Grey, ‘Seen and unseen: Sexual and gender-based crimes in the Khmer Rouge Tribunal’s Case 002/02 Judgment’, </w:t>
      </w:r>
      <w:r>
        <w:rPr>
          <w:i/>
          <w:iCs/>
        </w:rPr>
        <w:t xml:space="preserve">Australian Journal of Human Rights </w:t>
      </w:r>
      <w:r>
        <w:t>25:3 (2019), 466-487.</w:t>
      </w:r>
    </w:p>
    <w:p w14:paraId="67DCD51F" w14:textId="77282434" w:rsidR="00D42D89" w:rsidRDefault="00D42D89" w:rsidP="00D42D89">
      <w:r>
        <w:t xml:space="preserve">Alexander Laban Hinton, ‘Why Did You Kill? The Cambodian Genocide and the Dark Side of Face and Honour’, </w:t>
      </w:r>
      <w:r>
        <w:rPr>
          <w:i/>
          <w:iCs/>
        </w:rPr>
        <w:t xml:space="preserve">Journal of Asian Studies </w:t>
      </w:r>
      <w:r>
        <w:t>2:57 (1998), 93-122.</w:t>
      </w:r>
    </w:p>
    <w:p w14:paraId="4A33F77F" w14:textId="16C5A787" w:rsidR="00492FB3" w:rsidRPr="00492FB3" w:rsidRDefault="00492FB3" w:rsidP="00D42D89">
      <w:r>
        <w:t xml:space="preserve">Douglas Irvin-Erickson, ‘Prosecuting sexual violence at the Cambodian War Crimes Tribunal: Challenges, Limitations, and Implications’, </w:t>
      </w:r>
      <w:r>
        <w:rPr>
          <w:i/>
          <w:iCs/>
        </w:rPr>
        <w:t xml:space="preserve">Human Rights Quarterly </w:t>
      </w:r>
      <w:r>
        <w:t>40 (2018), 570-590.</w:t>
      </w:r>
    </w:p>
    <w:p w14:paraId="100E4A74" w14:textId="77777777" w:rsidR="00D42D89" w:rsidRDefault="00D42D89" w:rsidP="00D42D89">
      <w:r w:rsidRPr="003545B0">
        <w:t xml:space="preserve">Ben Kiernan, ‘Myth, Nationalism and Genocide’, </w:t>
      </w:r>
      <w:r w:rsidRPr="003545B0">
        <w:rPr>
          <w:i/>
          <w:iCs/>
        </w:rPr>
        <w:t>Journal of Genocide Resea</w:t>
      </w:r>
      <w:r>
        <w:rPr>
          <w:i/>
          <w:iCs/>
        </w:rPr>
        <w:t xml:space="preserve">rch </w:t>
      </w:r>
      <w:r>
        <w:t>3:2 (2001), 187-206.</w:t>
      </w:r>
    </w:p>
    <w:p w14:paraId="24AAAAB3" w14:textId="30F0D749" w:rsidR="00D42D89" w:rsidRDefault="00D42D89" w:rsidP="00D42D89">
      <w:r w:rsidRPr="000D0234">
        <w:t>Alexander Laban Hinton, ‘Genocide and th</w:t>
      </w:r>
      <w:r>
        <w:t xml:space="preserve">e Politics of Memory in Cambodia’, in Alexander Laban Hinton, Thomas La Pointe and Douglas Irvin-Erickson (eds.), </w:t>
      </w:r>
      <w:r>
        <w:rPr>
          <w:i/>
          <w:iCs/>
        </w:rPr>
        <w:t xml:space="preserve">Hidden Genocides: Power, Knowledge, Memory </w:t>
      </w:r>
      <w:r>
        <w:t>(</w:t>
      </w:r>
      <w:r w:rsidR="00977FB6">
        <w:t>New Brunswick</w:t>
      </w:r>
      <w:r>
        <w:t>, 2014), pp. 149-169.</w:t>
      </w:r>
    </w:p>
    <w:p w14:paraId="0EEF917C" w14:textId="2F167D0E" w:rsidR="001E633B" w:rsidRDefault="00D42D89" w:rsidP="00FF05B4">
      <w:r w:rsidRPr="008321D7">
        <w:t>Henri Locard, ‘State Violence in Democratic Kampuchea (1975-1979) and R</w:t>
      </w:r>
      <w:r>
        <w:t xml:space="preserve">etribution (1979-2004), </w:t>
      </w:r>
      <w:r>
        <w:rPr>
          <w:i/>
          <w:iCs/>
        </w:rPr>
        <w:t xml:space="preserve">European Review of History </w:t>
      </w:r>
      <w:r>
        <w:t>12:1 (2005), 121-143.</w:t>
      </w:r>
    </w:p>
    <w:p w14:paraId="72DEA23C" w14:textId="6527D6A4" w:rsidR="001108B3" w:rsidRDefault="001108B3" w:rsidP="00FF05B4">
      <w:r>
        <w:t xml:space="preserve">James A. Tyner and Melvin Edwards, ‘The Khmer Rouge Bureaucrats: Counting the Missing’ in Jennifer Heath and Ashraf Zahedi (eds.), </w:t>
      </w:r>
      <w:r>
        <w:rPr>
          <w:i/>
          <w:iCs/>
        </w:rPr>
        <w:t xml:space="preserve">Book of the disappeared: The quest for transnational justice </w:t>
      </w:r>
      <w:r>
        <w:t>(Ann Arbor, 2023), pp.214-233.</w:t>
      </w:r>
    </w:p>
    <w:p w14:paraId="1D57FED8" w14:textId="070DA8D0" w:rsidR="00591E0C" w:rsidRDefault="00591E0C" w:rsidP="00FF05B4">
      <w:r w:rsidRPr="00591E0C">
        <w:t>James A. Tyner, ‘Gender and sexual violence, forced</w:t>
      </w:r>
      <w:r>
        <w:t xml:space="preserve"> marriages and primitive accumulation during the Cambodian genocide, 1975-1979’, </w:t>
      </w:r>
      <w:r>
        <w:rPr>
          <w:i/>
          <w:iCs/>
        </w:rPr>
        <w:t xml:space="preserve">Gender, Place &amp; Culture </w:t>
      </w:r>
      <w:r>
        <w:t>25:9 (2018), 1305-1321.</w:t>
      </w:r>
    </w:p>
    <w:p w14:paraId="4D831347" w14:textId="2AF0B2ED" w:rsidR="00E311BC" w:rsidRDefault="00E311BC" w:rsidP="00FF05B4">
      <w:r w:rsidRPr="00E311BC">
        <w:t>James A. Tyner and Hanie</w:t>
      </w:r>
      <w:r>
        <w:t xml:space="preserve">h Haji Molana, ‘Ideologies of Khmer Rouge family policy: Contextualising sexual and gender-based violence during the Cambodian genocide’, </w:t>
      </w:r>
      <w:r>
        <w:rPr>
          <w:i/>
          <w:iCs/>
        </w:rPr>
        <w:t xml:space="preserve">Genocide Studies International </w:t>
      </w:r>
      <w:r>
        <w:t>13:2 (2019), 168-189.</w:t>
      </w:r>
    </w:p>
    <w:p w14:paraId="70BC85A5" w14:textId="20A41FB1" w:rsidR="00777917" w:rsidRPr="00777917" w:rsidRDefault="00777917" w:rsidP="00FF05B4">
      <w:r w:rsidRPr="00777917">
        <w:t>Francis Williams</w:t>
      </w:r>
      <w:r>
        <w:t xml:space="preserve">, ‘The eradication of Cham Muslim women’s ethnic identity in Cambodia, 1975-1979’, </w:t>
      </w:r>
      <w:r>
        <w:rPr>
          <w:i/>
          <w:iCs/>
        </w:rPr>
        <w:t xml:space="preserve">Journal of Southeast Asian Studies </w:t>
      </w:r>
      <w:r>
        <w:t>54:3 (2023), 502-525.</w:t>
      </w:r>
    </w:p>
    <w:p w14:paraId="704BFC79" w14:textId="1744F714" w:rsidR="00B16731" w:rsidRPr="00777917" w:rsidRDefault="00B16731" w:rsidP="00B16731">
      <w:pPr>
        <w:pStyle w:val="Heading3"/>
      </w:pPr>
      <w:r w:rsidRPr="00777917">
        <w:t>Session 8: Genocide in Bosnia</w:t>
      </w:r>
    </w:p>
    <w:p w14:paraId="013C7BA0" w14:textId="77777777" w:rsidR="00B16731" w:rsidRPr="00A21BB8" w:rsidRDefault="00B16731" w:rsidP="00B16731">
      <w:pPr>
        <w:shd w:val="clear" w:color="auto" w:fill="FFFFFF"/>
        <w:spacing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The Bosnian genocide, which occured during the Bosnian War of 1992-1995, resulted in the deaths of between 25,000 and 33,000 Bosniaks (Bosnian Muslims), Bosnian Croats, and other non-Serbs, as well as mass displacements and widespread genocidal sexual violence. We will investigate the reasons for the slow response of the international community to these mass killings, as well as exploring the concept of 'ethnic cleansing' in more depth.</w:t>
      </w:r>
    </w:p>
    <w:p w14:paraId="085F538A" w14:textId="77777777" w:rsidR="00B16731" w:rsidRPr="00A21BB8" w:rsidRDefault="00B16731" w:rsidP="00B16731">
      <w:pPr>
        <w:shd w:val="clear" w:color="auto" w:fill="FFFFFF"/>
        <w:spacing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lastRenderedPageBreak/>
        <w:t>Key questions for our seminar:</w:t>
      </w:r>
    </w:p>
    <w:p w14:paraId="4C148144" w14:textId="77777777" w:rsidR="00B16731" w:rsidRPr="00A21BB8" w:rsidRDefault="00B16731" w:rsidP="00B16731">
      <w:pPr>
        <w:numPr>
          <w:ilvl w:val="0"/>
          <w:numId w:val="4"/>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Why was the international community so slow to respond? </w:t>
      </w:r>
    </w:p>
    <w:p w14:paraId="49AFF285" w14:textId="77777777" w:rsidR="00B16731" w:rsidRPr="00A21BB8" w:rsidRDefault="00B16731" w:rsidP="00B16731">
      <w:pPr>
        <w:numPr>
          <w:ilvl w:val="0"/>
          <w:numId w:val="4"/>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What eventually pushed the international community to intervene?</w:t>
      </w:r>
    </w:p>
    <w:p w14:paraId="7DF7AE2E" w14:textId="77777777" w:rsidR="00B16731" w:rsidRPr="00A21BB8" w:rsidRDefault="00B16731" w:rsidP="00B16731">
      <w:pPr>
        <w:numPr>
          <w:ilvl w:val="0"/>
          <w:numId w:val="4"/>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How useful is the concept of 'ethnic cleansing' in this case?</w:t>
      </w:r>
    </w:p>
    <w:p w14:paraId="42E42469" w14:textId="58ADF32D" w:rsidR="004F1F33" w:rsidRPr="004F1F33" w:rsidRDefault="004F1F33" w:rsidP="004F1F33">
      <w:pPr>
        <w:shd w:val="clear" w:color="auto" w:fill="FFFFFF"/>
        <w:spacing w:before="100" w:beforeAutospacing="1" w:after="100" w:afterAutospacing="1" w:line="240" w:lineRule="auto"/>
        <w:rPr>
          <w:rFonts w:eastAsia="Times New Roman" w:cs="Segoe UI"/>
          <w:b/>
          <w:bCs/>
          <w:color w:val="1D2125"/>
          <w:kern w:val="0"/>
          <w:sz w:val="23"/>
          <w:szCs w:val="23"/>
          <w14:ligatures w14:val="none"/>
        </w:rPr>
      </w:pPr>
      <w:r>
        <w:rPr>
          <w:rFonts w:eastAsia="Times New Roman" w:cs="Segoe UI"/>
          <w:b/>
          <w:bCs/>
          <w:color w:val="1D2125"/>
          <w:kern w:val="0"/>
          <w:sz w:val="23"/>
          <w:szCs w:val="23"/>
          <w14:ligatures w14:val="none"/>
        </w:rPr>
        <w:t>Key reading:</w:t>
      </w:r>
    </w:p>
    <w:p w14:paraId="57613B81" w14:textId="6E575AD4" w:rsidR="00B16731" w:rsidRDefault="00B16731" w:rsidP="00B16731">
      <w:r>
        <w:t xml:space="preserve">Eric D. Weitz, </w:t>
      </w:r>
      <w:r>
        <w:rPr>
          <w:i/>
          <w:iCs/>
        </w:rPr>
        <w:t xml:space="preserve">A Century of Genocide: Utopias of Race and Nation </w:t>
      </w:r>
      <w:r>
        <w:t>(Princeton, 2013), chapter 5.</w:t>
      </w:r>
    </w:p>
    <w:p w14:paraId="50D3658A" w14:textId="24CD6C6E" w:rsidR="004F1F33" w:rsidRDefault="004F1F33" w:rsidP="00B16731">
      <w:pPr>
        <w:rPr>
          <w:b/>
          <w:bCs/>
        </w:rPr>
      </w:pPr>
      <w:r>
        <w:rPr>
          <w:b/>
          <w:bCs/>
        </w:rPr>
        <w:t>Further reading:</w:t>
      </w:r>
    </w:p>
    <w:p w14:paraId="3ACAA9A7" w14:textId="77777777" w:rsidR="001108B3" w:rsidRDefault="001108B3" w:rsidP="001108B3">
      <w:r>
        <w:t xml:space="preserve">Edina Becirevic and Majda Halilovic, ‘The legacy of wartime rape in Bosnia and Herzegovina’, in Jennifer Heath and Ashraf Zahedi (eds.), </w:t>
      </w:r>
      <w:r>
        <w:rPr>
          <w:i/>
          <w:iCs/>
        </w:rPr>
        <w:t xml:space="preserve">Book of the disappeared: The quest for transnational justice </w:t>
      </w:r>
      <w:r>
        <w:t>(Ann Arbor, 2023), pp. 184-196.</w:t>
      </w:r>
    </w:p>
    <w:p w14:paraId="680B1A2A" w14:textId="32B09180" w:rsidR="004F1F33" w:rsidRDefault="004F1F33" w:rsidP="001108B3">
      <w:r>
        <w:t xml:space="preserve">Jacques Semelin, ‘Analysis of a Mass Crime: Ethnic Cleansing in the Former Yugoslavia, 1991-1999’, in Robert Gellately and Ben Kiernan (eds.), </w:t>
      </w:r>
      <w:r>
        <w:rPr>
          <w:i/>
          <w:iCs/>
        </w:rPr>
        <w:t xml:space="preserve">The Specter of Genocide: Mass Murder in Historical Perspective </w:t>
      </w:r>
      <w:r>
        <w:t>(Cambridge, 2003), pp. 353-370.</w:t>
      </w:r>
    </w:p>
    <w:p w14:paraId="64595A31" w14:textId="42AB243F" w:rsidR="00B16731" w:rsidRDefault="00B16731" w:rsidP="00B16731">
      <w:r>
        <w:t xml:space="preserve">Thomas Cushman and Stjepan Mestrovic, </w:t>
      </w:r>
      <w:r>
        <w:rPr>
          <w:i/>
          <w:iCs/>
        </w:rPr>
        <w:t xml:space="preserve">This Time We Knew: Western Responses to Genocide in Bosnia </w:t>
      </w:r>
      <w:r>
        <w:t>(</w:t>
      </w:r>
      <w:r w:rsidR="00002674">
        <w:t xml:space="preserve">New York, </w:t>
      </w:r>
      <w:r>
        <w:t>1996).</w:t>
      </w:r>
    </w:p>
    <w:p w14:paraId="52E5F4A6" w14:textId="77777777" w:rsidR="00B16731" w:rsidRPr="00C23D03" w:rsidRDefault="00B16731" w:rsidP="00B16731">
      <w:r w:rsidRPr="008B148A">
        <w:t>Bette Denich, ‘Dismembering Yugoslavia: Nationalist Ideologies and th</w:t>
      </w:r>
      <w:r>
        <w:t xml:space="preserve">e Symbolic Revival of Genocide’, </w:t>
      </w:r>
      <w:r>
        <w:rPr>
          <w:i/>
          <w:iCs/>
        </w:rPr>
        <w:t xml:space="preserve">American Ethnologist </w:t>
      </w:r>
      <w:r>
        <w:t>21:2 (1994), 367-390.</w:t>
      </w:r>
    </w:p>
    <w:p w14:paraId="7690055D" w14:textId="77777777" w:rsidR="00B16731" w:rsidRPr="00204043" w:rsidRDefault="00B16731" w:rsidP="00B16731">
      <w:r>
        <w:t xml:space="preserve">Patricia A. Weitsman, ‘The Politics of Identity and Sexual Violence: A Review of Bosnia and Rwanda’, </w:t>
      </w:r>
      <w:r>
        <w:rPr>
          <w:i/>
          <w:iCs/>
        </w:rPr>
        <w:t xml:space="preserve">Human Rights Quarterly, </w:t>
      </w:r>
      <w:r>
        <w:t>30:3 (2008), 561-578.</w:t>
      </w:r>
    </w:p>
    <w:p w14:paraId="4D103134" w14:textId="1140F37E" w:rsidR="00B16731" w:rsidRPr="00B16731" w:rsidRDefault="00903E48" w:rsidP="00903E48">
      <w:pPr>
        <w:pStyle w:val="Heading3"/>
      </w:pPr>
      <w:r>
        <w:t>Session 9: Genocide in Rwanda</w:t>
      </w:r>
    </w:p>
    <w:p w14:paraId="717E161B" w14:textId="77777777" w:rsidR="00903E48" w:rsidRDefault="00903E48" w:rsidP="00903E48">
      <w:r>
        <w:t>we’ll be examining the Rwandan Genocide Against the Tutsi of 1994, which resulted in the deaths of up to one million people over just one hundred days while the international community largely looked on. For this week, we’ll focus on the causes of the genocide, before paying special attention to the role of gender in how the genocide played out, looking at the roles of women as victims, perpetrators, and peacemakers.</w:t>
      </w:r>
    </w:p>
    <w:p w14:paraId="0D22FE2D" w14:textId="77777777" w:rsidR="00903E48" w:rsidRDefault="00903E48" w:rsidP="00903E48">
      <w:r>
        <w:t>Key questions for our seminar:</w:t>
      </w:r>
    </w:p>
    <w:p w14:paraId="127DBB46" w14:textId="77777777" w:rsidR="00903E48" w:rsidRDefault="00903E48" w:rsidP="00903E48">
      <w:pPr>
        <w:pStyle w:val="ListParagraph"/>
        <w:numPr>
          <w:ilvl w:val="0"/>
          <w:numId w:val="5"/>
        </w:numPr>
      </w:pPr>
      <w:r>
        <w:t>What were the causes of the Rwandan genocide?</w:t>
      </w:r>
    </w:p>
    <w:p w14:paraId="7C86255F" w14:textId="77777777" w:rsidR="00903E48" w:rsidRDefault="00903E48" w:rsidP="00903E48">
      <w:pPr>
        <w:pStyle w:val="ListParagraph"/>
        <w:numPr>
          <w:ilvl w:val="0"/>
          <w:numId w:val="5"/>
        </w:numPr>
      </w:pPr>
      <w:r>
        <w:t>What was the role of gender in how the genocide was carried out?</w:t>
      </w:r>
    </w:p>
    <w:p w14:paraId="4154AF83" w14:textId="77777777" w:rsidR="00903E48" w:rsidRDefault="00903E48" w:rsidP="00903E48">
      <w:pPr>
        <w:pStyle w:val="ListParagraph"/>
        <w:numPr>
          <w:ilvl w:val="0"/>
          <w:numId w:val="5"/>
        </w:numPr>
      </w:pPr>
      <w:r>
        <w:t>What roles did women play in the genocide?</w:t>
      </w:r>
    </w:p>
    <w:p w14:paraId="081171B1" w14:textId="0E278AD8" w:rsidR="00F42D80" w:rsidRPr="00F42D80" w:rsidRDefault="00F42D80" w:rsidP="00F42D80">
      <w:pPr>
        <w:rPr>
          <w:b/>
          <w:bCs/>
        </w:rPr>
      </w:pPr>
      <w:r>
        <w:rPr>
          <w:b/>
          <w:bCs/>
        </w:rPr>
        <w:t>Key reading</w:t>
      </w:r>
    </w:p>
    <w:p w14:paraId="2AB6D9CE" w14:textId="77777777" w:rsidR="00903E48" w:rsidRDefault="00903E48" w:rsidP="00903E48">
      <w:r>
        <w:t xml:space="preserve">Helen Hintjens, ‘Explaining the 1994 Genocide in Rwanda’, </w:t>
      </w:r>
      <w:r>
        <w:rPr>
          <w:i/>
          <w:iCs/>
        </w:rPr>
        <w:t xml:space="preserve">Journal of Modern African Studies </w:t>
      </w:r>
      <w:r>
        <w:t>37:2 (1999), pp.241-286.</w:t>
      </w:r>
    </w:p>
    <w:p w14:paraId="472DD15E" w14:textId="49C2C075" w:rsidR="00B83BB0" w:rsidRDefault="00903E48" w:rsidP="00B83BB0">
      <w:pPr>
        <w:rPr>
          <w:rStyle w:val="Hyperlink"/>
        </w:rPr>
      </w:pPr>
      <w:r>
        <w:lastRenderedPageBreak/>
        <w:t>Primary source:</w:t>
      </w:r>
      <w:r w:rsidRPr="007652DF">
        <w:t xml:space="preserve"> </w:t>
      </w:r>
      <w:hyperlink r:id="rId19" w:history="1">
        <w:r>
          <w:rPr>
            <w:rStyle w:val="Hyperlink"/>
          </w:rPr>
          <w:t>Leave None to Tell the Story: Genocide in Rwanda | HRW</w:t>
        </w:r>
      </w:hyperlink>
    </w:p>
    <w:p w14:paraId="0E1FD30B" w14:textId="77777777" w:rsidR="00B83BB0" w:rsidRDefault="00B83BB0" w:rsidP="00903E48">
      <w:pPr>
        <w:rPr>
          <w:b/>
          <w:bCs/>
        </w:rPr>
      </w:pPr>
      <w:r>
        <w:rPr>
          <w:b/>
          <w:bCs/>
        </w:rPr>
        <w:t xml:space="preserve">Further reading </w:t>
      </w:r>
    </w:p>
    <w:p w14:paraId="1842A496" w14:textId="77777777" w:rsidR="00903E48" w:rsidRPr="007F7772" w:rsidRDefault="00903E48" w:rsidP="00903E48">
      <w:r>
        <w:t xml:space="preserve">Erin K. Baines, ‘Body Politics and the Rwandan Crisis’, </w:t>
      </w:r>
      <w:r>
        <w:rPr>
          <w:i/>
          <w:iCs/>
        </w:rPr>
        <w:t xml:space="preserve">Third World Quarterly </w:t>
      </w:r>
      <w:r>
        <w:t>24:3 (2003), 479-493.</w:t>
      </w:r>
    </w:p>
    <w:p w14:paraId="4F976484" w14:textId="77777777" w:rsidR="00903E48" w:rsidRPr="00032F49" w:rsidRDefault="00903E48" w:rsidP="00903E48">
      <w:r w:rsidRPr="00032F49">
        <w:t xml:space="preserve">Luke Fletcher, ‘Turning </w:t>
      </w:r>
      <w:r w:rsidRPr="00032F49">
        <w:rPr>
          <w:i/>
          <w:iCs/>
        </w:rPr>
        <w:t xml:space="preserve">Interahamwe: </w:t>
      </w:r>
      <w:r w:rsidRPr="00032F49">
        <w:t>Individual a</w:t>
      </w:r>
      <w:r>
        <w:t xml:space="preserve">nd Community Choices in the Rwandan Genocide’, </w:t>
      </w:r>
      <w:r>
        <w:rPr>
          <w:i/>
          <w:iCs/>
        </w:rPr>
        <w:t xml:space="preserve">Journal of Genocide Research </w:t>
      </w:r>
      <w:r>
        <w:t>9:1 (2007).</w:t>
      </w:r>
    </w:p>
    <w:p w14:paraId="62FAB478" w14:textId="0F8C76B0" w:rsidR="00903E48" w:rsidRDefault="00903E48" w:rsidP="00903E48">
      <w:r>
        <w:t xml:space="preserve">Timothy Longman, ‘Christian Churches and Genocide in Rwanda’ in Omer Bartov and Phyllis Mack (eds.), </w:t>
      </w:r>
      <w:r>
        <w:rPr>
          <w:i/>
          <w:iCs/>
        </w:rPr>
        <w:t xml:space="preserve">In God’s Name: Genocide and Religion in the Twentieth Century </w:t>
      </w:r>
      <w:r>
        <w:t>(</w:t>
      </w:r>
      <w:r w:rsidR="002C67B2">
        <w:t xml:space="preserve">New York, </w:t>
      </w:r>
      <w:r>
        <w:t>2010), pp. 139-160</w:t>
      </w:r>
    </w:p>
    <w:p w14:paraId="4DAB57E1" w14:textId="77777777" w:rsidR="004D09E5" w:rsidRPr="009D46B1" w:rsidRDefault="004D09E5" w:rsidP="004D09E5">
      <w:r>
        <w:t xml:space="preserve">Scott Straus, ‘What Is The Relationship Between Hate Radio and Violence? Rethinking Rwanda’s “Radio Machete”’, </w:t>
      </w:r>
      <w:r>
        <w:rPr>
          <w:i/>
          <w:iCs/>
        </w:rPr>
        <w:t xml:space="preserve">Politics &amp; Society </w:t>
      </w:r>
      <w:r>
        <w:t>35:4 (2007), 609-637.</w:t>
      </w:r>
    </w:p>
    <w:p w14:paraId="7C1414EF" w14:textId="2546BEE9" w:rsidR="00FF05B4" w:rsidRDefault="008F3459" w:rsidP="008F3459">
      <w:pPr>
        <w:pStyle w:val="Heading3"/>
      </w:pPr>
      <w:r>
        <w:t>Session 10: Cultural Genocide</w:t>
      </w:r>
    </w:p>
    <w:p w14:paraId="5A6B2E63" w14:textId="3374B461" w:rsidR="00035A38" w:rsidRPr="00035A38" w:rsidRDefault="00035A38" w:rsidP="00035A38">
      <w:r>
        <w:t>To follow</w:t>
      </w:r>
    </w:p>
    <w:p w14:paraId="7E6D0F1C" w14:textId="24D7EB81" w:rsidR="008F3459" w:rsidRDefault="008F3459" w:rsidP="008F3459">
      <w:pPr>
        <w:pStyle w:val="Heading3"/>
      </w:pPr>
      <w:r>
        <w:t>Session 11: Darfur</w:t>
      </w:r>
      <w:r w:rsidR="007F3C5B">
        <w:t xml:space="preserve"> and South Sudan</w:t>
      </w:r>
    </w:p>
    <w:p w14:paraId="0DDCF189" w14:textId="2E6F448E" w:rsidR="00574326" w:rsidRDefault="00574326" w:rsidP="00574326">
      <w:r>
        <w:t>To follow</w:t>
      </w:r>
    </w:p>
    <w:p w14:paraId="29B81935" w14:textId="4774C30B" w:rsidR="008F3459" w:rsidRPr="008F3459" w:rsidRDefault="008F3459" w:rsidP="008F3459">
      <w:pPr>
        <w:pStyle w:val="Heading3"/>
      </w:pPr>
      <w:r>
        <w:t>Session 12: Memory</w:t>
      </w:r>
      <w:r w:rsidR="00C12ED0">
        <w:t>, denial</w:t>
      </w:r>
      <w:r>
        <w:t xml:space="preserve"> and forgetting</w:t>
      </w:r>
    </w:p>
    <w:p w14:paraId="4B1ABFE3" w14:textId="77777777" w:rsidR="001E633B" w:rsidRDefault="001E633B" w:rsidP="001E633B">
      <w:r>
        <w:t>Key questions for our seminar:</w:t>
      </w:r>
    </w:p>
    <w:p w14:paraId="6593C059" w14:textId="77777777" w:rsidR="002F26C6" w:rsidRDefault="002F26C6" w:rsidP="001E633B">
      <w:pPr>
        <w:pStyle w:val="ListParagraph"/>
        <w:numPr>
          <w:ilvl w:val="0"/>
          <w:numId w:val="1"/>
        </w:numPr>
      </w:pPr>
      <w:r>
        <w:t>How have genocides been remembered?</w:t>
      </w:r>
    </w:p>
    <w:p w14:paraId="0363FE0F" w14:textId="0E657705" w:rsidR="001E633B" w:rsidRDefault="001E633B" w:rsidP="001E633B">
      <w:pPr>
        <w:pStyle w:val="ListParagraph"/>
        <w:numPr>
          <w:ilvl w:val="0"/>
          <w:numId w:val="1"/>
        </w:numPr>
      </w:pPr>
      <w:r>
        <w:t xml:space="preserve">Why do some people deny that </w:t>
      </w:r>
      <w:r w:rsidR="002F26C6">
        <w:t xml:space="preserve">genocides </w:t>
      </w:r>
      <w:r>
        <w:t xml:space="preserve">happened? </w:t>
      </w:r>
    </w:p>
    <w:p w14:paraId="2E1637CD" w14:textId="77777777" w:rsidR="001E633B" w:rsidRDefault="001E633B" w:rsidP="001E633B">
      <w:pPr>
        <w:pStyle w:val="ListParagraph"/>
        <w:numPr>
          <w:ilvl w:val="0"/>
          <w:numId w:val="1"/>
        </w:numPr>
      </w:pPr>
      <w:r>
        <w:t>What are the dangers of the misuses of history?</w:t>
      </w:r>
    </w:p>
    <w:p w14:paraId="66343AEC" w14:textId="77777777" w:rsidR="00035A38" w:rsidRDefault="00035A38" w:rsidP="00E027EE">
      <w:pPr>
        <w:rPr>
          <w:b/>
          <w:bCs/>
        </w:rPr>
      </w:pPr>
      <w:r>
        <w:rPr>
          <w:b/>
          <w:bCs/>
        </w:rPr>
        <w:t>Key reading:</w:t>
      </w:r>
    </w:p>
    <w:p w14:paraId="2E256D0A" w14:textId="13600889" w:rsidR="00E027EE" w:rsidRDefault="00E027EE" w:rsidP="00E027EE">
      <w:r>
        <w:t xml:space="preserve">Rebecca Jinks, ‘Thinking comparatively about genocide memorialisation’, </w:t>
      </w:r>
      <w:r>
        <w:rPr>
          <w:i/>
          <w:iCs/>
        </w:rPr>
        <w:t xml:space="preserve">Journal of Genocide Research </w:t>
      </w:r>
      <w:r>
        <w:t>16:4 (2014), 423-40.</w:t>
      </w:r>
    </w:p>
    <w:p w14:paraId="509B18D1" w14:textId="32C6BF95" w:rsidR="003E610F" w:rsidRDefault="003E610F" w:rsidP="003E610F">
      <w:r w:rsidRPr="003E610F">
        <w:t>Charny, I. W. (2003). A classification of denials of the Holocaust and other genocides. </w:t>
      </w:r>
      <w:r w:rsidRPr="003E610F">
        <w:rPr>
          <w:i/>
          <w:iCs/>
        </w:rPr>
        <w:t>Journal of Genocide Research</w:t>
      </w:r>
      <w:r w:rsidRPr="003E610F">
        <w:t>, </w:t>
      </w:r>
      <w:r w:rsidRPr="003E610F">
        <w:rPr>
          <w:i/>
          <w:iCs/>
        </w:rPr>
        <w:t>5</w:t>
      </w:r>
      <w:r w:rsidRPr="003E610F">
        <w:t xml:space="preserve">(1), 11–34. </w:t>
      </w:r>
      <w:hyperlink r:id="rId20" w:history="1">
        <w:r w:rsidR="00035A38" w:rsidRPr="00F93D87">
          <w:rPr>
            <w:rStyle w:val="Hyperlink"/>
          </w:rPr>
          <w:t>https://doi.org/10.1080/14623520305645</w:t>
        </w:r>
      </w:hyperlink>
    </w:p>
    <w:p w14:paraId="38B571CA" w14:textId="5AD47EB2" w:rsidR="00035A38" w:rsidRDefault="00035A38" w:rsidP="003E610F">
      <w:pPr>
        <w:rPr>
          <w:b/>
          <w:bCs/>
        </w:rPr>
      </w:pPr>
      <w:r>
        <w:rPr>
          <w:b/>
          <w:bCs/>
        </w:rPr>
        <w:t>Further reading</w:t>
      </w:r>
    </w:p>
    <w:p w14:paraId="2DDAAEFC" w14:textId="205AEFCC" w:rsidR="00FA7068" w:rsidRDefault="00FA7068" w:rsidP="00200582">
      <w:pPr>
        <w:pStyle w:val="Heading4"/>
      </w:pPr>
      <w:r>
        <w:t>General</w:t>
      </w:r>
    </w:p>
    <w:p w14:paraId="425C33DF" w14:textId="550D6879" w:rsidR="00FA7068" w:rsidRDefault="00FA7068" w:rsidP="003E610F">
      <w:r w:rsidRPr="00FA7068">
        <w:t>Sarah Kenyon Lischer, ‘Narrating atroc</w:t>
      </w:r>
      <w:r>
        <w:t xml:space="preserve">ity: Genocide memorials, dark tourism and the politics of memory’, </w:t>
      </w:r>
      <w:r>
        <w:rPr>
          <w:i/>
          <w:iCs/>
        </w:rPr>
        <w:t xml:space="preserve">Review of International Studies </w:t>
      </w:r>
      <w:r>
        <w:t>45:5 (2019), 805-827.</w:t>
      </w:r>
    </w:p>
    <w:p w14:paraId="663F1D88" w14:textId="5A2EC8A7" w:rsidR="007D4738" w:rsidRPr="00C815EC" w:rsidRDefault="007D4738" w:rsidP="003E610F">
      <w:r w:rsidRPr="007D4738">
        <w:t>Johanna Mannergren, Annika Bjorkdahl, Susanne Bu</w:t>
      </w:r>
      <w:r>
        <w:t>ckley-Zistel, Stefanie Kappler and Timothy Williams,</w:t>
      </w:r>
      <w:r w:rsidR="00C815EC">
        <w:rPr>
          <w:i/>
          <w:iCs/>
        </w:rPr>
        <w:t xml:space="preserve">Peace and the politics of memory </w:t>
      </w:r>
      <w:r w:rsidR="00C815EC">
        <w:t>(Manchester, 2024).</w:t>
      </w:r>
    </w:p>
    <w:p w14:paraId="39247B96" w14:textId="77777777" w:rsidR="004D09E5" w:rsidRDefault="004D09E5" w:rsidP="00200582">
      <w:pPr>
        <w:pStyle w:val="Heading4"/>
      </w:pPr>
      <w:r>
        <w:lastRenderedPageBreak/>
        <w:t>Namibia</w:t>
      </w:r>
    </w:p>
    <w:p w14:paraId="236CD598" w14:textId="77777777" w:rsidR="002F704E" w:rsidRDefault="002F704E" w:rsidP="002F704E">
      <w:r>
        <w:t xml:space="preserve">David Bargueno, ‘Cash for Genocide? The Politics of Memory in the Herero Case for Reparations’, </w:t>
      </w:r>
      <w:r>
        <w:rPr>
          <w:i/>
          <w:iCs/>
        </w:rPr>
        <w:t xml:space="preserve">Holocaust and Genocide Studies, </w:t>
      </w:r>
      <w:r>
        <w:t>26:3 (2012), 394-424.</w:t>
      </w:r>
    </w:p>
    <w:p w14:paraId="6B352CBB" w14:textId="77777777" w:rsidR="001F1777" w:rsidRDefault="001F1777" w:rsidP="002F704E">
      <w:r>
        <w:t xml:space="preserve">Franziska Boehme, ‘Reactive remembrance: The political struggle over apologies and reparations between Germany and Namibia for the Herero genocide’, </w:t>
      </w:r>
      <w:r>
        <w:rPr>
          <w:i/>
          <w:iCs/>
        </w:rPr>
        <w:t xml:space="preserve">Journal of Human Rights </w:t>
      </w:r>
      <w:r>
        <w:t>19:2 (2020), 238-255.</w:t>
      </w:r>
    </w:p>
    <w:p w14:paraId="0614FBC0" w14:textId="761DAAFA" w:rsidR="004A6BB2" w:rsidRPr="004A6BB2" w:rsidRDefault="004A6BB2" w:rsidP="002F704E">
      <w:r>
        <w:t xml:space="preserve">Nicola Brandt, ‘“Practices of self”: Embodied memory work, performance art and intersectional activism in Namibia’, </w:t>
      </w:r>
      <w:r>
        <w:rPr>
          <w:i/>
          <w:iCs/>
        </w:rPr>
        <w:t xml:space="preserve">Memory Studies </w:t>
      </w:r>
      <w:r>
        <w:t>16:3 (2023), 533-545.</w:t>
      </w:r>
    </w:p>
    <w:p w14:paraId="6AD578BD" w14:textId="77777777" w:rsidR="00BA07C1" w:rsidRDefault="00BA07C1" w:rsidP="002F704E">
      <w:r>
        <w:t xml:space="preserve">Larissa Förster, ‘From “General Field Marshal” to “Miss Genocide”: The Reworking of traumatic experiences among Herero-speaking Namibians’, </w:t>
      </w:r>
      <w:r>
        <w:rPr>
          <w:i/>
          <w:iCs/>
        </w:rPr>
        <w:t xml:space="preserve">Journal of Material Culture </w:t>
      </w:r>
      <w:r>
        <w:t>13:2 (2008), 175-194.</w:t>
      </w:r>
    </w:p>
    <w:p w14:paraId="5FAF5DB8" w14:textId="56969B6D" w:rsidR="005250C5" w:rsidRDefault="005250C5" w:rsidP="002F704E">
      <w:r w:rsidRPr="005250C5">
        <w:t>Jan-Bart Gewald, ‘Herero genocide in the twentieth centur</w:t>
      </w:r>
      <w:r>
        <w:t xml:space="preserve">y: Politics and memory’, in G. J. Abbink, M. E. de Bruijn, and K van Walraven (eds.), </w:t>
      </w:r>
      <w:r>
        <w:rPr>
          <w:i/>
          <w:iCs/>
        </w:rPr>
        <w:t xml:space="preserve">African Dynamics </w:t>
      </w:r>
      <w:r>
        <w:t>(Leiden, 2003), pp. 279-304.</w:t>
      </w:r>
    </w:p>
    <w:p w14:paraId="76592692" w14:textId="200D21BB" w:rsidR="0023168A" w:rsidRPr="0023168A" w:rsidRDefault="0023168A" w:rsidP="002F704E">
      <w:r w:rsidRPr="0023168A">
        <w:t xml:space="preserve">Fabian Krautwald, ‘Genocide and the </w:t>
      </w:r>
      <w:r>
        <w:t xml:space="preserve">politics of memory in the decolonisation of Namibia’, </w:t>
      </w:r>
      <w:r>
        <w:rPr>
          <w:i/>
          <w:iCs/>
        </w:rPr>
        <w:t xml:space="preserve">Journal of Southern African Studies </w:t>
      </w:r>
      <w:r>
        <w:t>48:5 (2022), 805-823.</w:t>
      </w:r>
    </w:p>
    <w:p w14:paraId="214AE609" w14:textId="77777777" w:rsidR="002F704E" w:rsidRDefault="002F704E" w:rsidP="002F704E">
      <w:r>
        <w:t xml:space="preserve">Henning Melber, ‘How to come to terms with the past: Revisiting the German Colonial Genocide in Namibia’, </w:t>
      </w:r>
      <w:r>
        <w:rPr>
          <w:i/>
          <w:iCs/>
        </w:rPr>
        <w:t xml:space="preserve">Afrika Spectrum </w:t>
      </w:r>
      <w:r>
        <w:t>40:1 (2005), 139-148.</w:t>
      </w:r>
    </w:p>
    <w:p w14:paraId="5167BB7D" w14:textId="77777777" w:rsidR="002F704E" w:rsidRDefault="002F704E" w:rsidP="002F704E">
      <w:r w:rsidRPr="004D48DA">
        <w:t>Ellie Hamrick and Haley Duschinski, ‘End</w:t>
      </w:r>
      <w:r>
        <w:t xml:space="preserve">uring Injustice: Memory Politics and Namibia’s Genocide Reparations Movement’, </w:t>
      </w:r>
      <w:r>
        <w:rPr>
          <w:i/>
          <w:iCs/>
        </w:rPr>
        <w:t xml:space="preserve">Memory Studies </w:t>
      </w:r>
      <w:r>
        <w:t>11:4 (2018), 437-454.</w:t>
      </w:r>
    </w:p>
    <w:p w14:paraId="433E8815" w14:textId="3EEE7DE3" w:rsidR="00363338" w:rsidRDefault="00363338" w:rsidP="002F704E">
      <w:r>
        <w:t xml:space="preserve">Hana Horáková, ‘Contradictions and challenges in representing the colonial past: Herero memory activism in Namibia’, </w:t>
      </w:r>
      <w:r>
        <w:rPr>
          <w:i/>
          <w:iCs/>
        </w:rPr>
        <w:t xml:space="preserve">Modern Africa </w:t>
      </w:r>
      <w:r>
        <w:t>12:1 (2024), 59-89.</w:t>
      </w:r>
    </w:p>
    <w:p w14:paraId="2863C4E8" w14:textId="4BC72182" w:rsidR="00624BEF" w:rsidRPr="00363338" w:rsidRDefault="00624BEF" w:rsidP="002F704E">
      <w:r>
        <w:t>Pedzisai Maedza, ‘ “People died there like flies that had been poisoned: Remembering the first German genocide in Namibia’ in</w:t>
      </w:r>
      <w:r w:rsidR="00FF2B60">
        <w:t xml:space="preserve"> Mphathisi Ndlovu, Lungile Augustine Tshuma and Shepher Mpofu (eds.), </w:t>
      </w:r>
      <w:r w:rsidR="00FF2B60">
        <w:rPr>
          <w:i/>
          <w:iCs/>
        </w:rPr>
        <w:t xml:space="preserve">Remembering mass atrocities: Perspectives on memory struggles and cultural representations in Africa </w:t>
      </w:r>
      <w:r w:rsidR="00FF2B60">
        <w:t>(Cham, 2024),</w:t>
      </w:r>
      <w:r>
        <w:t xml:space="preserve"> 135-152.</w:t>
      </w:r>
    </w:p>
    <w:p w14:paraId="51682554" w14:textId="091E06DF" w:rsidR="002F704E" w:rsidRPr="002F704E" w:rsidRDefault="00584973" w:rsidP="002F704E">
      <w:r>
        <w:t xml:space="preserve">Vilho Amukwaya Shigwedha, ‘The return of Herero and Nama bones from Germany: The victims’ struggle for recognition and recurring genocide memories in Namibia’ in Jean-Marc Dreyfus and Élisabeth Anstett (eds.), </w:t>
      </w:r>
      <w:r>
        <w:rPr>
          <w:i/>
          <w:iCs/>
        </w:rPr>
        <w:t xml:space="preserve">Human remains in society: Curation and exhibition in the aftermath of genocide and mass violence </w:t>
      </w:r>
      <w:r>
        <w:t>(Manchester, 2016), pp. 197-219.</w:t>
      </w:r>
    </w:p>
    <w:p w14:paraId="3013AC2A" w14:textId="5E45DC62" w:rsidR="003F29AF" w:rsidRPr="007D4738" w:rsidRDefault="003F29AF" w:rsidP="00200582">
      <w:pPr>
        <w:pStyle w:val="Heading4"/>
      </w:pPr>
      <w:r w:rsidRPr="007D4738">
        <w:t>Armenia</w:t>
      </w:r>
    </w:p>
    <w:p w14:paraId="23DAFDC3" w14:textId="77777777" w:rsidR="00200582" w:rsidRDefault="00200582" w:rsidP="00200582">
      <w:r w:rsidRPr="00035A38">
        <w:t>Armoudian, Maria, and Katherine Smits. 2023. “How Soon We Forget: National Myth-Making and Recognition of the Armenian Genocide.” Journal of Genocide Research, October, 1–22</w:t>
      </w:r>
    </w:p>
    <w:p w14:paraId="64E29EA1" w14:textId="25C9F622" w:rsidR="00296A8A" w:rsidRDefault="00200582" w:rsidP="003F29AF">
      <w:r>
        <w:lastRenderedPageBreak/>
        <w:t xml:space="preserve">V.N. </w:t>
      </w:r>
      <w:r w:rsidR="003F29AF" w:rsidRPr="00035A38">
        <w:t xml:space="preserve">Dadrian (2003). The signal facts surrounding the Armenian genocide and the Turkish denial syndrome. Journal of Genocide Research, 5(2), 269–279. </w:t>
      </w:r>
    </w:p>
    <w:p w14:paraId="2E3C8495" w14:textId="77777777" w:rsidR="00200582" w:rsidRDefault="00200582" w:rsidP="00200582">
      <w:r w:rsidRPr="007B39BA">
        <w:t>Donald</w:t>
      </w:r>
      <w:r>
        <w:t xml:space="preserve"> Bloxham</w:t>
      </w:r>
      <w:r w:rsidRPr="007B39BA">
        <w:t>, ‘The Roots of American Genocide Denial: Near Eastern Geopolitics and the Interwar Armenian Question’, </w:t>
      </w:r>
      <w:r w:rsidRPr="007B39BA">
        <w:rPr>
          <w:i/>
          <w:iCs/>
        </w:rPr>
        <w:t>Journal of Genocide Research</w:t>
      </w:r>
      <w:r w:rsidRPr="007B39BA">
        <w:t>, 8</w:t>
      </w:r>
      <w:r>
        <w:t>:</w:t>
      </w:r>
      <w:r w:rsidRPr="007B39BA">
        <w:t>1 (2006), 27–49</w:t>
      </w:r>
    </w:p>
    <w:p w14:paraId="64EC70F6" w14:textId="77777777" w:rsidR="00296A8A" w:rsidRDefault="00296A8A" w:rsidP="00296A8A">
      <w:r w:rsidRPr="009F2C43">
        <w:t>Senem B</w:t>
      </w:r>
      <w:r>
        <w:t xml:space="preserve">. </w:t>
      </w:r>
      <w:r w:rsidRPr="009F2C43">
        <w:t>Çevik</w:t>
      </w:r>
      <w:r>
        <w:t xml:space="preserve">, </w:t>
      </w:r>
      <w:r w:rsidRPr="009F2C43">
        <w:t>‘Turkey’s “Apology” and Image Repair on the Centennial of the Armenian Genocide’, </w:t>
      </w:r>
      <w:r w:rsidRPr="009F2C43">
        <w:rPr>
          <w:i/>
          <w:iCs/>
        </w:rPr>
        <w:t>Nationalities Papers</w:t>
      </w:r>
      <w:r w:rsidRPr="009F2C43">
        <w:t>, 52</w:t>
      </w:r>
      <w:r>
        <w:t>:</w:t>
      </w:r>
      <w:r w:rsidRPr="009F2C43">
        <w:t>1 (2024), 167–77</w:t>
      </w:r>
    </w:p>
    <w:p w14:paraId="5DB66B7A" w14:textId="77777777" w:rsidR="00296A8A" w:rsidRDefault="00296A8A" w:rsidP="00296A8A">
      <w:r w:rsidRPr="00FA2C64">
        <w:t>Israel W</w:t>
      </w:r>
      <w:r>
        <w:t>. Charny</w:t>
      </w:r>
      <w:r w:rsidRPr="00FA2C64">
        <w:t xml:space="preserve"> and Daphna Fromer, ‘Denying the Armenian Genocide: Patterns of Thinking as Defence-Mechanisms’, </w:t>
      </w:r>
      <w:r w:rsidRPr="00FA2C64">
        <w:rPr>
          <w:i/>
          <w:iCs/>
        </w:rPr>
        <w:t>Patterns of Prejudice</w:t>
      </w:r>
      <w:r w:rsidRPr="00FA2C64">
        <w:t>, 32</w:t>
      </w:r>
      <w:r>
        <w:t>:</w:t>
      </w:r>
      <w:r w:rsidRPr="00FA2C64">
        <w:t>1 (1998), 39–49</w:t>
      </w:r>
    </w:p>
    <w:p w14:paraId="4D2D10DF" w14:textId="2180EE82" w:rsidR="00296A8A" w:rsidRDefault="00296A8A" w:rsidP="00296A8A">
      <w:r w:rsidRPr="00DA01F7">
        <w:t>Jennifer M</w:t>
      </w:r>
      <w:r>
        <w:t>. Dixon</w:t>
      </w:r>
      <w:r w:rsidRPr="00DA01F7">
        <w:t>, ‘Defending the Nation? Maintaining Turkey’s Narrative of the Armenian Genocide’, </w:t>
      </w:r>
      <w:r w:rsidRPr="00DA01F7">
        <w:rPr>
          <w:i/>
          <w:iCs/>
        </w:rPr>
        <w:t>South European Society &amp; Politics</w:t>
      </w:r>
      <w:r w:rsidRPr="00DA01F7">
        <w:t>, 15</w:t>
      </w:r>
      <w:r>
        <w:t>:</w:t>
      </w:r>
      <w:r w:rsidRPr="00DA01F7">
        <w:t>3 (2010), 467–85</w:t>
      </w:r>
    </w:p>
    <w:p w14:paraId="630BE2F0" w14:textId="2E29E484" w:rsidR="00D935B0" w:rsidRDefault="00D935B0" w:rsidP="00D935B0">
      <w:r>
        <w:t xml:space="preserve">Torben Jorgensen, ‘Turkey, the US and the Armenian Genocide’, in Steven L. B. Jensen (ed.), </w:t>
      </w:r>
      <w:r>
        <w:rPr>
          <w:i/>
          <w:iCs/>
        </w:rPr>
        <w:t xml:space="preserve">Genocide: Cases, Comparisons and Contemporary Debates </w:t>
      </w:r>
      <w:r>
        <w:t>(Copenhagen, 2003), pp. 193-224.</w:t>
      </w:r>
    </w:p>
    <w:p w14:paraId="1160F541" w14:textId="7541CA99" w:rsidR="00D935B0" w:rsidRDefault="00D935B0" w:rsidP="00D935B0">
      <w:r>
        <w:t xml:space="preserve">Mehmet Necef, ‘The Turkish media debate on the Armenian massacre’ in Steven L. B. Jensen (ed.), </w:t>
      </w:r>
      <w:r>
        <w:rPr>
          <w:i/>
          <w:iCs/>
        </w:rPr>
        <w:t xml:space="preserve">Genocide: Cases, Comparisons and Contemporary Debates </w:t>
      </w:r>
      <w:r>
        <w:t>(Copenhagen, 2003), pp. 225-262.</w:t>
      </w:r>
    </w:p>
    <w:p w14:paraId="51F3B58A" w14:textId="5A0DEABA" w:rsidR="00200582" w:rsidRDefault="00200582" w:rsidP="00200582">
      <w:r w:rsidRPr="00FA2C64">
        <w:t>Devin O</w:t>
      </w:r>
      <w:r>
        <w:t xml:space="preserve">. Pendas, </w:t>
      </w:r>
      <w:r w:rsidRPr="00FA2C64">
        <w:t>‘Contested Knowledge, the Politics of Memory, and the Armenian Genocide’, </w:t>
      </w:r>
      <w:r w:rsidRPr="00FA2C64">
        <w:rPr>
          <w:i/>
          <w:iCs/>
        </w:rPr>
        <w:t>Law &amp; Social Inquiry</w:t>
      </w:r>
      <w:r w:rsidRPr="00FA2C64">
        <w:t>, 48</w:t>
      </w:r>
      <w:r>
        <w:t>:</w:t>
      </w:r>
      <w:r w:rsidRPr="00FA2C64">
        <w:t>1 (2023), 343–49</w:t>
      </w:r>
    </w:p>
    <w:p w14:paraId="0D53F69C" w14:textId="77777777" w:rsidR="00200582" w:rsidRDefault="00200582" w:rsidP="00200582">
      <w:r w:rsidRPr="00F26654">
        <w:t>Ugur Umit</w:t>
      </w:r>
      <w:r>
        <w:t xml:space="preserve"> Ungor</w:t>
      </w:r>
      <w:r w:rsidRPr="00F26654">
        <w:t>, ‘Lost in Commemoration: The Armenian Genocide in Memory and Identity’, </w:t>
      </w:r>
      <w:r w:rsidRPr="00F26654">
        <w:rPr>
          <w:i/>
          <w:iCs/>
        </w:rPr>
        <w:t>Patterns of Prejudice</w:t>
      </w:r>
      <w:r w:rsidRPr="00F26654">
        <w:t>, 48</w:t>
      </w:r>
      <w:r>
        <w:t>:</w:t>
      </w:r>
      <w:r w:rsidRPr="00F26654">
        <w:t>2 (2014), 147–66</w:t>
      </w:r>
    </w:p>
    <w:p w14:paraId="15BE2EB2" w14:textId="539463A3" w:rsidR="00D935B0" w:rsidRPr="00D935B0" w:rsidRDefault="00200582" w:rsidP="00D935B0">
      <w:r w:rsidRPr="00A10F0A">
        <w:t>M. Hakan Yavuz</w:t>
      </w:r>
      <w:r w:rsidRPr="00211CCA">
        <w:rPr>
          <w:i/>
          <w:iCs/>
        </w:rPr>
        <w:t>, ‘</w:t>
      </w:r>
      <w:r w:rsidRPr="00A10F0A">
        <w:t>The Turkish-Armenian Historical Controversy: How to Name the Events of 1915?’,</w:t>
      </w:r>
      <w:r w:rsidRPr="00211CCA">
        <w:rPr>
          <w:i/>
          <w:iCs/>
        </w:rPr>
        <w:t xml:space="preserve"> Middle East Critique, </w:t>
      </w:r>
      <w:r>
        <w:t>29:3 (2020), 345-65.</w:t>
      </w:r>
    </w:p>
    <w:p w14:paraId="6AC3E7BD" w14:textId="6B90E0F9" w:rsidR="00AD0BBE" w:rsidRPr="00035A38" w:rsidRDefault="00AD0BBE" w:rsidP="00200582">
      <w:pPr>
        <w:pStyle w:val="Heading4"/>
      </w:pPr>
      <w:r w:rsidRPr="00035A38">
        <w:t>The Holocaust</w:t>
      </w:r>
    </w:p>
    <w:p w14:paraId="79D4C8D1" w14:textId="77777777" w:rsidR="001E633B" w:rsidRDefault="001E633B" w:rsidP="001E633B">
      <w:r>
        <w:t xml:space="preserve">Gilbert Achcar, ‘Assessing Holocaust Denial in Western and Arab Contexts’, </w:t>
      </w:r>
      <w:r>
        <w:rPr>
          <w:i/>
          <w:iCs/>
        </w:rPr>
        <w:t xml:space="preserve">Journal of Palestine Studies </w:t>
      </w:r>
      <w:r>
        <w:t>41:1 (2011), 82-95.</w:t>
      </w:r>
    </w:p>
    <w:p w14:paraId="7328E512" w14:textId="77777777" w:rsidR="001E633B" w:rsidRPr="00B56E86" w:rsidRDefault="001E633B" w:rsidP="001E633B">
      <w:r>
        <w:t xml:space="preserve">Rebecca Clifford, </w:t>
      </w:r>
      <w:r>
        <w:rPr>
          <w:i/>
          <w:iCs/>
        </w:rPr>
        <w:t xml:space="preserve">Commemorating the Holocaust: The Dilemmas of Remembrance in France and Italy </w:t>
      </w:r>
      <w:r>
        <w:t>(Oxford University Press, 2013).</w:t>
      </w:r>
    </w:p>
    <w:p w14:paraId="02E8DA28" w14:textId="77777777" w:rsidR="001E633B" w:rsidRDefault="001E633B" w:rsidP="001E633B">
      <w:r>
        <w:t xml:space="preserve">Manfred Gerstenfeld, ‘The Multiple Distortions of Holocaust Memory’, </w:t>
      </w:r>
      <w:r>
        <w:rPr>
          <w:i/>
          <w:iCs/>
        </w:rPr>
        <w:t xml:space="preserve">Jewish Political Studies Review </w:t>
      </w:r>
      <w:r>
        <w:t>19:3 (2007), 35-55.</w:t>
      </w:r>
    </w:p>
    <w:p w14:paraId="4F0E8149" w14:textId="77777777" w:rsidR="00AD0BBE" w:rsidRDefault="00AD0BBE" w:rsidP="00AD0BBE">
      <w:r w:rsidRPr="003B6D43">
        <w:t>Janek Gryta, ‘Generational Succession, Culture, and Pol</w:t>
      </w:r>
      <w:r>
        <w:t xml:space="preserve">itics: The Shaping of Euro-Atlantic Sites of Memory’, </w:t>
      </w:r>
      <w:r>
        <w:rPr>
          <w:i/>
          <w:iCs/>
        </w:rPr>
        <w:t xml:space="preserve">Memory Studies </w:t>
      </w:r>
      <w:r>
        <w:t>13:6 (2019), 988-1003.</w:t>
      </w:r>
    </w:p>
    <w:p w14:paraId="3A05D253" w14:textId="77777777" w:rsidR="001E633B" w:rsidRDefault="001E633B" w:rsidP="001E633B">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14.</w:t>
      </w:r>
    </w:p>
    <w:p w14:paraId="0C6290ED" w14:textId="77777777" w:rsidR="001E633B" w:rsidRDefault="001E633B" w:rsidP="001E633B">
      <w:r>
        <w:lastRenderedPageBreak/>
        <w:t xml:space="preserve">Eva Kovacs, ‘Limits of Universalization: The European Memory Sites of Genocide’, </w:t>
      </w:r>
      <w:r>
        <w:rPr>
          <w:i/>
          <w:iCs/>
        </w:rPr>
        <w:t xml:space="preserve">Journal of Genocide Research </w:t>
      </w:r>
      <w:r>
        <w:t>20:4 (2018), 490-509.</w:t>
      </w:r>
    </w:p>
    <w:p w14:paraId="3C5E8540" w14:textId="77777777" w:rsidR="001E633B" w:rsidRDefault="001E633B" w:rsidP="001E633B">
      <w:r>
        <w:t xml:space="preserve">Uli Linke, ‘Archives of Violence: The Holocaust and the German Politics of Memory’, in Alexander Laban Hinton (ed.), </w:t>
      </w:r>
      <w:r>
        <w:rPr>
          <w:i/>
          <w:iCs/>
        </w:rPr>
        <w:t xml:space="preserve">Annihilating Difference: The Anthropology of Genocide </w:t>
      </w:r>
      <w:r>
        <w:t>(University of California Press, 2002), pp. 229-271.</w:t>
      </w:r>
    </w:p>
    <w:p w14:paraId="112AC816" w14:textId="77777777" w:rsidR="001E633B" w:rsidRDefault="001E633B" w:rsidP="001E633B">
      <w:r w:rsidRPr="00F453DD">
        <w:t>Deborah Lipstadt, ‘Holocaust Denial: An Antisemitic Fant</w:t>
      </w:r>
      <w:r>
        <w:t xml:space="preserve">asy’, </w:t>
      </w:r>
      <w:r>
        <w:rPr>
          <w:i/>
          <w:iCs/>
        </w:rPr>
        <w:t xml:space="preserve">Modern Judaism </w:t>
      </w:r>
      <w:r>
        <w:t>40:1 (2020), pp. 71-86.</w:t>
      </w:r>
    </w:p>
    <w:p w14:paraId="71AAE44F" w14:textId="77777777" w:rsidR="00AD0BBE" w:rsidRDefault="00AD0BBE" w:rsidP="00AD0BBE">
      <w:r w:rsidRPr="003B6D43">
        <w:t>Deborah Lipstadt, ‘Denial’ in</w:t>
      </w:r>
      <w:r>
        <w:t xml:space="preserve"> Peter Hayes and John K. Roth (eds.), </w:t>
      </w:r>
      <w:r w:rsidRPr="003B6D43">
        <w:t xml:space="preserve"> </w:t>
      </w:r>
      <w:r w:rsidRPr="003B6D43">
        <w:rPr>
          <w:i/>
          <w:iCs/>
        </w:rPr>
        <w:t>The</w:t>
      </w:r>
      <w:r>
        <w:rPr>
          <w:i/>
          <w:iCs/>
        </w:rPr>
        <w:t xml:space="preserve"> Oxford Handbook of Holocaust Studies </w:t>
      </w:r>
      <w:r>
        <w:t>(Oxford, 2010), pp. 560-574.</w:t>
      </w:r>
    </w:p>
    <w:p w14:paraId="314AB3AF" w14:textId="77777777" w:rsidR="001E633B" w:rsidRDefault="001E633B" w:rsidP="001E633B">
      <w:r w:rsidRPr="000772CA">
        <w:t xml:space="preserve">Robert Jan van Pelt, </w:t>
      </w:r>
      <w:r w:rsidRPr="000772CA">
        <w:rPr>
          <w:i/>
          <w:iCs/>
        </w:rPr>
        <w:t>The Case</w:t>
      </w:r>
      <w:r>
        <w:rPr>
          <w:i/>
          <w:iCs/>
        </w:rPr>
        <w:t xml:space="preserve"> for Auschwitz: Evidence from the Irving Trial </w:t>
      </w:r>
      <w:r>
        <w:t>(Indiana University Press, 2016).</w:t>
      </w:r>
    </w:p>
    <w:p w14:paraId="19DC0330" w14:textId="77777777" w:rsidR="001E633B" w:rsidRDefault="001E633B" w:rsidP="001E633B">
      <w:r>
        <w:t xml:space="preserve">Michael Shermer and Alex Grobman (eds.), </w:t>
      </w:r>
      <w:r>
        <w:rPr>
          <w:i/>
          <w:iCs/>
        </w:rPr>
        <w:t xml:space="preserve">Denying History: Who Says the Holocaust Never Happened and Why Do They Say It? </w:t>
      </w:r>
      <w:r>
        <w:t>(University of California Press, 2009).</w:t>
      </w:r>
    </w:p>
    <w:p w14:paraId="28730E46" w14:textId="77777777" w:rsidR="001E633B" w:rsidRPr="00374D4D" w:rsidRDefault="001E633B" w:rsidP="001E633B">
      <w:r>
        <w:t xml:space="preserve">Amy Sodaro, </w:t>
      </w:r>
      <w:r w:rsidRPr="00157730">
        <w:rPr>
          <w:i/>
          <w:iCs/>
        </w:rPr>
        <w:t>Exhibiting Atrocity: Memorial Museums and the Politics of Past Violence</w:t>
      </w:r>
      <w:r>
        <w:t xml:space="preserve"> (Rutgers University Press, 2018), Chapter 1&amp;2.</w:t>
      </w:r>
    </w:p>
    <w:p w14:paraId="60F751FE" w14:textId="77777777" w:rsidR="001E633B" w:rsidRPr="003B6D43" w:rsidRDefault="001E633B" w:rsidP="001E633B">
      <w:r w:rsidRPr="003B6D43">
        <w:t xml:space="preserve">Robert S. Wistrich, </w:t>
      </w:r>
      <w:r w:rsidRPr="003B6D43">
        <w:rPr>
          <w:i/>
          <w:iCs/>
        </w:rPr>
        <w:t>Holocaust Denial: The Politic</w:t>
      </w:r>
      <w:r>
        <w:rPr>
          <w:i/>
          <w:iCs/>
        </w:rPr>
        <w:t xml:space="preserve">s of Perfidy </w:t>
      </w:r>
      <w:r>
        <w:t>(De Gruyter, 2012).</w:t>
      </w:r>
    </w:p>
    <w:p w14:paraId="0B1170D1" w14:textId="77777777" w:rsidR="001E633B" w:rsidRDefault="001E633B" w:rsidP="001E633B">
      <w:r>
        <w:t xml:space="preserve">James E. Young, ‘Memorials and Museums’ in Peter Hayes and John K. Roth (eds.), </w:t>
      </w:r>
      <w:r w:rsidRPr="003B6D43">
        <w:t xml:space="preserve"> </w:t>
      </w:r>
      <w:r w:rsidRPr="003B6D43">
        <w:rPr>
          <w:i/>
          <w:iCs/>
        </w:rPr>
        <w:t>The</w:t>
      </w:r>
      <w:r>
        <w:rPr>
          <w:i/>
          <w:iCs/>
        </w:rPr>
        <w:t xml:space="preserve"> Oxford Handbook of Holocaust Studies </w:t>
      </w:r>
      <w:r>
        <w:t>(Oxford, 2010), pp. 590-506.</w:t>
      </w:r>
    </w:p>
    <w:p w14:paraId="3721B8D9" w14:textId="1AB2007A" w:rsidR="001E633B" w:rsidRDefault="001E633B" w:rsidP="001E633B">
      <w:r>
        <w:t xml:space="preserve">James E. Young (ed.), </w:t>
      </w:r>
      <w:r>
        <w:rPr>
          <w:i/>
          <w:iCs/>
        </w:rPr>
        <w:t xml:space="preserve">The Art of Memory: Holocaust Memorials in History </w:t>
      </w:r>
      <w:r>
        <w:t>(Prestel, 1994</w:t>
      </w:r>
    </w:p>
    <w:p w14:paraId="36F337B7" w14:textId="3FE3BCBA" w:rsidR="00035A38" w:rsidRDefault="00035A38" w:rsidP="00200582">
      <w:pPr>
        <w:pStyle w:val="Heading4"/>
      </w:pPr>
      <w:r>
        <w:t>Cambodia</w:t>
      </w:r>
    </w:p>
    <w:p w14:paraId="156EFF83" w14:textId="77777777" w:rsidR="00432C14" w:rsidRDefault="00117074" w:rsidP="00117074">
      <w:r>
        <w:t>Michelle Caswell, ‘Khmer Rouge</w:t>
      </w:r>
      <w:r w:rsidR="00432C14">
        <w:t xml:space="preserve"> archives: Accountability, truth and memory in Cambodia’, </w:t>
      </w:r>
      <w:r w:rsidR="00432C14">
        <w:rPr>
          <w:i/>
          <w:iCs/>
        </w:rPr>
        <w:t xml:space="preserve">Archival Science </w:t>
      </w:r>
      <w:r w:rsidR="00432C14">
        <w:t>10:1 (2010), 25-44.</w:t>
      </w:r>
    </w:p>
    <w:p w14:paraId="78AC60D0" w14:textId="1AFCA72A" w:rsidR="006E656C" w:rsidRPr="006E656C" w:rsidRDefault="006E656C" w:rsidP="00117074">
      <w:r>
        <w:t xml:space="preserve">David Chandler, ‘Cambodia deals with its past: Collective memory, demonisation and induced amnesia’, </w:t>
      </w:r>
      <w:r>
        <w:rPr>
          <w:i/>
          <w:iCs/>
        </w:rPr>
        <w:t xml:space="preserve">Politics, religion and ideology </w:t>
      </w:r>
      <w:r>
        <w:t>9:2 (2008), 355-369.</w:t>
      </w:r>
    </w:p>
    <w:p w14:paraId="21A5051E" w14:textId="09A18B70" w:rsidR="00117074" w:rsidRDefault="00117074" w:rsidP="00117074">
      <w:r>
        <w:t xml:space="preserve">Paul Cooke, ‘Changing the story: Intergenerational dialogue, participatory video and perpetrator memories in Cambodia’, </w:t>
      </w:r>
      <w:r>
        <w:rPr>
          <w:i/>
          <w:iCs/>
        </w:rPr>
        <w:t xml:space="preserve">Memory Studies </w:t>
      </w:r>
      <w:r>
        <w:t>16:5 (2023), 1223-1239.</w:t>
      </w:r>
    </w:p>
    <w:p w14:paraId="0161305C" w14:textId="77777777" w:rsidR="00264CAE" w:rsidRDefault="00264CAE" w:rsidP="00264CAE">
      <w:r>
        <w:t xml:space="preserve">May Ebihara and Judy Ledgerwood, ‘Aftermaths of Genocide: Cambodian Villagers’ in Alexander Laban Hinton (ed.), </w:t>
      </w:r>
      <w:r>
        <w:rPr>
          <w:i/>
          <w:iCs/>
        </w:rPr>
        <w:t xml:space="preserve">Annihilating Difference: The Anthropology of Genocide </w:t>
      </w:r>
      <w:r>
        <w:t>(University of California Press, 2002), pp. 272-291.</w:t>
      </w:r>
    </w:p>
    <w:p w14:paraId="4F60DD55" w14:textId="77777777" w:rsidR="008A2FE0" w:rsidRDefault="008A2FE0" w:rsidP="001E633B">
      <w:r>
        <w:t xml:space="preserve">Kathryn L. Hannum and Mark A. Rhodes, ‘Public art as public pedagogy: Memorial landscapes of the Cambodian genocide’, </w:t>
      </w:r>
      <w:r>
        <w:rPr>
          <w:i/>
          <w:iCs/>
        </w:rPr>
        <w:t xml:space="preserve">Journal of Cultural Geography </w:t>
      </w:r>
      <w:r>
        <w:t>35:3 (2018), 334-361.</w:t>
      </w:r>
    </w:p>
    <w:p w14:paraId="10CAC820" w14:textId="2D2068CA" w:rsidR="00E0284B" w:rsidRDefault="00E0284B" w:rsidP="001E633B">
      <w:r>
        <w:t xml:space="preserve">Rachel Hughes, ‘The abject artefacts of memory: Photographs from Cambodia’s genocide’, </w:t>
      </w:r>
      <w:r>
        <w:rPr>
          <w:i/>
          <w:iCs/>
        </w:rPr>
        <w:t xml:space="preserve">Media, culture and society </w:t>
      </w:r>
      <w:r>
        <w:t>25:1 (2003), 23-44.</w:t>
      </w:r>
    </w:p>
    <w:p w14:paraId="00668E58" w14:textId="77777777" w:rsidR="005A31E0" w:rsidRDefault="005A31E0" w:rsidP="005A31E0">
      <w:r w:rsidRPr="000D0234">
        <w:lastRenderedPageBreak/>
        <w:t>Alexander Laban Hinton, ‘Genocide and th</w:t>
      </w:r>
      <w:r>
        <w:t xml:space="preserve">e Politics of Memory in Cambodia’, in Alexander Laban Hinton, Thomas La Pointe and Douglas Irvin-Erickson (eds.), </w:t>
      </w:r>
      <w:r>
        <w:rPr>
          <w:i/>
          <w:iCs/>
        </w:rPr>
        <w:t xml:space="preserve">Hidden Genocides: Power, Knowledge, Memory </w:t>
      </w:r>
      <w:r>
        <w:t>(Rutgers University Press, 2014), pp. 149-169.</w:t>
      </w:r>
    </w:p>
    <w:p w14:paraId="43EC8928" w14:textId="77777777" w:rsidR="00E0284B" w:rsidRDefault="00E0284B" w:rsidP="001E633B">
      <w:r>
        <w:t xml:space="preserve">Peter Manning, ‘Governing memory: Justice, reconciliation and outreach at the Extraordinary Chambers in the Courts of Cambodia’, </w:t>
      </w:r>
      <w:r>
        <w:rPr>
          <w:i/>
          <w:iCs/>
        </w:rPr>
        <w:t xml:space="preserve">Memory Studies </w:t>
      </w:r>
      <w:r>
        <w:t>5:2 (2012), 165-181.</w:t>
      </w:r>
    </w:p>
    <w:p w14:paraId="1072CB2D" w14:textId="229B893C" w:rsidR="00117074" w:rsidRDefault="00117074" w:rsidP="001E633B">
      <w:r>
        <w:t xml:space="preserve">Peter Manning, ‘Reconciliation and perpetrator memories in Cambodia’, </w:t>
      </w:r>
      <w:r>
        <w:rPr>
          <w:i/>
          <w:iCs/>
        </w:rPr>
        <w:t xml:space="preserve">International Journal of Transitional Justice </w:t>
      </w:r>
      <w:r>
        <w:t>9:3 (2015), 386-406.</w:t>
      </w:r>
    </w:p>
    <w:p w14:paraId="53DEF8AE" w14:textId="77777777" w:rsidR="00F61B2A" w:rsidRDefault="00F61B2A" w:rsidP="00F61B2A">
      <w:r w:rsidRPr="00146BA9">
        <w:t>Münyas, Burcu. 2008. “Genocide in the Minds of Cambodian Youth: Transmitting (Hi)Stories of Genocide to Second and Third Generations in Cambodia.” </w:t>
      </w:r>
      <w:r w:rsidRPr="00146BA9">
        <w:rPr>
          <w:i/>
          <w:iCs/>
        </w:rPr>
        <w:t>Journal of Genocide Research</w:t>
      </w:r>
      <w:r w:rsidRPr="00146BA9">
        <w:t> 10 (3): 413–39.</w:t>
      </w:r>
    </w:p>
    <w:p w14:paraId="3018C64E" w14:textId="12C271A9" w:rsidR="007B024F" w:rsidRDefault="007B024F" w:rsidP="001E633B">
      <w:r>
        <w:t xml:space="preserve">Phuong N. Pham, Mychelle Balthazard, Niamh Gibbons and Patrick Vinck, ‘Perspectives on memory, forgiveness and reconciliation in Camodia’s post-Khmer Rouge society’, </w:t>
      </w:r>
      <w:r>
        <w:rPr>
          <w:i/>
          <w:iCs/>
        </w:rPr>
        <w:t xml:space="preserve">International Review of the Red Cross </w:t>
      </w:r>
      <w:r>
        <w:t>(2005), 125-149.</w:t>
      </w:r>
    </w:p>
    <w:p w14:paraId="1FA5325F" w14:textId="5FF6BDD5" w:rsidR="00621378" w:rsidRDefault="00621378" w:rsidP="001E633B">
      <w:r>
        <w:t xml:space="preserve">Savina Sirik, ‘Museum of memory: Promoting healing in Cambodia through history, culture and arts’, </w:t>
      </w:r>
      <w:r>
        <w:rPr>
          <w:i/>
          <w:iCs/>
        </w:rPr>
        <w:t xml:space="preserve">Museum Worlds </w:t>
      </w:r>
      <w:r>
        <w:t>2:1 (2014), 133.</w:t>
      </w:r>
    </w:p>
    <w:p w14:paraId="3C08D306" w14:textId="22CDD5A5" w:rsidR="00644F90" w:rsidRPr="00644F90" w:rsidRDefault="00644F90" w:rsidP="001E633B">
      <w:r>
        <w:t xml:space="preserve">Savina Sirik, ‘Memory construction of former Khmer Rouge cadres: Resistance to dominant discourses of genocide in Cambodia’, </w:t>
      </w:r>
      <w:r>
        <w:rPr>
          <w:i/>
          <w:iCs/>
        </w:rPr>
        <w:t xml:space="preserve">Journal of Political Power </w:t>
      </w:r>
      <w:r>
        <w:t>13:2 (2020), 233-251.</w:t>
      </w:r>
    </w:p>
    <w:p w14:paraId="31223E82" w14:textId="49DBCDCB" w:rsidR="009A03B5" w:rsidRDefault="009A03B5" w:rsidP="001E633B">
      <w:r w:rsidRPr="009A03B5">
        <w:t>James A. Tyner, Gabriela Brindis Alvarez and Alex R Colucci, ‘Mem</w:t>
      </w:r>
      <w:r>
        <w:t xml:space="preserve">ory and the everyday landscape of violence in post-genocide Cambodia’, </w:t>
      </w:r>
      <w:r>
        <w:rPr>
          <w:i/>
          <w:iCs/>
        </w:rPr>
        <w:t xml:space="preserve">Social and Cultural Geography </w:t>
      </w:r>
      <w:r>
        <w:t>13:8 (2012), 853-871.</w:t>
      </w:r>
    </w:p>
    <w:p w14:paraId="5CA3E541" w14:textId="348FE4FE" w:rsidR="00E30FF8" w:rsidRPr="00E30FF8" w:rsidRDefault="00E30FF8" w:rsidP="001E633B">
      <w:r>
        <w:t xml:space="preserve">Timothy Williams, ‘Remembering and silencing complexity in post-genocide memorialisation: Cambodia’s Tuol Sleng Genocide Museum’, </w:t>
      </w:r>
      <w:r>
        <w:rPr>
          <w:i/>
          <w:iCs/>
        </w:rPr>
        <w:t xml:space="preserve">Memory Studies </w:t>
      </w:r>
      <w:r>
        <w:t>15:1 (2022), 3-19.</w:t>
      </w:r>
    </w:p>
    <w:p w14:paraId="127FCFC3" w14:textId="094C6266" w:rsidR="00035A38" w:rsidRDefault="00035A38" w:rsidP="00200582">
      <w:pPr>
        <w:pStyle w:val="Heading4"/>
      </w:pPr>
      <w:r w:rsidRPr="009A03B5">
        <w:t>Bosnia</w:t>
      </w:r>
    </w:p>
    <w:p w14:paraId="0346AA65" w14:textId="77777777" w:rsidR="00570E6D" w:rsidRDefault="00570E6D" w:rsidP="00C12ED0">
      <w:r>
        <w:t xml:space="preserve">Tea Sindbaek Andersen and Fedja Wierod Borcak, ‘Memory conflicts and memory grey-zones: War memory in Bosnia-Herzegovina between public memory disputes, literary narratives and personal experience’, </w:t>
      </w:r>
      <w:r>
        <w:rPr>
          <w:i/>
          <w:iCs/>
        </w:rPr>
        <w:t xml:space="preserve">Memory Studies </w:t>
      </w:r>
      <w:r>
        <w:t>15:6 (2022), 1517-1531.</w:t>
      </w:r>
    </w:p>
    <w:p w14:paraId="59E704B7" w14:textId="47222087" w:rsidR="00C60951" w:rsidRDefault="00C60951" w:rsidP="00C12ED0">
      <w:r>
        <w:t xml:space="preserve">Edina Becirevic, ‘The issue of genocidal intent and denial of genocide: A case study of Bosnia and Herzegovina’, </w:t>
      </w:r>
      <w:r>
        <w:rPr>
          <w:i/>
          <w:iCs/>
        </w:rPr>
        <w:t xml:space="preserve">East European Politics and Societies </w:t>
      </w:r>
      <w:r>
        <w:t>24:4 (2010), 480-502.</w:t>
      </w:r>
    </w:p>
    <w:p w14:paraId="5F4B9FCE" w14:textId="11BB4F89" w:rsidR="00C12ED0" w:rsidRPr="00CC22A5" w:rsidRDefault="001225C6" w:rsidP="00C12ED0">
      <w:r w:rsidRPr="00CC22A5">
        <w:t>Marko Atilla Hoare, ‘Genocide in the Former Yugoslavia: A Critique of Left Rev</w:t>
      </w:r>
      <w:r>
        <w:t xml:space="preserve">isionism’s Denial’, </w:t>
      </w:r>
      <w:r>
        <w:rPr>
          <w:i/>
          <w:iCs/>
        </w:rPr>
        <w:t xml:space="preserve">Journal of Genocide Research, </w:t>
      </w:r>
      <w:r>
        <w:t>5:4 (2003), 543-563.</w:t>
      </w:r>
    </w:p>
    <w:p w14:paraId="3D0FFE6E" w14:textId="157DE24B" w:rsidR="001225C6" w:rsidRDefault="001225C6" w:rsidP="001225C6">
      <w:r>
        <w:lastRenderedPageBreak/>
        <w:t>Jessie Barton Hronesova</w:t>
      </w:r>
      <w:r w:rsidR="00A54C0A">
        <w:t xml:space="preserve"> and Jasmin Hasic</w:t>
      </w:r>
      <w:r>
        <w:t xml:space="preserve">, ‘The 2021 Memory Law in Bosnia and Herzegovina: Reconciliation or Polarization?’ </w:t>
      </w:r>
      <w:r>
        <w:rPr>
          <w:i/>
          <w:iCs/>
        </w:rPr>
        <w:t xml:space="preserve">Journal of Genocide Research </w:t>
      </w:r>
      <w:r w:rsidR="00A54C0A">
        <w:t>26:4 (2024), 399-417.</w:t>
      </w:r>
    </w:p>
    <w:p w14:paraId="7279A68B" w14:textId="111734D9" w:rsidR="00E70D82" w:rsidRDefault="00E70D82" w:rsidP="001225C6">
      <w:r>
        <w:t xml:space="preserve">Goran Basic and Zlatan Delic, ‘Ideology, war and genocide: The empirical case of Bosnia and Herzegovina’, </w:t>
      </w:r>
      <w:r>
        <w:rPr>
          <w:i/>
          <w:iCs/>
        </w:rPr>
        <w:t xml:space="preserve">Journal </w:t>
      </w:r>
      <w:r w:rsidR="00FE7069">
        <w:rPr>
          <w:i/>
          <w:iCs/>
        </w:rPr>
        <w:t xml:space="preserve">of Contemporary Central and Eastern Europe </w:t>
      </w:r>
      <w:r w:rsidR="00FE7069">
        <w:t>32:1 (2024), 95-110.</w:t>
      </w:r>
    </w:p>
    <w:p w14:paraId="44BC4B04" w14:textId="77622A72" w:rsidR="004674DD" w:rsidRPr="004674DD" w:rsidRDefault="004674DD" w:rsidP="001225C6">
      <w:r>
        <w:t xml:space="preserve">Hikmet Karcic, ‘An erased memorial, a rape motel, and a nationalist Disneyland: Bosnian genocide denial and the fight for memory in a Bosnian town’, </w:t>
      </w:r>
      <w:r>
        <w:rPr>
          <w:i/>
          <w:iCs/>
        </w:rPr>
        <w:t xml:space="preserve">Georgetown Journal of International Affairs </w:t>
      </w:r>
      <w:r>
        <w:t>22:2 (2021), 167-173.</w:t>
      </w:r>
    </w:p>
    <w:p w14:paraId="71A5824B" w14:textId="77777777" w:rsidR="00C12ED0" w:rsidRDefault="00C12ED0" w:rsidP="001225C6">
      <w:r>
        <w:t xml:space="preserve">Janet Jacobs, ‘The memorial at Srebrenica: Gender and the social meanings of collective memory in Bosnia-Herzegovina’, </w:t>
      </w:r>
      <w:r>
        <w:rPr>
          <w:i/>
          <w:iCs/>
        </w:rPr>
        <w:t xml:space="preserve">Memory Studies </w:t>
      </w:r>
      <w:r>
        <w:t>10:4 (2017), 423-439.</w:t>
      </w:r>
    </w:p>
    <w:p w14:paraId="1B3D1BD6" w14:textId="77777777" w:rsidR="00797DAB" w:rsidRDefault="00797DAB" w:rsidP="001225C6">
      <w:r>
        <w:t xml:space="preserve">Ehlimana Memisevic, ‘Battling the eighth stage: Incrimination of genocide denial in Bosnia and Herzegovina’, </w:t>
      </w:r>
      <w:r>
        <w:rPr>
          <w:i/>
          <w:iCs/>
        </w:rPr>
        <w:t xml:space="preserve">Journal of Muslim Minority Affairs </w:t>
      </w:r>
      <w:r>
        <w:t>35:3 (2015), 380-400.</w:t>
      </w:r>
    </w:p>
    <w:p w14:paraId="29A08963" w14:textId="6941C55B" w:rsidR="001225C6" w:rsidRDefault="001225C6" w:rsidP="001225C6">
      <w:r w:rsidRPr="00EB24E1">
        <w:t xml:space="preserve">Paul B. Miller, ‘Contested Memories: </w:t>
      </w:r>
      <w:r>
        <w:t xml:space="preserve">The Bosnian Genocide in Serb and Muslim Minds’, </w:t>
      </w:r>
      <w:r>
        <w:rPr>
          <w:i/>
          <w:iCs/>
        </w:rPr>
        <w:t xml:space="preserve">Journal of Genocide Research </w:t>
      </w:r>
      <w:r>
        <w:t>(2006), 8:3, 311-324.</w:t>
      </w:r>
    </w:p>
    <w:p w14:paraId="7EB115E0" w14:textId="2E6F5875" w:rsidR="00124275" w:rsidRDefault="00124275" w:rsidP="001225C6">
      <w:r>
        <w:t xml:space="preserve">Klejda Mulaj, ‘Genocide and the ending of war: Meaning, remembrance and denial in Srebrenica, Bosnia’, </w:t>
      </w:r>
      <w:r>
        <w:rPr>
          <w:i/>
          <w:iCs/>
        </w:rPr>
        <w:t xml:space="preserve">Crime, law and social change </w:t>
      </w:r>
      <w:r>
        <w:t>68 (2017), 123-143.</w:t>
      </w:r>
    </w:p>
    <w:p w14:paraId="201AB884" w14:textId="693343D8" w:rsidR="00AC0A2A" w:rsidRDefault="00AC0A2A" w:rsidP="001225C6">
      <w:r>
        <w:t xml:space="preserve">Jelena Obradovic-Wochnik, ‘Knowledge, acknowledgement and denial in Serbia’s responses to the Srebrenica massacre’, </w:t>
      </w:r>
      <w:r>
        <w:rPr>
          <w:i/>
          <w:iCs/>
        </w:rPr>
        <w:t xml:space="preserve">Journal of Contemporary European Studies </w:t>
      </w:r>
      <w:r>
        <w:t>17:1 (2009), 61-74.</w:t>
      </w:r>
    </w:p>
    <w:p w14:paraId="22AEB354" w14:textId="535A1FCF" w:rsidR="000107E5" w:rsidRPr="000107E5" w:rsidRDefault="000107E5" w:rsidP="001225C6">
      <w:r>
        <w:t xml:space="preserve">Monika Palmberger, </w:t>
      </w:r>
      <w:r>
        <w:rPr>
          <w:i/>
          <w:iCs/>
        </w:rPr>
        <w:t xml:space="preserve">How generations remember: Conflicting histories and shared memories in post-war Bosnia and Herzegovina </w:t>
      </w:r>
      <w:r>
        <w:t>(</w:t>
      </w:r>
      <w:r w:rsidR="0000133C">
        <w:t>London, 2016).</w:t>
      </w:r>
    </w:p>
    <w:p w14:paraId="0EC370E9" w14:textId="32DBEE50" w:rsidR="001225C6" w:rsidRDefault="001225C6" w:rsidP="001225C6">
      <w:r w:rsidRPr="00F26F47">
        <w:t>Olivera</w:t>
      </w:r>
      <w:r w:rsidR="00124275">
        <w:t xml:space="preserve"> Simic,  </w:t>
      </w:r>
      <w:r w:rsidRPr="00F26F47">
        <w:t>“‘Celebrating’ Srebrenica Genocide: Impunity and Indoctrination as Contributing Factors to the Glorification of Mass Atrocities.” </w:t>
      </w:r>
      <w:r w:rsidRPr="00F26F47">
        <w:rPr>
          <w:i/>
          <w:iCs/>
        </w:rPr>
        <w:t>Journal of Genocide Research</w:t>
      </w:r>
      <w:r w:rsidR="00124275">
        <w:t xml:space="preserve"> (2024), 1-19.</w:t>
      </w:r>
    </w:p>
    <w:p w14:paraId="33929D0A" w14:textId="77777777" w:rsidR="00052454" w:rsidRPr="00124275" w:rsidRDefault="00052454" w:rsidP="00785AEE">
      <w:pPr>
        <w:pStyle w:val="Heading4"/>
      </w:pPr>
      <w:r w:rsidRPr="00124275">
        <w:t>Rwanda</w:t>
      </w:r>
    </w:p>
    <w:p w14:paraId="47981E6C" w14:textId="77777777" w:rsidR="00475133" w:rsidRDefault="00475133" w:rsidP="00DE32FA">
      <w:r>
        <w:t xml:space="preserve">Gerald Caplan, ‘Remembering Rwanda or denying it?’ </w:t>
      </w:r>
      <w:r>
        <w:rPr>
          <w:i/>
          <w:iCs/>
        </w:rPr>
        <w:t xml:space="preserve">Peace Review </w:t>
      </w:r>
      <w:r>
        <w:t>21:3 (2009), 280-285.</w:t>
      </w:r>
    </w:p>
    <w:p w14:paraId="6B2FFB1B" w14:textId="0C61720E" w:rsidR="00634FFC" w:rsidRPr="00634FFC" w:rsidRDefault="00634FFC" w:rsidP="00634FFC">
      <w:r>
        <w:t xml:space="preserve">Jonathan Fisher, ‘Writing about Rwanda since the genocide: Knowledge, power, and “truth”’, </w:t>
      </w:r>
      <w:r>
        <w:rPr>
          <w:i/>
          <w:iCs/>
        </w:rPr>
        <w:t xml:space="preserve">Journal of Intervention and Statebuilding </w:t>
      </w:r>
      <w:r>
        <w:t>9:1 (2015), 134-145.</w:t>
      </w:r>
    </w:p>
    <w:p w14:paraId="667827CD" w14:textId="6B6964FA" w:rsidR="005375B7" w:rsidRPr="005375B7" w:rsidRDefault="005375B7" w:rsidP="00DE32FA">
      <w:r>
        <w:t xml:space="preserve">Helen M. Hintjens, ‘Post-genocide identity politics in Rwanda’, </w:t>
      </w:r>
      <w:r>
        <w:rPr>
          <w:i/>
          <w:iCs/>
        </w:rPr>
        <w:t xml:space="preserve">Ethnicities </w:t>
      </w:r>
      <w:r>
        <w:t xml:space="preserve">8:1 (2008), </w:t>
      </w:r>
      <w:r w:rsidR="00287D4A">
        <w:t>5-41.</w:t>
      </w:r>
    </w:p>
    <w:p w14:paraId="4CA359A0" w14:textId="15C87E0B" w:rsidR="005437C5" w:rsidRDefault="00392778" w:rsidP="00DE32FA">
      <w:r>
        <w:t xml:space="preserve">Yakaré-Oulé Jansen, ‘Denying genocide or denying free speech? A case study of the application of Rwanda’s genocide denial laws’, </w:t>
      </w:r>
      <w:r>
        <w:rPr>
          <w:i/>
          <w:iCs/>
        </w:rPr>
        <w:t xml:space="preserve">Northwestern Journal of International Human Rights </w:t>
      </w:r>
      <w:r>
        <w:t xml:space="preserve">191 (2014), </w:t>
      </w:r>
      <w:r w:rsidR="005437C5">
        <w:t>190-293.</w:t>
      </w:r>
    </w:p>
    <w:p w14:paraId="76C789F1" w14:textId="12C9392E" w:rsidR="00DE32FA" w:rsidRPr="005C5895" w:rsidRDefault="00DE32FA" w:rsidP="00DE32FA">
      <w:r w:rsidRPr="008F5C74">
        <w:lastRenderedPageBreak/>
        <w:t>Erin Jessee, ‘Commemorating Genocide in Rwanda’ in Guy Elcheroth and</w:t>
      </w:r>
      <w:r>
        <w:t xml:space="preserve"> Neloufer de Mel (eds.), </w:t>
      </w:r>
      <w:r>
        <w:rPr>
          <w:i/>
          <w:iCs/>
        </w:rPr>
        <w:t xml:space="preserve">In the Shadow of Transitional Justice: Cross-national Perspectives on the Transformative Potential of Remembrance </w:t>
      </w:r>
      <w:r>
        <w:t>(Routledge, 2022), pp. 35-50.</w:t>
      </w:r>
    </w:p>
    <w:p w14:paraId="68A0A228" w14:textId="77777777" w:rsidR="00521CF1" w:rsidRDefault="00521CF1" w:rsidP="00521CF1">
      <w:r>
        <w:t xml:space="preserve">Paul Magnarella, ‘Recent Developments in the International Law of Genocide: An Anthropological Perspective on the International Criminal Tribunal for Rwanda’ in Alexander Laban Hinton (ed.), </w:t>
      </w:r>
      <w:r>
        <w:rPr>
          <w:i/>
          <w:iCs/>
        </w:rPr>
        <w:t xml:space="preserve">Annihilating Difference: The Anthropology of Genocide </w:t>
      </w:r>
      <w:r>
        <w:t>(University of California Press, 2002), pp. 310-322.</w:t>
      </w:r>
    </w:p>
    <w:p w14:paraId="1DB042A4" w14:textId="768D3C21" w:rsidR="00ED4027" w:rsidRPr="00ED4027" w:rsidRDefault="00ED4027" w:rsidP="00521CF1">
      <w:r>
        <w:t xml:space="preserve">Linda Melvern, ‘Moral equivalence: The story of genocide denial in Rwanda’, </w:t>
      </w:r>
      <w:r>
        <w:rPr>
          <w:i/>
          <w:iCs/>
        </w:rPr>
        <w:t xml:space="preserve">Jounral of International Peacekeeping </w:t>
      </w:r>
      <w:r>
        <w:t>(2020).</w:t>
      </w:r>
    </w:p>
    <w:p w14:paraId="646E38C2" w14:textId="77777777" w:rsidR="00693E41" w:rsidRDefault="00693E41" w:rsidP="00693E41">
      <w:r>
        <w:t xml:space="preserve">David Mwambari, </w:t>
      </w:r>
      <w:r>
        <w:rPr>
          <w:i/>
          <w:iCs/>
        </w:rPr>
        <w:t xml:space="preserve">Navigating Cultural Memory: Commemoration and Narrative in Postgenocide Rwanda </w:t>
      </w:r>
      <w:r>
        <w:t>(Oxford University Press, 2023).</w:t>
      </w:r>
    </w:p>
    <w:p w14:paraId="0334DD56" w14:textId="0FFE25BD" w:rsidR="00D01BA0" w:rsidRPr="00D01BA0" w:rsidRDefault="00D01BA0" w:rsidP="00693E41">
      <w:r w:rsidRPr="00D01BA0">
        <w:t>David Mwambari, ‘</w:t>
      </w:r>
      <w:r w:rsidRPr="00D01BA0">
        <w:rPr>
          <w:i/>
          <w:iCs/>
        </w:rPr>
        <w:t xml:space="preserve">Agaciro, </w:t>
      </w:r>
      <w:r w:rsidRPr="00D01BA0">
        <w:t>vernacular memory and</w:t>
      </w:r>
      <w:r>
        <w:t xml:space="preserve"> the politics of memory in post-genocide Rwanda’, </w:t>
      </w:r>
      <w:r>
        <w:rPr>
          <w:i/>
          <w:iCs/>
        </w:rPr>
        <w:t xml:space="preserve">African Affairs </w:t>
      </w:r>
      <w:r>
        <w:t>120 (2021), 611-628.</w:t>
      </w:r>
    </w:p>
    <w:p w14:paraId="35DDADC3" w14:textId="7F349A04" w:rsidR="00287D4A" w:rsidRPr="00287D4A" w:rsidRDefault="00287D4A" w:rsidP="00693E41">
      <w:r>
        <w:t xml:space="preserve">Filip Reyntjens, ‘Constructing the truth, dealing with dissent, domesticating the world: Governance in post-genocide Rwanda’, </w:t>
      </w:r>
      <w:r>
        <w:rPr>
          <w:i/>
          <w:iCs/>
        </w:rPr>
        <w:t xml:space="preserve">African Affairs </w:t>
      </w:r>
      <w:r>
        <w:t>110 (2010), 1-34.</w:t>
      </w:r>
    </w:p>
    <w:p w14:paraId="7F7EC842" w14:textId="77777777" w:rsidR="00B078AD" w:rsidRDefault="00B078AD" w:rsidP="00B078AD">
      <w:r>
        <w:t xml:space="preserve">Amy Sodaro, </w:t>
      </w:r>
      <w:r w:rsidRPr="00157730">
        <w:rPr>
          <w:i/>
          <w:iCs/>
        </w:rPr>
        <w:t>Exhibiting Atrocity: Memorial Museums and the Politics of Past Violence</w:t>
      </w:r>
      <w:r>
        <w:t xml:space="preserve"> (Rutgers University Press, 2018), Chapter 4.</w:t>
      </w:r>
    </w:p>
    <w:p w14:paraId="486E900D" w14:textId="77777777" w:rsidR="00052454" w:rsidRDefault="00052454" w:rsidP="00052454">
      <w:r w:rsidRPr="000608FB">
        <w:t>Stephanie Wolfe, Matthew Kane, and Tawi</w:t>
      </w:r>
      <w:r>
        <w:t xml:space="preserve">a Ansah (eds.), </w:t>
      </w:r>
      <w:r>
        <w:rPr>
          <w:i/>
          <w:iCs/>
        </w:rPr>
        <w:t xml:space="preserve">In the Shadow of Genocide: Justice and Memory Within Rwanda </w:t>
      </w:r>
      <w:r>
        <w:t>(Routledge, 2022).</w:t>
      </w:r>
    </w:p>
    <w:p w14:paraId="6BC03999" w14:textId="5D2A35EC" w:rsidR="00052454" w:rsidRDefault="00052454" w:rsidP="00052454">
      <w:r>
        <w:t xml:space="preserve">Eugenia Zorbas, ‘What does Reconciliation After Genocide Mean? Public Transcripts and Hidden Transcripts in Post-Genocide Rwanda’, </w:t>
      </w:r>
      <w:r>
        <w:rPr>
          <w:i/>
          <w:iCs/>
        </w:rPr>
        <w:t xml:space="preserve">Journal of Genocide Research </w:t>
      </w:r>
      <w:r>
        <w:t>11:1 (2009), 127-147.</w:t>
      </w:r>
    </w:p>
    <w:p w14:paraId="02CF9A9D" w14:textId="1EB72BD0" w:rsidR="00252606" w:rsidRPr="00252606" w:rsidRDefault="00252606" w:rsidP="00052454">
      <w:r w:rsidRPr="00252606">
        <w:t xml:space="preserve">Eugenia Zorbas, ‘Reconciliation in post-genocide Rwanda’, </w:t>
      </w:r>
      <w:r w:rsidRPr="00252606">
        <w:rPr>
          <w:i/>
          <w:iCs/>
        </w:rPr>
        <w:t>A</w:t>
      </w:r>
      <w:r>
        <w:rPr>
          <w:i/>
          <w:iCs/>
        </w:rPr>
        <w:t xml:space="preserve">frican Journal of Legal Studies </w:t>
      </w:r>
      <w:r>
        <w:t>1 (2004), 29-52.</w:t>
      </w:r>
    </w:p>
    <w:p w14:paraId="05DAB187" w14:textId="1A590B04" w:rsidR="001108B3" w:rsidRPr="00F97E54" w:rsidRDefault="001108B3" w:rsidP="00052454">
      <w:r w:rsidRPr="00F97E54">
        <w:t xml:space="preserve">Hilmi M. Zawati, ‘Retributive or restorative justice: Gacaca courts’ contribution to transitional justice and reconciliation in post-genocide Rwanda’, in Jennifer Heath and Ashraf Zahedi (eds.), </w:t>
      </w:r>
      <w:r w:rsidRPr="00F97E54">
        <w:rPr>
          <w:i/>
          <w:iCs/>
        </w:rPr>
        <w:t xml:space="preserve">Book of the disappeared: The quest for transnational justice </w:t>
      </w:r>
      <w:r w:rsidRPr="00F97E54">
        <w:t>(Ann Arbor, 2023), pp. 254-276.</w:t>
      </w:r>
    </w:p>
    <w:p w14:paraId="23BD3C25" w14:textId="4F816F2B" w:rsidR="001E633B" w:rsidRDefault="0064153A" w:rsidP="001E633B">
      <w:pPr>
        <w:rPr>
          <w:b/>
          <w:bCs/>
          <w:u w:val="single"/>
        </w:rPr>
      </w:pPr>
      <w:r>
        <w:rPr>
          <w:b/>
          <w:bCs/>
          <w:u w:val="single"/>
        </w:rPr>
        <w:t>Darfur</w:t>
      </w:r>
    </w:p>
    <w:p w14:paraId="1D43EDAD" w14:textId="77777777" w:rsidR="00D917A2" w:rsidRDefault="00224D0A" w:rsidP="0064153A">
      <w:r>
        <w:t xml:space="preserve">Jessica Auchter, ‘Theorising haunting and the international after genocide: The cases of Rwanda and Darfur’, </w:t>
      </w:r>
      <w:r>
        <w:rPr>
          <w:i/>
          <w:iCs/>
        </w:rPr>
        <w:t xml:space="preserve">Ethnicity Studies </w:t>
      </w:r>
      <w:r>
        <w:t xml:space="preserve">(2015), </w:t>
      </w:r>
      <w:r w:rsidR="00D917A2">
        <w:t>36-56.</w:t>
      </w:r>
    </w:p>
    <w:p w14:paraId="3F22584C" w14:textId="0B7832DD" w:rsidR="0064153A" w:rsidRDefault="0064153A" w:rsidP="0064153A">
      <w:r w:rsidRPr="00035A38">
        <w:t>Lippman, Matthew. 2007. “Darfur: The Politics of Genocide Denial Syndrome.” Journal of Genocide Research 9 (2): 193–213. doi:10.1080/14623520701368594.</w:t>
      </w:r>
    </w:p>
    <w:p w14:paraId="4D3F5E26" w14:textId="41079AC1" w:rsidR="00AB2CE6" w:rsidRDefault="00AB2CE6" w:rsidP="00A062BF">
      <w:pPr>
        <w:pStyle w:val="Heading2"/>
      </w:pPr>
      <w:r>
        <w:lastRenderedPageBreak/>
        <w:t xml:space="preserve">Supplementary </w:t>
      </w:r>
      <w:r w:rsidR="00631983">
        <w:t xml:space="preserve"> reading list</w:t>
      </w:r>
    </w:p>
    <w:p w14:paraId="3F7C4F58" w14:textId="351ADB2D" w:rsidR="00A062BF" w:rsidRDefault="00A062BF" w:rsidP="00A062BF">
      <w:pPr>
        <w:pStyle w:val="Heading3"/>
      </w:pPr>
      <w:r>
        <w:t>Genocide in Namibia</w:t>
      </w:r>
    </w:p>
    <w:p w14:paraId="33097E25" w14:textId="77777777" w:rsidR="00A062BF" w:rsidRDefault="00A062BF" w:rsidP="00A062BF">
      <w:r>
        <w:t xml:space="preserve">Mohamed Adhikari, ‘Streams of Blood and Streams of Money’: New Perspectives on the Annihilation of the Herero and Nama Peoples of Namibia, 1904-1908, </w:t>
      </w:r>
      <w:r>
        <w:rPr>
          <w:i/>
          <w:iCs/>
        </w:rPr>
        <w:t xml:space="preserve">Kronos, </w:t>
      </w:r>
      <w:r>
        <w:t xml:space="preserve">34:1 (2008), 303-320, available open access here: </w:t>
      </w:r>
      <w:hyperlink r:id="rId21" w:history="1">
        <w:r>
          <w:rPr>
            <w:rStyle w:val="Hyperlink"/>
          </w:rPr>
          <w:t>13_2 REVIEW ARTICLE 2.indd (scielo.org.za)</w:t>
        </w:r>
      </w:hyperlink>
    </w:p>
    <w:p w14:paraId="0E39231E" w14:textId="77777777" w:rsidR="00A062BF" w:rsidRDefault="00A062BF" w:rsidP="00A062BF">
      <w:r>
        <w:t xml:space="preserve">Jon Bridgman and Leslie J. Worley, ‘Genocide of the Hereros’ in Samuel Totten and William S. Parsons (eds.), </w:t>
      </w:r>
      <w:r>
        <w:rPr>
          <w:i/>
          <w:iCs/>
        </w:rPr>
        <w:t xml:space="preserve">Century of Genocide: Critical Essays and Eyewitness Accounts, </w:t>
      </w:r>
      <w:r>
        <w:t>(New York, 2009), pp. 14-42.</w:t>
      </w:r>
    </w:p>
    <w:p w14:paraId="1639C53F" w14:textId="41A80EF5" w:rsidR="00C40112" w:rsidRDefault="00C40112" w:rsidP="00A062BF">
      <w:r>
        <w:t xml:space="preserve">Tilman Dedering, ‘The German-Herero War of 1904: Revisionism of genocide or imaginary historiography?’, </w:t>
      </w:r>
      <w:r>
        <w:rPr>
          <w:i/>
          <w:iCs/>
        </w:rPr>
        <w:t xml:space="preserve">Journal of Southern African Studies </w:t>
      </w:r>
      <w:r>
        <w:t>19:1 (1993), 80-88.</w:t>
      </w:r>
    </w:p>
    <w:p w14:paraId="4998352E" w14:textId="77777777" w:rsidR="004D568B" w:rsidRDefault="005D404E" w:rsidP="00A062BF">
      <w:r>
        <w:t xml:space="preserve">Kirsten Dyck, ‘Situating the Herero genocide and the Holocaust among European colonial genocides’, </w:t>
      </w:r>
      <w:r>
        <w:rPr>
          <w:i/>
          <w:iCs/>
        </w:rPr>
        <w:t xml:space="preserve">Przeglad Zachodni </w:t>
      </w:r>
      <w:r>
        <w:t xml:space="preserve">1 (2014), </w:t>
      </w:r>
      <w:r w:rsidR="004D568B">
        <w:t>153-172.</w:t>
      </w:r>
    </w:p>
    <w:p w14:paraId="2A99B3D8" w14:textId="10B6A302" w:rsidR="0068564B" w:rsidRPr="0068564B" w:rsidRDefault="0068564B" w:rsidP="00A062BF">
      <w:r>
        <w:t xml:space="preserve">Andreas Eckl and Matthias Häussler with Martha Akawa (eds.), </w:t>
      </w:r>
      <w:r>
        <w:rPr>
          <w:i/>
          <w:iCs/>
        </w:rPr>
        <w:t xml:space="preserve">An unresolved issue: Genocide in colonial Namibia </w:t>
      </w:r>
      <w:r>
        <w:t>(Windhoek, 2024).</w:t>
      </w:r>
    </w:p>
    <w:p w14:paraId="1DD9ADA3" w14:textId="77777777" w:rsidR="00451174" w:rsidRDefault="00451174" w:rsidP="003F0C45">
      <w:r>
        <w:t xml:space="preserve">Khatika Bibi Khan, ‘The Kaiser’s Holocaust: The coloniality of German’s forgotten genocide of the Nama and the Herero of Namibia’, </w:t>
      </w:r>
      <w:r>
        <w:rPr>
          <w:i/>
          <w:iCs/>
        </w:rPr>
        <w:t xml:space="preserve">African Identities </w:t>
      </w:r>
      <w:r>
        <w:t>10:3 (2012), 211-220.</w:t>
      </w:r>
    </w:p>
    <w:p w14:paraId="13BDC93D" w14:textId="77777777" w:rsidR="00540F2F" w:rsidRDefault="00110E9B" w:rsidP="003F0C45">
      <w:r>
        <w:t>Erin Jessee, ‘Women and genocide in Africa’,</w:t>
      </w:r>
      <w:r w:rsidR="00540F2F">
        <w:t xml:space="preserve"> in T. Spear (ed.), </w:t>
      </w:r>
      <w:r w:rsidR="00540F2F">
        <w:rPr>
          <w:i/>
          <w:iCs/>
        </w:rPr>
        <w:t xml:space="preserve">Oxford Research Encyclopedia of African History </w:t>
      </w:r>
      <w:r w:rsidR="00540F2F">
        <w:t>(2020).</w:t>
      </w:r>
    </w:p>
    <w:p w14:paraId="2BE45401" w14:textId="0C5E2BAA" w:rsidR="003F0C45" w:rsidRDefault="00A062BF" w:rsidP="003F0C45">
      <w:pPr>
        <w:rPr>
          <w:rStyle w:val="Hyperlink"/>
        </w:rPr>
      </w:pPr>
      <w:r>
        <w:t xml:space="preserve">Birthe Kundrus, ‘From the Herero to the Holocaust? Some Remarks on the Current Debate’, </w:t>
      </w:r>
      <w:r>
        <w:rPr>
          <w:i/>
          <w:iCs/>
        </w:rPr>
        <w:t xml:space="preserve">Afrika Spectrum </w:t>
      </w:r>
      <w:r>
        <w:t xml:space="preserve">40:2 (2005), pp.299-308, available open access here: </w:t>
      </w:r>
      <w:hyperlink r:id="rId22" w:history="1">
        <w:r>
          <w:rPr>
            <w:rStyle w:val="Hyperlink"/>
          </w:rPr>
          <w:t>KundrusLast.PDF (ssoar.info)</w:t>
        </w:r>
      </w:hyperlink>
    </w:p>
    <w:p w14:paraId="6940F6DE" w14:textId="77777777" w:rsidR="00D1322F" w:rsidRDefault="00D1322F" w:rsidP="00A062BF">
      <w:r>
        <w:t xml:space="preserve">Reinhart Kössler, ‘From genocide to Holocaust? Structural parallels and discursive continuities’, </w:t>
      </w:r>
      <w:r>
        <w:rPr>
          <w:i/>
          <w:iCs/>
        </w:rPr>
        <w:t xml:space="preserve">Afrika Spectrum </w:t>
      </w:r>
      <w:r>
        <w:t>40:2 (2005), 309-317.</w:t>
      </w:r>
    </w:p>
    <w:p w14:paraId="7F49E2CB" w14:textId="091AEE9F" w:rsidR="005B19CC" w:rsidRDefault="003F0C45" w:rsidP="00A062BF">
      <w:r>
        <w:t>Henrik Lundtofte</w:t>
      </w:r>
      <w:r w:rsidR="005B19CC">
        <w:t xml:space="preserve">, ‘ “I believe that the nation as such must be annihilated…” Radicalization of the German suppression of the Herero rising in 1904’, in Steven L. B. Jensen (ed.), </w:t>
      </w:r>
      <w:r w:rsidR="005B19CC">
        <w:rPr>
          <w:i/>
          <w:iCs/>
        </w:rPr>
        <w:t xml:space="preserve">Genocide: Cases, Comparisons and Contemporary Debates </w:t>
      </w:r>
      <w:r w:rsidR="005B19CC">
        <w:t>(Copenhagen, 2003), pp. 15-54.</w:t>
      </w:r>
    </w:p>
    <w:p w14:paraId="6BF52DE7" w14:textId="47B17E5F" w:rsidR="00A062BF" w:rsidRPr="003B6D43" w:rsidRDefault="00A062BF" w:rsidP="00A062BF">
      <w:r>
        <w:t xml:space="preserve">Jeremy Silvester and Jan-Bart Gewald, </w:t>
      </w:r>
      <w:r>
        <w:rPr>
          <w:i/>
          <w:iCs/>
        </w:rPr>
        <w:t xml:space="preserve">Words Cannot Be Found: German Colonial Rule in Namibia: An Annotated Reprint of the 1918 Blue Book </w:t>
      </w:r>
      <w:r>
        <w:t>(Leiden, 2003)</w:t>
      </w:r>
      <w:r w:rsidR="00E62BEA">
        <w:t>.</w:t>
      </w:r>
    </w:p>
    <w:p w14:paraId="37EEE956" w14:textId="77777777" w:rsidR="00A062BF" w:rsidRPr="00037CB8" w:rsidRDefault="00A062BF" w:rsidP="00A062BF">
      <w:r w:rsidRPr="00037CB8">
        <w:t xml:space="preserve">Klaus Bachmann, </w:t>
      </w:r>
      <w:r w:rsidRPr="00037CB8">
        <w:rPr>
          <w:i/>
          <w:iCs/>
        </w:rPr>
        <w:t>Genocidal Empires: German Colonialism in</w:t>
      </w:r>
      <w:r>
        <w:rPr>
          <w:i/>
          <w:iCs/>
        </w:rPr>
        <w:t xml:space="preserve"> Africa and the Third Reich </w:t>
      </w:r>
      <w:r>
        <w:t>(Peter Lang, 2018).</w:t>
      </w:r>
    </w:p>
    <w:p w14:paraId="1C7CF7E8" w14:textId="43AB777C" w:rsidR="009B0A7C" w:rsidRDefault="00A062BF" w:rsidP="009B0A7C">
      <w:r>
        <w:lastRenderedPageBreak/>
        <w:t xml:space="preserve">Mads Bomholt Nielsen, ‘Selective Memory: British Perceptions of the Herero-Nama Genocide, 1904-1908 and 1918’, </w:t>
      </w:r>
      <w:r>
        <w:rPr>
          <w:i/>
          <w:iCs/>
        </w:rPr>
        <w:t xml:space="preserve">Journal of Southern African Studies </w:t>
      </w:r>
      <w:r>
        <w:t>43:2 (2017), 315-330.</w:t>
      </w:r>
    </w:p>
    <w:p w14:paraId="6E4CA652" w14:textId="7A62F591" w:rsidR="00B96612" w:rsidRPr="00B96612" w:rsidRDefault="00B96612" w:rsidP="009B0A7C">
      <w:r w:rsidRPr="00B96612">
        <w:t>Katharina von Hammerstein, ‘The Herero: Witness</w:t>
      </w:r>
      <w:r>
        <w:t xml:space="preserve">ing Germany’s “other genocide”, </w:t>
      </w:r>
      <w:r>
        <w:rPr>
          <w:i/>
          <w:iCs/>
        </w:rPr>
        <w:t xml:space="preserve">Contemporary French and Francophone Studies </w:t>
      </w:r>
      <w:r>
        <w:t>20:2 (2016), 267-286.</w:t>
      </w:r>
    </w:p>
    <w:p w14:paraId="656E3B33" w14:textId="77777777" w:rsidR="00A062BF" w:rsidRDefault="00A062BF" w:rsidP="00A062BF">
      <w:r w:rsidRPr="009962C5">
        <w:t>Elisa von Joeden-Forgey, ‘Hidden in Plain Sight: A</w:t>
      </w:r>
      <w:r>
        <w:t xml:space="preserve">trocity Concealment in German Political Culture Before the First World War’ in Alexander Laban Hinton, Thomas La Pointe and Douglas Irvin-Erickson (eds.), </w:t>
      </w:r>
      <w:r>
        <w:rPr>
          <w:i/>
          <w:iCs/>
        </w:rPr>
        <w:t xml:space="preserve">Hidden Genocides: Power, Knowledge, Memory </w:t>
      </w:r>
      <w:r>
        <w:t>(Rutgers University Press, 2014), pp. 52-67.</w:t>
      </w:r>
    </w:p>
    <w:p w14:paraId="2FDB8A8A" w14:textId="64E54C00" w:rsidR="00780B6B" w:rsidRPr="00780B6B" w:rsidRDefault="00780B6B" w:rsidP="00A062BF">
      <w:r w:rsidRPr="00780B6B">
        <w:t>Reinhart Kössler, ‘Genocide in Namibia, the Holocaust and th</w:t>
      </w:r>
      <w:r>
        <w:t xml:space="preserve">e issue of colonialism’ , </w:t>
      </w:r>
      <w:r>
        <w:rPr>
          <w:i/>
          <w:iCs/>
        </w:rPr>
        <w:t xml:space="preserve">Journal of Southern African Studies </w:t>
      </w:r>
      <w:r>
        <w:t>38:1 (2012), 233-238.</w:t>
      </w:r>
    </w:p>
    <w:p w14:paraId="50E20BC9" w14:textId="77777777" w:rsidR="00A062BF" w:rsidRPr="001E6AF7" w:rsidRDefault="00A062BF" w:rsidP="00A062BF">
      <w:r w:rsidRPr="001E6AF7">
        <w:t>Janne Lahti, ‘</w:t>
      </w:r>
      <w:r w:rsidRPr="001E6AF7">
        <w:rPr>
          <w:i/>
          <w:iCs/>
        </w:rPr>
        <w:t xml:space="preserve">Südwester Reiter: </w:t>
      </w:r>
      <w:r w:rsidRPr="001E6AF7">
        <w:t xml:space="preserve">Fear, Belonging, </w:t>
      </w:r>
      <w:r>
        <w:t xml:space="preserve">and Settler Colonial Violence in Namibia’, </w:t>
      </w:r>
      <w:r>
        <w:rPr>
          <w:i/>
          <w:iCs/>
        </w:rPr>
        <w:t xml:space="preserve">Journal of Genocide Research </w:t>
      </w:r>
      <w:r>
        <w:t>24:4 (2022), 529-548.</w:t>
      </w:r>
    </w:p>
    <w:p w14:paraId="0AEB0C51" w14:textId="77777777" w:rsidR="00A062BF" w:rsidRDefault="00A062BF" w:rsidP="00A062BF">
      <w:r w:rsidRPr="001E6AF7">
        <w:t xml:space="preserve"> </w:t>
      </w:r>
      <w:r>
        <w:t xml:space="preserve">Benjamin Madley, ‘Patterns of Frontier Genocide 1803-1910: The Aboriginal Tasmanians, the Yuki of California, and the Herero of Namibia’, </w:t>
      </w:r>
      <w:r>
        <w:rPr>
          <w:i/>
          <w:iCs/>
        </w:rPr>
        <w:t xml:space="preserve">Journal of Genocide Research, </w:t>
      </w:r>
      <w:r>
        <w:t>6:2 (2004), 167-192.</w:t>
      </w:r>
    </w:p>
    <w:p w14:paraId="76444149" w14:textId="77777777" w:rsidR="00A062BF" w:rsidRDefault="00A062BF" w:rsidP="00A062BF">
      <w:r>
        <w:t xml:space="preserve">Benjamin Madley, ‘From Africa to Auschwitz: How German South West Africa Incubated Ideas and Methods Adopted and Developed by the Nazis in Eastern Europe’, </w:t>
      </w:r>
      <w:r>
        <w:rPr>
          <w:i/>
          <w:iCs/>
        </w:rPr>
        <w:t xml:space="preserve">European History Quarterly, </w:t>
      </w:r>
      <w:r>
        <w:t>35:3 (2005), 429-464.</w:t>
      </w:r>
    </w:p>
    <w:p w14:paraId="338980C3" w14:textId="77777777" w:rsidR="00A062BF" w:rsidRDefault="00A062BF" w:rsidP="00A062BF">
      <w:r>
        <w:t xml:space="preserve">Matthias Häussler, </w:t>
      </w:r>
      <w:r>
        <w:rPr>
          <w:i/>
          <w:iCs/>
        </w:rPr>
        <w:t xml:space="preserve">The Herero Genocide: War, Emotion, and Extreme Violence in Colonial Namibia </w:t>
      </w:r>
      <w:r>
        <w:t>(New York, 2021).</w:t>
      </w:r>
    </w:p>
    <w:p w14:paraId="3D1D7A67" w14:textId="77777777" w:rsidR="00A062BF" w:rsidRDefault="00A062BF" w:rsidP="00A062BF">
      <w:r>
        <w:t xml:space="preserve">Isabel V. Hull, ‘Military Culture and the Production of “Final Solutions” in the Colonies: The Example of Wilhelminian Germany’ in Robert Gellately and Ben Kiernan (eds.), ‘ </w:t>
      </w:r>
      <w:r>
        <w:rPr>
          <w:i/>
          <w:iCs/>
        </w:rPr>
        <w:t xml:space="preserve">The Specter of Genocide: Mass Murder in Historical Perspective </w:t>
      </w:r>
      <w:r>
        <w:t>(Cambridge, 2003), pp. 141-162.</w:t>
      </w:r>
    </w:p>
    <w:p w14:paraId="2EED98C9" w14:textId="77777777" w:rsidR="00A062BF" w:rsidRDefault="00A062BF" w:rsidP="00A062BF">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3.</w:t>
      </w:r>
    </w:p>
    <w:p w14:paraId="6C0B28EA" w14:textId="77777777" w:rsidR="00A062BF" w:rsidRDefault="00A062BF" w:rsidP="00A062BF">
      <w:r>
        <w:t xml:space="preserve">Jeremy Sarkin, </w:t>
      </w:r>
      <w:r>
        <w:rPr>
          <w:i/>
          <w:iCs/>
        </w:rPr>
        <w:t xml:space="preserve">Germany’s Genocide of the Herero: Kaiser Wilhelm II, His General, His Settlers, His Soldiers </w:t>
      </w:r>
      <w:r>
        <w:t>(Cape Town, 2011).</w:t>
      </w:r>
    </w:p>
    <w:p w14:paraId="032D874E" w14:textId="77777777" w:rsidR="00A062BF" w:rsidRPr="00105220" w:rsidRDefault="00A062BF" w:rsidP="00A062BF">
      <w:r>
        <w:t xml:space="preserve">Dominik J. Schaller, ‘“Every Herero Will Be Shot”: Genocide, Concentration Camps and Slave Labour in German South-West Africa” in René Lemarchand (ed.), </w:t>
      </w:r>
      <w:r>
        <w:rPr>
          <w:i/>
          <w:iCs/>
        </w:rPr>
        <w:t xml:space="preserve">Forgotten Genocides: Oblivion, Denial, and Memory </w:t>
      </w:r>
      <w:r>
        <w:t>(University of Pennsylvania Press, 2011), pp. 37-50.</w:t>
      </w:r>
    </w:p>
    <w:p w14:paraId="04AC7D34" w14:textId="77777777" w:rsidR="00A062BF" w:rsidRDefault="00A062BF" w:rsidP="00A062BF">
      <w:r w:rsidRPr="003B6D43">
        <w:t xml:space="preserve">Jürgen Zimmerer, </w:t>
      </w:r>
      <w:r w:rsidRPr="003B6D43">
        <w:rPr>
          <w:i/>
          <w:iCs/>
        </w:rPr>
        <w:t>From Windhoek to Auschwitz?: Reflections on th</w:t>
      </w:r>
      <w:r>
        <w:rPr>
          <w:i/>
          <w:iCs/>
        </w:rPr>
        <w:t xml:space="preserve">e Relationship Between Colonialism and National Socialism </w:t>
      </w:r>
      <w:r>
        <w:t>(Berlin, 2024).</w:t>
      </w:r>
    </w:p>
    <w:p w14:paraId="21FB4BBA" w14:textId="04F5C2CD" w:rsidR="00F53C57" w:rsidRPr="008F33E2" w:rsidRDefault="00F53C57" w:rsidP="00A062BF">
      <w:r w:rsidRPr="00B15747">
        <w:lastRenderedPageBreak/>
        <w:t>Jürgen Zimmerer, ‘</w:t>
      </w:r>
      <w:r w:rsidR="00B15747" w:rsidRPr="00B15747">
        <w:t xml:space="preserve">Colonialism and </w:t>
      </w:r>
      <w:r w:rsidR="00B15747">
        <w:t xml:space="preserve">the Holocaust: Towards an archaeology of genocide’, </w:t>
      </w:r>
      <w:r w:rsidR="00B15747">
        <w:rPr>
          <w:i/>
          <w:iCs/>
        </w:rPr>
        <w:t xml:space="preserve">Development Dialogue </w:t>
      </w:r>
      <w:r w:rsidR="008F33E2">
        <w:t>50 (2008), 95-124.</w:t>
      </w:r>
    </w:p>
    <w:p w14:paraId="412E94A6" w14:textId="41059351" w:rsidR="00A062BF" w:rsidRPr="00B15747" w:rsidRDefault="009B0A7C" w:rsidP="00200582">
      <w:pPr>
        <w:pStyle w:val="Heading3"/>
      </w:pPr>
      <w:r w:rsidRPr="00B15747">
        <w:t>Armenia</w:t>
      </w:r>
    </w:p>
    <w:p w14:paraId="06A435A0" w14:textId="77777777" w:rsidR="009B0A7C" w:rsidRDefault="009B0A7C" w:rsidP="009B0A7C">
      <w:r w:rsidRPr="002D7400">
        <w:t>Ayhan</w:t>
      </w:r>
      <w:r>
        <w:t xml:space="preserve"> Aktar,</w:t>
      </w:r>
      <w:r w:rsidRPr="002D7400">
        <w:t xml:space="preserve"> ‘Debating the Armenian Massacres in the Last Ottoman Parliament, November – December 1918’, </w:t>
      </w:r>
      <w:r w:rsidRPr="002D7400">
        <w:rPr>
          <w:i/>
          <w:iCs/>
        </w:rPr>
        <w:t>History Workshop Journal</w:t>
      </w:r>
      <w:r w:rsidRPr="002D7400">
        <w:t>, 64</w:t>
      </w:r>
      <w:r>
        <w:t>:</w:t>
      </w:r>
      <w:r w:rsidRPr="002D7400">
        <w:t>1 (2007), 240–70</w:t>
      </w:r>
    </w:p>
    <w:p w14:paraId="64A9F6FE" w14:textId="77777777" w:rsidR="009B0A7C" w:rsidRDefault="009B0A7C" w:rsidP="009B0A7C">
      <w:r w:rsidRPr="002C7C7C">
        <w:t>Alexander D</w:t>
      </w:r>
      <w:r>
        <w:t xml:space="preserve">. Barder, </w:t>
      </w:r>
      <w:r w:rsidRPr="002C7C7C">
        <w:t xml:space="preserve"> ‘Race War and the Global Imperial Order: The Armenian Genocide of 1915’, </w:t>
      </w:r>
      <w:r w:rsidRPr="002C7C7C">
        <w:rPr>
          <w:i/>
          <w:iCs/>
        </w:rPr>
        <w:t>The Australian Journal of Politics and History</w:t>
      </w:r>
      <w:r w:rsidRPr="002C7C7C">
        <w:t>, 63</w:t>
      </w:r>
      <w:r>
        <w:t>:3</w:t>
      </w:r>
      <w:r w:rsidRPr="002C7C7C">
        <w:t xml:space="preserve"> (2017), 382–93</w:t>
      </w:r>
    </w:p>
    <w:p w14:paraId="4A81DED0" w14:textId="77777777" w:rsidR="00296A8A" w:rsidRDefault="00296A8A" w:rsidP="00296A8A">
      <w:r w:rsidRPr="005647F5">
        <w:t>Donald</w:t>
      </w:r>
      <w:r>
        <w:t xml:space="preserve"> Bloxham,</w:t>
      </w:r>
      <w:r w:rsidRPr="005647F5">
        <w:t xml:space="preserve"> ‘The Armenian Genocide of 1915-1916: Cumulative Radicalization and the Development of a Destruction Policy’, </w:t>
      </w:r>
      <w:r w:rsidRPr="005647F5">
        <w:rPr>
          <w:i/>
          <w:iCs/>
        </w:rPr>
        <w:t>Past &amp; Present</w:t>
      </w:r>
      <w:r w:rsidRPr="005647F5">
        <w:t xml:space="preserve">, 181 </w:t>
      </w:r>
      <w:r>
        <w:t>(</w:t>
      </w:r>
      <w:r w:rsidRPr="005647F5">
        <w:t>2003</w:t>
      </w:r>
      <w:r>
        <w:t>)</w:t>
      </w:r>
      <w:r w:rsidRPr="005647F5">
        <w:t>, 141–91</w:t>
      </w:r>
    </w:p>
    <w:p w14:paraId="33A81239" w14:textId="77777777" w:rsidR="00296A8A" w:rsidRDefault="00296A8A" w:rsidP="00296A8A">
      <w:r w:rsidRPr="00B76EE1">
        <w:t>Kemal</w:t>
      </w:r>
      <w:r>
        <w:t xml:space="preserve"> Cicek</w:t>
      </w:r>
      <w:r w:rsidRPr="00B76EE1">
        <w:t>, ‘The Question of Genocidal Tendency in the Minority Politics of the Young Turks’, </w:t>
      </w:r>
      <w:r w:rsidRPr="00B76EE1">
        <w:rPr>
          <w:i/>
          <w:iCs/>
        </w:rPr>
        <w:t>Journal of Muslim Minority Affairs</w:t>
      </w:r>
      <w:r w:rsidRPr="00B76EE1">
        <w:t>, 33</w:t>
      </w:r>
      <w:r>
        <w:t>:</w:t>
      </w:r>
      <w:r w:rsidRPr="00B76EE1">
        <w:t>1 (2013), 1–28</w:t>
      </w:r>
    </w:p>
    <w:p w14:paraId="5F472BFF" w14:textId="77777777" w:rsidR="00200582" w:rsidRDefault="00200582" w:rsidP="00200582">
      <w:r w:rsidRPr="000140EC">
        <w:t>Vahakn N</w:t>
      </w:r>
      <w:r>
        <w:t>. Dadrian</w:t>
      </w:r>
      <w:r w:rsidRPr="000140EC">
        <w:t>, ‘The Determinants of the Armenian Genocide’, </w:t>
      </w:r>
      <w:r w:rsidRPr="000140EC">
        <w:rPr>
          <w:i/>
          <w:iCs/>
        </w:rPr>
        <w:t>Journal of Genocide Research</w:t>
      </w:r>
      <w:r w:rsidRPr="000140EC">
        <w:t>, 1</w:t>
      </w:r>
      <w:r>
        <w:t>:</w:t>
      </w:r>
      <w:r w:rsidRPr="000140EC">
        <w:t>1 (1999), 65–80</w:t>
      </w:r>
    </w:p>
    <w:p w14:paraId="7A706528" w14:textId="4B41DFFA" w:rsidR="000E2A48" w:rsidRPr="000E2A48" w:rsidRDefault="000E2A48" w:rsidP="00200582">
      <w:r w:rsidRPr="000E2A48">
        <w:t>Sanne de Jong, ‘Gender-based violence during th</w:t>
      </w:r>
      <w:r>
        <w:t xml:space="preserve">e Armenian genocide: An inclusive perspective’, </w:t>
      </w:r>
      <w:r>
        <w:rPr>
          <w:i/>
          <w:iCs/>
        </w:rPr>
        <w:t xml:space="preserve">Maastricht Journal of Liberal Arts </w:t>
      </w:r>
      <w:r>
        <w:t>14 (2023), 5-14.</w:t>
      </w:r>
    </w:p>
    <w:p w14:paraId="079D73C9" w14:textId="77777777" w:rsidR="00200582" w:rsidRDefault="00200582" w:rsidP="00200582">
      <w:r w:rsidRPr="00AD40D3">
        <w:t>Katharine</w:t>
      </w:r>
      <w:r>
        <w:t xml:space="preserve"> Derderian</w:t>
      </w:r>
      <w:r w:rsidRPr="00AD40D3">
        <w:t>, ‘Common Fate, Different Experience: Gender-Specific Aspects of the Armenian Genocide, 1915-1917’, </w:t>
      </w:r>
      <w:r w:rsidRPr="00AD40D3">
        <w:rPr>
          <w:i/>
          <w:iCs/>
        </w:rPr>
        <w:t>Holocaust and Genocide Studies</w:t>
      </w:r>
      <w:r w:rsidRPr="00AD40D3">
        <w:t>, 19</w:t>
      </w:r>
      <w:r>
        <w:t>:</w:t>
      </w:r>
      <w:r w:rsidRPr="00AD40D3">
        <w:t>1 (2005), 1–25</w:t>
      </w:r>
      <w:r>
        <w:t>.</w:t>
      </w:r>
    </w:p>
    <w:p w14:paraId="3E6F905B" w14:textId="77777777" w:rsidR="00200582" w:rsidRDefault="00200582" w:rsidP="00200582">
      <w:r w:rsidRPr="00633CB2">
        <w:t>Jennifer M</w:t>
      </w:r>
      <w:r>
        <w:t>. Dixon</w:t>
      </w:r>
      <w:r w:rsidRPr="00633CB2">
        <w:t>, ‘Norms, Narratives, and Scholarship on the Armenian Genocide’, </w:t>
      </w:r>
      <w:r w:rsidRPr="00633CB2">
        <w:rPr>
          <w:i/>
          <w:iCs/>
        </w:rPr>
        <w:t>International Journal of Middle East Studies</w:t>
      </w:r>
      <w:r w:rsidRPr="00633CB2">
        <w:t>, 47</w:t>
      </w:r>
      <w:r>
        <w:t>:</w:t>
      </w:r>
      <w:r w:rsidRPr="00633CB2">
        <w:t>4 (2015), 796–800</w:t>
      </w:r>
    </w:p>
    <w:p w14:paraId="5901BE96" w14:textId="77777777" w:rsidR="00200582" w:rsidRDefault="00200582" w:rsidP="00200582">
      <w:r>
        <w:t xml:space="preserve">Lerna </w:t>
      </w:r>
      <w:r w:rsidRPr="00736827">
        <w:t>Ekmekcioglu, ‘A Climate for Abduction, a Climate for Redemption: The Politics of Inclusion during and after the Armenian Genocide’, </w:t>
      </w:r>
      <w:r w:rsidRPr="00736827">
        <w:rPr>
          <w:i/>
          <w:iCs/>
        </w:rPr>
        <w:t>Comparative Studies in Society and History</w:t>
      </w:r>
      <w:r w:rsidRPr="00736827">
        <w:t>, 55</w:t>
      </w:r>
      <w:r>
        <w:t>:</w:t>
      </w:r>
      <w:r w:rsidRPr="00736827">
        <w:t>3 (2013), 522–53 </w:t>
      </w:r>
    </w:p>
    <w:p w14:paraId="58F5E154" w14:textId="4C530424" w:rsidR="003B6D1B" w:rsidRPr="003B6D1B" w:rsidRDefault="003B6D1B" w:rsidP="00200582">
      <w:r>
        <w:t xml:space="preserve">Lerna Ekmekcioglu, ‘Scholarship on the Armenian genocide as a gendered event and process’, </w:t>
      </w:r>
      <w:r>
        <w:rPr>
          <w:i/>
          <w:iCs/>
        </w:rPr>
        <w:t xml:space="preserve">New Perspectives on Turkey </w:t>
      </w:r>
      <w:r>
        <w:t>53 (2015), 185-190.</w:t>
      </w:r>
    </w:p>
    <w:p w14:paraId="32F95DEE" w14:textId="77777777" w:rsidR="00200582" w:rsidRDefault="00200582" w:rsidP="00200582">
      <w:r w:rsidRPr="007055F5">
        <w:t>Edita</w:t>
      </w:r>
      <w:r>
        <w:t xml:space="preserve"> Gzoyan, </w:t>
      </w:r>
      <w:r w:rsidRPr="007055F5">
        <w:t>Regina A Galustyan, Shushan R Khachatryan, and Narine V Margaryan, ‘In the Beautiful Heaven, a Golden Cage: Race, Identity and Memory in Turkification of Armenian Children in State Orphanages During the Armenian Genocide’, </w:t>
      </w:r>
      <w:r w:rsidRPr="007055F5">
        <w:rPr>
          <w:i/>
          <w:iCs/>
        </w:rPr>
        <w:t>Journal of Genocide Research</w:t>
      </w:r>
      <w:r w:rsidRPr="007055F5">
        <w:t>, 26</w:t>
      </w:r>
      <w:r>
        <w:t>:</w:t>
      </w:r>
      <w:r w:rsidRPr="007055F5">
        <w:t>3 (2024), 243–63</w:t>
      </w:r>
    </w:p>
    <w:p w14:paraId="23953A58" w14:textId="77777777" w:rsidR="00200582" w:rsidRDefault="00200582" w:rsidP="00200582">
      <w:r w:rsidRPr="00BA23C7">
        <w:t>Adam</w:t>
      </w:r>
      <w:r>
        <w:t xml:space="preserve"> Jones</w:t>
      </w:r>
      <w:r w:rsidRPr="00BA23C7">
        <w:t>, </w:t>
      </w:r>
      <w:r w:rsidRPr="00BA23C7">
        <w:rPr>
          <w:i/>
          <w:iCs/>
        </w:rPr>
        <w:t>Genocide</w:t>
      </w:r>
      <w:r w:rsidRPr="00BA23C7">
        <w:rPr>
          <w:rFonts w:ascii="Arial" w:hAnsi="Arial" w:cs="Arial"/>
          <w:i/>
          <w:iCs/>
        </w:rPr>
        <w:t> </w:t>
      </w:r>
      <w:r w:rsidRPr="00BA23C7">
        <w:rPr>
          <w:i/>
          <w:iCs/>
        </w:rPr>
        <w:t>: A Comprehensive Introduction</w:t>
      </w:r>
      <w:r w:rsidRPr="00BA23C7">
        <w:t>, 2nd ed. (Abingdon, 2011)</w:t>
      </w:r>
      <w:r>
        <w:t>, Chapter 4.</w:t>
      </w:r>
    </w:p>
    <w:p w14:paraId="2EEC155E" w14:textId="77777777" w:rsidR="00200582" w:rsidRDefault="00200582" w:rsidP="00200582">
      <w:r w:rsidRPr="00B76EE1">
        <w:t>Hilmar</w:t>
      </w:r>
      <w:r>
        <w:t xml:space="preserve"> Kaiser</w:t>
      </w:r>
      <w:r w:rsidRPr="00B76EE1">
        <w:t>, ‘Regional Resistance to Central Government Policies: Ahmed Djemal Pasha, the Governors of Aleppo, and Armenian Deportees in the Spring and Summer of 1915’, </w:t>
      </w:r>
      <w:r w:rsidRPr="00B76EE1">
        <w:rPr>
          <w:i/>
          <w:iCs/>
        </w:rPr>
        <w:t>Journal of Genocide Research</w:t>
      </w:r>
      <w:r w:rsidRPr="00B76EE1">
        <w:t>, 12</w:t>
      </w:r>
      <w:r>
        <w:t>:</w:t>
      </w:r>
      <w:r w:rsidRPr="00B76EE1">
        <w:t>3–4 (2010), 173–218</w:t>
      </w:r>
    </w:p>
    <w:p w14:paraId="4D2EE2DD" w14:textId="77777777" w:rsidR="00200582" w:rsidRDefault="00200582" w:rsidP="00200582">
      <w:r w:rsidRPr="00A438BD">
        <w:lastRenderedPageBreak/>
        <w:t>Max</w:t>
      </w:r>
      <w:r>
        <w:t xml:space="preserve"> Schaub</w:t>
      </w:r>
      <w:r w:rsidRPr="00A438BD">
        <w:t>, ‘Demographic and Attitudinal Legacies of the Armenian Genocide’, </w:t>
      </w:r>
      <w:r w:rsidRPr="00A438BD">
        <w:rPr>
          <w:i/>
          <w:iCs/>
        </w:rPr>
        <w:t>Post-Soviet Affairs</w:t>
      </w:r>
      <w:r w:rsidRPr="00A438BD">
        <w:t>, 39 (2023), 1–18</w:t>
      </w:r>
      <w:r>
        <w:t>.</w:t>
      </w:r>
    </w:p>
    <w:p w14:paraId="1AC218B8" w14:textId="77777777" w:rsidR="00200582" w:rsidRDefault="00200582" w:rsidP="00200582">
      <w:r>
        <w:t xml:space="preserve">Vahé Tachjian, </w:t>
      </w:r>
      <w:r w:rsidRPr="000E223E">
        <w:t>‘Gender, Nationalism, Exclusion: The Reintegration Process of Female Survivors of the Armenian Genocide’, </w:t>
      </w:r>
      <w:r w:rsidRPr="000E223E">
        <w:rPr>
          <w:i/>
          <w:iCs/>
        </w:rPr>
        <w:t>Nations and Nationalism</w:t>
      </w:r>
      <w:r w:rsidRPr="000E223E">
        <w:t>, 15</w:t>
      </w:r>
      <w:r>
        <w:t>:</w:t>
      </w:r>
      <w:r w:rsidRPr="000E223E">
        <w:t>1 (2009), 60–80</w:t>
      </w:r>
    </w:p>
    <w:p w14:paraId="78F1F16A" w14:textId="7F0DCDC0" w:rsidR="002106BE" w:rsidRPr="002106BE" w:rsidRDefault="002106BE" w:rsidP="00200582">
      <w:r>
        <w:t xml:space="preserve">Keith David Watenpaugh, ‘The drowned, the saved, and the forgotten: Genocide survivors and modern humanitarianism’, </w:t>
      </w:r>
      <w:r>
        <w:rPr>
          <w:i/>
          <w:iCs/>
        </w:rPr>
        <w:t xml:space="preserve">International Journal of Middle East Studies </w:t>
      </w:r>
      <w:r>
        <w:t>48:2 (2016), 367-371.</w:t>
      </w:r>
    </w:p>
    <w:p w14:paraId="3AA30E30" w14:textId="4C354EF4" w:rsidR="006241B7" w:rsidRDefault="006241B7">
      <w:pPr>
        <w:pStyle w:val="Heading3"/>
      </w:pPr>
      <w:r>
        <w:t>The Holocaust</w:t>
      </w:r>
    </w:p>
    <w:p w14:paraId="351E2E08" w14:textId="77777777" w:rsidR="00C7064B" w:rsidRDefault="00C7064B" w:rsidP="008C0074">
      <w:r>
        <w:t xml:space="preserve">Sue Andrews, ‘Remembering the Holocaust: Gender matters’, </w:t>
      </w:r>
      <w:r>
        <w:rPr>
          <w:i/>
          <w:iCs/>
        </w:rPr>
        <w:t xml:space="preserve">Social alternatives </w:t>
      </w:r>
      <w:r>
        <w:t>22:2 (2003), 16-21.</w:t>
      </w:r>
    </w:p>
    <w:p w14:paraId="4249827D" w14:textId="6E25E04B" w:rsidR="00253EA3" w:rsidRPr="00253EA3" w:rsidRDefault="00253EA3" w:rsidP="008C0074">
      <w:r w:rsidRPr="00253EA3">
        <w:t>Stacy Banwell, ‘Rassenschande, genocide and th</w:t>
      </w:r>
      <w:r>
        <w:t xml:space="preserve">e reproductive Jewish body: Examining the use of rape and sexualised violence against Jewish women during the Holocaust’, </w:t>
      </w:r>
      <w:r>
        <w:rPr>
          <w:i/>
          <w:iCs/>
        </w:rPr>
        <w:t xml:space="preserve">Journal of Modern Jewish Studies </w:t>
      </w:r>
      <w:r>
        <w:t>15:2 (2016), 208-227.</w:t>
      </w:r>
    </w:p>
    <w:p w14:paraId="72DF0D20" w14:textId="05C2EF99" w:rsidR="00336CD9" w:rsidRPr="00336CD9" w:rsidRDefault="00336CD9" w:rsidP="008C0074">
      <w:r>
        <w:t xml:space="preserve">Judith Tydor Baumel, ‘“You said the words you wanted me to hear but I heard the words you couldn’t bring yourself to say”: Women’s first person accounts of the Holocaust’, </w:t>
      </w:r>
      <w:r>
        <w:rPr>
          <w:i/>
          <w:iCs/>
        </w:rPr>
        <w:t xml:space="preserve">Oral History Review </w:t>
      </w:r>
      <w:r>
        <w:t>27:1 (2000), 17-56.</w:t>
      </w:r>
    </w:p>
    <w:p w14:paraId="38063D3C" w14:textId="501E4A88" w:rsidR="008C0074" w:rsidRDefault="008C0074" w:rsidP="008C0074">
      <w:r w:rsidRPr="003B6D43">
        <w:t xml:space="preserve">Omer Bartov, </w:t>
      </w:r>
      <w:r w:rsidRPr="003B6D43">
        <w:rPr>
          <w:i/>
          <w:iCs/>
        </w:rPr>
        <w:t>Germany’s War and th</w:t>
      </w:r>
      <w:r>
        <w:rPr>
          <w:i/>
          <w:iCs/>
        </w:rPr>
        <w:t xml:space="preserve">e Holocaust: Disputed Histories </w:t>
      </w:r>
      <w:r>
        <w:t>(2003), Introduction</w:t>
      </w:r>
      <w:r w:rsidR="00E60F0E">
        <w:t xml:space="preserve"> and chapter 6.</w:t>
      </w:r>
    </w:p>
    <w:p w14:paraId="5ECDCFD0" w14:textId="5D2AC083" w:rsidR="00083C00" w:rsidRPr="00083C00" w:rsidRDefault="00083C00" w:rsidP="008C0074">
      <w:r w:rsidRPr="00083C00">
        <w:t xml:space="preserve">Omer Bartov, ‘The Holocaust’ in Robert Gellately (ed.), </w:t>
      </w:r>
      <w:r w:rsidRPr="00083C00">
        <w:rPr>
          <w:i/>
          <w:iCs/>
        </w:rPr>
        <w:t>Th</w:t>
      </w:r>
      <w:r>
        <w:rPr>
          <w:i/>
          <w:iCs/>
        </w:rPr>
        <w:t xml:space="preserve">e Oxford History of the Third Reich </w:t>
      </w:r>
      <w:r>
        <w:t>(Oxford, 2023), 190-216.</w:t>
      </w:r>
    </w:p>
    <w:p w14:paraId="540D4EDA" w14:textId="6CD0CC3E" w:rsidR="00914AA5" w:rsidRPr="00914AA5" w:rsidRDefault="00914AA5" w:rsidP="008C0074">
      <w:r>
        <w:t xml:space="preserve">Nicole Ephgrave, ‘On women’s bodies: Experiences of dehumanisation during the Holocaust’, </w:t>
      </w:r>
      <w:r>
        <w:rPr>
          <w:i/>
          <w:iCs/>
        </w:rPr>
        <w:t xml:space="preserve">Journal of Women’s History </w:t>
      </w:r>
      <w:r>
        <w:t>28:2 (2016), 12-32.</w:t>
      </w:r>
    </w:p>
    <w:p w14:paraId="2812EFF6" w14:textId="2CADDB94" w:rsidR="00F72C02" w:rsidRPr="00F72C02" w:rsidRDefault="00F72C02" w:rsidP="008C0074">
      <w:r>
        <w:t xml:space="preserve">Kenny Fries, ‘“I still struggle to ensure that I am truly listening”: Understanding gender, sexuality, and sexual violence during the Holocaust. A conversation’, </w:t>
      </w:r>
      <w:r>
        <w:rPr>
          <w:i/>
          <w:iCs/>
        </w:rPr>
        <w:t xml:space="preserve">Journal of Holocaust Research </w:t>
      </w:r>
      <w:r>
        <w:t>38:3-4 (2024), 181-205.</w:t>
      </w:r>
    </w:p>
    <w:p w14:paraId="32C7F483" w14:textId="77777777" w:rsidR="00FD221D" w:rsidRDefault="00EF034C" w:rsidP="00FD221D">
      <w:r>
        <w:t xml:space="preserve">Robert Gellately, </w:t>
      </w:r>
      <w:r>
        <w:rPr>
          <w:i/>
          <w:iCs/>
        </w:rPr>
        <w:t xml:space="preserve">Backing Hitler: Consent and Coercion in Nazi Germany </w:t>
      </w:r>
      <w:r>
        <w:t>(Oxford, 2001).</w:t>
      </w:r>
    </w:p>
    <w:p w14:paraId="10D5263C" w14:textId="77777777" w:rsidR="009B21C5" w:rsidRDefault="00FD221D" w:rsidP="00FD221D">
      <w:r>
        <w:t xml:space="preserve">Dorota Glowacka, ‘Sexual violence against men and boys during the Holocaust: A genealogy of (not-so-silent) silence’, </w:t>
      </w:r>
      <w:r>
        <w:rPr>
          <w:i/>
          <w:iCs/>
        </w:rPr>
        <w:t xml:space="preserve">German History </w:t>
      </w:r>
      <w:r w:rsidR="009B21C5">
        <w:t>39:1 (2021), 78-99.</w:t>
      </w:r>
    </w:p>
    <w:p w14:paraId="3EDE71AD" w14:textId="77777777" w:rsidR="00DC647A" w:rsidRDefault="009B21C5" w:rsidP="00FD221D">
      <w:r>
        <w:t>Katya Gusarov, ‘Sexual barter and Jewish women’s efforts to save their lives: Accounts from the Righteous Among the Nations Archives’</w:t>
      </w:r>
      <w:r w:rsidR="00DC647A">
        <w:t xml:space="preserve">, </w:t>
      </w:r>
      <w:r w:rsidR="00DC647A">
        <w:rPr>
          <w:i/>
          <w:iCs/>
        </w:rPr>
        <w:t xml:space="preserve">German History </w:t>
      </w:r>
      <w:r w:rsidR="00DC647A">
        <w:t>39:1 (2021), 100-111.</w:t>
      </w:r>
    </w:p>
    <w:p w14:paraId="5B58BC78" w14:textId="77777777" w:rsidR="00DC647A" w:rsidRDefault="00DC647A" w:rsidP="00FD221D">
      <w:r>
        <w:t xml:space="preserve">Anna Hajkova, ‘Between love and coercion: Queer desire, sexual barter and the Holocaust’, </w:t>
      </w:r>
      <w:r>
        <w:rPr>
          <w:i/>
          <w:iCs/>
        </w:rPr>
        <w:t xml:space="preserve">German History </w:t>
      </w:r>
      <w:r>
        <w:t>39:1 (2021), 112-133.</w:t>
      </w:r>
    </w:p>
    <w:p w14:paraId="083717D9" w14:textId="77777777" w:rsidR="00561D4B" w:rsidRDefault="00561D4B" w:rsidP="00FD221D">
      <w:r>
        <w:t xml:space="preserve">Anna Hajkova, ‘Sexual barter in times of genocide: Negotiating the sexual economy of the Theresienstadt Ghetto’, </w:t>
      </w:r>
      <w:r>
        <w:rPr>
          <w:i/>
          <w:iCs/>
        </w:rPr>
        <w:t xml:space="preserve">Signs </w:t>
      </w:r>
      <w:r>
        <w:t>38:3 (2013), 503-533.</w:t>
      </w:r>
    </w:p>
    <w:p w14:paraId="676930AD" w14:textId="15D0D990" w:rsidR="005D2905" w:rsidRDefault="005D2905" w:rsidP="00FD221D">
      <w:r>
        <w:lastRenderedPageBreak/>
        <w:t xml:space="preserve">Anna Hajkova, Elissa Mailaender, Doris Bergen, Patrick Farges and Attina Grossmann, ‘Forum: Holocaust and history of gender and sexuality’, </w:t>
      </w:r>
      <w:r>
        <w:rPr>
          <w:i/>
          <w:iCs/>
        </w:rPr>
        <w:t xml:space="preserve">German History </w:t>
      </w:r>
      <w:r>
        <w:t>36:1 (2018), 78-100.</w:t>
      </w:r>
    </w:p>
    <w:p w14:paraId="368E01FF" w14:textId="614F3ED7" w:rsidR="007469D4" w:rsidRPr="007469D4" w:rsidRDefault="007469D4" w:rsidP="002204B5">
      <w:r>
        <w:t xml:space="preserve">Anna Hájková, ‘Introduction: Sexuality, Holocaust, stigma’, </w:t>
      </w:r>
      <w:r>
        <w:rPr>
          <w:i/>
          <w:iCs/>
        </w:rPr>
        <w:t xml:space="preserve">German History </w:t>
      </w:r>
      <w:r>
        <w:t>39:1 (2021), 1-14.</w:t>
      </w:r>
    </w:p>
    <w:p w14:paraId="5A4EF482" w14:textId="39FE2F4B" w:rsidR="002204B5" w:rsidRPr="00DB6B9B" w:rsidRDefault="002204B5" w:rsidP="002204B5">
      <w:r>
        <w:t xml:space="preserve">Peter Hayes (ed.), </w:t>
      </w:r>
      <w:r>
        <w:rPr>
          <w:i/>
          <w:iCs/>
        </w:rPr>
        <w:t xml:space="preserve">How Was It Possible?: A Holocaust Reader </w:t>
      </w:r>
      <w:r>
        <w:t>(University of Nebraska Press, 2015).</w:t>
      </w:r>
    </w:p>
    <w:p w14:paraId="220707AE" w14:textId="77777777" w:rsidR="002204B5" w:rsidRPr="003B6D43" w:rsidRDefault="002204B5" w:rsidP="002204B5">
      <w:r>
        <w:t xml:space="preserve">Jeffrey Herf, ‘The “Jewish War”: Goebbels and the Antisemitic Campaigns of the Nazi Propaganda Ministry’, </w:t>
      </w:r>
      <w:r>
        <w:rPr>
          <w:i/>
          <w:iCs/>
        </w:rPr>
        <w:t xml:space="preserve">Holocaust and Genocide Studies </w:t>
      </w:r>
      <w:r>
        <w:t>19:1 (2005), 51-80.</w:t>
      </w:r>
    </w:p>
    <w:p w14:paraId="02BE59A2" w14:textId="77777777" w:rsidR="002204B5" w:rsidRDefault="002204B5" w:rsidP="002204B5">
      <w:r>
        <w:t xml:space="preserve">Raul Hilberg, </w:t>
      </w:r>
      <w:r>
        <w:rPr>
          <w:i/>
          <w:iCs/>
        </w:rPr>
        <w:t xml:space="preserve">The Destruction of the European Jews </w:t>
      </w:r>
      <w:r>
        <w:t>(2003).</w:t>
      </w:r>
    </w:p>
    <w:p w14:paraId="52629895" w14:textId="77777777" w:rsidR="00083C00" w:rsidRDefault="00083C00" w:rsidP="002204B5">
      <w:r w:rsidRPr="00083C00">
        <w:t>Vandana Josh</w:t>
      </w:r>
      <w:r>
        <w:t xml:space="preserve">i, ‘Changing perspectives on the role of women in Nazi Germany: The case of women denouncers’, </w:t>
      </w:r>
      <w:r>
        <w:rPr>
          <w:i/>
          <w:iCs/>
        </w:rPr>
        <w:t xml:space="preserve">Studies in History </w:t>
      </w:r>
      <w:r>
        <w:t>18:2 (2002), 209-230.</w:t>
      </w:r>
    </w:p>
    <w:p w14:paraId="5B8150E6" w14:textId="2A2B18C9" w:rsidR="002204B5" w:rsidRDefault="002204B5" w:rsidP="002204B5">
      <w:r w:rsidRPr="00083C00">
        <w:t xml:space="preserve">Adam Jones, </w:t>
      </w:r>
      <w:r w:rsidRPr="00083C00">
        <w:rPr>
          <w:i/>
          <w:iCs/>
        </w:rPr>
        <w:t>Genocide: A Comprehensive Introduction</w:t>
      </w:r>
      <w:r w:rsidRPr="00083C00">
        <w:t xml:space="preserve">, Chapter 6 </w:t>
      </w:r>
      <w:r w:rsidR="006152AC" w:rsidRPr="00083C00">
        <w:t>and chapter 10.</w:t>
      </w:r>
    </w:p>
    <w:p w14:paraId="315F4CD4" w14:textId="251D02D6" w:rsidR="004E19E2" w:rsidRPr="00083C00" w:rsidRDefault="004E19E2" w:rsidP="004E19E2">
      <w:r>
        <w:t xml:space="preserve">Adam Jones, ‘Gendercide and genocide’, </w:t>
      </w:r>
      <w:r>
        <w:rPr>
          <w:i/>
          <w:iCs/>
        </w:rPr>
        <w:t xml:space="preserve">Journal of genocide research </w:t>
      </w:r>
      <w:r>
        <w:t>2:2 (2000), 185-211.</w:t>
      </w:r>
    </w:p>
    <w:p w14:paraId="5F8F83E1" w14:textId="77777777" w:rsidR="003D30F6" w:rsidRDefault="003D30F6" w:rsidP="003D30F6">
      <w:r>
        <w:t xml:space="preserve">Marion Kaplan, </w:t>
      </w:r>
      <w:r>
        <w:rPr>
          <w:i/>
          <w:iCs/>
        </w:rPr>
        <w:t xml:space="preserve">Between Dignity and Despair: Jewish Life in Nazi Germany </w:t>
      </w:r>
      <w:r>
        <w:t>(Oxford, 1999).</w:t>
      </w:r>
    </w:p>
    <w:p w14:paraId="5426BA10" w14:textId="71E354BE" w:rsidR="00FA5341" w:rsidRPr="00FA5341" w:rsidRDefault="00FA5341" w:rsidP="003D30F6">
      <w:r w:rsidRPr="00FA5341">
        <w:t>Marion Kaplan, ‘Did gender matter during th</w:t>
      </w:r>
      <w:r>
        <w:t xml:space="preserve">e Holocaust?’, </w:t>
      </w:r>
      <w:r>
        <w:rPr>
          <w:i/>
          <w:iCs/>
        </w:rPr>
        <w:t xml:space="preserve">Jewish Social Studies </w:t>
      </w:r>
      <w:r>
        <w:t>24:2 (2019), 37-56.</w:t>
      </w:r>
    </w:p>
    <w:p w14:paraId="1FD58676" w14:textId="59F60DB3" w:rsidR="003D30F6" w:rsidRDefault="003D30F6" w:rsidP="003D30F6">
      <w:r>
        <w:t xml:space="preserve">Tom Lawson, </w:t>
      </w:r>
      <w:r>
        <w:rPr>
          <w:i/>
          <w:iCs/>
        </w:rPr>
        <w:t xml:space="preserve">Debates on the Holocaust </w:t>
      </w:r>
      <w:r>
        <w:t>(Manchester, 2010), Chapter 4</w:t>
      </w:r>
      <w:r w:rsidR="00E60F0E">
        <w:t xml:space="preserve"> and chapter 6.</w:t>
      </w:r>
    </w:p>
    <w:p w14:paraId="07119F0F" w14:textId="77777777" w:rsidR="00FD221D" w:rsidRDefault="00EB6A4E" w:rsidP="003D30F6">
      <w:r>
        <w:t>Regina Mühlhäuser, ‘Understanding sexual violence during the Holocaust</w:t>
      </w:r>
      <w:r w:rsidR="00FD221D">
        <w:t xml:space="preserve">: A reconsideration of research and sources’, </w:t>
      </w:r>
      <w:r w:rsidR="00FD221D">
        <w:rPr>
          <w:i/>
          <w:iCs/>
        </w:rPr>
        <w:t xml:space="preserve">German History </w:t>
      </w:r>
      <w:r w:rsidR="00FD221D">
        <w:t>39:1 (2021), 15-36.</w:t>
      </w:r>
    </w:p>
    <w:p w14:paraId="5D942732" w14:textId="6F360959" w:rsidR="003D30F6" w:rsidRDefault="003D30F6" w:rsidP="003D30F6">
      <w:r>
        <w:t xml:space="preserve">Donald Niewyk and Francis Nicosia, </w:t>
      </w:r>
      <w:r>
        <w:rPr>
          <w:i/>
          <w:iCs/>
        </w:rPr>
        <w:t xml:space="preserve">The Columbia Guide to the Holocaust </w:t>
      </w:r>
      <w:r>
        <w:t>(New York, 2000), pp. 53-</w:t>
      </w:r>
      <w:r w:rsidR="00BC09C2">
        <w:t>96.</w:t>
      </w:r>
    </w:p>
    <w:p w14:paraId="6D463CF9" w14:textId="52367E62" w:rsidR="00F17AB7" w:rsidRPr="00F17AB7" w:rsidRDefault="00F17AB7" w:rsidP="003D30F6">
      <w:r w:rsidRPr="00F17AB7">
        <w:t>Lisa Pine, ‘Gender and Holocaust victims</w:t>
      </w:r>
      <w:r>
        <w:t xml:space="preserve">: A reappraisal’, </w:t>
      </w:r>
      <w:r>
        <w:rPr>
          <w:i/>
          <w:iCs/>
        </w:rPr>
        <w:t xml:space="preserve">Journal of Jewish Identities </w:t>
      </w:r>
      <w:r>
        <w:t>1:2 (2008), 121-141.</w:t>
      </w:r>
    </w:p>
    <w:p w14:paraId="146E5C43" w14:textId="77777777" w:rsidR="00597851" w:rsidRDefault="00597851" w:rsidP="00597851">
      <w:r>
        <w:t xml:space="preserve">Donald Bloxham, </w:t>
      </w:r>
      <w:r>
        <w:rPr>
          <w:i/>
          <w:iCs/>
        </w:rPr>
        <w:t xml:space="preserve">The Final Solution: A Genocide </w:t>
      </w:r>
      <w:r>
        <w:t>(Oxford, 2009), Chapter 7.</w:t>
      </w:r>
    </w:p>
    <w:p w14:paraId="68D63953" w14:textId="3878E5CE" w:rsidR="00597851" w:rsidRDefault="00597851" w:rsidP="00597851">
      <w:r>
        <w:t xml:space="preserve">Christopher R. Browning, ‘Problem Solvers’ in Peter Hayes and John K. Roth (eds.), </w:t>
      </w:r>
      <w:r w:rsidRPr="003B6D43">
        <w:t xml:space="preserve"> </w:t>
      </w:r>
      <w:r w:rsidRPr="003B6D43">
        <w:rPr>
          <w:i/>
          <w:iCs/>
        </w:rPr>
        <w:t>The</w:t>
      </w:r>
      <w:r>
        <w:rPr>
          <w:i/>
          <w:iCs/>
        </w:rPr>
        <w:t xml:space="preserve"> Oxford Handbook of Holocaust Studies </w:t>
      </w:r>
      <w:r>
        <w:t>(Oxford, 2010), pp. 128-141.</w:t>
      </w:r>
    </w:p>
    <w:p w14:paraId="691EF17C" w14:textId="2305BC7B" w:rsidR="00F2288E" w:rsidRDefault="00F2288E" w:rsidP="00597851">
      <w:r>
        <w:t xml:space="preserve">Sarah Elise Brown, ‘ “They forgot their role”: Women perpetrators of the Holocaust and the genocide against the Tutsi in Rwanda’, </w:t>
      </w:r>
      <w:r>
        <w:rPr>
          <w:i/>
          <w:iCs/>
        </w:rPr>
        <w:t xml:space="preserve">Journal of Perpetrator </w:t>
      </w:r>
      <w:r w:rsidR="00411D5C">
        <w:rPr>
          <w:i/>
          <w:iCs/>
        </w:rPr>
        <w:t xml:space="preserve">Research </w:t>
      </w:r>
      <w:r w:rsidR="00411D5C">
        <w:t>3:1 (2020), 156-185.</w:t>
      </w:r>
    </w:p>
    <w:p w14:paraId="165C2162" w14:textId="720B731C" w:rsidR="00F84A54" w:rsidRPr="00411D5C" w:rsidRDefault="00F84A54" w:rsidP="00597851">
      <w:r>
        <w:lastRenderedPageBreak/>
        <w:t xml:space="preserve">John Connelly, ‘Gypsies, homosexuals and Slavs’ in Peter Hayes and John K. Roth (eds.), </w:t>
      </w:r>
      <w:r w:rsidRPr="003B6D43">
        <w:t xml:space="preserve"> </w:t>
      </w:r>
      <w:r w:rsidRPr="003B6D43">
        <w:rPr>
          <w:i/>
          <w:iCs/>
        </w:rPr>
        <w:t>The</w:t>
      </w:r>
      <w:r>
        <w:rPr>
          <w:i/>
          <w:iCs/>
        </w:rPr>
        <w:t xml:space="preserve"> Oxford Handbook of Holocaust Studies </w:t>
      </w:r>
      <w:r>
        <w:t xml:space="preserve">(Oxford, 2010), p. </w:t>
      </w:r>
      <w:r w:rsidR="001E4DA3">
        <w:t>274-290.</w:t>
      </w:r>
    </w:p>
    <w:p w14:paraId="7D620DD3" w14:textId="77777777" w:rsidR="00597851" w:rsidRDefault="00597851" w:rsidP="00597851">
      <w:r w:rsidRPr="003B6D43">
        <w:t>Paul A. Levine, ‘On-Lookers’ i</w:t>
      </w:r>
      <w:r>
        <w:t xml:space="preserve">n Peter Hayes and John K. Roth (eds.), </w:t>
      </w:r>
      <w:r w:rsidRPr="003B6D43">
        <w:t xml:space="preserve"> </w:t>
      </w:r>
      <w:r w:rsidRPr="003B6D43">
        <w:rPr>
          <w:i/>
          <w:iCs/>
        </w:rPr>
        <w:t>The</w:t>
      </w:r>
      <w:r>
        <w:rPr>
          <w:i/>
          <w:iCs/>
        </w:rPr>
        <w:t xml:space="preserve"> Oxford Handbook of Holocaust Studies </w:t>
      </w:r>
      <w:r>
        <w:t>(Oxford, 2010), 156-169.</w:t>
      </w:r>
    </w:p>
    <w:p w14:paraId="43FCF05D" w14:textId="77777777" w:rsidR="00C8610E" w:rsidRDefault="00C8610E" w:rsidP="00C8610E">
      <w:r w:rsidRPr="00E24B50">
        <w:t xml:space="preserve">Richard Rechtman, </w:t>
      </w:r>
      <w:r w:rsidRPr="00E24B50">
        <w:rPr>
          <w:i/>
          <w:iCs/>
        </w:rPr>
        <w:t>Living in Deat</w:t>
      </w:r>
      <w:r>
        <w:rPr>
          <w:i/>
          <w:iCs/>
        </w:rPr>
        <w:t xml:space="preserve">h: Genocide and its Functionaries </w:t>
      </w:r>
      <w:r>
        <w:t>(Fordham University Press, 2021).</w:t>
      </w:r>
    </w:p>
    <w:p w14:paraId="36D7B13A" w14:textId="1A7F9068" w:rsidR="00560BA3" w:rsidRDefault="00560BA3" w:rsidP="00C8610E">
      <w:r>
        <w:t xml:space="preserve">Helene Sinnreich, ‘ “And it was something we didn’t talk about”: Rape of Jewish women during the Holocaust’, </w:t>
      </w:r>
      <w:r>
        <w:rPr>
          <w:i/>
          <w:iCs/>
        </w:rPr>
        <w:t xml:space="preserve">Holocaust Studies </w:t>
      </w:r>
      <w:r>
        <w:t>14:2 (2008), 1-22.</w:t>
      </w:r>
    </w:p>
    <w:p w14:paraId="6CC71C1F" w14:textId="1CBD653A" w:rsidR="007A515F" w:rsidRPr="007A515F" w:rsidRDefault="007A515F" w:rsidP="00C8610E">
      <w:r>
        <w:t xml:space="preserve">Carli Snyder, ‘Asking about the “unspeakable”: Joan Ringelheim and early research on sexual violence and same-sex practices among women during the Holocaust’, </w:t>
      </w:r>
      <w:r>
        <w:rPr>
          <w:i/>
          <w:iCs/>
        </w:rPr>
        <w:t xml:space="preserve">Jounral of Holocaust Research </w:t>
      </w:r>
      <w:r>
        <w:t>38:3-4 (2024), 206-224.</w:t>
      </w:r>
    </w:p>
    <w:p w14:paraId="599DEA1D" w14:textId="77777777" w:rsidR="00C8610E" w:rsidRDefault="00C8610E" w:rsidP="00C8610E">
      <w:r>
        <w:t xml:space="preserve">Mark Roseman, ‘The Lives of Others – Amid the Deaths of Others: Biographical Approaches to Nazi Perpetrators’, </w:t>
      </w:r>
      <w:r>
        <w:rPr>
          <w:i/>
          <w:iCs/>
        </w:rPr>
        <w:t xml:space="preserve">Journal of Genocide Research, </w:t>
      </w:r>
      <w:r>
        <w:t>15:4 (2013), 443-461.</w:t>
      </w:r>
    </w:p>
    <w:p w14:paraId="24173E7C" w14:textId="77777777" w:rsidR="00B74F4A" w:rsidRDefault="00B74F4A" w:rsidP="0018562B">
      <w:r>
        <w:t xml:space="preserve">Zoe Waxman, </w:t>
      </w:r>
      <w:r>
        <w:rPr>
          <w:i/>
          <w:iCs/>
        </w:rPr>
        <w:t xml:space="preserve">Women in the Holocaust: A feminist history </w:t>
      </w:r>
      <w:r>
        <w:t>(Oxford, 2017).</w:t>
      </w:r>
    </w:p>
    <w:p w14:paraId="1E95FF58" w14:textId="593B385F" w:rsidR="00F22788" w:rsidRPr="00F22788" w:rsidRDefault="00F22788" w:rsidP="0018562B">
      <w:r>
        <w:t xml:space="preserve">Zoe Waxman, ‘Unheard testimony, untold stories: The representation of women’s Holocaust experiences’, </w:t>
      </w:r>
      <w:r>
        <w:rPr>
          <w:i/>
          <w:iCs/>
        </w:rPr>
        <w:t xml:space="preserve">Women’s History Review </w:t>
      </w:r>
      <w:r>
        <w:t>12:4 (2003), 661-677.</w:t>
      </w:r>
    </w:p>
    <w:p w14:paraId="2E5101BB" w14:textId="29793CF1" w:rsidR="0033592F" w:rsidRDefault="0033592F" w:rsidP="0018562B">
      <w:r>
        <w:t xml:space="preserve">Lenore J. Weitzman, ‘Women’ in Peter Hayes and John K. Roth (eds.), </w:t>
      </w:r>
      <w:r w:rsidRPr="003B6D43">
        <w:t xml:space="preserve"> </w:t>
      </w:r>
      <w:r w:rsidRPr="003B6D43">
        <w:rPr>
          <w:i/>
          <w:iCs/>
        </w:rPr>
        <w:t>The</w:t>
      </w:r>
      <w:r>
        <w:rPr>
          <w:i/>
          <w:iCs/>
        </w:rPr>
        <w:t xml:space="preserve"> Oxford Handbook of Holocaust Studies </w:t>
      </w:r>
      <w:r>
        <w:t xml:space="preserve">(Oxford, 2010), pp. </w:t>
      </w:r>
      <w:r w:rsidR="00F84A54">
        <w:t>203-217.</w:t>
      </w:r>
    </w:p>
    <w:p w14:paraId="23A790CF" w14:textId="7ECEF5EB" w:rsidR="00796E78" w:rsidRPr="00796E78" w:rsidRDefault="00796E78" w:rsidP="0018562B">
      <w:r w:rsidRPr="00796E78">
        <w:t>Susan Welch, ‘Gender and select</w:t>
      </w:r>
      <w:r>
        <w:t xml:space="preserve">ion during the Holocaust: Transports of Western European Jews to the East’, </w:t>
      </w:r>
      <w:r>
        <w:rPr>
          <w:i/>
          <w:iCs/>
        </w:rPr>
        <w:t xml:space="preserve">Journal of Genocide Research </w:t>
      </w:r>
      <w:r>
        <w:t>22:4 (2020), 459-478.</w:t>
      </w:r>
    </w:p>
    <w:p w14:paraId="06B724ED" w14:textId="681CA774" w:rsidR="0018562B" w:rsidRDefault="0018562B" w:rsidP="0018562B">
      <w:r>
        <w:t xml:space="preserve">Edward B. Westermann, ‘Killers’ in Peter Hayes and John K. Roth (eds.), </w:t>
      </w:r>
      <w:r w:rsidRPr="003B6D43">
        <w:t xml:space="preserve"> </w:t>
      </w:r>
      <w:r w:rsidRPr="003B6D43">
        <w:rPr>
          <w:i/>
          <w:iCs/>
        </w:rPr>
        <w:t>The</w:t>
      </w:r>
      <w:r>
        <w:rPr>
          <w:i/>
          <w:iCs/>
        </w:rPr>
        <w:t xml:space="preserve"> Oxford Handbook of Holocaust Studies </w:t>
      </w:r>
      <w:r>
        <w:t>(Oxford, 2010), p. 141-155.</w:t>
      </w:r>
    </w:p>
    <w:p w14:paraId="33FD6623" w14:textId="7A372CB0" w:rsidR="0018562B" w:rsidRDefault="0018562B" w:rsidP="0018562B">
      <w:pPr>
        <w:pStyle w:val="Heading3"/>
      </w:pPr>
      <w:r>
        <w:t>Cambodi</w:t>
      </w:r>
      <w:r w:rsidR="008C7808">
        <w:t>a</w:t>
      </w:r>
    </w:p>
    <w:p w14:paraId="53DB32FF" w14:textId="77777777" w:rsidR="0042618A" w:rsidRDefault="0042618A" w:rsidP="0042618A">
      <w:r>
        <w:t xml:space="preserve">David P. Chandler, </w:t>
      </w:r>
      <w:r>
        <w:rPr>
          <w:i/>
          <w:iCs/>
        </w:rPr>
        <w:t xml:space="preserve">The Tragedy of Cambodian History: Politics, War, and Revolution Since 1945 </w:t>
      </w:r>
      <w:r>
        <w:t>(Yale University Press, 1991).</w:t>
      </w:r>
    </w:p>
    <w:p w14:paraId="4DB22222" w14:textId="1B8446E7" w:rsidR="00EE28CE" w:rsidRDefault="00EE28CE" w:rsidP="0042618A">
      <w:r>
        <w:t xml:space="preserve">Susan Dicklitch and Aditi Malik, ‘Justice, Human Rights, and Reconciliation in Postconflict Cambodia’, </w:t>
      </w:r>
      <w:r>
        <w:rPr>
          <w:i/>
          <w:iCs/>
        </w:rPr>
        <w:t xml:space="preserve">Human Rights Review </w:t>
      </w:r>
      <w:r w:rsidR="004510C6">
        <w:t>11 (2010), 515-530.</w:t>
      </w:r>
    </w:p>
    <w:p w14:paraId="0A457723" w14:textId="036EB455" w:rsidR="00141494" w:rsidRPr="00141494" w:rsidRDefault="00141494" w:rsidP="0042618A">
      <w:r>
        <w:t xml:space="preserve">Hurst Hannum, ‘International law and Cambodian genocide: The sounds of silence’, </w:t>
      </w:r>
      <w:r>
        <w:rPr>
          <w:i/>
          <w:iCs/>
        </w:rPr>
        <w:t xml:space="preserve">Human Rights Quarterly 11 </w:t>
      </w:r>
      <w:r>
        <w:t>(1989), 82-</w:t>
      </w:r>
      <w:r w:rsidR="00546424">
        <w:t>138.</w:t>
      </w:r>
    </w:p>
    <w:p w14:paraId="1B405381" w14:textId="77777777" w:rsidR="0042618A" w:rsidRPr="00985C32" w:rsidRDefault="0042618A" w:rsidP="0042618A">
      <w:r>
        <w:t xml:space="preserve">Rachel P. Jacobs, ‘Married by the Revolution: Forced Marriage as a Strategy of Control in Khmer Rouge Cambodia’, </w:t>
      </w:r>
      <w:r>
        <w:rPr>
          <w:i/>
          <w:iCs/>
        </w:rPr>
        <w:t xml:space="preserve">Journal of Genocide Research </w:t>
      </w:r>
      <w:r>
        <w:t>24:3 (2022), 357-379.</w:t>
      </w:r>
    </w:p>
    <w:p w14:paraId="0DD040CD" w14:textId="77777777" w:rsidR="0042618A" w:rsidRDefault="0042618A" w:rsidP="0042618A">
      <w:r w:rsidRPr="00985C32">
        <w:t xml:space="preserve">Adam Jones, </w:t>
      </w:r>
      <w:r w:rsidRPr="00985C32">
        <w:rPr>
          <w:i/>
          <w:iCs/>
        </w:rPr>
        <w:t xml:space="preserve">Genocide: A Comprehensive Introduction </w:t>
      </w:r>
      <w:r w:rsidRPr="00985C32">
        <w:t xml:space="preserve">(2nd. ed.) </w:t>
      </w:r>
      <w:r w:rsidRPr="00985C32">
        <w:rPr>
          <w:i/>
          <w:iCs/>
        </w:rPr>
        <w:t xml:space="preserve"> </w:t>
      </w:r>
      <w:r w:rsidRPr="00097690">
        <w:t>(</w:t>
      </w:r>
      <w:r>
        <w:t>Abingdon, 2011), Chapter 7.</w:t>
      </w:r>
    </w:p>
    <w:p w14:paraId="2E2EC8D4" w14:textId="62C8EDEF" w:rsidR="0042618A" w:rsidRDefault="0042618A" w:rsidP="0042618A">
      <w:r w:rsidRPr="00A80160">
        <w:lastRenderedPageBreak/>
        <w:t xml:space="preserve">Ben Kiernan, </w:t>
      </w:r>
      <w:r w:rsidRPr="00A80160">
        <w:rPr>
          <w:i/>
          <w:iCs/>
        </w:rPr>
        <w:t>The Pol Pot Regim</w:t>
      </w:r>
      <w:r>
        <w:rPr>
          <w:i/>
          <w:iCs/>
        </w:rPr>
        <w:t xml:space="preserve">e: Race, Power, and Genocide in Cambodia under the Khmer Rouge, 1975-1979 </w:t>
      </w:r>
      <w:r>
        <w:t>(Yale University Press, 2008).</w:t>
      </w:r>
    </w:p>
    <w:p w14:paraId="7CF42036" w14:textId="77777777" w:rsidR="009F44E1" w:rsidRPr="00977A08" w:rsidRDefault="009F44E1" w:rsidP="009F44E1">
      <w:r w:rsidRPr="00977A08">
        <w:t>Edward Kissi, ‘Genocide in Cambodia and Ethi</w:t>
      </w:r>
      <w:r>
        <w:t xml:space="preserve">opia’, in Robert Gellately and Ben Kiernan (eds.), ‘ </w:t>
      </w:r>
      <w:r>
        <w:rPr>
          <w:i/>
          <w:iCs/>
        </w:rPr>
        <w:t xml:space="preserve">The Specter of Genocide: Mass Murder in Historical Perspective </w:t>
      </w:r>
      <w:r>
        <w:t>(Cambridge, 2003), pp. 307-323.</w:t>
      </w:r>
    </w:p>
    <w:p w14:paraId="3C84C2AF" w14:textId="77777777" w:rsidR="009F44E1" w:rsidRDefault="009F44E1" w:rsidP="009F44E1">
      <w:r>
        <w:t xml:space="preserve">Alexander Laban Hinton, </w:t>
      </w:r>
      <w:r>
        <w:rPr>
          <w:i/>
          <w:iCs/>
        </w:rPr>
        <w:t xml:space="preserve">Why Did They Kill? Cambodia in the Shadow of Genocide </w:t>
      </w:r>
      <w:r>
        <w:t>(University of California Press, 2004).</w:t>
      </w:r>
    </w:p>
    <w:p w14:paraId="4C2D9235" w14:textId="77777777" w:rsidR="009F44E1" w:rsidRDefault="009F44E1" w:rsidP="009F44E1">
      <w:r>
        <w:t xml:space="preserve">Alexander Laban Hinton, </w:t>
      </w:r>
      <w:r>
        <w:rPr>
          <w:i/>
          <w:iCs/>
        </w:rPr>
        <w:t xml:space="preserve">Man or Monster? The Trial of a Khmer Rouge Torturer </w:t>
      </w:r>
      <w:r>
        <w:t>(Duke University Press, 2016).</w:t>
      </w:r>
    </w:p>
    <w:p w14:paraId="79E7E499" w14:textId="5D9FC2F4" w:rsidR="00F25F12" w:rsidRDefault="00F25F12" w:rsidP="00F25F12">
      <w:r>
        <w:t xml:space="preserve">René Lemarchand, ‘Comparing the killing fields: Rwanda, Cambodia and Bosnia’, in Steven L. B. Jensen (ed.), </w:t>
      </w:r>
      <w:r>
        <w:rPr>
          <w:i/>
          <w:iCs/>
        </w:rPr>
        <w:t xml:space="preserve">Genocide: Cases, Comparisons and Contemporary Debates </w:t>
      </w:r>
      <w:r>
        <w:t>(Copenhagen, 2003), pp. 141-174.</w:t>
      </w:r>
    </w:p>
    <w:p w14:paraId="0B4EE4E8" w14:textId="77777777" w:rsidR="009F44E1" w:rsidRDefault="009F44E1" w:rsidP="009F44E1">
      <w:r>
        <w:t xml:space="preserve">Peter Maguire, </w:t>
      </w:r>
      <w:r>
        <w:rPr>
          <w:i/>
          <w:iCs/>
        </w:rPr>
        <w:t xml:space="preserve">Facing Death in Cambodia </w:t>
      </w:r>
      <w:r>
        <w:t>(Columbia University Press, 2005).</w:t>
      </w:r>
    </w:p>
    <w:p w14:paraId="31B3157A" w14:textId="77777777" w:rsidR="00FF7B60" w:rsidRDefault="00FF7B60" w:rsidP="00FF7B60">
      <w:r>
        <w:t xml:space="preserve">Jörg Menzel, ‘Justice delayed or too late for justice? The Khmer Rouge Tribunal and the Cambodian “genocide” 1975-79’, </w:t>
      </w:r>
      <w:r>
        <w:rPr>
          <w:i/>
          <w:iCs/>
        </w:rPr>
        <w:t xml:space="preserve">Journal of Genocide Research </w:t>
      </w:r>
      <w:r>
        <w:t>9:2 (2007), 215-233.</w:t>
      </w:r>
    </w:p>
    <w:p w14:paraId="6CB0501A" w14:textId="7BDEE98F" w:rsidR="009F44E1" w:rsidRDefault="009F44E1" w:rsidP="00FF7B60">
      <w:r>
        <w:t xml:space="preserve">Howard J. de Nike, John Quigley, Kenneth J. Robinson, Helen Jarvis, and Nereida Cross (eds.), </w:t>
      </w:r>
      <w:r>
        <w:rPr>
          <w:i/>
          <w:iCs/>
        </w:rPr>
        <w:t xml:space="preserve">Genocide in Cambodia: Documents from the trial of Pol Pot and Ieng Sary </w:t>
      </w:r>
      <w:r>
        <w:t>(University of Pennsylvania Press, 2000).</w:t>
      </w:r>
    </w:p>
    <w:p w14:paraId="414AD331" w14:textId="1CC375BE" w:rsidR="00D408AC" w:rsidRDefault="00D408AC" w:rsidP="009F44E1">
      <w:r>
        <w:t xml:space="preserve">Peter B. Owens, ‘The collective dynamics of genocidal violence in Cambodia, 1975-1979’, </w:t>
      </w:r>
      <w:r>
        <w:rPr>
          <w:i/>
          <w:iCs/>
        </w:rPr>
        <w:t xml:space="preserve">Social Science History </w:t>
      </w:r>
      <w:r>
        <w:t>38:</w:t>
      </w:r>
      <w:r w:rsidR="00CF74B9">
        <w:t>3-4 (2014), 411-436.</w:t>
      </w:r>
    </w:p>
    <w:p w14:paraId="5A1C9225" w14:textId="6A03BDF9" w:rsidR="00D25C58" w:rsidRPr="00D25C58" w:rsidRDefault="00D25C58" w:rsidP="009F44E1">
      <w:r>
        <w:t xml:space="preserve">Katie Sellers, ‘Tipping the scale from mass murder to genocide: What does it take?’, </w:t>
      </w:r>
      <w:r>
        <w:rPr>
          <w:i/>
          <w:iCs/>
        </w:rPr>
        <w:t xml:space="preserve">Creighton International and Comparative Law Journal </w:t>
      </w:r>
      <w:r>
        <w:t>4</w:t>
      </w:r>
      <w:r w:rsidR="00B60711">
        <w:t xml:space="preserve"> (2013), 48-58.</w:t>
      </w:r>
    </w:p>
    <w:p w14:paraId="32251F46" w14:textId="77777777" w:rsidR="002B1ECB" w:rsidRDefault="002B1ECB" w:rsidP="002B1ECB">
      <w:r w:rsidRPr="00886086">
        <w:t>Toni Shapiro-Phim, ‘Dance, Music</w:t>
      </w:r>
      <w:r>
        <w:t xml:space="preserve">, and the Nature of Terror in Democratic Kampuchea’, in Alexander Laban Hinton (ed.), </w:t>
      </w:r>
      <w:r>
        <w:rPr>
          <w:i/>
          <w:iCs/>
        </w:rPr>
        <w:t xml:space="preserve">Annihilating Difference: The Anthropology of Genocide </w:t>
      </w:r>
      <w:r>
        <w:t>(University of California Press, 2002), pp. 179-193.</w:t>
      </w:r>
    </w:p>
    <w:p w14:paraId="552D873C" w14:textId="77777777" w:rsidR="002B1ECB" w:rsidRDefault="002B1ECB" w:rsidP="002B1ECB">
      <w:r w:rsidRPr="005C65FF">
        <w:t xml:space="preserve">Benjamin A. Valentino, </w:t>
      </w:r>
      <w:r w:rsidRPr="005C65FF">
        <w:rPr>
          <w:i/>
          <w:iCs/>
        </w:rPr>
        <w:t>Final Solutions: Mass Killing and</w:t>
      </w:r>
      <w:r>
        <w:rPr>
          <w:i/>
          <w:iCs/>
        </w:rPr>
        <w:t xml:space="preserve"> Genocide in the 20</w:t>
      </w:r>
      <w:r w:rsidRPr="005C65FF">
        <w:rPr>
          <w:i/>
          <w:iCs/>
          <w:vertAlign w:val="superscript"/>
        </w:rPr>
        <w:t>th</w:t>
      </w:r>
      <w:r>
        <w:rPr>
          <w:i/>
          <w:iCs/>
        </w:rPr>
        <w:t xml:space="preserve"> Century </w:t>
      </w:r>
      <w:r>
        <w:t>(Cornell University Press, 2004), Chapter 4, ‘Communist Mass Killings: The Soviet Union, China, and Cambodia’, pp. 91-151.</w:t>
      </w:r>
    </w:p>
    <w:p w14:paraId="4EA9FB96" w14:textId="77777777" w:rsidR="002B1ECB" w:rsidRPr="005C65FF" w:rsidRDefault="002B1ECB" w:rsidP="002B1ECB">
      <w:r>
        <w:t xml:space="preserve">Eric D. Weitz, </w:t>
      </w:r>
      <w:r>
        <w:rPr>
          <w:i/>
          <w:iCs/>
        </w:rPr>
        <w:t xml:space="preserve">A Century of Genocide: Utopias of Race and Nation </w:t>
      </w:r>
      <w:r>
        <w:t>(Princeton University Press, 2013), chapter 4.</w:t>
      </w:r>
    </w:p>
    <w:p w14:paraId="6A258DD2" w14:textId="77777777" w:rsidR="002B1ECB" w:rsidRDefault="002B1ECB" w:rsidP="002B1ECB">
      <w:r>
        <w:t xml:space="preserve">Ronnie Yimsut, </w:t>
      </w:r>
      <w:r>
        <w:rPr>
          <w:i/>
          <w:iCs/>
        </w:rPr>
        <w:t xml:space="preserve">Facing the Khmer Rouge: A Cambodian Journey </w:t>
      </w:r>
      <w:r>
        <w:t>(Rutgers University Press, 2011).</w:t>
      </w:r>
    </w:p>
    <w:p w14:paraId="3DBE9372" w14:textId="77777777" w:rsidR="002B1ECB" w:rsidRPr="007D62CB" w:rsidRDefault="002B1ECB" w:rsidP="002B1ECB">
      <w:r w:rsidRPr="000C0E5A">
        <w:t>Waddington, L. (2024). A Very Diplomatic Response: The British Government’s Reaction to the Killing Fields of Cambodia. </w:t>
      </w:r>
      <w:r w:rsidRPr="000C0E5A">
        <w:rPr>
          <w:i/>
          <w:iCs/>
        </w:rPr>
        <w:t>Journal of Genocide Research</w:t>
      </w:r>
      <w:r w:rsidRPr="000C0E5A">
        <w:t>, 1–22.</w:t>
      </w:r>
    </w:p>
    <w:p w14:paraId="381446FD" w14:textId="77777777" w:rsidR="009F44E1" w:rsidRPr="0042618A" w:rsidRDefault="009F44E1" w:rsidP="0042618A"/>
    <w:p w14:paraId="2C9B6F80" w14:textId="77777777" w:rsidR="00592E12" w:rsidRDefault="00592E12" w:rsidP="001225C6">
      <w:pPr>
        <w:pStyle w:val="Heading3"/>
      </w:pPr>
      <w:r>
        <w:t>Bosnia</w:t>
      </w:r>
    </w:p>
    <w:p w14:paraId="5BB7AA48" w14:textId="77777777" w:rsidR="00592E12" w:rsidRDefault="00592E12" w:rsidP="00592E12">
      <w:r>
        <w:t xml:space="preserve">Beverly Allen, </w:t>
      </w:r>
      <w:r>
        <w:rPr>
          <w:i/>
          <w:iCs/>
        </w:rPr>
        <w:t xml:space="preserve">Rape Warfare: The Hidden Genocide in Bosnia-Herzegovina and Croatia </w:t>
      </w:r>
      <w:r>
        <w:t>(University of Minnesota Press, 1996).</w:t>
      </w:r>
    </w:p>
    <w:p w14:paraId="252AC819" w14:textId="1F4B424B" w:rsidR="00354D1D" w:rsidRPr="00783951" w:rsidRDefault="00354D1D" w:rsidP="00405B9D">
      <w:r w:rsidRPr="00354D1D">
        <w:t>Rony Blum, Gregory H. Stanton, Shi</w:t>
      </w:r>
      <w:r>
        <w:t xml:space="preserve">ra Sagi and Elihu D. Richter, ‘ “Ethnic cleansing” bleaches the atrocities of genocide’, </w:t>
      </w:r>
      <w:r>
        <w:rPr>
          <w:i/>
          <w:iCs/>
        </w:rPr>
        <w:t xml:space="preserve">European Journal of Public Health </w:t>
      </w:r>
      <w:r>
        <w:t>18:2 (2007), 204-209.</w:t>
      </w:r>
      <w:r w:rsidR="00405B9D">
        <w:t xml:space="preserve"> (Read in conjunction with: </w:t>
      </w:r>
      <w:r w:rsidR="00405B9D" w:rsidRPr="001A6C8C">
        <w:t>Robert M. Hayden, ‘ “Ethnic clea</w:t>
      </w:r>
      <w:r w:rsidR="00405B9D">
        <w:t xml:space="preserve">nsing” and “genocide”’, </w:t>
      </w:r>
      <w:r w:rsidR="00405B9D">
        <w:rPr>
          <w:i/>
          <w:iCs/>
        </w:rPr>
        <w:t xml:space="preserve">European Journal of Public Health </w:t>
      </w:r>
      <w:r w:rsidR="00405B9D">
        <w:t>17:6 (2007), 546-547 and</w:t>
      </w:r>
      <w:r w:rsidR="00783951">
        <w:t xml:space="preserve"> Elihu D. Richter and Gregory H. Stanton, </w:t>
      </w:r>
      <w:r w:rsidR="00405B9D">
        <w:t xml:space="preserve"> ‘Response to Hayden: Comment on “Ethnic Cleansing” and “Genocide”</w:t>
      </w:r>
      <w:r w:rsidR="00783951">
        <w:t xml:space="preserve">, </w:t>
      </w:r>
      <w:r w:rsidR="00783951">
        <w:rPr>
          <w:i/>
          <w:iCs/>
        </w:rPr>
        <w:t xml:space="preserve">European Journal of Public Health </w:t>
      </w:r>
      <w:r w:rsidR="00783951">
        <w:t>18:2 (2008), 210-211).</w:t>
      </w:r>
    </w:p>
    <w:p w14:paraId="300C852B" w14:textId="77777777" w:rsidR="00592E12" w:rsidRDefault="00592E12" w:rsidP="00592E12">
      <w:r>
        <w:t xml:space="preserve">Pascale Bos, ‘Feminists Interpreting the Politics of Wartime Rape: Berlin, 1945; Yugoslavia, 1992-1993’, </w:t>
      </w:r>
      <w:r>
        <w:rPr>
          <w:i/>
          <w:iCs/>
        </w:rPr>
        <w:t xml:space="preserve">Signs: Journal of Women in Culture and Society </w:t>
      </w:r>
      <w:r>
        <w:t>31:4 (2006), 995-1025.</w:t>
      </w:r>
    </w:p>
    <w:p w14:paraId="6B5D8382" w14:textId="77777777" w:rsidR="00592E12" w:rsidRDefault="00592E12" w:rsidP="00592E12">
      <w:r w:rsidRPr="0025460C">
        <w:t xml:space="preserve">Tone Bringa, ‘Averted Gaze: Genocide in Bosnia-Herzegovina, 1992-1995’, in </w:t>
      </w:r>
      <w:r>
        <w:t xml:space="preserve">Alexander Laban Hinton (ed.), </w:t>
      </w:r>
      <w:r>
        <w:rPr>
          <w:i/>
          <w:iCs/>
        </w:rPr>
        <w:t xml:space="preserve">Annihilating Difference: The Anthropology of Genocide </w:t>
      </w:r>
      <w:r>
        <w:t>(University of California Press, 2002), pp. 194-226.</w:t>
      </w:r>
    </w:p>
    <w:p w14:paraId="6FFCD87B" w14:textId="6B78BE0D" w:rsidR="004F427B" w:rsidRPr="004F427B" w:rsidRDefault="004F427B" w:rsidP="00592E12">
      <w:r w:rsidRPr="004F427B">
        <w:t>Marie-Janine Calic, ‘Ethnic cleansing</w:t>
      </w:r>
      <w:r>
        <w:t xml:space="preserve"> and war crimes, 1991-1995’, </w:t>
      </w:r>
      <w:r>
        <w:rPr>
          <w:i/>
          <w:iCs/>
        </w:rPr>
        <w:t xml:space="preserve">Südosteuropa </w:t>
      </w:r>
      <w:r>
        <w:t>55:1 (2007), 70-106.</w:t>
      </w:r>
    </w:p>
    <w:p w14:paraId="7D8AF79A" w14:textId="77777777" w:rsidR="00592E12" w:rsidRDefault="00592E12" w:rsidP="00592E12">
      <w:r>
        <w:t xml:space="preserve">David Campbell, </w:t>
      </w:r>
      <w:r>
        <w:rPr>
          <w:i/>
          <w:iCs/>
        </w:rPr>
        <w:t xml:space="preserve">National Deconstruction: Violence, Identity, and Justice in Bosnia </w:t>
      </w:r>
      <w:r>
        <w:t>(University of Minnesota Press, 1998).</w:t>
      </w:r>
    </w:p>
    <w:p w14:paraId="10F451AA" w14:textId="38DFD9E8" w:rsidR="002635E4" w:rsidRPr="002635E4" w:rsidRDefault="002635E4" w:rsidP="00592E12">
      <w:r>
        <w:t xml:space="preserve">Kirsten Campbell, ‘The gender of transitional justice: Law, sexual violence and the International Criminal Tribunal for the Former Yugoslavia’, </w:t>
      </w:r>
      <w:r>
        <w:rPr>
          <w:i/>
          <w:iCs/>
        </w:rPr>
        <w:t xml:space="preserve">International Journal of Transitional Justice </w:t>
      </w:r>
      <w:r>
        <w:t>1:3 (2007), 411-432.</w:t>
      </w:r>
    </w:p>
    <w:p w14:paraId="5749C601" w14:textId="77777777" w:rsidR="00592E12" w:rsidRDefault="00592E12" w:rsidP="00592E12">
      <w:r>
        <w:t xml:space="preserve">Cathie Carmichael, ‘Violence and ethnic boundary maintenance in Bosnia in the 1990s’, </w:t>
      </w:r>
      <w:r>
        <w:rPr>
          <w:i/>
          <w:iCs/>
        </w:rPr>
        <w:t xml:space="preserve">Journal of Genocide Research </w:t>
      </w:r>
      <w:r>
        <w:t>(2006), 8:3, 283-293.</w:t>
      </w:r>
    </w:p>
    <w:p w14:paraId="0914B4A6" w14:textId="24182DD6" w:rsidR="00FF0D52" w:rsidRPr="00FF0D52" w:rsidRDefault="00FF0D52" w:rsidP="00592E12">
      <w:r>
        <w:t xml:space="preserve">R. Charli Carpenter, ‘ “Women and children first”: Gender, norms, and humanitarian evacuation in the Balkans, 1991-95’, </w:t>
      </w:r>
      <w:r>
        <w:rPr>
          <w:i/>
          <w:iCs/>
        </w:rPr>
        <w:t xml:space="preserve">International Organization </w:t>
      </w:r>
      <w:r>
        <w:t>57:4 (2003), 661-694.</w:t>
      </w:r>
    </w:p>
    <w:p w14:paraId="443E0654" w14:textId="77777777" w:rsidR="00592E12" w:rsidRDefault="00592E12" w:rsidP="00592E12">
      <w:r>
        <w:t xml:space="preserve">Janine Natalya Clark, ‘Genocide, War Crimes and the Conflict in Bosnia: Understanding the Perpetrators’, </w:t>
      </w:r>
      <w:r>
        <w:rPr>
          <w:i/>
          <w:iCs/>
        </w:rPr>
        <w:t xml:space="preserve">Journal of Genocide Research </w:t>
      </w:r>
      <w:r>
        <w:t>11:4 (2009), 421-445.</w:t>
      </w:r>
    </w:p>
    <w:p w14:paraId="5DE01866" w14:textId="0CE82EE6" w:rsidR="00FA1559" w:rsidRPr="00FA1559" w:rsidRDefault="00FA1559" w:rsidP="00592E12">
      <w:r>
        <w:t xml:space="preserve">Jasenka Ferizovic, ‘The case of female perpetrators of international crimes: Exploratory insights and new research directions’, </w:t>
      </w:r>
      <w:r>
        <w:rPr>
          <w:i/>
          <w:iCs/>
        </w:rPr>
        <w:t xml:space="preserve">European Journal of International Law </w:t>
      </w:r>
      <w:r>
        <w:t>31:2 (2020), 455-488.</w:t>
      </w:r>
    </w:p>
    <w:p w14:paraId="1A85A8EC" w14:textId="77777777" w:rsidR="00592E12" w:rsidRDefault="00592E12" w:rsidP="00592E12">
      <w:r>
        <w:t xml:space="preserve">V. P. Gagnon, </w:t>
      </w:r>
      <w:r>
        <w:rPr>
          <w:i/>
          <w:iCs/>
        </w:rPr>
        <w:t xml:space="preserve">The Myth of Ethnic War: Serbia and Croatia in the 1990s </w:t>
      </w:r>
      <w:r>
        <w:t>(Cornell University Press, 2004).</w:t>
      </w:r>
    </w:p>
    <w:p w14:paraId="54313A74" w14:textId="77777777" w:rsidR="00B14594" w:rsidRDefault="00125A51" w:rsidP="00AF321C">
      <w:r>
        <w:lastRenderedPageBreak/>
        <w:t xml:space="preserve">Lene Hansen, ‘Gender, nation, rape: Bosnia and the construction of security’, </w:t>
      </w:r>
      <w:r>
        <w:rPr>
          <w:i/>
          <w:iCs/>
        </w:rPr>
        <w:t xml:space="preserve">International Feminist Journal of Politics </w:t>
      </w:r>
      <w:r w:rsidR="00B14594">
        <w:t>3:1 (2000), 55-75.</w:t>
      </w:r>
    </w:p>
    <w:p w14:paraId="1BF5765D" w14:textId="2FCC85AE" w:rsidR="00AF321C" w:rsidRDefault="00AF321C" w:rsidP="00AF321C">
      <w:r>
        <w:t xml:space="preserve">Marko Attila Hoare, ‘Towards an explanation for the Bosnian genocide of 1992-1995’, </w:t>
      </w:r>
      <w:r>
        <w:rPr>
          <w:i/>
          <w:iCs/>
        </w:rPr>
        <w:t xml:space="preserve">Studies in Ethnicity and Nationalism </w:t>
      </w:r>
      <w:r w:rsidR="004024C2">
        <w:t>14:3 (2014), 516-532.</w:t>
      </w:r>
    </w:p>
    <w:p w14:paraId="5D76ED17" w14:textId="21359161" w:rsidR="007D41DC" w:rsidRPr="007D41DC" w:rsidRDefault="007D41DC" w:rsidP="00AF321C">
      <w:r w:rsidRPr="007D41DC">
        <w:t>Natalie Hodgson, ‘Gender justice or gendered just</w:t>
      </w:r>
      <w:r>
        <w:t xml:space="preserve">ice? Female defendants in International Criminal Tribunals’, </w:t>
      </w:r>
      <w:r>
        <w:rPr>
          <w:i/>
          <w:iCs/>
        </w:rPr>
        <w:t xml:space="preserve">Feminist Legal Studies </w:t>
      </w:r>
      <w:r>
        <w:t>25 (2017), 337-357.</w:t>
      </w:r>
    </w:p>
    <w:p w14:paraId="75675788" w14:textId="4C87AC18" w:rsidR="00C12ED0" w:rsidRDefault="00F22FAE" w:rsidP="00C12ED0">
      <w:r>
        <w:t xml:space="preserve">Michael Humphrey, ‘International intervention, justice and national reconciliation: The role of the ICTY and ICTR in Bosnia and Rwanda’, </w:t>
      </w:r>
      <w:r>
        <w:rPr>
          <w:i/>
          <w:iCs/>
        </w:rPr>
        <w:t xml:space="preserve">Journal of Human Rights </w:t>
      </w:r>
      <w:r>
        <w:t>2:4 (</w:t>
      </w:r>
      <w:r w:rsidR="00C43C34">
        <w:t>2003), 495-505.</w:t>
      </w:r>
    </w:p>
    <w:p w14:paraId="14AE2880" w14:textId="5F1B01EB" w:rsidR="00592E12" w:rsidRDefault="00592E12" w:rsidP="00592E12">
      <w:r w:rsidRPr="007D41DC">
        <w:t xml:space="preserve">Adam Jones, </w:t>
      </w:r>
      <w:r w:rsidRPr="007D41DC">
        <w:rPr>
          <w:i/>
          <w:iCs/>
        </w:rPr>
        <w:t xml:space="preserve">Genocide: A Comprehensive Introduction </w:t>
      </w:r>
      <w:r w:rsidRPr="007D41DC">
        <w:t xml:space="preserve">(2nd. ed.) </w:t>
      </w:r>
      <w:r w:rsidRPr="007D41DC">
        <w:rPr>
          <w:i/>
          <w:iCs/>
        </w:rPr>
        <w:t xml:space="preserve"> </w:t>
      </w:r>
      <w:r w:rsidRPr="00097690">
        <w:t>(</w:t>
      </w:r>
      <w:r>
        <w:t>Abingdon, 2011), Chapter 8.</w:t>
      </w:r>
    </w:p>
    <w:p w14:paraId="32960248" w14:textId="1CC39108" w:rsidR="004E19E2" w:rsidRDefault="004E19E2" w:rsidP="00592E12">
      <w:r>
        <w:t xml:space="preserve">Adam Jones, ‘Gendercide and genocide’, </w:t>
      </w:r>
      <w:r>
        <w:rPr>
          <w:i/>
          <w:iCs/>
        </w:rPr>
        <w:t xml:space="preserve">Journal of genocide research </w:t>
      </w:r>
      <w:r>
        <w:t>2:2 (2000), 185-211.</w:t>
      </w:r>
    </w:p>
    <w:p w14:paraId="1FA35AFF" w14:textId="192D692D" w:rsidR="005369EA" w:rsidRPr="005369EA" w:rsidRDefault="005369EA" w:rsidP="00592E12">
      <w:r>
        <w:t xml:space="preserve">Adam Jones, ‘Gender and ethic conflict in ex-Yugoslavia’, </w:t>
      </w:r>
      <w:r>
        <w:rPr>
          <w:i/>
          <w:iCs/>
        </w:rPr>
        <w:t xml:space="preserve">Ethnic and Racial Studies </w:t>
      </w:r>
      <w:r>
        <w:t>17:1 (1994), 115-134.</w:t>
      </w:r>
    </w:p>
    <w:p w14:paraId="06623517" w14:textId="2104807E" w:rsidR="00D7573A" w:rsidRDefault="00D7573A" w:rsidP="00592E12">
      <w:r w:rsidRPr="00D7573A">
        <w:t>Kimi Lynn King and Megan Greening, ‘Gender justice</w:t>
      </w:r>
      <w:r>
        <w:t xml:space="preserve"> or just gender? The role of gender in sexual assault decisions at the International Criminal Tribunal for the Former Yugoslavia’, </w:t>
      </w:r>
      <w:r>
        <w:rPr>
          <w:i/>
          <w:iCs/>
        </w:rPr>
        <w:t xml:space="preserve">Social Science Quarterly </w:t>
      </w:r>
      <w:r>
        <w:t>88:5 (2007), 1049-1071.</w:t>
      </w:r>
    </w:p>
    <w:p w14:paraId="32778F03" w14:textId="04623503" w:rsidR="00B40903" w:rsidRPr="00B40903" w:rsidRDefault="00B40903" w:rsidP="00592E12">
      <w:r w:rsidRPr="00B40903">
        <w:t>Kimi Lynn King, James D. Meernik and</w:t>
      </w:r>
      <w:r>
        <w:t xml:space="preserve"> Eliza G. Kelly, ‘Deborah’s voice: The role of women in sexual assault cases at the International Criminal Tribunal for the Former Yugoslavia’, </w:t>
      </w:r>
      <w:r>
        <w:rPr>
          <w:i/>
          <w:iCs/>
        </w:rPr>
        <w:t xml:space="preserve">Social Science Quarterly </w:t>
      </w:r>
      <w:r>
        <w:t>98:2 (2017), 548-565.</w:t>
      </w:r>
    </w:p>
    <w:p w14:paraId="785463E7" w14:textId="77777777" w:rsidR="00592E12" w:rsidRDefault="00592E12" w:rsidP="00592E12">
      <w:r w:rsidRPr="00C97F1A">
        <w:t>Alexander Korb, ‘Homogenizing Southeastern Europe, 1912-9</w:t>
      </w:r>
      <w:r>
        <w:t xml:space="preserve">9: Ethnic Cleansing in the Balkans Revisited’, </w:t>
      </w:r>
      <w:r>
        <w:rPr>
          <w:i/>
          <w:iCs/>
        </w:rPr>
        <w:t xml:space="preserve">Journal of Genocide Research </w:t>
      </w:r>
      <w:r>
        <w:t>18:4 (2016), 377-387.</w:t>
      </w:r>
    </w:p>
    <w:p w14:paraId="5F25CE20" w14:textId="3F8F0043" w:rsidR="008E6FC7" w:rsidRDefault="008E6FC7" w:rsidP="00592E12">
      <w:r w:rsidRPr="008E6FC7">
        <w:t>Katerina Krulisova, ‘Biljana Plavsic at the ICTY: A femi</w:t>
      </w:r>
      <w:r>
        <w:t xml:space="preserve">nist analysis of representations of the self’, </w:t>
      </w:r>
      <w:r>
        <w:rPr>
          <w:i/>
          <w:iCs/>
        </w:rPr>
        <w:t xml:space="preserve">Journal of Perpetrator Research </w:t>
      </w:r>
      <w:r>
        <w:t>3:1 (2020), 128-155.</w:t>
      </w:r>
    </w:p>
    <w:p w14:paraId="3335DF00" w14:textId="03C086FC" w:rsidR="00206F1F" w:rsidRPr="00111398" w:rsidRDefault="00206F1F" w:rsidP="00592E12">
      <w:r>
        <w:t>Kersti Larsdotter, ‘The development of a NATO strategy in Bosnia-Herzegovina’,</w:t>
      </w:r>
      <w:r w:rsidR="00111398">
        <w:t xml:space="preserve"> in Hakan Edström and Dennis Gyllenspore (eds.), </w:t>
      </w:r>
      <w:r w:rsidR="00111398">
        <w:rPr>
          <w:i/>
          <w:iCs/>
        </w:rPr>
        <w:t xml:space="preserve">Pursuing strategy: NATO operations from the Gulf War to Gaddafi </w:t>
      </w:r>
      <w:r w:rsidR="00111398">
        <w:t>(</w:t>
      </w:r>
      <w:r w:rsidR="00D51998">
        <w:t xml:space="preserve">Basingstoke, 2012), </w:t>
      </w:r>
      <w:r>
        <w:t xml:space="preserve"> </w:t>
      </w:r>
      <w:r w:rsidR="00111398">
        <w:t>pp.60-81</w:t>
      </w:r>
    </w:p>
    <w:p w14:paraId="7D80CFF4" w14:textId="070BB80E" w:rsidR="005B19CC" w:rsidRPr="008E6FC7" w:rsidRDefault="005B19CC" w:rsidP="00F25F12">
      <w:r w:rsidRPr="008E6FC7">
        <w:t>Ren</w:t>
      </w:r>
      <w:r w:rsidR="00F25F12" w:rsidRPr="008E6FC7">
        <w:t xml:space="preserve">é Lemarchand, ‘Comparing the killing fields: Rwanda, Cambodia and Bosnia’, in Steven L. B. Jensen (ed.), </w:t>
      </w:r>
      <w:r w:rsidR="00F25F12" w:rsidRPr="008E6FC7">
        <w:rPr>
          <w:i/>
          <w:iCs/>
        </w:rPr>
        <w:t xml:space="preserve">Genocide: Cases, Comparisons and Contemporary Debates </w:t>
      </w:r>
      <w:r w:rsidR="00F25F12" w:rsidRPr="008E6FC7">
        <w:t>(Copenhagen, 2003), pp. 141-174.</w:t>
      </w:r>
    </w:p>
    <w:p w14:paraId="588997F7" w14:textId="77777777" w:rsidR="00592E12" w:rsidRPr="009065B5" w:rsidRDefault="00592E12" w:rsidP="00592E12">
      <w:r>
        <w:t xml:space="preserve">Selma Leydesdorff and Kay Richardson, </w:t>
      </w:r>
      <w:r>
        <w:rPr>
          <w:i/>
          <w:iCs/>
        </w:rPr>
        <w:t xml:space="preserve">Surviving the Bosnian Genocide: The Women of Srebrenica Speak </w:t>
      </w:r>
      <w:r>
        <w:t>(Indiana University Press, 2011).</w:t>
      </w:r>
    </w:p>
    <w:p w14:paraId="3197D318" w14:textId="77777777" w:rsidR="00592E12" w:rsidRDefault="00592E12" w:rsidP="00592E12">
      <w:r w:rsidRPr="00EB24E1">
        <w:lastRenderedPageBreak/>
        <w:t>Ben Lieberman, ‘Nationalist Narratives, Violence Between Neig</w:t>
      </w:r>
      <w:r>
        <w:t xml:space="preserve">hbours and Ethnic Cleansing in Bosnia-Hercegovina: A Case of Cognitive Dissonance?’, </w:t>
      </w:r>
      <w:r>
        <w:rPr>
          <w:i/>
          <w:iCs/>
        </w:rPr>
        <w:t xml:space="preserve">Journal of Genocide Research </w:t>
      </w:r>
      <w:r>
        <w:t>(2006), 8:3, 295-309.</w:t>
      </w:r>
    </w:p>
    <w:p w14:paraId="23F6A0FD" w14:textId="284D6041" w:rsidR="00284BC5" w:rsidRPr="00284BC5" w:rsidRDefault="00284BC5" w:rsidP="00592E12">
      <w:r>
        <w:t xml:space="preserve">R. Lindsey, ‘From atrocity to data: Historiographies of rape in Former Yugoslavia and the gendering of genocide’, </w:t>
      </w:r>
      <w:r>
        <w:rPr>
          <w:i/>
          <w:iCs/>
        </w:rPr>
        <w:t xml:space="preserve">Patterns of prejudice </w:t>
      </w:r>
      <w:r>
        <w:t>36:4 (2002), 59-78.</w:t>
      </w:r>
    </w:p>
    <w:p w14:paraId="4BA23B9A" w14:textId="5AEC8D89" w:rsidR="00560E04" w:rsidRPr="00560E04" w:rsidRDefault="00560E04" w:rsidP="00592E12">
      <w:r>
        <w:t xml:space="preserve">Damir Mirkovic, ‘Ethnic conflict and genocide: Reflections on ethnic cleansing in the former Yugoslavia’, </w:t>
      </w:r>
      <w:r>
        <w:rPr>
          <w:i/>
          <w:iCs/>
        </w:rPr>
        <w:t xml:space="preserve">The Annals of the American Academy, </w:t>
      </w:r>
      <w:r>
        <w:t>548 (1996), 191</w:t>
      </w:r>
      <w:r w:rsidR="00354D1D">
        <w:t>-199.</w:t>
      </w:r>
    </w:p>
    <w:p w14:paraId="7C2DBE7D" w14:textId="77777777" w:rsidR="00A72857" w:rsidRDefault="00A72857" w:rsidP="00592E12">
      <w:r>
        <w:t xml:space="preserve">Dirk Moses and Donald Bloxham, ‘Genocide and ethnic cleansing’, in Donald Bloxham and Robert Gerwarth (eds.), </w:t>
      </w:r>
      <w:r>
        <w:rPr>
          <w:i/>
          <w:iCs/>
        </w:rPr>
        <w:t xml:space="preserve">Political Violence in Twentieth Century Europe </w:t>
      </w:r>
      <w:r>
        <w:t>(Cambridge, 2011), 87-139.</w:t>
      </w:r>
    </w:p>
    <w:p w14:paraId="3F612EB6" w14:textId="07601ED6" w:rsidR="00EC4D81" w:rsidRDefault="00EC4D81" w:rsidP="00592E12">
      <w:r>
        <w:t xml:space="preserve">Vesna Nikolic-Ristanovic, ‘The body of war: Media, ethnicity and gender in the break-up of Yugoslavia’, </w:t>
      </w:r>
      <w:r>
        <w:rPr>
          <w:i/>
          <w:iCs/>
        </w:rPr>
        <w:t xml:space="preserve">Feminist review </w:t>
      </w:r>
      <w:r>
        <w:t>95:1 (2010), 9-11.</w:t>
      </w:r>
    </w:p>
    <w:p w14:paraId="09DF0073" w14:textId="47800118" w:rsidR="00D51998" w:rsidRPr="00D51998" w:rsidRDefault="00D51998" w:rsidP="00592E12">
      <w:r>
        <w:t xml:space="preserve">Catherine van Offelen and M. L. R. Smith, ‘Agonizing Choices: Tragedy and international relations – a tragic vision of humanitarian intervention in the Bosnian War’, </w:t>
      </w:r>
      <w:r>
        <w:rPr>
          <w:i/>
          <w:iCs/>
        </w:rPr>
        <w:t xml:space="preserve">Review of International Studies </w:t>
      </w:r>
      <w:r>
        <w:t>46:4 (2020), 495-513.</w:t>
      </w:r>
    </w:p>
    <w:p w14:paraId="288A1CEE" w14:textId="1B6E93ED" w:rsidR="00592E12" w:rsidRPr="00DB7D39" w:rsidRDefault="00A72857" w:rsidP="00592E12">
      <w:r>
        <w:rPr>
          <w:i/>
          <w:iCs/>
        </w:rPr>
        <w:t xml:space="preserve"> </w:t>
      </w:r>
      <w:r w:rsidR="00592E12">
        <w:t xml:space="preserve">Anthony Oberschall, ‘The Manipulation of Ethnicity: From Ethnic Cooperation to Violence and War in Yugoslavia’, </w:t>
      </w:r>
      <w:r w:rsidR="00592E12">
        <w:rPr>
          <w:i/>
          <w:iCs/>
        </w:rPr>
        <w:t xml:space="preserve">Ethnic and Racial Studies </w:t>
      </w:r>
      <w:r w:rsidR="00592E12">
        <w:t>23:6 (2000), 982-1001.</w:t>
      </w:r>
    </w:p>
    <w:p w14:paraId="4588E497" w14:textId="77777777" w:rsidR="00AA0B0F" w:rsidRDefault="00AA0B0F" w:rsidP="00592E12">
      <w:r>
        <w:t xml:space="preserve">Maria O’Reilly, ‘Peace and justice through a feminist lens: Gender justice and the Women’s Court for the Former Yugoslavia’, </w:t>
      </w:r>
      <w:r>
        <w:rPr>
          <w:i/>
          <w:iCs/>
        </w:rPr>
        <w:t xml:space="preserve">Journal of intervention and statebuilding </w:t>
      </w:r>
      <w:r>
        <w:t>10:3 (2016), 419-445.</w:t>
      </w:r>
    </w:p>
    <w:p w14:paraId="5584AECD" w14:textId="51AC39DC" w:rsidR="00592E12" w:rsidRDefault="00457C9E" w:rsidP="00592E12">
      <w:r>
        <w:t xml:space="preserve">Sabrina P. Ramet, </w:t>
      </w:r>
      <w:r>
        <w:rPr>
          <w:i/>
          <w:iCs/>
        </w:rPr>
        <w:t xml:space="preserve">Balkan Babel: The disintegration of Yugoslavia from the death of Tito to the fall of Milosevic </w:t>
      </w:r>
      <w:r>
        <w:t>(</w:t>
      </w:r>
      <w:r w:rsidR="00592E12" w:rsidRPr="003F4E9B">
        <w:t xml:space="preserve">Peter Ronayne, ‘Genocide in Kosovo’, </w:t>
      </w:r>
      <w:r w:rsidR="00592E12" w:rsidRPr="003F4E9B">
        <w:rPr>
          <w:i/>
          <w:iCs/>
        </w:rPr>
        <w:t>Hum</w:t>
      </w:r>
      <w:r w:rsidR="00592E12">
        <w:rPr>
          <w:i/>
          <w:iCs/>
        </w:rPr>
        <w:t xml:space="preserve">an Rights Review </w:t>
      </w:r>
      <w:r w:rsidR="00592E12">
        <w:t>5:4 (2004), 57-71.</w:t>
      </w:r>
    </w:p>
    <w:p w14:paraId="1827F5BA" w14:textId="56043F05" w:rsidR="003636E2" w:rsidRDefault="003636E2" w:rsidP="00592E12">
      <w:r>
        <w:t xml:space="preserve">Jayne Rodgers, ‘Bosnia and Kosovo: Interpreting the gender dimensions of international intervention’, </w:t>
      </w:r>
      <w:r>
        <w:rPr>
          <w:i/>
          <w:iCs/>
        </w:rPr>
        <w:t xml:space="preserve">Contemporary Security Policy </w:t>
      </w:r>
      <w:r>
        <w:t>22:3 (2001), 183-195.</w:t>
      </w:r>
    </w:p>
    <w:p w14:paraId="22D8715B" w14:textId="77777777" w:rsidR="003636E2" w:rsidRPr="003636E2" w:rsidRDefault="003636E2" w:rsidP="00592E12"/>
    <w:p w14:paraId="5CA2DF3F" w14:textId="19FB86BD" w:rsidR="00880253" w:rsidRDefault="00880253" w:rsidP="00592E12">
      <w:r w:rsidRPr="00880253">
        <w:t>Todd A. Salzman, ‘Rape camp</w:t>
      </w:r>
      <w:r>
        <w:t xml:space="preserve">s as a means of ethnic cleansing: Religious, cultural and ethical responses to rape victims in the former Yugoslavia’, </w:t>
      </w:r>
      <w:r w:rsidR="00284BC5">
        <w:rPr>
          <w:i/>
          <w:iCs/>
        </w:rPr>
        <w:t xml:space="preserve">Human Rights Quarterly </w:t>
      </w:r>
      <w:r w:rsidR="00284BC5">
        <w:t>20:2 (1998), 348-378.</w:t>
      </w:r>
    </w:p>
    <w:p w14:paraId="2ED78065" w14:textId="6BF4851E" w:rsidR="000E1E3B" w:rsidRDefault="000E1E3B" w:rsidP="00592E12">
      <w:r>
        <w:t xml:space="preserve">Lisa Sharlach, ‘Rape as genocide: Bangladesh, the Former Yugoslavia, and Rwanda’, </w:t>
      </w:r>
      <w:r>
        <w:rPr>
          <w:i/>
          <w:iCs/>
        </w:rPr>
        <w:t xml:space="preserve">New Political Science </w:t>
      </w:r>
      <w:r>
        <w:t>22:1 (2000), 89-102.</w:t>
      </w:r>
    </w:p>
    <w:p w14:paraId="32AEE459" w14:textId="2ED4F758" w:rsidR="00E24F66" w:rsidRPr="00E24F66" w:rsidRDefault="00E24F66" w:rsidP="00592E12">
      <w:r w:rsidRPr="00E24F66">
        <w:t>B. K. Shrivastava and Manmohan Agarwal, ’Poli</w:t>
      </w:r>
      <w:r>
        <w:t xml:space="preserve">tics of intervention and the Bosnia-Herzegovina Conflict’, </w:t>
      </w:r>
      <w:r>
        <w:rPr>
          <w:i/>
          <w:iCs/>
        </w:rPr>
        <w:t xml:space="preserve">International Studies </w:t>
      </w:r>
      <w:r>
        <w:t>40:1 (2003), 69-</w:t>
      </w:r>
      <w:r w:rsidR="0048561A">
        <w:t>84.</w:t>
      </w:r>
    </w:p>
    <w:p w14:paraId="5014A524" w14:textId="33C94CC9" w:rsidR="001944BB" w:rsidRPr="000E04F6" w:rsidRDefault="001944BB" w:rsidP="00592E12">
      <w:r>
        <w:lastRenderedPageBreak/>
        <w:t>Gear</w:t>
      </w:r>
      <w:r w:rsidR="000E04F6">
        <w:t xml:space="preserve">óid Ó. Tuathail, ‘Theorising practical geopolitical reasoning: The case of the United States’ response to the war in Bosnia’, </w:t>
      </w:r>
      <w:r w:rsidR="000E04F6">
        <w:rPr>
          <w:i/>
          <w:iCs/>
        </w:rPr>
        <w:t xml:space="preserve">Political geography </w:t>
      </w:r>
      <w:r w:rsidR="000E04F6">
        <w:t>21:5 (2002), 601-628.</w:t>
      </w:r>
    </w:p>
    <w:p w14:paraId="4036D586" w14:textId="77777777" w:rsidR="00AB05F5" w:rsidRDefault="00AB05F5" w:rsidP="00592E12">
      <w:r>
        <w:t xml:space="preserve">Jon Western, ‘Sources of humanitarian intervention: Beliefs, information and advocacy in the US decisions on Somalia and Bosnia’, </w:t>
      </w:r>
      <w:r>
        <w:rPr>
          <w:i/>
          <w:iCs/>
        </w:rPr>
        <w:t xml:space="preserve">International Security </w:t>
      </w:r>
      <w:r>
        <w:t>26:4 (2002), 112-142.</w:t>
      </w:r>
    </w:p>
    <w:p w14:paraId="353B125F" w14:textId="5BED788E" w:rsidR="002529C1" w:rsidRPr="002529C1" w:rsidRDefault="002529C1" w:rsidP="00592E12">
      <w:r>
        <w:t xml:space="preserve">Nicholas J. Wheeler, </w:t>
      </w:r>
      <w:r>
        <w:rPr>
          <w:i/>
          <w:iCs/>
        </w:rPr>
        <w:t>Saving strangers: Humanitarian intervention in international society</w:t>
      </w:r>
      <w:r w:rsidR="00C0485A">
        <w:rPr>
          <w:i/>
          <w:iCs/>
        </w:rPr>
        <w:t xml:space="preserve"> </w:t>
      </w:r>
      <w:r w:rsidR="00C0485A">
        <w:t>(Oxford, 2002),</w:t>
      </w:r>
      <w:r>
        <w:rPr>
          <w:i/>
          <w:iCs/>
        </w:rPr>
        <w:t xml:space="preserve"> </w:t>
      </w:r>
      <w:r>
        <w:t>Chapter 8.</w:t>
      </w:r>
    </w:p>
    <w:p w14:paraId="2F68DCF5" w14:textId="77777777" w:rsidR="00592E12" w:rsidRDefault="00592E12" w:rsidP="001225C6">
      <w:pPr>
        <w:pStyle w:val="Heading3"/>
      </w:pPr>
      <w:r>
        <w:t>Rwanda</w:t>
      </w:r>
    </w:p>
    <w:p w14:paraId="1722753B" w14:textId="77777777" w:rsidR="00860B8D" w:rsidRDefault="00860B8D" w:rsidP="00860B8D">
      <w:r>
        <w:t xml:space="preserve">Howard Adelman and Astri Suhrke (eds.), </w:t>
      </w:r>
      <w:r>
        <w:rPr>
          <w:i/>
          <w:iCs/>
        </w:rPr>
        <w:t xml:space="preserve">The Path of a Genocide: The Rwanda Crisis from Uganda to Zaire </w:t>
      </w:r>
      <w:r>
        <w:t>(Transaction, 1999), especially chapter by Kakwenzire and Kamukama.</w:t>
      </w:r>
    </w:p>
    <w:p w14:paraId="76172D55" w14:textId="77777777" w:rsidR="00860B8D" w:rsidRDefault="00860B8D" w:rsidP="00860B8D">
      <w:r>
        <w:t xml:space="preserve">Kimberly Allar, ‘Setting the Picture Straight: The Ordinary Women of Nazi Germany and Rwanda Who Participated in Genocide’, in Karen Auerbach (ed.), </w:t>
      </w:r>
      <w:r>
        <w:rPr>
          <w:i/>
          <w:iCs/>
        </w:rPr>
        <w:t xml:space="preserve">Aftermath: Genocide, Memory and History </w:t>
      </w:r>
      <w:r>
        <w:t>(Melbourne, 2015), pp. 21-47.</w:t>
      </w:r>
    </w:p>
    <w:p w14:paraId="656E23A1" w14:textId="77777777" w:rsidR="00167B69" w:rsidRDefault="00167B69" w:rsidP="00167B69">
      <w:r>
        <w:t xml:space="preserve">Howard Adelman and Astri Suhrke (eds.), </w:t>
      </w:r>
      <w:r>
        <w:rPr>
          <w:i/>
          <w:iCs/>
        </w:rPr>
        <w:t xml:space="preserve">The Path of a Genocide: The Rwanda Crisis from Uganda to Zaire </w:t>
      </w:r>
      <w:r>
        <w:t>(Transaction, 1999), especially chapter by Kakwenzire and Kamukama.</w:t>
      </w:r>
    </w:p>
    <w:p w14:paraId="5B9F7382" w14:textId="3E1810B0" w:rsidR="00723468" w:rsidRPr="00723468" w:rsidRDefault="00723468" w:rsidP="00167B69">
      <w:r w:rsidRPr="00723468">
        <w:t>Stéphane Audoin-Rouzeau, ‘The end of</w:t>
      </w:r>
      <w:r>
        <w:t xml:space="preserve"> a French denial? The “Duclert Report” and the official recognition of France’s misdoings in Rwanda, before and during the genocide of Rwandan Tutsis (1990-1994), </w:t>
      </w:r>
      <w:r>
        <w:rPr>
          <w:i/>
          <w:iCs/>
        </w:rPr>
        <w:t xml:space="preserve">South Central Review </w:t>
      </w:r>
      <w:r>
        <w:t>39:2 (2022), 69-75.</w:t>
      </w:r>
    </w:p>
    <w:p w14:paraId="1E9C429D" w14:textId="77777777" w:rsidR="00860B8D" w:rsidRDefault="00860B8D" w:rsidP="00860B8D">
      <w:r>
        <w:t xml:space="preserve">Erin K. Baines, ‘Body Politics and the Rwandan Crisis’, </w:t>
      </w:r>
      <w:r>
        <w:rPr>
          <w:i/>
          <w:iCs/>
        </w:rPr>
        <w:t xml:space="preserve">Third World Quarterly </w:t>
      </w:r>
      <w:r>
        <w:t>24:3 (2003), 479-493.</w:t>
      </w:r>
    </w:p>
    <w:p w14:paraId="37234643" w14:textId="1D703280" w:rsidR="00874E8D" w:rsidRPr="00874E8D" w:rsidRDefault="00874E8D" w:rsidP="00860B8D">
      <w:r w:rsidRPr="00874E8D">
        <w:t>Michael N. Barnett, ‘The UN Security Co</w:t>
      </w:r>
      <w:r>
        <w:t xml:space="preserve">uncil, indifference and genocide in Rwanda’, </w:t>
      </w:r>
      <w:r>
        <w:rPr>
          <w:i/>
          <w:iCs/>
        </w:rPr>
        <w:t xml:space="preserve">Cultural Anthropology </w:t>
      </w:r>
      <w:r>
        <w:t>12:4 (1997), 551-578.</w:t>
      </w:r>
    </w:p>
    <w:p w14:paraId="0976270E" w14:textId="77777777" w:rsidR="0080511F" w:rsidRDefault="0080511F" w:rsidP="001D501C">
      <w:r>
        <w:t xml:space="preserve">Holly J. Bukhalter, ‘The question of genocide: The Clinton administration and Rwanda’, </w:t>
      </w:r>
      <w:r>
        <w:rPr>
          <w:i/>
          <w:iCs/>
        </w:rPr>
        <w:t xml:space="preserve">World Policy Journal </w:t>
      </w:r>
      <w:r>
        <w:t>11:4 (1994), 44.</w:t>
      </w:r>
    </w:p>
    <w:p w14:paraId="2C4FF63C" w14:textId="1712DD52" w:rsidR="002B39A1" w:rsidRPr="002B39A1" w:rsidRDefault="002B39A1" w:rsidP="001D501C">
      <w:r>
        <w:t xml:space="preserve">Mats Berdal, ‘Lessons not learned: The use of force in “peace operations” in the 1990s’, </w:t>
      </w:r>
      <w:r>
        <w:rPr>
          <w:i/>
          <w:iCs/>
        </w:rPr>
        <w:t xml:space="preserve">International Peacekeeping </w:t>
      </w:r>
      <w:r>
        <w:t>7:4 (2000), 55-74.</w:t>
      </w:r>
    </w:p>
    <w:p w14:paraId="09E9175A" w14:textId="2354DB84" w:rsidR="001D501C" w:rsidRDefault="001D501C" w:rsidP="001D501C">
      <w:r>
        <w:t xml:space="preserve">Thomas Cushman and Stjepan Mestrovic, </w:t>
      </w:r>
      <w:r>
        <w:rPr>
          <w:i/>
          <w:iCs/>
        </w:rPr>
        <w:t xml:space="preserve">This Time We Knew: Western Responses to Genocide in Bosnia </w:t>
      </w:r>
      <w:r>
        <w:t>(New York, 1996), Chapter Six by Michael Barnett.</w:t>
      </w:r>
    </w:p>
    <w:p w14:paraId="7A12793C" w14:textId="277B352D" w:rsidR="007252AA" w:rsidRPr="007252AA" w:rsidRDefault="007252AA" w:rsidP="00860B8D">
      <w:r>
        <w:t xml:space="preserve">Ravi Bhavnani, ‘Ethnic norms and interethnic violence: Accounting for mass participation in the Rwandan genocide’, </w:t>
      </w:r>
      <w:r>
        <w:rPr>
          <w:i/>
          <w:iCs/>
        </w:rPr>
        <w:t xml:space="preserve">Journal of Peace Research </w:t>
      </w:r>
      <w:r>
        <w:t>43:6 (2006), 651-669.</w:t>
      </w:r>
    </w:p>
    <w:p w14:paraId="6347CDB2" w14:textId="19BA532F" w:rsidR="00411D5C" w:rsidRDefault="00411D5C" w:rsidP="00411D5C">
      <w:r>
        <w:lastRenderedPageBreak/>
        <w:t xml:space="preserve">Sara Elise Brown, ‘“They forgot their role”: Women perpetrators of the Holocaust and the genocide against the Tutsi in Rwanda’, </w:t>
      </w:r>
      <w:r>
        <w:rPr>
          <w:i/>
          <w:iCs/>
        </w:rPr>
        <w:t xml:space="preserve">Journal of Perpetrator Research </w:t>
      </w:r>
      <w:r>
        <w:t>3:1 (2020), 156-185.</w:t>
      </w:r>
    </w:p>
    <w:p w14:paraId="0E4AECF3" w14:textId="4150385E" w:rsidR="005F4964" w:rsidRDefault="005F4964" w:rsidP="00411D5C">
      <w:r w:rsidRPr="005F4964">
        <w:t xml:space="preserve">Sara E. Brown, </w:t>
      </w:r>
      <w:r w:rsidRPr="005F4964">
        <w:rPr>
          <w:i/>
          <w:iCs/>
        </w:rPr>
        <w:t>Gender and th</w:t>
      </w:r>
      <w:r>
        <w:rPr>
          <w:i/>
          <w:iCs/>
        </w:rPr>
        <w:t xml:space="preserve">e genocide in Rwanda: Women as rescuers and perpetrators </w:t>
      </w:r>
      <w:r>
        <w:t>(Milton, 2017).</w:t>
      </w:r>
    </w:p>
    <w:p w14:paraId="47B93338" w14:textId="7377AE55" w:rsidR="00E13AAB" w:rsidRPr="00E13AAB" w:rsidRDefault="00E13AAB" w:rsidP="00411D5C">
      <w:r>
        <w:t xml:space="preserve">Hazel Cameron, ‘The French connection: Complicity in the 1994 genocide in Rwanda’, </w:t>
      </w:r>
      <w:r>
        <w:rPr>
          <w:i/>
          <w:iCs/>
        </w:rPr>
        <w:t xml:space="preserve">African security </w:t>
      </w:r>
      <w:r>
        <w:t>8:2 (2015), 96-119.</w:t>
      </w:r>
    </w:p>
    <w:p w14:paraId="4D59D152" w14:textId="77777777" w:rsidR="00167B69" w:rsidRDefault="00167B69" w:rsidP="00167B69">
      <w:r>
        <w:t xml:space="preserve">Phillip Drew, Bruce Oswald, Robert McLaughlin and Jeremy Farrall (eds.), </w:t>
      </w:r>
      <w:r>
        <w:rPr>
          <w:i/>
          <w:iCs/>
        </w:rPr>
        <w:t xml:space="preserve">Rwanda Revisited: Genocide, Civil War, and the Transformation of International Law </w:t>
      </w:r>
      <w:r>
        <w:t>(Brill, 2021).</w:t>
      </w:r>
    </w:p>
    <w:p w14:paraId="5F5FAD60" w14:textId="77777777" w:rsidR="00D112FA" w:rsidRDefault="007461F6" w:rsidP="00167B69">
      <w:r>
        <w:t xml:space="preserve">Nigel Eltringham, ‘ “Invaders who have stolen the country”: The Hamitic Hypothesis, Race and the Rwandan Genocide’ </w:t>
      </w:r>
      <w:r>
        <w:rPr>
          <w:i/>
          <w:iCs/>
        </w:rPr>
        <w:t>Social identities</w:t>
      </w:r>
      <w:r w:rsidR="00D112FA">
        <w:rPr>
          <w:i/>
          <w:iCs/>
        </w:rPr>
        <w:t xml:space="preserve"> </w:t>
      </w:r>
      <w:r w:rsidR="00D112FA">
        <w:t>12:4 (2006), 425-446.</w:t>
      </w:r>
    </w:p>
    <w:p w14:paraId="09C01DF8" w14:textId="40E2FF0F" w:rsidR="00167B69" w:rsidRPr="00032F49" w:rsidRDefault="00167B69" w:rsidP="00167B69">
      <w:r w:rsidRPr="00032F49">
        <w:t xml:space="preserve">Luke Fletcher, ‘Turning </w:t>
      </w:r>
      <w:r w:rsidRPr="00032F49">
        <w:rPr>
          <w:i/>
          <w:iCs/>
        </w:rPr>
        <w:t xml:space="preserve">Interahamwe: </w:t>
      </w:r>
      <w:r w:rsidRPr="00032F49">
        <w:t>Individual a</w:t>
      </w:r>
      <w:r>
        <w:t xml:space="preserve">nd Community Choices in the Rwandan Genocide’, </w:t>
      </w:r>
      <w:r>
        <w:rPr>
          <w:i/>
          <w:iCs/>
        </w:rPr>
        <w:t xml:space="preserve">Journal of Genocide Research </w:t>
      </w:r>
      <w:r>
        <w:t>9:1 (2007).</w:t>
      </w:r>
    </w:p>
    <w:p w14:paraId="2A4A6B24" w14:textId="77777777" w:rsidR="00167B69" w:rsidRDefault="00167B69" w:rsidP="00167B69">
      <w:r w:rsidRPr="00A01E04">
        <w:t xml:space="preserve">Lee Ann Fujii, </w:t>
      </w:r>
      <w:r w:rsidRPr="00A01E04">
        <w:rPr>
          <w:i/>
          <w:iCs/>
        </w:rPr>
        <w:t>Killing Neighbour</w:t>
      </w:r>
      <w:r>
        <w:rPr>
          <w:i/>
          <w:iCs/>
        </w:rPr>
        <w:t xml:space="preserve">s: Webs of Violence in Rwanda </w:t>
      </w:r>
      <w:r>
        <w:t>(Cornell University Press, 2009).</w:t>
      </w:r>
    </w:p>
    <w:p w14:paraId="03FD18D3" w14:textId="77777777" w:rsidR="00167B69" w:rsidRDefault="00167B69" w:rsidP="00167B69">
      <w:r w:rsidRPr="00F7482E">
        <w:t>Lee Ann Fujii, ‘Transforming the Mo</w:t>
      </w:r>
      <w:r>
        <w:t xml:space="preserve">ral Landscape: The Diffusion of a Genocidal Norm in Rwanda’, </w:t>
      </w:r>
      <w:r>
        <w:rPr>
          <w:i/>
          <w:iCs/>
        </w:rPr>
        <w:t xml:space="preserve">Journal of Genocide Research </w:t>
      </w:r>
      <w:r>
        <w:t>6:1 (2004).</w:t>
      </w:r>
    </w:p>
    <w:p w14:paraId="1FAE1AD7" w14:textId="77777777" w:rsidR="00167B69" w:rsidRDefault="00167B69" w:rsidP="00167B69">
      <w:r>
        <w:t xml:space="preserve">Lee Ann Fujii, ‘The Power of Local Ties: Popular Participation in the Rwandan Genocide’, </w:t>
      </w:r>
      <w:r>
        <w:rPr>
          <w:i/>
          <w:iCs/>
        </w:rPr>
        <w:t xml:space="preserve">Security Studies </w:t>
      </w:r>
      <w:r>
        <w:t>17:3 (2008), 568-597.</w:t>
      </w:r>
    </w:p>
    <w:p w14:paraId="7DCC21F2" w14:textId="74D0FED9" w:rsidR="00F97E54" w:rsidRPr="00F97E54" w:rsidRDefault="00F97E54" w:rsidP="00167B69">
      <w:r w:rsidRPr="00F97E54">
        <w:t>Funom Theophilus Makama, ‘International neglect in th</w:t>
      </w:r>
      <w:r>
        <w:t xml:space="preserve">e Rwandan genocide: Lessons missed in Somalia that would have prevented the Mogadishu Syndrome’, </w:t>
      </w:r>
      <w:r>
        <w:rPr>
          <w:i/>
          <w:iCs/>
        </w:rPr>
        <w:t xml:space="preserve">African Journal of Social Issues </w:t>
      </w:r>
      <w:r>
        <w:t xml:space="preserve">6:1 (2023), </w:t>
      </w:r>
      <w:r w:rsidR="00672436">
        <w:t>207-221.</w:t>
      </w:r>
    </w:p>
    <w:p w14:paraId="158E8D81" w14:textId="21070710" w:rsidR="00755311" w:rsidRPr="00F97E54" w:rsidRDefault="00755311" w:rsidP="00167B69">
      <w:r w:rsidRPr="00F97E54">
        <w:t xml:space="preserve">Rangira Béa Gallimore, ‘Militarism, ethnicity and sexual violence in the Rwandan genocide’, </w:t>
      </w:r>
      <w:r w:rsidRPr="00F97E54">
        <w:rPr>
          <w:i/>
          <w:iCs/>
        </w:rPr>
        <w:t xml:space="preserve">Feminist Africa </w:t>
      </w:r>
      <w:r w:rsidRPr="00F97E54">
        <w:t>10</w:t>
      </w:r>
      <w:r w:rsidR="006E2036" w:rsidRPr="00F97E54">
        <w:t xml:space="preserve"> (2008), 9-30.</w:t>
      </w:r>
    </w:p>
    <w:p w14:paraId="754868D1" w14:textId="77777777" w:rsidR="00167B69" w:rsidRDefault="00167B69" w:rsidP="00167B69">
      <w:r>
        <w:t xml:space="preserve">Helen Hintjens, ‘Explaining the 1994 Genocide in Rwanda’, </w:t>
      </w:r>
      <w:r>
        <w:rPr>
          <w:i/>
          <w:iCs/>
        </w:rPr>
        <w:t xml:space="preserve">Journal of Modern African Studies </w:t>
      </w:r>
      <w:r>
        <w:t>37:2 (1999), pp.241-286.</w:t>
      </w:r>
    </w:p>
    <w:p w14:paraId="78D4102A" w14:textId="0D8CC619" w:rsidR="00E379FA" w:rsidRDefault="00E379FA" w:rsidP="00167B69">
      <w:r>
        <w:t xml:space="preserve">Helen Hintjens, ‘When identity becomes a knife: Reflecting on the genocide in Rwanda’, </w:t>
      </w:r>
      <w:r>
        <w:rPr>
          <w:i/>
          <w:iCs/>
        </w:rPr>
        <w:t xml:space="preserve">Ethnicities </w:t>
      </w:r>
      <w:r>
        <w:t>1:1 (2001), 25-55.</w:t>
      </w:r>
    </w:p>
    <w:p w14:paraId="2FA6BFD7" w14:textId="579A8EB9" w:rsidR="007D41DC" w:rsidRDefault="007D41DC" w:rsidP="007D41DC">
      <w:r w:rsidRPr="007D41DC">
        <w:t>Natalie Hodgson, ‘Gender justice or gendered just</w:t>
      </w:r>
      <w:r>
        <w:t xml:space="preserve">ice? Female defendants in International Criminal Tribunals’, </w:t>
      </w:r>
      <w:r>
        <w:rPr>
          <w:i/>
          <w:iCs/>
        </w:rPr>
        <w:t xml:space="preserve">Feminist Legal Studies </w:t>
      </w:r>
      <w:r>
        <w:t>25 (2017), 337-357.</w:t>
      </w:r>
    </w:p>
    <w:p w14:paraId="6ECDC425" w14:textId="267BBCA8" w:rsidR="00C43C34" w:rsidRPr="00E379FA" w:rsidRDefault="00C43C34" w:rsidP="00C43C34">
      <w:r>
        <w:t xml:space="preserve">Michael Humphrey, ‘International intervention, justice and national reconciliation: The role of the ICTY and ICTR in Bosnia and Rwanda’, </w:t>
      </w:r>
      <w:r>
        <w:rPr>
          <w:i/>
          <w:iCs/>
        </w:rPr>
        <w:t xml:space="preserve">Journal of Human Rights </w:t>
      </w:r>
      <w:r>
        <w:t>2:4 (2003), 495-505.</w:t>
      </w:r>
    </w:p>
    <w:p w14:paraId="75EA1B66" w14:textId="77777777" w:rsidR="00167B69" w:rsidRDefault="00167B69" w:rsidP="00167B69">
      <w:r w:rsidRPr="00097690">
        <w:lastRenderedPageBreak/>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9.</w:t>
      </w:r>
    </w:p>
    <w:p w14:paraId="17740CDF" w14:textId="73B558B0" w:rsidR="004E19E2" w:rsidRDefault="004E19E2" w:rsidP="004E19E2">
      <w:r>
        <w:t xml:space="preserve">Adam Jones, ‘Gendercide and genocide’, </w:t>
      </w:r>
      <w:r>
        <w:rPr>
          <w:i/>
          <w:iCs/>
        </w:rPr>
        <w:t xml:space="preserve">Journal of genocide research </w:t>
      </w:r>
      <w:r>
        <w:t>2:2 (2000), 185-211.</w:t>
      </w:r>
    </w:p>
    <w:p w14:paraId="312A1376" w14:textId="77777777" w:rsidR="00167B69" w:rsidRDefault="00167B69" w:rsidP="00167B69">
      <w:r>
        <w:t xml:space="preserve">Adam Jones, ‘Gender and Genocide in Rwanda’, </w:t>
      </w:r>
      <w:r>
        <w:rPr>
          <w:i/>
          <w:iCs/>
        </w:rPr>
        <w:t xml:space="preserve">Journal of Genocide Research </w:t>
      </w:r>
      <w:r>
        <w:t>4:1 (2002), 65-94.</w:t>
      </w:r>
    </w:p>
    <w:p w14:paraId="36397600" w14:textId="77777777" w:rsidR="00167B69" w:rsidRDefault="00167B69" w:rsidP="00167B69">
      <w:r>
        <w:t xml:space="preserve">Rhian Elinor Keyse, ‘“A Very Sensitive Rwandan Woman”: Sexual Violence, History, and Gendered Narratives in the Trial of Pauline Nyiramasuhuko at the International Criminal Tribunal for Rwanda, 2001-2011’, </w:t>
      </w:r>
      <w:r>
        <w:rPr>
          <w:i/>
          <w:iCs/>
        </w:rPr>
        <w:t xml:space="preserve">Women’s History Review </w:t>
      </w:r>
      <w:r>
        <w:t>32:7 (2023), 1015-1039.</w:t>
      </w:r>
    </w:p>
    <w:p w14:paraId="582796C6" w14:textId="77777777" w:rsidR="004356BA" w:rsidRDefault="002728ED" w:rsidP="00167B69">
      <w:r>
        <w:t xml:space="preserve">Wendy Lambourne, ‘Ethnic conflict and genocide in Rwanda’, in S. Ratuva (ed.), </w:t>
      </w:r>
      <w:r w:rsidR="004B309B">
        <w:rPr>
          <w:i/>
          <w:iCs/>
        </w:rPr>
        <w:t xml:space="preserve">The Palgrave Handbook of Ethnicity </w:t>
      </w:r>
      <w:r w:rsidR="004B309B">
        <w:t>(</w:t>
      </w:r>
      <w:r w:rsidR="004356BA">
        <w:t>Singapore, 2019).</w:t>
      </w:r>
    </w:p>
    <w:p w14:paraId="5570B990" w14:textId="2F728A12" w:rsidR="00167B69" w:rsidRDefault="00167B69" w:rsidP="00167B69">
      <w:r>
        <w:t xml:space="preserve">René Lemarchand, ‘Disconnecting the Threads: Rwanda and the Holocaust Reconsidered’, </w:t>
      </w:r>
      <w:r>
        <w:rPr>
          <w:i/>
          <w:iCs/>
        </w:rPr>
        <w:t xml:space="preserve">Journal of Genocide Research </w:t>
      </w:r>
      <w:r>
        <w:t>4 (2002), pp.499-518.</w:t>
      </w:r>
    </w:p>
    <w:p w14:paraId="1A7BB4BC" w14:textId="32BE6688" w:rsidR="00D112FA" w:rsidRPr="00CB60D3" w:rsidRDefault="00D112FA" w:rsidP="00167B69">
      <w:r w:rsidRPr="00CB60D3">
        <w:t xml:space="preserve">René Lemarchand, </w:t>
      </w:r>
      <w:r w:rsidR="00CB60D3" w:rsidRPr="00CB60D3">
        <w:t>‘Rwanda: The rationality of</w:t>
      </w:r>
      <w:r w:rsidR="00CB60D3">
        <w:t xml:space="preserve"> genocide’, </w:t>
      </w:r>
      <w:r w:rsidR="00CB60D3">
        <w:rPr>
          <w:i/>
          <w:iCs/>
        </w:rPr>
        <w:t xml:space="preserve">Issue: A Journal of Opinion </w:t>
      </w:r>
      <w:r w:rsidR="00CB60D3">
        <w:t>23:3 (1995), 8-11.</w:t>
      </w:r>
    </w:p>
    <w:p w14:paraId="06947C0C" w14:textId="6E7D57CA" w:rsidR="00F25F12" w:rsidRPr="00C61DC4" w:rsidRDefault="00F25F12" w:rsidP="00D935B0">
      <w:r>
        <w:t xml:space="preserve">René Lemarchand, ‘Comparing the killing fields: Rwanda, Cambodia and Bosnia’, in Steven L. B. Jensen (ed.), </w:t>
      </w:r>
      <w:r>
        <w:rPr>
          <w:i/>
          <w:iCs/>
        </w:rPr>
        <w:t xml:space="preserve">Genocide: Cases, Comparisons and Contemporary Debates </w:t>
      </w:r>
      <w:r>
        <w:t>(Copenhagen, 2003), pp. 141-174.</w:t>
      </w:r>
    </w:p>
    <w:p w14:paraId="608BA1CD" w14:textId="77777777" w:rsidR="00167B69" w:rsidRDefault="00167B69" w:rsidP="00167B69">
      <w:r>
        <w:t xml:space="preserve">Timothy Longman, ‘Twenty Years After </w:t>
      </w:r>
      <w:r>
        <w:rPr>
          <w:i/>
          <w:iCs/>
        </w:rPr>
        <w:t xml:space="preserve">Leave None To Tell The Story, </w:t>
      </w:r>
      <w:r>
        <w:t xml:space="preserve">What Do We Now Know About the Genocide of the Tutsi in Rwanda’, </w:t>
      </w:r>
      <w:r>
        <w:rPr>
          <w:i/>
          <w:iCs/>
        </w:rPr>
        <w:t xml:space="preserve">Journal of Humanitarian Affairs </w:t>
      </w:r>
      <w:r>
        <w:t>2:2 (2020), 40-47.</w:t>
      </w:r>
    </w:p>
    <w:p w14:paraId="67CB232A" w14:textId="05060C4A" w:rsidR="00167B69" w:rsidRDefault="00167B69" w:rsidP="00167B69">
      <w:r>
        <w:t xml:space="preserve">Timothy Longman, ‘Christian Churches and Genocide in Rwanda’ in Omer Bartov and Phyllis Mack (eds.), </w:t>
      </w:r>
      <w:r>
        <w:rPr>
          <w:i/>
          <w:iCs/>
        </w:rPr>
        <w:t xml:space="preserve">In God’s Name: Genocide and Religion in the Twentieth Century </w:t>
      </w:r>
      <w:r>
        <w:t>(2010), pp. 139-160</w:t>
      </w:r>
      <w:r w:rsidR="00936AF2">
        <w:t>.</w:t>
      </w:r>
    </w:p>
    <w:p w14:paraId="71E6B31C" w14:textId="576D3367" w:rsidR="00F94D05" w:rsidRPr="00F94D05" w:rsidRDefault="00F94D05" w:rsidP="00167B69">
      <w:r w:rsidRPr="00F94D05">
        <w:t>D. R. L. Ludlow, ‘Humanitarian intervention an</w:t>
      </w:r>
      <w:r>
        <w:t xml:space="preserve">d the Rwandan genocide’, </w:t>
      </w:r>
      <w:r>
        <w:rPr>
          <w:i/>
          <w:iCs/>
        </w:rPr>
        <w:t xml:space="preserve">Journal of Conflict Studies </w:t>
      </w:r>
      <w:r>
        <w:t>19:1 (1999), 22-47.</w:t>
      </w:r>
    </w:p>
    <w:p w14:paraId="54C146D6" w14:textId="549722E8" w:rsidR="00936AF2" w:rsidRPr="00936AF2" w:rsidRDefault="00936AF2" w:rsidP="00167B69">
      <w:r>
        <w:t xml:space="preserve">Anne Mackintosh, ‘The International Response to Conflict and Genocide: Lessons from the Rwanda experience’, </w:t>
      </w:r>
      <w:r>
        <w:rPr>
          <w:i/>
          <w:iCs/>
        </w:rPr>
        <w:t xml:space="preserve">Journal of Refugee Studies </w:t>
      </w:r>
      <w:r>
        <w:t>9:3 (1996), 334-342.</w:t>
      </w:r>
    </w:p>
    <w:p w14:paraId="7710FF76" w14:textId="77777777" w:rsidR="00167B69" w:rsidRDefault="00167B69" w:rsidP="00167B69">
      <w:r>
        <w:t xml:space="preserve">Mahmood Mamdani, </w:t>
      </w:r>
      <w:r>
        <w:rPr>
          <w:i/>
          <w:iCs/>
        </w:rPr>
        <w:t xml:space="preserve">When Victims Become Killers: Colonialism, Nativism, and the Genocide in Rwanda </w:t>
      </w:r>
      <w:r>
        <w:t>(Princeton University Press, 2001), Introduction.</w:t>
      </w:r>
    </w:p>
    <w:p w14:paraId="471A2AA4" w14:textId="77777777" w:rsidR="00BD0C72" w:rsidRDefault="00BD0C72" w:rsidP="00167B69">
      <w:r>
        <w:t xml:space="preserve">Nesam McMillan, ‘“Our” shame: International responsibility for the Rwandan genocide’, </w:t>
      </w:r>
      <w:r>
        <w:rPr>
          <w:i/>
          <w:iCs/>
        </w:rPr>
        <w:t xml:space="preserve">Australian Feminist Law Journal </w:t>
      </w:r>
      <w:r>
        <w:t>28:1 (2008), 3-28.</w:t>
      </w:r>
    </w:p>
    <w:p w14:paraId="165FD256" w14:textId="17482E05" w:rsidR="00BF632D" w:rsidRDefault="00BF632D" w:rsidP="00167B69">
      <w:r>
        <w:t xml:space="preserve">Mel McNulty, ‘French arms, war and genocide in Rwanda’, </w:t>
      </w:r>
      <w:r>
        <w:rPr>
          <w:i/>
          <w:iCs/>
        </w:rPr>
        <w:t xml:space="preserve">Crime, law and social change </w:t>
      </w:r>
      <w:r>
        <w:t>33:1-2 (2000), 105-129.</w:t>
      </w:r>
    </w:p>
    <w:p w14:paraId="60C74E80" w14:textId="3D54BD52" w:rsidR="001D1BDF" w:rsidRPr="001D1BDF" w:rsidRDefault="001D1BDF" w:rsidP="00167B69">
      <w:r>
        <w:lastRenderedPageBreak/>
        <w:t xml:space="preserve">Mel McNulty, ‘France’s role in Rwanda and external military intervention: A double discrediting’, </w:t>
      </w:r>
      <w:r>
        <w:rPr>
          <w:i/>
          <w:iCs/>
        </w:rPr>
        <w:t xml:space="preserve">International Peacekeeping </w:t>
      </w:r>
      <w:r>
        <w:t>4:3 (1997), 24-44.</w:t>
      </w:r>
    </w:p>
    <w:p w14:paraId="62253FB6" w14:textId="77777777" w:rsidR="00167B69" w:rsidRPr="00322CC5" w:rsidRDefault="00167B69" w:rsidP="00167B69">
      <w:r w:rsidRPr="00322CC5">
        <w:t>Robert Melson, ‘Modern Genocide in Rwanda: Ideology, Revolution, War, and Mass Mur</w:t>
      </w:r>
      <w:r>
        <w:t xml:space="preserve">der in an African State’, in Robert Gellately and Ben Kiernan (eds.), ‘ </w:t>
      </w:r>
      <w:r>
        <w:rPr>
          <w:i/>
          <w:iCs/>
        </w:rPr>
        <w:t xml:space="preserve">The Specter of Genocide: Mass Murder in Historical Perspective </w:t>
      </w:r>
      <w:r>
        <w:t>(Cambridge, 2003), pp.325-338.</w:t>
      </w:r>
    </w:p>
    <w:p w14:paraId="4A0A0E0C" w14:textId="77777777" w:rsidR="00167B69" w:rsidRDefault="00167B69" w:rsidP="00167B69">
      <w:r>
        <w:t xml:space="preserve">Donald E. Miller, </w:t>
      </w:r>
      <w:r>
        <w:rPr>
          <w:i/>
          <w:iCs/>
        </w:rPr>
        <w:t xml:space="preserve">Becoming Human Again: An Oral History of the Rwanda Genocide Against the Tutsi </w:t>
      </w:r>
      <w:r>
        <w:t>(University of California Press, 2020).</w:t>
      </w:r>
    </w:p>
    <w:p w14:paraId="7EC9AF88" w14:textId="77777777" w:rsidR="00167B69" w:rsidRDefault="00167B69" w:rsidP="00167B69">
      <w:r w:rsidRPr="00032F49">
        <w:t>Charles Mironko, ‘</w:t>
      </w:r>
      <w:r w:rsidRPr="00032F49">
        <w:rPr>
          <w:i/>
          <w:iCs/>
        </w:rPr>
        <w:t xml:space="preserve">Igitero: </w:t>
      </w:r>
      <w:r w:rsidRPr="00032F49">
        <w:t>Means and Motive in the Rwandan Genocide’</w:t>
      </w:r>
      <w:r>
        <w:t xml:space="preserve"> in </w:t>
      </w:r>
      <w:r>
        <w:rPr>
          <w:i/>
          <w:iCs/>
        </w:rPr>
        <w:t xml:space="preserve">Journal of Genocide Research </w:t>
      </w:r>
      <w:r>
        <w:t>6:1 (2004).</w:t>
      </w:r>
    </w:p>
    <w:p w14:paraId="7E83EEC0" w14:textId="4EE7AF3F" w:rsidR="00581716" w:rsidRDefault="00581716" w:rsidP="00167B69">
      <w:r>
        <w:t xml:space="preserve">Catharine Newbury, ‘Background to genocide: Rwanda’, </w:t>
      </w:r>
      <w:r>
        <w:rPr>
          <w:i/>
          <w:iCs/>
        </w:rPr>
        <w:t xml:space="preserve">Issue: A Journal of Opinion </w:t>
      </w:r>
      <w:r>
        <w:t>23:2 (1995), 12-17.</w:t>
      </w:r>
    </w:p>
    <w:p w14:paraId="45510C52" w14:textId="2D4C993B" w:rsidR="0072753D" w:rsidRPr="0072753D" w:rsidRDefault="0072753D" w:rsidP="00167B69">
      <w:r>
        <w:t xml:space="preserve">Catharine Newbury and David Newbury, ‘A Catholic Mass in Kigali: Contested Views of the Genocide and Ethnicity in Rwanda’, </w:t>
      </w:r>
      <w:r>
        <w:rPr>
          <w:i/>
          <w:iCs/>
        </w:rPr>
        <w:t xml:space="preserve">Canadian Journal of African Studies </w:t>
      </w:r>
      <w:r>
        <w:t>33:2-3 (1999), 292-328.</w:t>
      </w:r>
    </w:p>
    <w:p w14:paraId="4A08BEB3" w14:textId="65071BD1" w:rsidR="00FF2B60" w:rsidRDefault="00FF2B60" w:rsidP="00167B69">
      <w:r>
        <w:t xml:space="preserve">Blessed Ngwenya and Mcebisi Ngwenya, ‘Exploring the representation of violence against women in </w:t>
      </w:r>
      <w:r>
        <w:rPr>
          <w:i/>
          <w:iCs/>
        </w:rPr>
        <w:t xml:space="preserve">Hotel Rwanda </w:t>
      </w:r>
      <w:r>
        <w:t xml:space="preserve">(2004) and </w:t>
      </w:r>
      <w:r>
        <w:rPr>
          <w:i/>
          <w:iCs/>
        </w:rPr>
        <w:t xml:space="preserve">The Greatest Silence: Rape in the Congo </w:t>
      </w:r>
      <w:r>
        <w:t xml:space="preserve">(2007) – A gendered perspective’ in in Mphathisi Ndlovu, Lungile Augustine Tshuma and Shepher Mpofu (eds.), </w:t>
      </w:r>
      <w:r>
        <w:rPr>
          <w:i/>
          <w:iCs/>
        </w:rPr>
        <w:t xml:space="preserve">Remembering mass atrocities: Perspectives on memory struggles and cultural representations in Africa </w:t>
      </w:r>
      <w:r>
        <w:t>(Cham, 2024), 197-216.</w:t>
      </w:r>
    </w:p>
    <w:p w14:paraId="685762F5" w14:textId="79A731DB" w:rsidR="00617527" w:rsidRDefault="00617527" w:rsidP="00167B69">
      <w:r>
        <w:t xml:space="preserve">Tamsin Phillipa Paige, ‘Wilfully Blind: The Security Council’s Response to Genocide in Rwanda’, </w:t>
      </w:r>
      <w:r>
        <w:rPr>
          <w:i/>
          <w:iCs/>
        </w:rPr>
        <w:t xml:space="preserve">Journal of International Peacekeeping </w:t>
      </w:r>
      <w:r w:rsidR="00FC66A2">
        <w:t>22:1-4 (020), 136-147.</w:t>
      </w:r>
    </w:p>
    <w:p w14:paraId="538FC577" w14:textId="6AC37C30" w:rsidR="009754B5" w:rsidRPr="009754B5" w:rsidRDefault="009754B5" w:rsidP="00167B69">
      <w:r>
        <w:t xml:space="preserve">Samantha Power, </w:t>
      </w:r>
      <w:r>
        <w:rPr>
          <w:i/>
          <w:iCs/>
        </w:rPr>
        <w:t xml:space="preserve">A Problem from Hell: America and the Age of Genocide </w:t>
      </w:r>
      <w:r>
        <w:t>(New York, 2002).</w:t>
      </w:r>
    </w:p>
    <w:p w14:paraId="7EB18445" w14:textId="77777777" w:rsidR="00D424CE" w:rsidRDefault="00D424CE" w:rsidP="00167B69">
      <w:r>
        <w:t xml:space="preserve">Noam Schimmel, ‘An invisible genocide: How the Western media failed to report the 1994 Rwandan genocide of the Tutsi and why’, </w:t>
      </w:r>
      <w:r>
        <w:rPr>
          <w:i/>
          <w:iCs/>
        </w:rPr>
        <w:t xml:space="preserve">International Journal of Human Rights </w:t>
      </w:r>
      <w:r>
        <w:t>15:7 (2011), 1125-1135.</w:t>
      </w:r>
    </w:p>
    <w:p w14:paraId="1A5FF80F" w14:textId="181F2A96" w:rsidR="00167B69" w:rsidRPr="00B67530" w:rsidRDefault="00167B69" w:rsidP="00167B69">
      <w:r w:rsidRPr="00B67530">
        <w:t>Lisa Sharlach, ‘Gender and Genocide in Rwanda: Women a</w:t>
      </w:r>
      <w:r>
        <w:t xml:space="preserve">s Agents and Objects of Genocide’, </w:t>
      </w:r>
      <w:r>
        <w:rPr>
          <w:i/>
          <w:iCs/>
        </w:rPr>
        <w:t xml:space="preserve">Journal of Genocide Research, </w:t>
      </w:r>
      <w:r>
        <w:t>1:3 (1999).</w:t>
      </w:r>
    </w:p>
    <w:p w14:paraId="6EBC1078" w14:textId="77777777" w:rsidR="00167B69" w:rsidRDefault="00167B69" w:rsidP="00167B69">
      <w:r>
        <w:t xml:space="preserve">Gregory H. Stanton, ‘Could the Rwandan Genocide Have Been Prevented?’, </w:t>
      </w:r>
      <w:r>
        <w:rPr>
          <w:i/>
          <w:iCs/>
        </w:rPr>
        <w:t xml:space="preserve">Journal of Genocide Research </w:t>
      </w:r>
      <w:r>
        <w:t>6:2 (2004), 211-228.</w:t>
      </w:r>
    </w:p>
    <w:p w14:paraId="3FD0AE33" w14:textId="77777777" w:rsidR="00167B69" w:rsidRDefault="00167B69" w:rsidP="00167B69">
      <w:r>
        <w:t xml:space="preserve">Izabela Steflja, ‘Professional Women as Perpetrators: A Conversation with Valérie, “Rwanda’s Voice of Death”, </w:t>
      </w:r>
      <w:r>
        <w:rPr>
          <w:i/>
          <w:iCs/>
        </w:rPr>
        <w:t xml:space="preserve">Journal of Genocide Research </w:t>
      </w:r>
      <w:r>
        <w:t>(2024).</w:t>
      </w:r>
    </w:p>
    <w:p w14:paraId="43B7B5DD" w14:textId="77777777" w:rsidR="00167B69" w:rsidRDefault="00167B69" w:rsidP="00167B69">
      <w:r>
        <w:t xml:space="preserve">Scott Straus, ‘The Limits of a Genocide Lens: Violence Against Rwandans in the 1990s’, </w:t>
      </w:r>
      <w:r>
        <w:rPr>
          <w:i/>
          <w:iCs/>
        </w:rPr>
        <w:t xml:space="preserve">Journal of Genocide Research </w:t>
      </w:r>
      <w:r>
        <w:t>21:4 (2019).</w:t>
      </w:r>
    </w:p>
    <w:p w14:paraId="79C8C93B" w14:textId="77777777" w:rsidR="00167B69" w:rsidRDefault="00167B69" w:rsidP="00167B69">
      <w:r>
        <w:lastRenderedPageBreak/>
        <w:t xml:space="preserve">Scott Straus, ‘How Many Perpetrators Were There in the Rwandan Genocide? An Estimate’, </w:t>
      </w:r>
      <w:r>
        <w:rPr>
          <w:i/>
          <w:iCs/>
        </w:rPr>
        <w:t xml:space="preserve">Journal of Genocide Research </w:t>
      </w:r>
      <w:r>
        <w:t>6:1 (2004).</w:t>
      </w:r>
    </w:p>
    <w:p w14:paraId="26DCD67E" w14:textId="77777777" w:rsidR="00167B69" w:rsidRDefault="00167B69" w:rsidP="00167B69">
      <w:r>
        <w:t xml:space="preserve">Scott Straus, </w:t>
      </w:r>
      <w:r>
        <w:rPr>
          <w:i/>
          <w:iCs/>
        </w:rPr>
        <w:t xml:space="preserve">The Order of Genocide: Race, Power, and War in Rwanda </w:t>
      </w:r>
      <w:r>
        <w:t>(Cornell University Press, 2006).</w:t>
      </w:r>
    </w:p>
    <w:p w14:paraId="011D7592" w14:textId="77777777" w:rsidR="00167B69" w:rsidRPr="009D46B1" w:rsidRDefault="00167B69" w:rsidP="00167B69">
      <w:r>
        <w:t xml:space="preserve">Scott Straus, ‘What Is The Relationship Between Hate Radio and Violence? Rethinking Rwanda’s “Radio Machete”’, </w:t>
      </w:r>
      <w:r>
        <w:rPr>
          <w:i/>
          <w:iCs/>
        </w:rPr>
        <w:t xml:space="preserve">Politics &amp; Society </w:t>
      </w:r>
      <w:r>
        <w:t>35:4 (2007), 609-637.</w:t>
      </w:r>
    </w:p>
    <w:p w14:paraId="623414B0" w14:textId="77777777" w:rsidR="00167B69" w:rsidRDefault="00167B69" w:rsidP="00167B69">
      <w:r>
        <w:t xml:space="preserve">Christopher C. Taylor, ‘The Cultural Face of Terror in the Rwandan Genocide of 1994’ in Alexander Laban Hinton (ed.), </w:t>
      </w:r>
      <w:r>
        <w:rPr>
          <w:i/>
          <w:iCs/>
        </w:rPr>
        <w:t xml:space="preserve">Annihilating Difference: The Anthropology of Genocide </w:t>
      </w:r>
      <w:r>
        <w:t>(University of California Press, 2002), pp. 137-178.</w:t>
      </w:r>
    </w:p>
    <w:p w14:paraId="030A9C0E" w14:textId="77777777" w:rsidR="00167B69" w:rsidRDefault="00167B69" w:rsidP="00167B69">
      <w:r>
        <w:t xml:space="preserve">Christopher C. Taylor, ‘A Gendered Genocide: Tutsi Women and Hutu Extremists in the 1994 Rwanda Genocide’, </w:t>
      </w:r>
      <w:r>
        <w:rPr>
          <w:i/>
          <w:iCs/>
        </w:rPr>
        <w:t xml:space="preserve">Political and Legal Anthropology Review </w:t>
      </w:r>
      <w:r>
        <w:t>22:1 (1999), 42-54.</w:t>
      </w:r>
    </w:p>
    <w:p w14:paraId="4911642E" w14:textId="77777777" w:rsidR="00167B69" w:rsidRDefault="00167B69" w:rsidP="00167B69">
      <w:r>
        <w:t xml:space="preserve">Allan Thompson (ed.), </w:t>
      </w:r>
      <w:r>
        <w:rPr>
          <w:i/>
          <w:iCs/>
        </w:rPr>
        <w:t xml:space="preserve">The Media and the Rwanda Genocide </w:t>
      </w:r>
      <w:r>
        <w:t>(Pluto Press, 2007).</w:t>
      </w:r>
    </w:p>
    <w:p w14:paraId="3B3D212A" w14:textId="77777777" w:rsidR="00167B69" w:rsidRDefault="00167B69" w:rsidP="00167B69">
      <w:r w:rsidRPr="00DC193A">
        <w:t>Peter Uvin, ‘Prejudice, Crisis, and G</w:t>
      </w:r>
      <w:r>
        <w:t xml:space="preserve">enocide in Rwanda’, </w:t>
      </w:r>
      <w:r>
        <w:rPr>
          <w:i/>
          <w:iCs/>
        </w:rPr>
        <w:t xml:space="preserve">African Studies Review </w:t>
      </w:r>
      <w:r>
        <w:t>40:2 (1997), 91-115.</w:t>
      </w:r>
    </w:p>
    <w:p w14:paraId="42CD7820" w14:textId="77777777" w:rsidR="004249AD" w:rsidRDefault="00FC4761" w:rsidP="00C0485A">
      <w:r>
        <w:t xml:space="preserve">Alex de Waal and Rakiya Omaar, ‘The genocide in Rwanda and the international response’, </w:t>
      </w:r>
      <w:r>
        <w:rPr>
          <w:i/>
          <w:iCs/>
        </w:rPr>
        <w:t xml:space="preserve">Current History </w:t>
      </w:r>
      <w:r w:rsidR="004249AD">
        <w:t>94 (1995), 156-161.</w:t>
      </w:r>
    </w:p>
    <w:p w14:paraId="7CE2E8CE" w14:textId="0F0B6279" w:rsidR="00C0485A" w:rsidRPr="002529C1" w:rsidRDefault="00C0485A" w:rsidP="00C0485A">
      <w:r>
        <w:t xml:space="preserve">Nicholas J. Wheeler, </w:t>
      </w:r>
      <w:r>
        <w:rPr>
          <w:i/>
          <w:iCs/>
        </w:rPr>
        <w:t xml:space="preserve">Saving strangers: Humanitarian intervention in international society </w:t>
      </w:r>
      <w:r>
        <w:t>(Oxford, 2002),</w:t>
      </w:r>
      <w:r>
        <w:rPr>
          <w:i/>
          <w:iCs/>
        </w:rPr>
        <w:t xml:space="preserve"> </w:t>
      </w:r>
      <w:r>
        <w:t>Chapter 7.</w:t>
      </w:r>
    </w:p>
    <w:p w14:paraId="497AF002" w14:textId="77777777" w:rsidR="00860B8D" w:rsidRDefault="00860B8D" w:rsidP="00167B69"/>
    <w:p w14:paraId="4BE938A5" w14:textId="64D3E0ED" w:rsidR="00200582" w:rsidRDefault="001225C6" w:rsidP="001225C6">
      <w:pPr>
        <w:pStyle w:val="Heading3"/>
      </w:pPr>
      <w:r>
        <w:t>Darfur/South Sudan</w:t>
      </w:r>
    </w:p>
    <w:p w14:paraId="08BFB88A" w14:textId="77777777" w:rsidR="00717DDF" w:rsidRDefault="00FD0AFE" w:rsidP="008C0074">
      <w:r>
        <w:t xml:space="preserve">Klinton W. Alexander, ‘Ignoring the Lessons of the Past: The crisis in Darfur and the case for humanitarian intervention’, </w:t>
      </w:r>
      <w:r>
        <w:rPr>
          <w:i/>
          <w:iCs/>
        </w:rPr>
        <w:t>Florida State University Journal of T</w:t>
      </w:r>
      <w:r w:rsidR="00893FCF">
        <w:rPr>
          <w:i/>
          <w:iCs/>
        </w:rPr>
        <w:t xml:space="preserve">ransnational Law and Policy </w:t>
      </w:r>
      <w:r w:rsidR="00893FCF">
        <w:t>15:1 (2005), 1</w:t>
      </w:r>
      <w:r w:rsidR="00717DDF">
        <w:t>-48.</w:t>
      </w:r>
    </w:p>
    <w:p w14:paraId="01EEC47C" w14:textId="632B21E2" w:rsidR="008C0074" w:rsidRDefault="001225C6" w:rsidP="008C0074">
      <w:r>
        <w:t xml:space="preserve">Stacy Banwell, </w:t>
      </w:r>
      <w:r>
        <w:rPr>
          <w:i/>
          <w:iCs/>
        </w:rPr>
        <w:t xml:space="preserve">Gender and the violence(s) of war and armed conflict: More dangerous to be a woman? </w:t>
      </w:r>
      <w:r>
        <w:t>(Bingley, 2020), chapter 6.</w:t>
      </w:r>
    </w:p>
    <w:p w14:paraId="56AA0068" w14:textId="3ABC5862" w:rsidR="00A37098" w:rsidRDefault="001225C6" w:rsidP="00A37098">
      <w:r>
        <w:t xml:space="preserve">Andrea Behrends, </w:t>
      </w:r>
      <w:r>
        <w:rPr>
          <w:i/>
          <w:iCs/>
        </w:rPr>
        <w:t xml:space="preserve">Lifeworlds in Crisis: Making refugees in the Chad-Sudan Borderlands </w:t>
      </w:r>
      <w:r>
        <w:t>(Oxford, 2024).</w:t>
      </w:r>
    </w:p>
    <w:p w14:paraId="2A34D860" w14:textId="7E731117" w:rsidR="00244B8F" w:rsidRPr="00244B8F" w:rsidRDefault="00244B8F" w:rsidP="00A37098">
      <w:r>
        <w:t xml:space="preserve">Alex J. Bellamy, ‘Responsibility to protect or Trojan horse? The crisis in Darfur and humanitarian intervention after Iraq’, </w:t>
      </w:r>
      <w:r>
        <w:rPr>
          <w:i/>
          <w:iCs/>
        </w:rPr>
        <w:t xml:space="preserve">Ethics and International Affairs </w:t>
      </w:r>
      <w:r>
        <w:t>19:2 (2005), 31-53.</w:t>
      </w:r>
    </w:p>
    <w:p w14:paraId="58CBF38F" w14:textId="77777777" w:rsidR="001225C6" w:rsidRDefault="001225C6" w:rsidP="001225C6">
      <w:r>
        <w:t xml:space="preserve">John Hagan, Wenona Rymond-Richmond and Patricia Parker, ‘The criminology of genocide: The death and rape of Darfur’, </w:t>
      </w:r>
      <w:r>
        <w:rPr>
          <w:i/>
          <w:iCs/>
        </w:rPr>
        <w:t xml:space="preserve">Criminology </w:t>
      </w:r>
      <w:r>
        <w:t>43:3 (2005), 525-561.</w:t>
      </w:r>
    </w:p>
    <w:p w14:paraId="5D4CD356" w14:textId="1B06A8B0" w:rsidR="00574326" w:rsidRDefault="00574326" w:rsidP="00574326">
      <w:r>
        <w:lastRenderedPageBreak/>
        <w:t>Sondra Hale, ‘Rape as a marker and eraser of difference: Darfur and the Nuba Mountains (Sudan)’,  i</w:t>
      </w:r>
      <w:r w:rsidRPr="00655A6C">
        <w:t xml:space="preserve">n </w:t>
      </w:r>
      <w:r>
        <w:t xml:space="preserve">Laura Sjoberg and Sandra Via (eds.), </w:t>
      </w:r>
      <w:r w:rsidRPr="00655A6C">
        <w:rPr>
          <w:i/>
          <w:iCs/>
        </w:rPr>
        <w:t>Gender, war, and militarism: Feminist pers</w:t>
      </w:r>
      <w:r>
        <w:rPr>
          <w:i/>
          <w:iCs/>
        </w:rPr>
        <w:t xml:space="preserve">pectives </w:t>
      </w:r>
      <w:r>
        <w:t>(Santa Barbara, CA, 2010), pp. 105-113.</w:t>
      </w:r>
    </w:p>
    <w:p w14:paraId="1F52031F" w14:textId="5AEA195A" w:rsidR="00574326" w:rsidRDefault="00574326" w:rsidP="00574326">
      <w:r>
        <w:t xml:space="preserve">Joshua Kaiser and John Hagan, ‘Gendered genocide: The socially destructive process of genocidal rape, killing, and displacement in Darfur’, </w:t>
      </w:r>
      <w:r>
        <w:rPr>
          <w:i/>
          <w:iCs/>
        </w:rPr>
        <w:t xml:space="preserve">Law and Society Review </w:t>
      </w:r>
      <w:r>
        <w:t>49:1 (2015), 69-107.</w:t>
      </w:r>
    </w:p>
    <w:p w14:paraId="0C143C26" w14:textId="77777777" w:rsidR="00574326" w:rsidRDefault="00574326" w:rsidP="00574326">
      <w:r w:rsidRPr="003D0ABA">
        <w:t xml:space="preserve">Ben Kiernan, </w:t>
      </w:r>
      <w:r w:rsidRPr="003D0ABA">
        <w:rPr>
          <w:i/>
          <w:iCs/>
        </w:rPr>
        <w:t xml:space="preserve">Blood and soil: A </w:t>
      </w:r>
      <w:r>
        <w:rPr>
          <w:i/>
          <w:iCs/>
        </w:rPr>
        <w:t xml:space="preserve">world history of genocide and extermination from Sparta to Darfur </w:t>
      </w:r>
      <w:r>
        <w:t>(New Haven, 2007).</w:t>
      </w:r>
    </w:p>
    <w:p w14:paraId="1C012092" w14:textId="36195C0D" w:rsidR="001225C6" w:rsidRPr="009A5F96" w:rsidRDefault="001225C6" w:rsidP="001225C6">
      <w:r>
        <w:t xml:space="preserve">Matthew Lippman, ‘Darfur: The politics of genocide denial syndrome’, </w:t>
      </w:r>
      <w:r>
        <w:rPr>
          <w:i/>
          <w:iCs/>
        </w:rPr>
        <w:t xml:space="preserve">Journal of Genocide Research </w:t>
      </w:r>
      <w:r>
        <w:t>9:2 (2007).</w:t>
      </w:r>
    </w:p>
    <w:p w14:paraId="234B9070" w14:textId="77777777" w:rsidR="001225C6" w:rsidRDefault="001225C6" w:rsidP="001225C6">
      <w:r>
        <w:t xml:space="preserve">Jok Maduk Jok, ‘Lessons in failure: Peacebuilding in Sudan/South Sudan’ in Terence McNamee and Monde Muyangwa, </w:t>
      </w:r>
      <w:r>
        <w:rPr>
          <w:i/>
          <w:iCs/>
        </w:rPr>
        <w:t xml:space="preserve">The State of Peacebuilding in Africa: Lessons Learned for Policymakers and Practitioners </w:t>
      </w:r>
      <w:r>
        <w:t>(Cham, 2021), pp. 363-377</w:t>
      </w:r>
    </w:p>
    <w:p w14:paraId="1C1D368B" w14:textId="5072E52A" w:rsidR="00574326" w:rsidRDefault="00574326" w:rsidP="00574326">
      <w:r>
        <w:t xml:space="preserve">Eyal Mayroz, ‘Ever again? The United States, genocide suppression, and the crisis in Darfur’, </w:t>
      </w:r>
      <w:r>
        <w:rPr>
          <w:i/>
          <w:iCs/>
        </w:rPr>
        <w:t xml:space="preserve">Journal of Genocide Research </w:t>
      </w:r>
      <w:r>
        <w:t>10:3 (2008).</w:t>
      </w:r>
    </w:p>
    <w:p w14:paraId="414C812E" w14:textId="77777777" w:rsidR="001225C6" w:rsidRDefault="001225C6" w:rsidP="001225C6">
      <w:r>
        <w:t xml:space="preserve">Clémence Pinaud, ‘Genocidal rape in South Sudan: Organization, function and effects’, </w:t>
      </w:r>
      <w:r>
        <w:rPr>
          <w:i/>
          <w:iCs/>
        </w:rPr>
        <w:t xml:space="preserve">Human Rights Quarterly </w:t>
      </w:r>
      <w:r>
        <w:t>42:3 (2020), 667-694.</w:t>
      </w:r>
    </w:p>
    <w:p w14:paraId="66F7BBC5" w14:textId="4975E190" w:rsidR="00574326" w:rsidRPr="00624AAE" w:rsidRDefault="00574326" w:rsidP="00574326">
      <w:r>
        <w:t xml:space="preserve">Clémence Pinaud, </w:t>
      </w:r>
      <w:r>
        <w:rPr>
          <w:i/>
          <w:iCs/>
        </w:rPr>
        <w:t xml:space="preserve">War and genocide in South Sudan </w:t>
      </w:r>
      <w:r>
        <w:t>(New York, 2021).</w:t>
      </w:r>
    </w:p>
    <w:p w14:paraId="2F04A90A" w14:textId="77777777" w:rsidR="001225C6" w:rsidRDefault="001225C6" w:rsidP="001225C6">
      <w:r>
        <w:t xml:space="preserve">Joachim Savelsberg, </w:t>
      </w:r>
      <w:r>
        <w:rPr>
          <w:i/>
          <w:iCs/>
        </w:rPr>
        <w:t xml:space="preserve">Representing Mass Violence: Conflicting Responses to Human Rights Violations in Darfur </w:t>
      </w:r>
      <w:r>
        <w:t>(Oakland, CA, 2015).</w:t>
      </w:r>
    </w:p>
    <w:p w14:paraId="60D5AA9D" w14:textId="77777777" w:rsidR="001225C6" w:rsidRDefault="001225C6" w:rsidP="001225C6">
      <w:r>
        <w:t xml:space="preserve">Martin Shaw, </w:t>
      </w:r>
      <w:r>
        <w:rPr>
          <w:i/>
          <w:iCs/>
        </w:rPr>
        <w:t xml:space="preserve">What is Genocide? </w:t>
      </w:r>
      <w:r>
        <w:t>(2010).</w:t>
      </w:r>
    </w:p>
    <w:p w14:paraId="7FFF3BE6" w14:textId="77777777" w:rsidR="001225C6" w:rsidRPr="00DD1DC4" w:rsidRDefault="001225C6" w:rsidP="001225C6">
      <w:r>
        <w:t xml:space="preserve">Hugo Slim, ‘Dithering over Darfur? A preliminary review of the international response’, </w:t>
      </w:r>
      <w:r>
        <w:rPr>
          <w:i/>
          <w:iCs/>
        </w:rPr>
        <w:t xml:space="preserve">International Affairs </w:t>
      </w:r>
      <w:r>
        <w:t>80:5 (2004), 811-828.</w:t>
      </w:r>
    </w:p>
    <w:p w14:paraId="7DA9D1D9" w14:textId="77777777" w:rsidR="001225C6" w:rsidRDefault="001225C6" w:rsidP="001225C6">
      <w:r>
        <w:t xml:space="preserve">Scott Straus, ‘Darfur and the genocide debate’, </w:t>
      </w:r>
      <w:r>
        <w:rPr>
          <w:i/>
          <w:iCs/>
        </w:rPr>
        <w:t xml:space="preserve">Foreign Affairs </w:t>
      </w:r>
      <w:r>
        <w:t>84:1 (2005), 123-33.</w:t>
      </w:r>
    </w:p>
    <w:p w14:paraId="76E4763A" w14:textId="77777777" w:rsidR="001225C6" w:rsidRDefault="001225C6" w:rsidP="001225C6">
      <w:r>
        <w:t xml:space="preserve">Scott Straus, ‘Rwanda and Darfur: A comparative analysis’, </w:t>
      </w:r>
      <w:r>
        <w:rPr>
          <w:i/>
          <w:iCs/>
        </w:rPr>
        <w:t xml:space="preserve">Genocide Studies and Prevention </w:t>
      </w:r>
      <w:r>
        <w:t>1:1 (2006).</w:t>
      </w:r>
    </w:p>
    <w:p w14:paraId="35988DC6" w14:textId="77777777" w:rsidR="001225C6" w:rsidRDefault="001225C6" w:rsidP="001225C6">
      <w:r w:rsidRPr="00784FEB">
        <w:t>Samuel Totten and Eric Markusen, ‘The</w:t>
      </w:r>
      <w:r>
        <w:t xml:space="preserve"> US Government Darfur Genocide Investigation’ </w:t>
      </w:r>
      <w:r>
        <w:rPr>
          <w:i/>
          <w:iCs/>
        </w:rPr>
        <w:t xml:space="preserve">Journal of Genocide Research </w:t>
      </w:r>
      <w:r>
        <w:t>7:2 (2005).</w:t>
      </w:r>
    </w:p>
    <w:p w14:paraId="4325B74F" w14:textId="784C64EB" w:rsidR="00574326" w:rsidRDefault="00574326" w:rsidP="00574326">
      <w:r>
        <w:t xml:space="preserve">Samuel Totten, ‘The Darfur Genocide’ </w:t>
      </w:r>
      <w:r w:rsidRPr="00046D1D">
        <w:t>in Samuel Totten and William S. Parsons (eds.), </w:t>
      </w:r>
      <w:r w:rsidRPr="00B14E70">
        <w:rPr>
          <w:i/>
          <w:iCs/>
        </w:rPr>
        <w:t>Century of Genocide: Critical Essays and Eyewitness Accounts, </w:t>
      </w:r>
      <w:r w:rsidRPr="00046D1D">
        <w:t>(New York, 2009),</w:t>
      </w:r>
      <w:r>
        <w:t xml:space="preserve"> 464-506.</w:t>
      </w:r>
    </w:p>
    <w:p w14:paraId="5EF0D08F" w14:textId="36B014EB" w:rsidR="006B7FB1" w:rsidRPr="006B7FB1" w:rsidRDefault="006B7FB1" w:rsidP="00574326">
      <w:r w:rsidRPr="006B7FB1">
        <w:t>Nsongurua J. Udombana, ‘When neu</w:t>
      </w:r>
      <w:r>
        <w:t xml:space="preserve">trality is a sin: The Darfur crisis and the crisis of humanitarian intervention in Sudan’, </w:t>
      </w:r>
      <w:r>
        <w:rPr>
          <w:i/>
          <w:iCs/>
        </w:rPr>
        <w:t xml:space="preserve">Human Rights Quarterly </w:t>
      </w:r>
      <w:r>
        <w:t>27:4 (2005), 1149-1199.</w:t>
      </w:r>
    </w:p>
    <w:p w14:paraId="12A31298" w14:textId="77777777" w:rsidR="001225C6" w:rsidRPr="001B74DE" w:rsidRDefault="001225C6" w:rsidP="001225C6">
      <w:r>
        <w:lastRenderedPageBreak/>
        <w:t xml:space="preserve">Paul D. Williams and Alex J. Bellamy, ‘The responsibility to protect and the crisis in Darfur’, </w:t>
      </w:r>
      <w:r>
        <w:rPr>
          <w:i/>
          <w:iCs/>
        </w:rPr>
        <w:t xml:space="preserve">Security Dialogue </w:t>
      </w:r>
      <w:r>
        <w:t>36:1 (2005), 27-47.</w:t>
      </w:r>
    </w:p>
    <w:p w14:paraId="7C86461E" w14:textId="77777777" w:rsidR="00574326" w:rsidRDefault="00574326" w:rsidP="00574326">
      <w:r w:rsidRPr="0094783B">
        <w:t>Alex de Waal, ‘Darfur and th</w:t>
      </w:r>
      <w:r>
        <w:t xml:space="preserve">e failure of the responsibility to protect’, </w:t>
      </w:r>
      <w:r>
        <w:rPr>
          <w:i/>
          <w:iCs/>
        </w:rPr>
        <w:t xml:space="preserve">International Affairs </w:t>
      </w:r>
      <w:r>
        <w:t>83:6 (2007), 1039-1054.</w:t>
      </w:r>
    </w:p>
    <w:p w14:paraId="3AC5A926" w14:textId="2699C300" w:rsidR="009C38DB" w:rsidRPr="009C38DB" w:rsidRDefault="009C38DB" w:rsidP="00574326">
      <w:r w:rsidRPr="009C38DB">
        <w:t>Alex de Waal, ‘Reflections on th</w:t>
      </w:r>
      <w:r>
        <w:t xml:space="preserve">e difficulties of defining Darfur’s crisis as genocide’, </w:t>
      </w:r>
      <w:r>
        <w:rPr>
          <w:i/>
          <w:iCs/>
        </w:rPr>
        <w:t xml:space="preserve">Harvard Human Rights Journal </w:t>
      </w:r>
      <w:r>
        <w:t>20 (</w:t>
      </w:r>
      <w:r w:rsidR="00DE1513">
        <w:t>2007), 25-33.</w:t>
      </w:r>
    </w:p>
    <w:p w14:paraId="00137CB7" w14:textId="77777777" w:rsidR="009B0A7C" w:rsidRPr="009C38DB" w:rsidRDefault="009B0A7C" w:rsidP="00E34324">
      <w:pPr>
        <w:pStyle w:val="Heading2"/>
      </w:pPr>
    </w:p>
    <w:sectPr w:rsidR="009B0A7C" w:rsidRPr="009C38D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F682F" w14:textId="77777777" w:rsidR="007A2D46" w:rsidRDefault="007A2D46" w:rsidP="00CF4732">
      <w:pPr>
        <w:spacing w:after="0" w:line="240" w:lineRule="auto"/>
      </w:pPr>
      <w:r>
        <w:separator/>
      </w:r>
    </w:p>
  </w:endnote>
  <w:endnote w:type="continuationSeparator" w:id="0">
    <w:p w14:paraId="61F466E7" w14:textId="77777777" w:rsidR="007A2D46" w:rsidRDefault="007A2D46" w:rsidP="00CF4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7771970"/>
      <w:docPartObj>
        <w:docPartGallery w:val="Page Numbers (Bottom of Page)"/>
        <w:docPartUnique/>
      </w:docPartObj>
    </w:sdtPr>
    <w:sdtEndPr>
      <w:rPr>
        <w:noProof/>
      </w:rPr>
    </w:sdtEndPr>
    <w:sdtContent>
      <w:p w14:paraId="09A2CFB9" w14:textId="486675A8" w:rsidR="0046277F" w:rsidRDefault="004627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788AE1" w14:textId="77777777" w:rsidR="0046277F" w:rsidRDefault="00462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44BC2" w14:textId="77777777" w:rsidR="007A2D46" w:rsidRDefault="007A2D46" w:rsidP="00CF4732">
      <w:pPr>
        <w:spacing w:after="0" w:line="240" w:lineRule="auto"/>
      </w:pPr>
      <w:r>
        <w:separator/>
      </w:r>
    </w:p>
  </w:footnote>
  <w:footnote w:type="continuationSeparator" w:id="0">
    <w:p w14:paraId="25AA484A" w14:textId="77777777" w:rsidR="007A2D46" w:rsidRDefault="007A2D46" w:rsidP="00CF4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A08C0"/>
    <w:multiLevelType w:val="hybridMultilevel"/>
    <w:tmpl w:val="D7FE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C701B"/>
    <w:multiLevelType w:val="hybridMultilevel"/>
    <w:tmpl w:val="E198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35AFA"/>
    <w:multiLevelType w:val="multilevel"/>
    <w:tmpl w:val="07F0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CE69F2"/>
    <w:multiLevelType w:val="multilevel"/>
    <w:tmpl w:val="89921C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16042"/>
    <w:multiLevelType w:val="multilevel"/>
    <w:tmpl w:val="2BEC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F27B1"/>
    <w:multiLevelType w:val="multilevel"/>
    <w:tmpl w:val="CA0C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D2554B"/>
    <w:multiLevelType w:val="multilevel"/>
    <w:tmpl w:val="ABF457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92104"/>
    <w:multiLevelType w:val="multilevel"/>
    <w:tmpl w:val="26B8B8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55FF7"/>
    <w:multiLevelType w:val="multilevel"/>
    <w:tmpl w:val="BFEE80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6F5AC3"/>
    <w:multiLevelType w:val="hybridMultilevel"/>
    <w:tmpl w:val="4DA6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F5B42"/>
    <w:multiLevelType w:val="hybridMultilevel"/>
    <w:tmpl w:val="5BF8C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A12E3"/>
    <w:multiLevelType w:val="multilevel"/>
    <w:tmpl w:val="6F4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8734E5"/>
    <w:multiLevelType w:val="hybridMultilevel"/>
    <w:tmpl w:val="D4F6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E6B5E"/>
    <w:multiLevelType w:val="multilevel"/>
    <w:tmpl w:val="A66E55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452FA1"/>
    <w:multiLevelType w:val="multilevel"/>
    <w:tmpl w:val="CA84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AA3807"/>
    <w:multiLevelType w:val="multilevel"/>
    <w:tmpl w:val="36BA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496844"/>
    <w:multiLevelType w:val="multilevel"/>
    <w:tmpl w:val="B0E85D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8E5E87"/>
    <w:multiLevelType w:val="multilevel"/>
    <w:tmpl w:val="716EE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B5559C"/>
    <w:multiLevelType w:val="multilevel"/>
    <w:tmpl w:val="2448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83342B"/>
    <w:multiLevelType w:val="multilevel"/>
    <w:tmpl w:val="182A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11B26"/>
    <w:multiLevelType w:val="multilevel"/>
    <w:tmpl w:val="93C44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C81324"/>
    <w:multiLevelType w:val="hybridMultilevel"/>
    <w:tmpl w:val="09D0D0BE"/>
    <w:lvl w:ilvl="0" w:tplc="AAD2EB76">
      <w:start w:val="1"/>
      <w:numFmt w:val="bullet"/>
      <w:lvlText w:val=""/>
      <w:lvlJc w:val="left"/>
      <w:pPr>
        <w:tabs>
          <w:tab w:val="num" w:pos="720"/>
        </w:tabs>
        <w:ind w:left="720" w:hanging="360"/>
      </w:pPr>
      <w:rPr>
        <w:rFonts w:ascii="Wingdings" w:hAnsi="Wingdings" w:hint="default"/>
      </w:rPr>
    </w:lvl>
    <w:lvl w:ilvl="1" w:tplc="CA20CC7E">
      <w:start w:val="1"/>
      <w:numFmt w:val="bullet"/>
      <w:lvlText w:val=""/>
      <w:lvlJc w:val="left"/>
      <w:pPr>
        <w:tabs>
          <w:tab w:val="num" w:pos="1440"/>
        </w:tabs>
        <w:ind w:left="1440" w:hanging="360"/>
      </w:pPr>
      <w:rPr>
        <w:rFonts w:ascii="Wingdings" w:hAnsi="Wingdings" w:hint="default"/>
      </w:rPr>
    </w:lvl>
    <w:lvl w:ilvl="2" w:tplc="7DE2E4D2" w:tentative="1">
      <w:start w:val="1"/>
      <w:numFmt w:val="bullet"/>
      <w:lvlText w:val=""/>
      <w:lvlJc w:val="left"/>
      <w:pPr>
        <w:tabs>
          <w:tab w:val="num" w:pos="2160"/>
        </w:tabs>
        <w:ind w:left="2160" w:hanging="360"/>
      </w:pPr>
      <w:rPr>
        <w:rFonts w:ascii="Wingdings" w:hAnsi="Wingdings" w:hint="default"/>
      </w:rPr>
    </w:lvl>
    <w:lvl w:ilvl="3" w:tplc="F98AE3D2" w:tentative="1">
      <w:start w:val="1"/>
      <w:numFmt w:val="bullet"/>
      <w:lvlText w:val=""/>
      <w:lvlJc w:val="left"/>
      <w:pPr>
        <w:tabs>
          <w:tab w:val="num" w:pos="2880"/>
        </w:tabs>
        <w:ind w:left="2880" w:hanging="360"/>
      </w:pPr>
      <w:rPr>
        <w:rFonts w:ascii="Wingdings" w:hAnsi="Wingdings" w:hint="default"/>
      </w:rPr>
    </w:lvl>
    <w:lvl w:ilvl="4" w:tplc="A9021F2C" w:tentative="1">
      <w:start w:val="1"/>
      <w:numFmt w:val="bullet"/>
      <w:lvlText w:val=""/>
      <w:lvlJc w:val="left"/>
      <w:pPr>
        <w:tabs>
          <w:tab w:val="num" w:pos="3600"/>
        </w:tabs>
        <w:ind w:left="3600" w:hanging="360"/>
      </w:pPr>
      <w:rPr>
        <w:rFonts w:ascii="Wingdings" w:hAnsi="Wingdings" w:hint="default"/>
      </w:rPr>
    </w:lvl>
    <w:lvl w:ilvl="5" w:tplc="395E14E0" w:tentative="1">
      <w:start w:val="1"/>
      <w:numFmt w:val="bullet"/>
      <w:lvlText w:val=""/>
      <w:lvlJc w:val="left"/>
      <w:pPr>
        <w:tabs>
          <w:tab w:val="num" w:pos="4320"/>
        </w:tabs>
        <w:ind w:left="4320" w:hanging="360"/>
      </w:pPr>
      <w:rPr>
        <w:rFonts w:ascii="Wingdings" w:hAnsi="Wingdings" w:hint="default"/>
      </w:rPr>
    </w:lvl>
    <w:lvl w:ilvl="6" w:tplc="5D227D26" w:tentative="1">
      <w:start w:val="1"/>
      <w:numFmt w:val="bullet"/>
      <w:lvlText w:val=""/>
      <w:lvlJc w:val="left"/>
      <w:pPr>
        <w:tabs>
          <w:tab w:val="num" w:pos="5040"/>
        </w:tabs>
        <w:ind w:left="5040" w:hanging="360"/>
      </w:pPr>
      <w:rPr>
        <w:rFonts w:ascii="Wingdings" w:hAnsi="Wingdings" w:hint="default"/>
      </w:rPr>
    </w:lvl>
    <w:lvl w:ilvl="7" w:tplc="A510FB46" w:tentative="1">
      <w:start w:val="1"/>
      <w:numFmt w:val="bullet"/>
      <w:lvlText w:val=""/>
      <w:lvlJc w:val="left"/>
      <w:pPr>
        <w:tabs>
          <w:tab w:val="num" w:pos="5760"/>
        </w:tabs>
        <w:ind w:left="5760" w:hanging="360"/>
      </w:pPr>
      <w:rPr>
        <w:rFonts w:ascii="Wingdings" w:hAnsi="Wingdings" w:hint="default"/>
      </w:rPr>
    </w:lvl>
    <w:lvl w:ilvl="8" w:tplc="48D8EE8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51248"/>
    <w:multiLevelType w:val="hybridMultilevel"/>
    <w:tmpl w:val="C6D2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990CFE"/>
    <w:multiLevelType w:val="hybridMultilevel"/>
    <w:tmpl w:val="4D38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072C13"/>
    <w:multiLevelType w:val="hybridMultilevel"/>
    <w:tmpl w:val="0264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065EFC"/>
    <w:multiLevelType w:val="hybridMultilevel"/>
    <w:tmpl w:val="8D90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247350"/>
    <w:multiLevelType w:val="multilevel"/>
    <w:tmpl w:val="134A4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F30118"/>
    <w:multiLevelType w:val="hybridMultilevel"/>
    <w:tmpl w:val="2750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2648907">
    <w:abstractNumId w:val="27"/>
  </w:num>
  <w:num w:numId="2" w16cid:durableId="357973595">
    <w:abstractNumId w:val="11"/>
  </w:num>
  <w:num w:numId="3" w16cid:durableId="654339574">
    <w:abstractNumId w:val="2"/>
  </w:num>
  <w:num w:numId="4" w16cid:durableId="1953786160">
    <w:abstractNumId w:val="5"/>
  </w:num>
  <w:num w:numId="5" w16cid:durableId="142357503">
    <w:abstractNumId w:val="0"/>
  </w:num>
  <w:num w:numId="6" w16cid:durableId="2043700932">
    <w:abstractNumId w:val="12"/>
  </w:num>
  <w:num w:numId="7" w16cid:durableId="2088186903">
    <w:abstractNumId w:val="17"/>
  </w:num>
  <w:num w:numId="8" w16cid:durableId="997073741">
    <w:abstractNumId w:val="8"/>
  </w:num>
  <w:num w:numId="9" w16cid:durableId="322591211">
    <w:abstractNumId w:val="3"/>
  </w:num>
  <w:num w:numId="10" w16cid:durableId="436217502">
    <w:abstractNumId w:val="20"/>
  </w:num>
  <w:num w:numId="11" w16cid:durableId="630356963">
    <w:abstractNumId w:val="13"/>
  </w:num>
  <w:num w:numId="12" w16cid:durableId="1499615702">
    <w:abstractNumId w:val="26"/>
  </w:num>
  <w:num w:numId="13" w16cid:durableId="68501371">
    <w:abstractNumId w:val="16"/>
  </w:num>
  <w:num w:numId="14" w16cid:durableId="457794741">
    <w:abstractNumId w:val="6"/>
  </w:num>
  <w:num w:numId="15" w16cid:durableId="1735204476">
    <w:abstractNumId w:val="10"/>
  </w:num>
  <w:num w:numId="16" w16cid:durableId="1265071767">
    <w:abstractNumId w:val="19"/>
  </w:num>
  <w:num w:numId="17" w16cid:durableId="503278027">
    <w:abstractNumId w:val="15"/>
  </w:num>
  <w:num w:numId="18" w16cid:durableId="329412641">
    <w:abstractNumId w:val="4"/>
  </w:num>
  <w:num w:numId="19" w16cid:durableId="1226912268">
    <w:abstractNumId w:val="18"/>
  </w:num>
  <w:num w:numId="20" w16cid:durableId="921910798">
    <w:abstractNumId w:val="7"/>
  </w:num>
  <w:num w:numId="21" w16cid:durableId="1179781192">
    <w:abstractNumId w:val="14"/>
  </w:num>
  <w:num w:numId="22" w16cid:durableId="756368083">
    <w:abstractNumId w:val="22"/>
  </w:num>
  <w:num w:numId="23" w16cid:durableId="1569998308">
    <w:abstractNumId w:val="24"/>
  </w:num>
  <w:num w:numId="24" w16cid:durableId="942998280">
    <w:abstractNumId w:val="25"/>
  </w:num>
  <w:num w:numId="25" w16cid:durableId="1597904326">
    <w:abstractNumId w:val="1"/>
  </w:num>
  <w:num w:numId="26" w16cid:durableId="276260519">
    <w:abstractNumId w:val="23"/>
  </w:num>
  <w:num w:numId="27" w16cid:durableId="172693609">
    <w:abstractNumId w:val="9"/>
  </w:num>
  <w:num w:numId="28" w16cid:durableId="15478388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EE"/>
    <w:rsid w:val="0000133C"/>
    <w:rsid w:val="00002674"/>
    <w:rsid w:val="000107E5"/>
    <w:rsid w:val="000140EC"/>
    <w:rsid w:val="00022CF9"/>
    <w:rsid w:val="00023EA3"/>
    <w:rsid w:val="00035A38"/>
    <w:rsid w:val="00044B24"/>
    <w:rsid w:val="00046D1D"/>
    <w:rsid w:val="00052454"/>
    <w:rsid w:val="00053526"/>
    <w:rsid w:val="000575D2"/>
    <w:rsid w:val="00067701"/>
    <w:rsid w:val="00073978"/>
    <w:rsid w:val="00083C00"/>
    <w:rsid w:val="000D5F9F"/>
    <w:rsid w:val="000D7322"/>
    <w:rsid w:val="000E04F6"/>
    <w:rsid w:val="000E1E3B"/>
    <w:rsid w:val="000E223E"/>
    <w:rsid w:val="000E2A48"/>
    <w:rsid w:val="000E6F98"/>
    <w:rsid w:val="000F23EA"/>
    <w:rsid w:val="000F5E29"/>
    <w:rsid w:val="0010079C"/>
    <w:rsid w:val="001050E7"/>
    <w:rsid w:val="00105987"/>
    <w:rsid w:val="001108B3"/>
    <w:rsid w:val="00110E9B"/>
    <w:rsid w:val="00111398"/>
    <w:rsid w:val="00117074"/>
    <w:rsid w:val="001225C6"/>
    <w:rsid w:val="00124275"/>
    <w:rsid w:val="00125A51"/>
    <w:rsid w:val="001351D5"/>
    <w:rsid w:val="00141494"/>
    <w:rsid w:val="00167B69"/>
    <w:rsid w:val="00183EC5"/>
    <w:rsid w:val="0018562B"/>
    <w:rsid w:val="001944BB"/>
    <w:rsid w:val="00196871"/>
    <w:rsid w:val="001A6C8C"/>
    <w:rsid w:val="001B26F3"/>
    <w:rsid w:val="001B74DE"/>
    <w:rsid w:val="001C16E1"/>
    <w:rsid w:val="001D1BDF"/>
    <w:rsid w:val="001D501C"/>
    <w:rsid w:val="001D5169"/>
    <w:rsid w:val="001E4DA3"/>
    <w:rsid w:val="001E633B"/>
    <w:rsid w:val="001F14C4"/>
    <w:rsid w:val="001F1777"/>
    <w:rsid w:val="001F540B"/>
    <w:rsid w:val="00200582"/>
    <w:rsid w:val="002018F8"/>
    <w:rsid w:val="00206F1F"/>
    <w:rsid w:val="002106BE"/>
    <w:rsid w:val="00211CCA"/>
    <w:rsid w:val="002204B5"/>
    <w:rsid w:val="00224D0A"/>
    <w:rsid w:val="002261E9"/>
    <w:rsid w:val="0023168A"/>
    <w:rsid w:val="00242D12"/>
    <w:rsid w:val="00244B8F"/>
    <w:rsid w:val="00252606"/>
    <w:rsid w:val="002529C1"/>
    <w:rsid w:val="00253EA3"/>
    <w:rsid w:val="002635E4"/>
    <w:rsid w:val="002640F1"/>
    <w:rsid w:val="00264CAE"/>
    <w:rsid w:val="002728ED"/>
    <w:rsid w:val="0027751E"/>
    <w:rsid w:val="00281D39"/>
    <w:rsid w:val="002847E4"/>
    <w:rsid w:val="00284BC5"/>
    <w:rsid w:val="00287D4A"/>
    <w:rsid w:val="00296A8A"/>
    <w:rsid w:val="002A1BC4"/>
    <w:rsid w:val="002B1ECB"/>
    <w:rsid w:val="002B39A1"/>
    <w:rsid w:val="002B483B"/>
    <w:rsid w:val="002C04E3"/>
    <w:rsid w:val="002C67B2"/>
    <w:rsid w:val="002C7C7C"/>
    <w:rsid w:val="002D4529"/>
    <w:rsid w:val="002D7400"/>
    <w:rsid w:val="002F26C6"/>
    <w:rsid w:val="002F704E"/>
    <w:rsid w:val="00321812"/>
    <w:rsid w:val="0033592F"/>
    <w:rsid w:val="00336CD9"/>
    <w:rsid w:val="00340489"/>
    <w:rsid w:val="00340537"/>
    <w:rsid w:val="00354D1D"/>
    <w:rsid w:val="00356BD5"/>
    <w:rsid w:val="0036117B"/>
    <w:rsid w:val="00363338"/>
    <w:rsid w:val="003636E2"/>
    <w:rsid w:val="00367D8B"/>
    <w:rsid w:val="00376206"/>
    <w:rsid w:val="00392778"/>
    <w:rsid w:val="003A15EE"/>
    <w:rsid w:val="003A5255"/>
    <w:rsid w:val="003B6D1B"/>
    <w:rsid w:val="003D0ABA"/>
    <w:rsid w:val="003D30F6"/>
    <w:rsid w:val="003D4888"/>
    <w:rsid w:val="003E610F"/>
    <w:rsid w:val="003F0C45"/>
    <w:rsid w:val="003F24EC"/>
    <w:rsid w:val="003F29AF"/>
    <w:rsid w:val="004024C2"/>
    <w:rsid w:val="00405B9D"/>
    <w:rsid w:val="00411745"/>
    <w:rsid w:val="00411D5C"/>
    <w:rsid w:val="004174F8"/>
    <w:rsid w:val="004241E4"/>
    <w:rsid w:val="004249AD"/>
    <w:rsid w:val="0042618A"/>
    <w:rsid w:val="00432C14"/>
    <w:rsid w:val="00434577"/>
    <w:rsid w:val="004356BA"/>
    <w:rsid w:val="004510C6"/>
    <w:rsid w:val="00451174"/>
    <w:rsid w:val="00453DCC"/>
    <w:rsid w:val="0045506C"/>
    <w:rsid w:val="00457C9E"/>
    <w:rsid w:val="0046277F"/>
    <w:rsid w:val="004674DD"/>
    <w:rsid w:val="004679F8"/>
    <w:rsid w:val="00473DE2"/>
    <w:rsid w:val="00475133"/>
    <w:rsid w:val="00475D7D"/>
    <w:rsid w:val="0048561A"/>
    <w:rsid w:val="00492FB3"/>
    <w:rsid w:val="00496E67"/>
    <w:rsid w:val="004A6BB2"/>
    <w:rsid w:val="004B309B"/>
    <w:rsid w:val="004D09E5"/>
    <w:rsid w:val="004D0AF8"/>
    <w:rsid w:val="004D3EED"/>
    <w:rsid w:val="004D568B"/>
    <w:rsid w:val="004D7322"/>
    <w:rsid w:val="004E19E2"/>
    <w:rsid w:val="004F1F33"/>
    <w:rsid w:val="004F427B"/>
    <w:rsid w:val="00511A80"/>
    <w:rsid w:val="00512056"/>
    <w:rsid w:val="00521CF1"/>
    <w:rsid w:val="005250C5"/>
    <w:rsid w:val="00533255"/>
    <w:rsid w:val="005369EA"/>
    <w:rsid w:val="005375B7"/>
    <w:rsid w:val="00540F2F"/>
    <w:rsid w:val="005437C5"/>
    <w:rsid w:val="00546424"/>
    <w:rsid w:val="00560BA3"/>
    <w:rsid w:val="00560E04"/>
    <w:rsid w:val="00561D4B"/>
    <w:rsid w:val="005647F5"/>
    <w:rsid w:val="00566CC7"/>
    <w:rsid w:val="00570E6D"/>
    <w:rsid w:val="0057129A"/>
    <w:rsid w:val="005726AE"/>
    <w:rsid w:val="00574326"/>
    <w:rsid w:val="00581716"/>
    <w:rsid w:val="00584891"/>
    <w:rsid w:val="00584973"/>
    <w:rsid w:val="00591E0C"/>
    <w:rsid w:val="00592E12"/>
    <w:rsid w:val="00597851"/>
    <w:rsid w:val="005A31E0"/>
    <w:rsid w:val="005B19CC"/>
    <w:rsid w:val="005D2905"/>
    <w:rsid w:val="005D404E"/>
    <w:rsid w:val="005D4803"/>
    <w:rsid w:val="005D55D1"/>
    <w:rsid w:val="005D6C4A"/>
    <w:rsid w:val="005F4964"/>
    <w:rsid w:val="006006C9"/>
    <w:rsid w:val="00611301"/>
    <w:rsid w:val="006152AC"/>
    <w:rsid w:val="00615CA3"/>
    <w:rsid w:val="00617527"/>
    <w:rsid w:val="00621378"/>
    <w:rsid w:val="006241B7"/>
    <w:rsid w:val="00624AAE"/>
    <w:rsid w:val="00624BEF"/>
    <w:rsid w:val="006252AF"/>
    <w:rsid w:val="00631983"/>
    <w:rsid w:val="00633CB2"/>
    <w:rsid w:val="00634FFC"/>
    <w:rsid w:val="0064153A"/>
    <w:rsid w:val="00644F90"/>
    <w:rsid w:val="00655A6C"/>
    <w:rsid w:val="00672436"/>
    <w:rsid w:val="00672E5D"/>
    <w:rsid w:val="0067398B"/>
    <w:rsid w:val="00684838"/>
    <w:rsid w:val="0068564B"/>
    <w:rsid w:val="00693E41"/>
    <w:rsid w:val="0069554F"/>
    <w:rsid w:val="006972EA"/>
    <w:rsid w:val="006B057E"/>
    <w:rsid w:val="006B7FB1"/>
    <w:rsid w:val="006D041D"/>
    <w:rsid w:val="006E1EF8"/>
    <w:rsid w:val="006E2036"/>
    <w:rsid w:val="006E656C"/>
    <w:rsid w:val="006F6EB7"/>
    <w:rsid w:val="00703BB7"/>
    <w:rsid w:val="007055F5"/>
    <w:rsid w:val="007162DD"/>
    <w:rsid w:val="00717DDF"/>
    <w:rsid w:val="00723468"/>
    <w:rsid w:val="007252AA"/>
    <w:rsid w:val="007263A7"/>
    <w:rsid w:val="0072753D"/>
    <w:rsid w:val="00736827"/>
    <w:rsid w:val="007461F6"/>
    <w:rsid w:val="007469D4"/>
    <w:rsid w:val="00755311"/>
    <w:rsid w:val="007556CB"/>
    <w:rsid w:val="00777558"/>
    <w:rsid w:val="00777917"/>
    <w:rsid w:val="00780B6B"/>
    <w:rsid w:val="00783951"/>
    <w:rsid w:val="00784FEB"/>
    <w:rsid w:val="00785AEE"/>
    <w:rsid w:val="007876F6"/>
    <w:rsid w:val="00796E78"/>
    <w:rsid w:val="00797DAB"/>
    <w:rsid w:val="007A2D46"/>
    <w:rsid w:val="007A515F"/>
    <w:rsid w:val="007B024F"/>
    <w:rsid w:val="007B39BA"/>
    <w:rsid w:val="007C7274"/>
    <w:rsid w:val="007C7957"/>
    <w:rsid w:val="007D41DC"/>
    <w:rsid w:val="007D4738"/>
    <w:rsid w:val="007E1D6E"/>
    <w:rsid w:val="007E3144"/>
    <w:rsid w:val="007F3C5B"/>
    <w:rsid w:val="0080511F"/>
    <w:rsid w:val="0080685B"/>
    <w:rsid w:val="00811AC1"/>
    <w:rsid w:val="00836DD2"/>
    <w:rsid w:val="00846261"/>
    <w:rsid w:val="00847FE1"/>
    <w:rsid w:val="0085547C"/>
    <w:rsid w:val="00860B8D"/>
    <w:rsid w:val="00874E8D"/>
    <w:rsid w:val="00876F03"/>
    <w:rsid w:val="00880253"/>
    <w:rsid w:val="00892790"/>
    <w:rsid w:val="00893FCF"/>
    <w:rsid w:val="008A2FE0"/>
    <w:rsid w:val="008B44E7"/>
    <w:rsid w:val="008C0074"/>
    <w:rsid w:val="008C7808"/>
    <w:rsid w:val="008D21A5"/>
    <w:rsid w:val="008D4392"/>
    <w:rsid w:val="008E6FC7"/>
    <w:rsid w:val="008F018C"/>
    <w:rsid w:val="008F0E37"/>
    <w:rsid w:val="008F33E2"/>
    <w:rsid w:val="008F3459"/>
    <w:rsid w:val="00903E48"/>
    <w:rsid w:val="0090668F"/>
    <w:rsid w:val="00914AA5"/>
    <w:rsid w:val="00936AF2"/>
    <w:rsid w:val="0094783B"/>
    <w:rsid w:val="00952CFD"/>
    <w:rsid w:val="00956890"/>
    <w:rsid w:val="00957D0E"/>
    <w:rsid w:val="009616B4"/>
    <w:rsid w:val="009754B5"/>
    <w:rsid w:val="00977FB6"/>
    <w:rsid w:val="00994BA1"/>
    <w:rsid w:val="009A03B5"/>
    <w:rsid w:val="009A1017"/>
    <w:rsid w:val="009A5F96"/>
    <w:rsid w:val="009B0A7C"/>
    <w:rsid w:val="009B21C5"/>
    <w:rsid w:val="009C38DB"/>
    <w:rsid w:val="009F2C43"/>
    <w:rsid w:val="009F44E1"/>
    <w:rsid w:val="00A062BF"/>
    <w:rsid w:val="00A10F0A"/>
    <w:rsid w:val="00A21BB8"/>
    <w:rsid w:val="00A2666F"/>
    <w:rsid w:val="00A336AC"/>
    <w:rsid w:val="00A37098"/>
    <w:rsid w:val="00A430B0"/>
    <w:rsid w:val="00A438BD"/>
    <w:rsid w:val="00A54C0A"/>
    <w:rsid w:val="00A66CE2"/>
    <w:rsid w:val="00A72857"/>
    <w:rsid w:val="00A87788"/>
    <w:rsid w:val="00AA0B0F"/>
    <w:rsid w:val="00AA1674"/>
    <w:rsid w:val="00AA36DD"/>
    <w:rsid w:val="00AB05F5"/>
    <w:rsid w:val="00AB2CE6"/>
    <w:rsid w:val="00AC0A2A"/>
    <w:rsid w:val="00AC1FF3"/>
    <w:rsid w:val="00AD0BBE"/>
    <w:rsid w:val="00AD40D3"/>
    <w:rsid w:val="00AE589E"/>
    <w:rsid w:val="00AF321C"/>
    <w:rsid w:val="00B078AD"/>
    <w:rsid w:val="00B14594"/>
    <w:rsid w:val="00B14E70"/>
    <w:rsid w:val="00B15747"/>
    <w:rsid w:val="00B16731"/>
    <w:rsid w:val="00B20849"/>
    <w:rsid w:val="00B21435"/>
    <w:rsid w:val="00B23051"/>
    <w:rsid w:val="00B37A01"/>
    <w:rsid w:val="00B40903"/>
    <w:rsid w:val="00B43EF6"/>
    <w:rsid w:val="00B46B85"/>
    <w:rsid w:val="00B60711"/>
    <w:rsid w:val="00B73C2C"/>
    <w:rsid w:val="00B7417D"/>
    <w:rsid w:val="00B74F4A"/>
    <w:rsid w:val="00B76EE1"/>
    <w:rsid w:val="00B83BB0"/>
    <w:rsid w:val="00B906FA"/>
    <w:rsid w:val="00B96612"/>
    <w:rsid w:val="00B978D3"/>
    <w:rsid w:val="00BA07C1"/>
    <w:rsid w:val="00BA23C7"/>
    <w:rsid w:val="00BB763D"/>
    <w:rsid w:val="00BC09C2"/>
    <w:rsid w:val="00BC2F9B"/>
    <w:rsid w:val="00BD0C72"/>
    <w:rsid w:val="00BE37CC"/>
    <w:rsid w:val="00BF3076"/>
    <w:rsid w:val="00BF416A"/>
    <w:rsid w:val="00BF632D"/>
    <w:rsid w:val="00BF6AED"/>
    <w:rsid w:val="00C02230"/>
    <w:rsid w:val="00C0485A"/>
    <w:rsid w:val="00C127EA"/>
    <w:rsid w:val="00C12ED0"/>
    <w:rsid w:val="00C131D5"/>
    <w:rsid w:val="00C2672F"/>
    <w:rsid w:val="00C329F4"/>
    <w:rsid w:val="00C33941"/>
    <w:rsid w:val="00C3596B"/>
    <w:rsid w:val="00C40112"/>
    <w:rsid w:val="00C41C41"/>
    <w:rsid w:val="00C43802"/>
    <w:rsid w:val="00C43C34"/>
    <w:rsid w:val="00C440C2"/>
    <w:rsid w:val="00C51D82"/>
    <w:rsid w:val="00C532FB"/>
    <w:rsid w:val="00C54AD9"/>
    <w:rsid w:val="00C57F74"/>
    <w:rsid w:val="00C60951"/>
    <w:rsid w:val="00C7064B"/>
    <w:rsid w:val="00C75D87"/>
    <w:rsid w:val="00C815EC"/>
    <w:rsid w:val="00C83F4C"/>
    <w:rsid w:val="00C8610E"/>
    <w:rsid w:val="00CA26FE"/>
    <w:rsid w:val="00CB60D3"/>
    <w:rsid w:val="00CB6B0F"/>
    <w:rsid w:val="00CE434F"/>
    <w:rsid w:val="00CE4D26"/>
    <w:rsid w:val="00CE7D68"/>
    <w:rsid w:val="00CF0E9F"/>
    <w:rsid w:val="00CF1B91"/>
    <w:rsid w:val="00CF4732"/>
    <w:rsid w:val="00CF74B9"/>
    <w:rsid w:val="00D01BA0"/>
    <w:rsid w:val="00D034E2"/>
    <w:rsid w:val="00D112FA"/>
    <w:rsid w:val="00D1322F"/>
    <w:rsid w:val="00D1595D"/>
    <w:rsid w:val="00D2275A"/>
    <w:rsid w:val="00D25C58"/>
    <w:rsid w:val="00D27330"/>
    <w:rsid w:val="00D408AC"/>
    <w:rsid w:val="00D424CE"/>
    <w:rsid w:val="00D42D89"/>
    <w:rsid w:val="00D45CB1"/>
    <w:rsid w:val="00D51998"/>
    <w:rsid w:val="00D55176"/>
    <w:rsid w:val="00D573EB"/>
    <w:rsid w:val="00D6546D"/>
    <w:rsid w:val="00D7573A"/>
    <w:rsid w:val="00D917A2"/>
    <w:rsid w:val="00D935B0"/>
    <w:rsid w:val="00DA01F7"/>
    <w:rsid w:val="00DC53D7"/>
    <w:rsid w:val="00DC647A"/>
    <w:rsid w:val="00DD1DC4"/>
    <w:rsid w:val="00DD6342"/>
    <w:rsid w:val="00DE1513"/>
    <w:rsid w:val="00DE32FA"/>
    <w:rsid w:val="00DF2197"/>
    <w:rsid w:val="00E027EE"/>
    <w:rsid w:val="00E0284B"/>
    <w:rsid w:val="00E11FC1"/>
    <w:rsid w:val="00E13AAB"/>
    <w:rsid w:val="00E17D1E"/>
    <w:rsid w:val="00E2282B"/>
    <w:rsid w:val="00E24F66"/>
    <w:rsid w:val="00E269F1"/>
    <w:rsid w:val="00E30FF8"/>
    <w:rsid w:val="00E311BC"/>
    <w:rsid w:val="00E3226E"/>
    <w:rsid w:val="00E3344D"/>
    <w:rsid w:val="00E34324"/>
    <w:rsid w:val="00E379FA"/>
    <w:rsid w:val="00E4555F"/>
    <w:rsid w:val="00E55B21"/>
    <w:rsid w:val="00E56D9D"/>
    <w:rsid w:val="00E60F0E"/>
    <w:rsid w:val="00E62BEA"/>
    <w:rsid w:val="00E63EFE"/>
    <w:rsid w:val="00E660A4"/>
    <w:rsid w:val="00E70D82"/>
    <w:rsid w:val="00E711D0"/>
    <w:rsid w:val="00EB6A4E"/>
    <w:rsid w:val="00EC4D81"/>
    <w:rsid w:val="00ED4027"/>
    <w:rsid w:val="00ED60BF"/>
    <w:rsid w:val="00EE28CE"/>
    <w:rsid w:val="00EF034C"/>
    <w:rsid w:val="00EF1CB1"/>
    <w:rsid w:val="00F018AC"/>
    <w:rsid w:val="00F12BD2"/>
    <w:rsid w:val="00F17AB7"/>
    <w:rsid w:val="00F22788"/>
    <w:rsid w:val="00F2288E"/>
    <w:rsid w:val="00F22FAE"/>
    <w:rsid w:val="00F23131"/>
    <w:rsid w:val="00F25F12"/>
    <w:rsid w:val="00F26654"/>
    <w:rsid w:val="00F42D80"/>
    <w:rsid w:val="00F53C57"/>
    <w:rsid w:val="00F61B2A"/>
    <w:rsid w:val="00F72C02"/>
    <w:rsid w:val="00F84A54"/>
    <w:rsid w:val="00F94D05"/>
    <w:rsid w:val="00F97E54"/>
    <w:rsid w:val="00FA1559"/>
    <w:rsid w:val="00FA2C64"/>
    <w:rsid w:val="00FA5341"/>
    <w:rsid w:val="00FA7068"/>
    <w:rsid w:val="00FB195C"/>
    <w:rsid w:val="00FC4761"/>
    <w:rsid w:val="00FC66A2"/>
    <w:rsid w:val="00FD0AFE"/>
    <w:rsid w:val="00FD0F44"/>
    <w:rsid w:val="00FD221D"/>
    <w:rsid w:val="00FE7069"/>
    <w:rsid w:val="00FF05B4"/>
    <w:rsid w:val="00FF0D52"/>
    <w:rsid w:val="00FF2B60"/>
    <w:rsid w:val="00FF305C"/>
    <w:rsid w:val="00FF7B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B6E57"/>
  <w15:chartTrackingRefBased/>
  <w15:docId w15:val="{8228C868-3617-4967-9F84-23C8ABE28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5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5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5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5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5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5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5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5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5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5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5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5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5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5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5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5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5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5EE"/>
    <w:rPr>
      <w:rFonts w:eastAsiaTheme="majorEastAsia" w:cstheme="majorBidi"/>
      <w:color w:val="272727" w:themeColor="text1" w:themeTint="D8"/>
    </w:rPr>
  </w:style>
  <w:style w:type="paragraph" w:styleId="Title">
    <w:name w:val="Title"/>
    <w:basedOn w:val="Normal"/>
    <w:next w:val="Normal"/>
    <w:link w:val="TitleChar"/>
    <w:uiPriority w:val="10"/>
    <w:qFormat/>
    <w:rsid w:val="003A15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5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5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5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5EE"/>
    <w:pPr>
      <w:spacing w:before="160"/>
      <w:jc w:val="center"/>
    </w:pPr>
    <w:rPr>
      <w:i/>
      <w:iCs/>
      <w:color w:val="404040" w:themeColor="text1" w:themeTint="BF"/>
    </w:rPr>
  </w:style>
  <w:style w:type="character" w:customStyle="1" w:styleId="QuoteChar">
    <w:name w:val="Quote Char"/>
    <w:basedOn w:val="DefaultParagraphFont"/>
    <w:link w:val="Quote"/>
    <w:uiPriority w:val="29"/>
    <w:rsid w:val="003A15EE"/>
    <w:rPr>
      <w:i/>
      <w:iCs/>
      <w:color w:val="404040" w:themeColor="text1" w:themeTint="BF"/>
    </w:rPr>
  </w:style>
  <w:style w:type="paragraph" w:styleId="ListParagraph">
    <w:name w:val="List Paragraph"/>
    <w:basedOn w:val="Normal"/>
    <w:uiPriority w:val="34"/>
    <w:qFormat/>
    <w:rsid w:val="003A15EE"/>
    <w:pPr>
      <w:ind w:left="720"/>
      <w:contextualSpacing/>
    </w:pPr>
  </w:style>
  <w:style w:type="character" w:styleId="IntenseEmphasis">
    <w:name w:val="Intense Emphasis"/>
    <w:basedOn w:val="DefaultParagraphFont"/>
    <w:uiPriority w:val="21"/>
    <w:qFormat/>
    <w:rsid w:val="003A15EE"/>
    <w:rPr>
      <w:i/>
      <w:iCs/>
      <w:color w:val="0F4761" w:themeColor="accent1" w:themeShade="BF"/>
    </w:rPr>
  </w:style>
  <w:style w:type="paragraph" w:styleId="IntenseQuote">
    <w:name w:val="Intense Quote"/>
    <w:basedOn w:val="Normal"/>
    <w:next w:val="Normal"/>
    <w:link w:val="IntenseQuoteChar"/>
    <w:uiPriority w:val="30"/>
    <w:qFormat/>
    <w:rsid w:val="003A15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5EE"/>
    <w:rPr>
      <w:i/>
      <w:iCs/>
      <w:color w:val="0F4761" w:themeColor="accent1" w:themeShade="BF"/>
    </w:rPr>
  </w:style>
  <w:style w:type="character" w:styleId="IntenseReference">
    <w:name w:val="Intense Reference"/>
    <w:basedOn w:val="DefaultParagraphFont"/>
    <w:uiPriority w:val="32"/>
    <w:qFormat/>
    <w:rsid w:val="003A15EE"/>
    <w:rPr>
      <w:b/>
      <w:bCs/>
      <w:smallCaps/>
      <w:color w:val="0F4761" w:themeColor="accent1" w:themeShade="BF"/>
      <w:spacing w:val="5"/>
    </w:rPr>
  </w:style>
  <w:style w:type="character" w:styleId="Hyperlink">
    <w:name w:val="Hyperlink"/>
    <w:basedOn w:val="DefaultParagraphFont"/>
    <w:uiPriority w:val="99"/>
    <w:unhideWhenUsed/>
    <w:rsid w:val="003A15EE"/>
    <w:rPr>
      <w:color w:val="467886" w:themeColor="hyperlink"/>
      <w:u w:val="single"/>
    </w:rPr>
  </w:style>
  <w:style w:type="character" w:styleId="UnresolvedMention">
    <w:name w:val="Unresolved Mention"/>
    <w:basedOn w:val="DefaultParagraphFont"/>
    <w:uiPriority w:val="99"/>
    <w:semiHidden/>
    <w:unhideWhenUsed/>
    <w:rsid w:val="003A15EE"/>
    <w:rPr>
      <w:color w:val="605E5C"/>
      <w:shd w:val="clear" w:color="auto" w:fill="E1DFDD"/>
    </w:rPr>
  </w:style>
  <w:style w:type="paragraph" w:styleId="Header">
    <w:name w:val="header"/>
    <w:basedOn w:val="Normal"/>
    <w:link w:val="HeaderChar"/>
    <w:uiPriority w:val="99"/>
    <w:unhideWhenUsed/>
    <w:rsid w:val="00CF4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732"/>
  </w:style>
  <w:style w:type="paragraph" w:styleId="Footer">
    <w:name w:val="footer"/>
    <w:basedOn w:val="Normal"/>
    <w:link w:val="FooterChar"/>
    <w:uiPriority w:val="99"/>
    <w:unhideWhenUsed/>
    <w:rsid w:val="00CF4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732"/>
  </w:style>
  <w:style w:type="table" w:styleId="TableGrid">
    <w:name w:val="Table Grid"/>
    <w:basedOn w:val="TableNormal"/>
    <w:uiPriority w:val="39"/>
    <w:rsid w:val="00C44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8610E"/>
    <w:rPr>
      <w:sz w:val="16"/>
      <w:szCs w:val="16"/>
    </w:rPr>
  </w:style>
  <w:style w:type="paragraph" w:styleId="CommentText">
    <w:name w:val="annotation text"/>
    <w:basedOn w:val="Normal"/>
    <w:link w:val="CommentTextChar"/>
    <w:uiPriority w:val="99"/>
    <w:unhideWhenUsed/>
    <w:rsid w:val="00C8610E"/>
    <w:pPr>
      <w:spacing w:line="240" w:lineRule="auto"/>
    </w:pPr>
    <w:rPr>
      <w:sz w:val="20"/>
      <w:szCs w:val="20"/>
    </w:rPr>
  </w:style>
  <w:style w:type="character" w:customStyle="1" w:styleId="CommentTextChar">
    <w:name w:val="Comment Text Char"/>
    <w:basedOn w:val="DefaultParagraphFont"/>
    <w:link w:val="CommentText"/>
    <w:uiPriority w:val="99"/>
    <w:rsid w:val="00C8610E"/>
    <w:rPr>
      <w:sz w:val="20"/>
      <w:szCs w:val="20"/>
    </w:rPr>
  </w:style>
  <w:style w:type="paragraph" w:styleId="CommentSubject">
    <w:name w:val="annotation subject"/>
    <w:basedOn w:val="CommentText"/>
    <w:next w:val="CommentText"/>
    <w:link w:val="CommentSubjectChar"/>
    <w:uiPriority w:val="99"/>
    <w:semiHidden/>
    <w:unhideWhenUsed/>
    <w:rsid w:val="00C8610E"/>
    <w:rPr>
      <w:b/>
      <w:bCs/>
    </w:rPr>
  </w:style>
  <w:style w:type="character" w:customStyle="1" w:styleId="CommentSubjectChar">
    <w:name w:val="Comment Subject Char"/>
    <w:basedOn w:val="CommentTextChar"/>
    <w:link w:val="CommentSubject"/>
    <w:uiPriority w:val="99"/>
    <w:semiHidden/>
    <w:rsid w:val="00C86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1738">
      <w:bodyDiv w:val="1"/>
      <w:marLeft w:val="0"/>
      <w:marRight w:val="0"/>
      <w:marTop w:val="0"/>
      <w:marBottom w:val="0"/>
      <w:divBdr>
        <w:top w:val="none" w:sz="0" w:space="0" w:color="auto"/>
        <w:left w:val="none" w:sz="0" w:space="0" w:color="auto"/>
        <w:bottom w:val="none" w:sz="0" w:space="0" w:color="auto"/>
        <w:right w:val="none" w:sz="0" w:space="0" w:color="auto"/>
      </w:divBdr>
    </w:div>
    <w:div w:id="165050274">
      <w:bodyDiv w:val="1"/>
      <w:marLeft w:val="0"/>
      <w:marRight w:val="0"/>
      <w:marTop w:val="0"/>
      <w:marBottom w:val="0"/>
      <w:divBdr>
        <w:top w:val="none" w:sz="0" w:space="0" w:color="auto"/>
        <w:left w:val="none" w:sz="0" w:space="0" w:color="auto"/>
        <w:bottom w:val="none" w:sz="0" w:space="0" w:color="auto"/>
        <w:right w:val="none" w:sz="0" w:space="0" w:color="auto"/>
      </w:divBdr>
    </w:div>
    <w:div w:id="347488074">
      <w:bodyDiv w:val="1"/>
      <w:marLeft w:val="0"/>
      <w:marRight w:val="0"/>
      <w:marTop w:val="0"/>
      <w:marBottom w:val="0"/>
      <w:divBdr>
        <w:top w:val="none" w:sz="0" w:space="0" w:color="auto"/>
        <w:left w:val="none" w:sz="0" w:space="0" w:color="auto"/>
        <w:bottom w:val="none" w:sz="0" w:space="0" w:color="auto"/>
        <w:right w:val="none" w:sz="0" w:space="0" w:color="auto"/>
      </w:divBdr>
      <w:divsChild>
        <w:div w:id="2126191264">
          <w:marLeft w:val="0"/>
          <w:marRight w:val="0"/>
          <w:marTop w:val="0"/>
          <w:marBottom w:val="0"/>
          <w:divBdr>
            <w:top w:val="none" w:sz="0" w:space="0" w:color="auto"/>
            <w:left w:val="none" w:sz="0" w:space="0" w:color="auto"/>
            <w:bottom w:val="none" w:sz="0" w:space="0" w:color="auto"/>
            <w:right w:val="none" w:sz="0" w:space="0" w:color="auto"/>
          </w:divBdr>
        </w:div>
        <w:div w:id="171452619">
          <w:marLeft w:val="0"/>
          <w:marRight w:val="0"/>
          <w:marTop w:val="0"/>
          <w:marBottom w:val="0"/>
          <w:divBdr>
            <w:top w:val="none" w:sz="0" w:space="0" w:color="auto"/>
            <w:left w:val="none" w:sz="0" w:space="0" w:color="auto"/>
            <w:bottom w:val="none" w:sz="0" w:space="0" w:color="auto"/>
            <w:right w:val="none" w:sz="0" w:space="0" w:color="auto"/>
          </w:divBdr>
        </w:div>
        <w:div w:id="396049437">
          <w:marLeft w:val="0"/>
          <w:marRight w:val="0"/>
          <w:marTop w:val="0"/>
          <w:marBottom w:val="0"/>
          <w:divBdr>
            <w:top w:val="none" w:sz="0" w:space="0" w:color="auto"/>
            <w:left w:val="none" w:sz="0" w:space="0" w:color="auto"/>
            <w:bottom w:val="none" w:sz="0" w:space="0" w:color="auto"/>
            <w:right w:val="none" w:sz="0" w:space="0" w:color="auto"/>
          </w:divBdr>
        </w:div>
        <w:div w:id="1204899559">
          <w:marLeft w:val="0"/>
          <w:marRight w:val="0"/>
          <w:marTop w:val="0"/>
          <w:marBottom w:val="0"/>
          <w:divBdr>
            <w:top w:val="none" w:sz="0" w:space="0" w:color="auto"/>
            <w:left w:val="none" w:sz="0" w:space="0" w:color="auto"/>
            <w:bottom w:val="none" w:sz="0" w:space="0" w:color="auto"/>
            <w:right w:val="none" w:sz="0" w:space="0" w:color="auto"/>
          </w:divBdr>
        </w:div>
        <w:div w:id="192768438">
          <w:marLeft w:val="0"/>
          <w:marRight w:val="0"/>
          <w:marTop w:val="0"/>
          <w:marBottom w:val="0"/>
          <w:divBdr>
            <w:top w:val="none" w:sz="0" w:space="0" w:color="auto"/>
            <w:left w:val="none" w:sz="0" w:space="0" w:color="auto"/>
            <w:bottom w:val="none" w:sz="0" w:space="0" w:color="auto"/>
            <w:right w:val="none" w:sz="0" w:space="0" w:color="auto"/>
          </w:divBdr>
        </w:div>
        <w:div w:id="305284413">
          <w:marLeft w:val="0"/>
          <w:marRight w:val="0"/>
          <w:marTop w:val="0"/>
          <w:marBottom w:val="0"/>
          <w:divBdr>
            <w:top w:val="none" w:sz="0" w:space="0" w:color="auto"/>
            <w:left w:val="none" w:sz="0" w:space="0" w:color="auto"/>
            <w:bottom w:val="none" w:sz="0" w:space="0" w:color="auto"/>
            <w:right w:val="none" w:sz="0" w:space="0" w:color="auto"/>
          </w:divBdr>
        </w:div>
        <w:div w:id="1616323878">
          <w:marLeft w:val="0"/>
          <w:marRight w:val="0"/>
          <w:marTop w:val="0"/>
          <w:marBottom w:val="0"/>
          <w:divBdr>
            <w:top w:val="none" w:sz="0" w:space="0" w:color="auto"/>
            <w:left w:val="none" w:sz="0" w:space="0" w:color="auto"/>
            <w:bottom w:val="none" w:sz="0" w:space="0" w:color="auto"/>
            <w:right w:val="none" w:sz="0" w:space="0" w:color="auto"/>
          </w:divBdr>
        </w:div>
        <w:div w:id="1694569370">
          <w:marLeft w:val="0"/>
          <w:marRight w:val="0"/>
          <w:marTop w:val="0"/>
          <w:marBottom w:val="0"/>
          <w:divBdr>
            <w:top w:val="none" w:sz="0" w:space="0" w:color="auto"/>
            <w:left w:val="none" w:sz="0" w:space="0" w:color="auto"/>
            <w:bottom w:val="none" w:sz="0" w:space="0" w:color="auto"/>
            <w:right w:val="none" w:sz="0" w:space="0" w:color="auto"/>
          </w:divBdr>
        </w:div>
        <w:div w:id="2002812342">
          <w:marLeft w:val="0"/>
          <w:marRight w:val="0"/>
          <w:marTop w:val="0"/>
          <w:marBottom w:val="0"/>
          <w:divBdr>
            <w:top w:val="none" w:sz="0" w:space="0" w:color="auto"/>
            <w:left w:val="none" w:sz="0" w:space="0" w:color="auto"/>
            <w:bottom w:val="none" w:sz="0" w:space="0" w:color="auto"/>
            <w:right w:val="none" w:sz="0" w:space="0" w:color="auto"/>
          </w:divBdr>
        </w:div>
        <w:div w:id="1167552951">
          <w:marLeft w:val="0"/>
          <w:marRight w:val="0"/>
          <w:marTop w:val="0"/>
          <w:marBottom w:val="0"/>
          <w:divBdr>
            <w:top w:val="none" w:sz="0" w:space="0" w:color="auto"/>
            <w:left w:val="none" w:sz="0" w:space="0" w:color="auto"/>
            <w:bottom w:val="none" w:sz="0" w:space="0" w:color="auto"/>
            <w:right w:val="none" w:sz="0" w:space="0" w:color="auto"/>
          </w:divBdr>
        </w:div>
        <w:div w:id="1522937367">
          <w:marLeft w:val="0"/>
          <w:marRight w:val="0"/>
          <w:marTop w:val="0"/>
          <w:marBottom w:val="0"/>
          <w:divBdr>
            <w:top w:val="none" w:sz="0" w:space="0" w:color="auto"/>
            <w:left w:val="none" w:sz="0" w:space="0" w:color="auto"/>
            <w:bottom w:val="none" w:sz="0" w:space="0" w:color="auto"/>
            <w:right w:val="none" w:sz="0" w:space="0" w:color="auto"/>
          </w:divBdr>
        </w:div>
        <w:div w:id="1859153127">
          <w:marLeft w:val="0"/>
          <w:marRight w:val="0"/>
          <w:marTop w:val="0"/>
          <w:marBottom w:val="0"/>
          <w:divBdr>
            <w:top w:val="none" w:sz="0" w:space="0" w:color="auto"/>
            <w:left w:val="none" w:sz="0" w:space="0" w:color="auto"/>
            <w:bottom w:val="none" w:sz="0" w:space="0" w:color="auto"/>
            <w:right w:val="none" w:sz="0" w:space="0" w:color="auto"/>
          </w:divBdr>
        </w:div>
      </w:divsChild>
    </w:div>
    <w:div w:id="499542336">
      <w:bodyDiv w:val="1"/>
      <w:marLeft w:val="0"/>
      <w:marRight w:val="0"/>
      <w:marTop w:val="0"/>
      <w:marBottom w:val="0"/>
      <w:divBdr>
        <w:top w:val="none" w:sz="0" w:space="0" w:color="auto"/>
        <w:left w:val="none" w:sz="0" w:space="0" w:color="auto"/>
        <w:bottom w:val="none" w:sz="0" w:space="0" w:color="auto"/>
        <w:right w:val="none" w:sz="0" w:space="0" w:color="auto"/>
      </w:divBdr>
    </w:div>
    <w:div w:id="879323611">
      <w:bodyDiv w:val="1"/>
      <w:marLeft w:val="0"/>
      <w:marRight w:val="0"/>
      <w:marTop w:val="0"/>
      <w:marBottom w:val="0"/>
      <w:divBdr>
        <w:top w:val="none" w:sz="0" w:space="0" w:color="auto"/>
        <w:left w:val="none" w:sz="0" w:space="0" w:color="auto"/>
        <w:bottom w:val="none" w:sz="0" w:space="0" w:color="auto"/>
        <w:right w:val="none" w:sz="0" w:space="0" w:color="auto"/>
      </w:divBdr>
    </w:div>
    <w:div w:id="1070470511">
      <w:bodyDiv w:val="1"/>
      <w:marLeft w:val="0"/>
      <w:marRight w:val="0"/>
      <w:marTop w:val="0"/>
      <w:marBottom w:val="0"/>
      <w:divBdr>
        <w:top w:val="none" w:sz="0" w:space="0" w:color="auto"/>
        <w:left w:val="none" w:sz="0" w:space="0" w:color="auto"/>
        <w:bottom w:val="none" w:sz="0" w:space="0" w:color="auto"/>
        <w:right w:val="none" w:sz="0" w:space="0" w:color="auto"/>
      </w:divBdr>
    </w:div>
    <w:div w:id="1267543825">
      <w:bodyDiv w:val="1"/>
      <w:marLeft w:val="0"/>
      <w:marRight w:val="0"/>
      <w:marTop w:val="0"/>
      <w:marBottom w:val="0"/>
      <w:divBdr>
        <w:top w:val="none" w:sz="0" w:space="0" w:color="auto"/>
        <w:left w:val="none" w:sz="0" w:space="0" w:color="auto"/>
        <w:bottom w:val="none" w:sz="0" w:space="0" w:color="auto"/>
        <w:right w:val="none" w:sz="0" w:space="0" w:color="auto"/>
      </w:divBdr>
    </w:div>
    <w:div w:id="1312061311">
      <w:bodyDiv w:val="1"/>
      <w:marLeft w:val="0"/>
      <w:marRight w:val="0"/>
      <w:marTop w:val="0"/>
      <w:marBottom w:val="0"/>
      <w:divBdr>
        <w:top w:val="none" w:sz="0" w:space="0" w:color="auto"/>
        <w:left w:val="none" w:sz="0" w:space="0" w:color="auto"/>
        <w:bottom w:val="none" w:sz="0" w:space="0" w:color="auto"/>
        <w:right w:val="none" w:sz="0" w:space="0" w:color="auto"/>
      </w:divBdr>
    </w:div>
    <w:div w:id="1382557579">
      <w:bodyDiv w:val="1"/>
      <w:marLeft w:val="0"/>
      <w:marRight w:val="0"/>
      <w:marTop w:val="0"/>
      <w:marBottom w:val="0"/>
      <w:divBdr>
        <w:top w:val="none" w:sz="0" w:space="0" w:color="auto"/>
        <w:left w:val="none" w:sz="0" w:space="0" w:color="auto"/>
        <w:bottom w:val="none" w:sz="0" w:space="0" w:color="auto"/>
        <w:right w:val="none" w:sz="0" w:space="0" w:color="auto"/>
      </w:divBdr>
      <w:divsChild>
        <w:div w:id="461578876">
          <w:marLeft w:val="432"/>
          <w:marRight w:val="0"/>
          <w:marTop w:val="80"/>
          <w:marBottom w:val="80"/>
          <w:divBdr>
            <w:top w:val="none" w:sz="0" w:space="0" w:color="auto"/>
            <w:left w:val="none" w:sz="0" w:space="0" w:color="auto"/>
            <w:bottom w:val="none" w:sz="0" w:space="0" w:color="auto"/>
            <w:right w:val="none" w:sz="0" w:space="0" w:color="auto"/>
          </w:divBdr>
        </w:div>
        <w:div w:id="849417787">
          <w:marLeft w:val="432"/>
          <w:marRight w:val="0"/>
          <w:marTop w:val="80"/>
          <w:marBottom w:val="80"/>
          <w:divBdr>
            <w:top w:val="none" w:sz="0" w:space="0" w:color="auto"/>
            <w:left w:val="none" w:sz="0" w:space="0" w:color="auto"/>
            <w:bottom w:val="none" w:sz="0" w:space="0" w:color="auto"/>
            <w:right w:val="none" w:sz="0" w:space="0" w:color="auto"/>
          </w:divBdr>
        </w:div>
        <w:div w:id="50466822">
          <w:marLeft w:val="432"/>
          <w:marRight w:val="0"/>
          <w:marTop w:val="80"/>
          <w:marBottom w:val="80"/>
          <w:divBdr>
            <w:top w:val="none" w:sz="0" w:space="0" w:color="auto"/>
            <w:left w:val="none" w:sz="0" w:space="0" w:color="auto"/>
            <w:bottom w:val="none" w:sz="0" w:space="0" w:color="auto"/>
            <w:right w:val="none" w:sz="0" w:space="0" w:color="auto"/>
          </w:divBdr>
        </w:div>
      </w:divsChild>
    </w:div>
    <w:div w:id="1561090280">
      <w:bodyDiv w:val="1"/>
      <w:marLeft w:val="0"/>
      <w:marRight w:val="0"/>
      <w:marTop w:val="0"/>
      <w:marBottom w:val="0"/>
      <w:divBdr>
        <w:top w:val="none" w:sz="0" w:space="0" w:color="auto"/>
        <w:left w:val="none" w:sz="0" w:space="0" w:color="auto"/>
        <w:bottom w:val="none" w:sz="0" w:space="0" w:color="auto"/>
        <w:right w:val="none" w:sz="0" w:space="0" w:color="auto"/>
      </w:divBdr>
      <w:divsChild>
        <w:div w:id="1357196725">
          <w:marLeft w:val="0"/>
          <w:marRight w:val="0"/>
          <w:marTop w:val="0"/>
          <w:marBottom w:val="0"/>
          <w:divBdr>
            <w:top w:val="none" w:sz="0" w:space="0" w:color="auto"/>
            <w:left w:val="none" w:sz="0" w:space="0" w:color="auto"/>
            <w:bottom w:val="none" w:sz="0" w:space="0" w:color="auto"/>
            <w:right w:val="none" w:sz="0" w:space="0" w:color="auto"/>
          </w:divBdr>
        </w:div>
        <w:div w:id="214780014">
          <w:marLeft w:val="0"/>
          <w:marRight w:val="0"/>
          <w:marTop w:val="0"/>
          <w:marBottom w:val="0"/>
          <w:divBdr>
            <w:top w:val="none" w:sz="0" w:space="0" w:color="auto"/>
            <w:left w:val="none" w:sz="0" w:space="0" w:color="auto"/>
            <w:bottom w:val="none" w:sz="0" w:space="0" w:color="auto"/>
            <w:right w:val="none" w:sz="0" w:space="0" w:color="auto"/>
          </w:divBdr>
        </w:div>
        <w:div w:id="945769218">
          <w:marLeft w:val="0"/>
          <w:marRight w:val="0"/>
          <w:marTop w:val="0"/>
          <w:marBottom w:val="0"/>
          <w:divBdr>
            <w:top w:val="none" w:sz="0" w:space="0" w:color="auto"/>
            <w:left w:val="none" w:sz="0" w:space="0" w:color="auto"/>
            <w:bottom w:val="none" w:sz="0" w:space="0" w:color="auto"/>
            <w:right w:val="none" w:sz="0" w:space="0" w:color="auto"/>
          </w:divBdr>
        </w:div>
        <w:div w:id="615252869">
          <w:marLeft w:val="0"/>
          <w:marRight w:val="0"/>
          <w:marTop w:val="0"/>
          <w:marBottom w:val="0"/>
          <w:divBdr>
            <w:top w:val="none" w:sz="0" w:space="0" w:color="auto"/>
            <w:left w:val="none" w:sz="0" w:space="0" w:color="auto"/>
            <w:bottom w:val="none" w:sz="0" w:space="0" w:color="auto"/>
            <w:right w:val="none" w:sz="0" w:space="0" w:color="auto"/>
          </w:divBdr>
        </w:div>
        <w:div w:id="169879392">
          <w:marLeft w:val="0"/>
          <w:marRight w:val="0"/>
          <w:marTop w:val="0"/>
          <w:marBottom w:val="0"/>
          <w:divBdr>
            <w:top w:val="none" w:sz="0" w:space="0" w:color="auto"/>
            <w:left w:val="none" w:sz="0" w:space="0" w:color="auto"/>
            <w:bottom w:val="none" w:sz="0" w:space="0" w:color="auto"/>
            <w:right w:val="none" w:sz="0" w:space="0" w:color="auto"/>
          </w:divBdr>
        </w:div>
        <w:div w:id="637690309">
          <w:marLeft w:val="0"/>
          <w:marRight w:val="0"/>
          <w:marTop w:val="0"/>
          <w:marBottom w:val="0"/>
          <w:divBdr>
            <w:top w:val="none" w:sz="0" w:space="0" w:color="auto"/>
            <w:left w:val="none" w:sz="0" w:space="0" w:color="auto"/>
            <w:bottom w:val="none" w:sz="0" w:space="0" w:color="auto"/>
            <w:right w:val="none" w:sz="0" w:space="0" w:color="auto"/>
          </w:divBdr>
        </w:div>
        <w:div w:id="447117220">
          <w:marLeft w:val="0"/>
          <w:marRight w:val="0"/>
          <w:marTop w:val="0"/>
          <w:marBottom w:val="0"/>
          <w:divBdr>
            <w:top w:val="none" w:sz="0" w:space="0" w:color="auto"/>
            <w:left w:val="none" w:sz="0" w:space="0" w:color="auto"/>
            <w:bottom w:val="none" w:sz="0" w:space="0" w:color="auto"/>
            <w:right w:val="none" w:sz="0" w:space="0" w:color="auto"/>
          </w:divBdr>
        </w:div>
        <w:div w:id="170339582">
          <w:marLeft w:val="0"/>
          <w:marRight w:val="0"/>
          <w:marTop w:val="0"/>
          <w:marBottom w:val="0"/>
          <w:divBdr>
            <w:top w:val="none" w:sz="0" w:space="0" w:color="auto"/>
            <w:left w:val="none" w:sz="0" w:space="0" w:color="auto"/>
            <w:bottom w:val="none" w:sz="0" w:space="0" w:color="auto"/>
            <w:right w:val="none" w:sz="0" w:space="0" w:color="auto"/>
          </w:divBdr>
        </w:div>
        <w:div w:id="1669794990">
          <w:marLeft w:val="0"/>
          <w:marRight w:val="0"/>
          <w:marTop w:val="0"/>
          <w:marBottom w:val="0"/>
          <w:divBdr>
            <w:top w:val="none" w:sz="0" w:space="0" w:color="auto"/>
            <w:left w:val="none" w:sz="0" w:space="0" w:color="auto"/>
            <w:bottom w:val="none" w:sz="0" w:space="0" w:color="auto"/>
            <w:right w:val="none" w:sz="0" w:space="0" w:color="auto"/>
          </w:divBdr>
        </w:div>
        <w:div w:id="1123813539">
          <w:marLeft w:val="0"/>
          <w:marRight w:val="0"/>
          <w:marTop w:val="0"/>
          <w:marBottom w:val="0"/>
          <w:divBdr>
            <w:top w:val="none" w:sz="0" w:space="0" w:color="auto"/>
            <w:left w:val="none" w:sz="0" w:space="0" w:color="auto"/>
            <w:bottom w:val="none" w:sz="0" w:space="0" w:color="auto"/>
            <w:right w:val="none" w:sz="0" w:space="0" w:color="auto"/>
          </w:divBdr>
        </w:div>
        <w:div w:id="1308049318">
          <w:marLeft w:val="0"/>
          <w:marRight w:val="0"/>
          <w:marTop w:val="0"/>
          <w:marBottom w:val="0"/>
          <w:divBdr>
            <w:top w:val="none" w:sz="0" w:space="0" w:color="auto"/>
            <w:left w:val="none" w:sz="0" w:space="0" w:color="auto"/>
            <w:bottom w:val="none" w:sz="0" w:space="0" w:color="auto"/>
            <w:right w:val="none" w:sz="0" w:space="0" w:color="auto"/>
          </w:divBdr>
        </w:div>
        <w:div w:id="443965586">
          <w:marLeft w:val="0"/>
          <w:marRight w:val="0"/>
          <w:marTop w:val="0"/>
          <w:marBottom w:val="0"/>
          <w:divBdr>
            <w:top w:val="none" w:sz="0" w:space="0" w:color="auto"/>
            <w:left w:val="none" w:sz="0" w:space="0" w:color="auto"/>
            <w:bottom w:val="none" w:sz="0" w:space="0" w:color="auto"/>
            <w:right w:val="none" w:sz="0" w:space="0" w:color="auto"/>
          </w:divBdr>
        </w:div>
      </w:divsChild>
    </w:div>
    <w:div w:id="205122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keyse@uwtsd.ac.uk" TargetMode="External"/><Relationship Id="rId18" Type="http://schemas.openxmlformats.org/officeDocument/2006/relationships/hyperlink" Target="https://www.ssoar.info/ssoar/bitstream/handle/document/10549/ssoar-afrspectrum-2005-2-kundrus-from_the_herero_to_the.pdf?sequence=1&amp;isAllowed=y&amp;lnkname=ssoar-afrspectrum-2005-2-kundrus-from_the_herero_to_the.pdf" TargetMode="External"/><Relationship Id="rId3" Type="http://schemas.openxmlformats.org/officeDocument/2006/relationships/styles" Target="styles.xml"/><Relationship Id="rId21" Type="http://schemas.openxmlformats.org/officeDocument/2006/relationships/hyperlink" Target="https://www.scielo.org.za/pdf/kronos/v34n1/v34n1a14.pdf" TargetMode="External"/><Relationship Id="rId7" Type="http://schemas.openxmlformats.org/officeDocument/2006/relationships/endnotes" Target="endnotes.xml"/><Relationship Id="rId12" Type="http://schemas.openxmlformats.org/officeDocument/2006/relationships/hyperlink" Target="https://www.newpathways.org.uk/" TargetMode="External"/><Relationship Id="rId17" Type="http://schemas.openxmlformats.org/officeDocument/2006/relationships/hyperlink" Target="https://wellcomecollection.org/works/sxfn6baq"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n.org/en/genocideprevention/documents/atrocity-crimes/Doc.1_Convention%20on%20the%20Prevention%20and%20Punishment%20of%20the%20Crime%20of%20Genocide.pdf" TargetMode="External"/><Relationship Id="rId20" Type="http://schemas.openxmlformats.org/officeDocument/2006/relationships/hyperlink" Target="https://doi.org/10.1080/146235203056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live-fear-free/domestic-abuse-wal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tranet.uwtsd.ac.uk/departments/library-and-learning-resources/academic-and-infoskills/referencing-handbooks" TargetMode="External"/><Relationship Id="rId23" Type="http://schemas.openxmlformats.org/officeDocument/2006/relationships/footer" Target="footer1.xml"/><Relationship Id="rId10" Type="http://schemas.openxmlformats.org/officeDocument/2006/relationships/hyperlink" Target="https://www.uwtsd.ac.uk/experience-facilities/student-support-wellbeing/wellbeing-support" TargetMode="External"/><Relationship Id="rId19" Type="http://schemas.openxmlformats.org/officeDocument/2006/relationships/hyperlink" Target="https://www.hrw.org/report/1999/03/01/leave-none-tell-story/genocide-rwanda" TargetMode="External"/><Relationship Id="rId4" Type="http://schemas.openxmlformats.org/officeDocument/2006/relationships/settings" Target="settings.xml"/><Relationship Id="rId9" Type="http://schemas.openxmlformats.org/officeDocument/2006/relationships/hyperlink" Target="mailto:r.keyse@uwtsd.ac.uk" TargetMode="External"/><Relationship Id="rId14" Type="http://schemas.openxmlformats.org/officeDocument/2006/relationships/hyperlink" Target="https://www.google.com/url?sa=t&amp;rct=j&amp;q=&amp;esrc=s&amp;source=web&amp;cd=&amp;ved=2ahUKEwitmrChyeGKAxXAX0EAHfGZD8cQFnoECBoQAQ&amp;url=https%3A%2F%2Fwww.uwtsd.ac.uk%2Fmedia%2F1893%2Fdownload%3Fattachment&amp;usg=AOvVaw2ZnKYm-XMCbMZOfpG0orVh&amp;opi=89978449" TargetMode="External"/><Relationship Id="rId22" Type="http://schemas.openxmlformats.org/officeDocument/2006/relationships/hyperlink" Target="https://www.ssoar.info/ssoar/bitstream/handle/document/10549/ssoar-afrspectrum-2005-2-kundrus-from_the_herero_to_the.pdf?sequence=1&amp;isAllowed=y&amp;lnkname=ssoar-afrspectrum-2005-2-kundrus-from_the_herero_to_th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86C6B-371F-482C-A829-4480FE319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11895</Words>
  <Characters>67807</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449</cp:revision>
  <dcterms:created xsi:type="dcterms:W3CDTF">2024-11-22T21:04:00Z</dcterms:created>
  <dcterms:modified xsi:type="dcterms:W3CDTF">2025-01-06T17:23:00Z</dcterms:modified>
</cp:coreProperties>
</file>