
<file path=[Content_Types].xml><?xml version="1.0" encoding="utf-8"?>
<Types xmlns="http://schemas.openxmlformats.org/package/2006/content-types">
  <Default ContentType="application/xml" Extension="xml"/>
  <Default ContentType="application/x-font-ttf" Extension="ttf"/>
  <Default ContentType="image/png" Extension="png"/>
  <Default ContentType="application/vnd.openxmlformats-officedocument.obfuscatedFont" Extension="odttf"/>
  <Default ContentType="application/vnd.openxmlformats-package.relationships+xml" Extension="rels"/>
  <Override ContentType="application/vnd.openxmlformats-officedocument.wordprocessingml.settings+xml" PartName="/word/settings.xml"/>
  <Override ContentType="application/xml" PartName="/customXML/item1.xml"/>
  <Override ContentType="application/vnd.openxmlformats-officedocument.customXmlProperties+xml" PartName="/customXML/itemProps1.xml"/>
  <Override ContentType="application/vnd.openxmlformats-officedocument.wordprocessingml.styles+xml" PartName="/word/styles.xml"/>
  <Override ContentType="application/vnd.openxmlformats-officedocument.wordprocessingml.footer+xml" PartName="/word/footer1.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body>
    <w:p w:rsidR="00000000" w:rsidDel="00000000" w:rsidP="00000000" w:rsidRDefault="00000000" w:rsidRPr="00000000" w14:paraId="00000001">
      <w:pPr>
        <w:spacing w:line="259" w:lineRule="auto"/>
        <w:jc w:val="center"/>
        <w:rPr>
          <w:b w:val="1"/>
          <w:bCs w:val="1"/>
        </w:rPr>
      </w:pPr>
      <w:r w:rsidDel="00000000" w:rsidR="00000000" w:rsidRPr="00000000">
        <w:rPr>
          <w:rtl w:val="0"/>
        </w:rPr>
      </w:r>
    </w:p>
    <w:p w:rsidR="00000000" w:rsidDel="00000000" w:rsidP="00000000" w:rsidRDefault="00000000" w:rsidRPr="00000000" w14:paraId="00000002">
      <w:pPr>
        <w:spacing w:line="259" w:lineRule="auto"/>
        <w:jc w:val="center"/>
        <w:rPr>
          <w:b w:val="1"/>
          <w:bCs w:val="1"/>
        </w:rPr>
      </w:pPr>
      <w:r w:rsidDel="00000000" w:rsidR="00000000" w:rsidRPr="00000000">
        <w:rPr>
          <w:rtl w:val="0"/>
        </w:rPr>
      </w:r>
    </w:p>
    <w:p w:rsidR="00000000" w:rsidDel="00000000" w:rsidP="00000000" w:rsidRDefault="00000000" w:rsidRPr="00000000" w14:paraId="00000003">
      <w:pPr>
        <w:spacing w:line="259" w:lineRule="auto"/>
        <w:jc w:val="center"/>
        <w:rPr>
          <w:b w:val="1"/>
          <w:bCs w:val="1"/>
        </w:rPr>
      </w:pPr>
      <w:r w:rsidDel="00000000" w:rsidR="00000000" w:rsidRPr="00000000">
        <w:rPr>
          <w:rtl w:val="0"/>
        </w:rPr>
      </w:r>
    </w:p>
    <w:p w:rsidR="00000000" w:rsidDel="00000000" w:rsidP="00000000" w:rsidRDefault="00000000" w:rsidRPr="00000000" w14:paraId="00000004">
      <w:pPr>
        <w:spacing w:line="259" w:lineRule="auto"/>
        <w:rPr>
          <w:b w:val="1"/>
          <w:bCs w:val="1"/>
        </w:rPr>
      </w:pPr>
      <w:r w:rsidDel="00000000" w:rsidR="00000000" w:rsidRPr="00000000">
        <w:rPr>
          <w:rtl w:val="0"/>
        </w:rPr>
      </w:r>
    </w:p>
    <w:p w:rsidR="00000000" w:rsidDel="00000000" w:rsidP="00000000" w:rsidRDefault="00000000" w:rsidRPr="00000000" w14:paraId="00000005">
      <w:pPr>
        <w:spacing w:line="259" w:lineRule="auto"/>
        <w:jc w:val="center"/>
        <w:rPr>
          <w:b w:val="1"/>
          <w:bCs w:val="1"/>
          <w:sz w:val="36"/>
          <w:szCs w:val="36"/>
        </w:rPr>
      </w:pPr>
      <w:r w:rsidDel="00000000" w:rsidR="00000000" w:rsidRPr="00000000">
        <w:rPr>
          <w:b w:val="1"/>
          <w:bCs w:val="1"/>
          <w:sz w:val="36"/>
          <w:szCs w:val="36"/>
          <w:rtl w:val="0"/>
        </w:rPr>
        <w:t xml:space="preserve">LCMB7023: Human Capital Management</w:t>
      </w:r>
    </w:p>
    <w:p w:rsidR="00000000" w:rsidDel="00000000" w:rsidP="00000000" w:rsidRDefault="00000000" w:rsidRPr="00000000" w14:paraId="00000006">
      <w:pPr>
        <w:spacing w:line="259" w:lineRule="auto"/>
        <w:jc w:val="center"/>
        <w:rPr>
          <w:b w:val="1"/>
          <w:bCs w:val="1"/>
          <w:sz w:val="36"/>
          <w:szCs w:val="36"/>
        </w:rPr>
      </w:pPr>
      <w:r w:rsidDel="00000000" w:rsidR="00000000" w:rsidRPr="00000000">
        <w:rPr>
          <w:b w:val="1"/>
          <w:bCs w:val="1"/>
          <w:sz w:val="36"/>
          <w:szCs w:val="36"/>
          <w:rtl w:val="0"/>
        </w:rPr>
        <w:t xml:space="preserve">Assessment component 1: Individual report</w:t>
      </w:r>
    </w:p>
    <w:p w:rsidR="00000000" w:rsidDel="00000000" w:rsidP="00000000" w:rsidRDefault="00000000" w:rsidRPr="00000000" w14:paraId="00000007">
      <w:pPr>
        <w:spacing w:line="259" w:lineRule="auto"/>
        <w:jc w:val="center"/>
        <w:rPr>
          <w:b w:val="1"/>
          <w:bCs w:val="1"/>
          <w:sz w:val="36"/>
          <w:szCs w:val="36"/>
        </w:rPr>
      </w:pPr>
      <w:r w:rsidDel="00000000" w:rsidR="00000000" w:rsidRPr="00000000">
        <w:rPr>
          <w:b w:val="1"/>
          <w:bCs w:val="1"/>
          <w:sz w:val="36"/>
          <w:szCs w:val="36"/>
          <w:rtl w:val="0"/>
        </w:rPr>
        <w:t xml:space="preserve">Topic: Designing a Human Capital Architecture for Strategic Renewal</w:t>
      </w:r>
    </w:p>
    <w:p w:rsidR="00000000" w:rsidDel="00000000" w:rsidP="00000000" w:rsidRDefault="00000000" w:rsidRPr="00000000" w14:paraId="00000008">
      <w:pPr>
        <w:spacing w:line="259" w:lineRule="auto"/>
        <w:jc w:val="center"/>
        <w:rPr>
          <w:b w:val="1"/>
          <w:bCs w:val="1"/>
          <w:sz w:val="36"/>
          <w:szCs w:val="36"/>
        </w:rPr>
      </w:pPr>
      <w:r w:rsidDel="00000000" w:rsidR="00000000" w:rsidRPr="00000000">
        <w:rPr>
          <w:rtl w:val="0"/>
        </w:rPr>
      </w:r>
    </w:p>
    <w:p w:rsidR="00000000" w:rsidDel="00000000" w:rsidP="00000000" w:rsidRDefault="00000000" w:rsidRPr="00000000" w14:paraId="00000009">
      <w:pPr>
        <w:spacing w:line="259" w:lineRule="auto"/>
        <w:jc w:val="center"/>
        <w:rPr>
          <w:b w:val="1"/>
          <w:bCs w:val="1"/>
          <w:sz w:val="36"/>
          <w:szCs w:val="36"/>
        </w:rPr>
      </w:pPr>
      <w:r w:rsidDel="00000000" w:rsidR="00000000" w:rsidRPr="00000000">
        <w:rPr>
          <w:rtl w:val="0"/>
        </w:rPr>
      </w:r>
    </w:p>
    <w:p w:rsidR="00000000" w:rsidDel="00000000" w:rsidP="00000000" w:rsidRDefault="00000000" w:rsidRPr="00000000" w14:paraId="0000000A">
      <w:pPr>
        <w:spacing w:line="259" w:lineRule="auto"/>
        <w:jc w:val="center"/>
        <w:rPr>
          <w:b w:val="1"/>
          <w:bCs w:val="1"/>
          <w:sz w:val="36"/>
          <w:szCs w:val="36"/>
        </w:rPr>
      </w:pPr>
      <w:r w:rsidDel="00000000" w:rsidR="00000000" w:rsidRPr="00000000">
        <w:rPr>
          <w:rtl w:val="0"/>
        </w:rPr>
      </w:r>
    </w:p>
    <w:p w:rsidR="00000000" w:rsidDel="00000000" w:rsidP="00000000" w:rsidRDefault="00000000" w:rsidRPr="00000000" w14:paraId="0000000B">
      <w:pPr>
        <w:spacing w:line="259" w:lineRule="auto"/>
        <w:jc w:val="center"/>
        <w:rPr>
          <w:b w:val="1"/>
          <w:bCs w:val="1"/>
          <w:sz w:val="36"/>
          <w:szCs w:val="36"/>
        </w:rPr>
      </w:pPr>
      <w:r w:rsidDel="00000000" w:rsidR="00000000" w:rsidRPr="00000000">
        <w:rPr>
          <w:rtl w:val="0"/>
        </w:rPr>
      </w:r>
    </w:p>
    <w:p w:rsidR="00000000" w:rsidDel="00000000" w:rsidP="00000000" w:rsidRDefault="00000000" w:rsidRPr="00000000" w14:paraId="0000000C">
      <w:pPr>
        <w:spacing w:line="259" w:lineRule="auto"/>
        <w:jc w:val="center"/>
        <w:rPr>
          <w:b w:val="1"/>
          <w:bCs w:val="1"/>
          <w:sz w:val="36"/>
          <w:szCs w:val="36"/>
        </w:rPr>
      </w:pPr>
      <w:r w:rsidDel="00000000" w:rsidR="00000000" w:rsidRPr="00000000">
        <w:rPr>
          <w:rtl w:val="0"/>
        </w:rPr>
      </w:r>
    </w:p>
    <w:p w:rsidR="00000000" w:rsidDel="00000000" w:rsidP="00000000" w:rsidRDefault="00000000" w:rsidRPr="00000000" w14:paraId="0000000D">
      <w:pPr>
        <w:spacing w:line="259" w:lineRule="auto"/>
        <w:jc w:val="center"/>
        <w:rPr>
          <w:b w:val="1"/>
          <w:bCs w:val="1"/>
          <w:sz w:val="36"/>
          <w:szCs w:val="36"/>
        </w:rPr>
      </w:pPr>
      <w:r w:rsidDel="00000000" w:rsidR="00000000" w:rsidRPr="00000000">
        <w:rPr>
          <w:rtl w:val="0"/>
        </w:rPr>
      </w:r>
    </w:p>
    <w:p w:rsidR="00000000" w:rsidDel="00000000" w:rsidP="00000000" w:rsidRDefault="00000000" w:rsidRPr="00000000" w14:paraId="0000000E">
      <w:pPr>
        <w:spacing w:line="259" w:lineRule="auto"/>
        <w:jc w:val="center"/>
        <w:rPr>
          <w:b w:val="1"/>
          <w:bCs w:val="1"/>
          <w:sz w:val="36"/>
          <w:szCs w:val="36"/>
        </w:rPr>
      </w:pPr>
      <w:r w:rsidDel="00000000" w:rsidR="00000000" w:rsidRPr="00000000">
        <w:rPr>
          <w:rtl w:val="0"/>
        </w:rPr>
      </w:r>
    </w:p>
    <w:p w:rsidR="00000000" w:rsidDel="00000000" w:rsidP="00000000" w:rsidRDefault="00000000" w:rsidRPr="00000000" w14:paraId="0000000F">
      <w:pPr>
        <w:spacing w:line="259" w:lineRule="auto"/>
        <w:jc w:val="center"/>
        <w:rPr>
          <w:b w:val="1"/>
          <w:bCs w:val="1"/>
          <w:sz w:val="36"/>
          <w:szCs w:val="36"/>
        </w:rPr>
      </w:pPr>
      <w:r w:rsidDel="00000000" w:rsidR="00000000" w:rsidRPr="00000000">
        <w:rPr>
          <w:rtl w:val="0"/>
        </w:rPr>
      </w:r>
    </w:p>
    <w:p w:rsidR="00000000" w:rsidDel="00000000" w:rsidP="00000000" w:rsidRDefault="00000000" w:rsidRPr="00000000" w14:paraId="00000010">
      <w:pPr>
        <w:spacing w:line="259" w:lineRule="auto"/>
        <w:rPr>
          <w:b w:val="1"/>
          <w:bCs w:val="1"/>
          <w:sz w:val="36"/>
          <w:szCs w:val="36"/>
        </w:rPr>
      </w:pPr>
      <w:r w:rsidDel="00000000" w:rsidR="00000000" w:rsidRPr="00000000">
        <w:rPr>
          <w:rtl w:val="0"/>
        </w:rPr>
      </w:r>
    </w:p>
    <w:p w:rsidR="00000000" w:rsidDel="00000000" w:rsidP="00000000" w:rsidRDefault="00000000" w:rsidRPr="00000000" w14:paraId="00000011">
      <w:pPr>
        <w:jc w:val="center"/>
        <w:rPr/>
      </w:pPr>
      <w:r w:rsidDel="00000000" w:rsidR="00000000" w:rsidRPr="00000000">
        <w:rPr>
          <w:rtl w:val="0"/>
        </w:rPr>
        <w:t xml:space="preserve">Name of the Student: Bogdan Pacuraru </w:t>
      </w:r>
    </w:p>
    <w:p w:rsidR="00000000" w:rsidDel="00000000" w:rsidP="00000000" w:rsidRDefault="00000000" w:rsidRPr="00000000" w14:paraId="00000012">
      <w:pPr>
        <w:jc w:val="center"/>
        <w:rPr/>
      </w:pPr>
      <w:r w:rsidDel="00000000" w:rsidR="00000000" w:rsidRPr="00000000">
        <w:rPr>
          <w:rtl w:val="0"/>
        </w:rPr>
        <w:t xml:space="preserve">Student’s ID:2245496</w:t>
      </w:r>
    </w:p>
    <w:p w:rsidR="00000000" w:rsidDel="00000000" w:rsidP="00000000" w:rsidRDefault="00000000" w:rsidRPr="00000000" w14:paraId="00000013">
      <w:pPr>
        <w:jc w:val="center"/>
        <w:rPr/>
      </w:pPr>
      <w:r w:rsidDel="00000000" w:rsidR="00000000" w:rsidRPr="00000000">
        <w:rPr>
          <w:rtl w:val="0"/>
        </w:rPr>
        <w:t xml:space="preserve">Course:</w:t>
      </w:r>
    </w:p>
    <w:p w:rsidR="00000000" w:rsidDel="00000000" w:rsidP="00000000" w:rsidRDefault="00000000" w:rsidRPr="00000000" w14:paraId="00000014">
      <w:pPr>
        <w:spacing w:line="259" w:lineRule="auto"/>
        <w:jc w:val="left"/>
        <w:rPr/>
      </w:pPr>
      <w:r w:rsidDel="00000000" w:rsidR="00000000" w:rsidRPr="00000000">
        <w:br w:type="page"/>
      </w:r>
      <w:r w:rsidDel="00000000" w:rsidR="00000000" w:rsidRPr="00000000">
        <w:rPr>
          <w:rtl w:val="0"/>
        </w:rPr>
      </w:r>
    </w:p>
    <w:p w:rsidR="00000000" w:rsidDel="00000000" w:rsidP="00000000" w:rsidRDefault="00000000" w:rsidRPr="00000000" w14:paraId="00000015">
      <w:pPr>
        <w:keepNext w:val="1"/>
        <w:keepLines w:val="1"/>
        <w:pBdr>
          <w:top w:space="0" w:sz="0" w:val="nil"/>
          <w:left w:space="0" w:sz="0" w:val="nil"/>
          <w:bottom w:space="0" w:sz="0" w:val="nil"/>
          <w:right w:space="0" w:sz="0" w:val="nil"/>
          <w:between w:space="0" w:sz="0" w:val="nil"/>
        </w:pBdr>
        <w:spacing w:after="0" w:before="240" w:line="259" w:lineRule="auto"/>
        <w:jc w:val="center"/>
        <w:rPr>
          <w:rFonts w:ascii="Calibri" w:cs="Calibri" w:eastAsia="Calibri" w:hAnsi="Calibri"/>
          <w:color w:val="2f5496"/>
          <w:sz w:val="32"/>
          <w:szCs w:val="32"/>
        </w:rPr>
      </w:pPr>
      <w:r w:rsidDel="00000000" w:rsidR="00000000" w:rsidRPr="00000000">
        <w:rPr>
          <w:rFonts w:ascii="Calibri" w:cs="Calibri" w:eastAsia="Calibri" w:hAnsi="Calibri"/>
          <w:color w:val="2f5496"/>
          <w:sz w:val="32"/>
          <w:szCs w:val="32"/>
          <w:rtl w:val="0"/>
        </w:rPr>
        <w:t xml:space="preserve">Table of Contents</w:t>
      </w:r>
    </w:p>
    <w:sdt>
      <w:sdtPr>
        <w:id w:val="-2002583188"/>
        <w:docPartObj>
          <w:docPartGallery w:val="Table of Contents"/>
          <w:docPartUnique w:val="1"/>
        </w:docPartObj>
      </w:sdtPr>
      <w:sdtContent>
        <w:p w:rsidR="00000000" w:rsidDel="00000000" w:rsidP="00000000" w:rsidRDefault="00000000" w:rsidRPr="00000000" w14:paraId="00000016">
          <w:pPr>
            <w:pBdr>
              <w:top w:space="0" w:sz="0" w:val="nil"/>
              <w:left w:space="0" w:sz="0" w:val="nil"/>
              <w:bottom w:space="0" w:sz="0" w:val="nil"/>
              <w:right w:space="0" w:sz="0" w:val="nil"/>
              <w:between w:space="0" w:sz="0" w:val="nil"/>
            </w:pBdr>
            <w:tabs>
              <w:tab w:val="right" w:leader="none" w:pos="9016"/>
            </w:tabs>
            <w:spacing w:after="100" w:lineRule="auto"/>
            <w:rPr>
              <w:rFonts w:ascii="Calibri" w:cs="Calibri" w:eastAsia="Calibri" w:hAnsi="Calibri"/>
              <w:color w:val="000000"/>
            </w:rPr>
          </w:pPr>
          <w:r w:rsidDel="00000000" w:rsidR="00000000" w:rsidRPr="00000000">
            <w:fldChar w:fldCharType="begin"/>
            <w:instrText xml:space="preserve"> TOC \h \u \z \t "Heading 1,1,Heading 2,2,Heading 3,3,"</w:instrText>
            <w:fldChar w:fldCharType="separate"/>
          </w:r>
          <w:hyperlink w:anchor="_heading=h.wbf7sgrsm1h5">
            <w:r w:rsidDel="00000000" w:rsidR="00000000" w:rsidRPr="00000000">
              <w:rPr>
                <w:color w:val="000000"/>
                <w:rtl w:val="0"/>
              </w:rPr>
              <w:t xml:space="preserve">TASK A: Socialisation, Identity &amp; Business Activism</w:t>
              <w:tab/>
              <w:t xml:space="preserve">3</w:t>
            </w:r>
          </w:hyperlink>
          <w:r w:rsidDel="00000000" w:rsidR="00000000" w:rsidRPr="00000000">
            <w:rPr>
              <w:rtl w:val="0"/>
            </w:rPr>
          </w:r>
        </w:p>
        <w:p w:rsidR="00000000" w:rsidDel="00000000" w:rsidP="00000000" w:rsidRDefault="00000000" w:rsidRPr="00000000" w14:paraId="00000017">
          <w:pPr>
            <w:pBdr>
              <w:top w:space="0" w:sz="0" w:val="nil"/>
              <w:left w:space="0" w:sz="0" w:val="nil"/>
              <w:bottom w:space="0" w:sz="0" w:val="nil"/>
              <w:right w:space="0" w:sz="0" w:val="nil"/>
              <w:between w:space="0" w:sz="0" w:val="nil"/>
            </w:pBdr>
            <w:tabs>
              <w:tab w:val="right" w:leader="none" w:pos="9016"/>
            </w:tabs>
            <w:spacing w:after="100" w:lineRule="auto"/>
            <w:ind w:left="240" w:firstLine="0"/>
            <w:rPr>
              <w:rFonts w:ascii="Calibri" w:cs="Calibri" w:eastAsia="Calibri" w:hAnsi="Calibri"/>
              <w:color w:val="000000"/>
            </w:rPr>
          </w:pPr>
          <w:hyperlink w:anchor="_heading=h.4zy5rbdb48pa">
            <w:r w:rsidDel="00000000" w:rsidR="00000000" w:rsidRPr="00000000">
              <w:rPr>
                <w:color w:val="000000"/>
                <w:rtl w:val="0"/>
              </w:rPr>
              <w:t xml:space="preserve">1. Traditional Onboarding Versus Strategic Organisational Socialisation</w:t>
              <w:tab/>
              <w:t xml:space="preserve">3</w:t>
            </w:r>
          </w:hyperlink>
          <w:r w:rsidDel="00000000" w:rsidR="00000000" w:rsidRPr="00000000">
            <w:rPr>
              <w:rtl w:val="0"/>
            </w:rPr>
          </w:r>
        </w:p>
        <w:p w:rsidR="00000000" w:rsidDel="00000000" w:rsidP="00000000" w:rsidRDefault="00000000" w:rsidRPr="00000000" w14:paraId="00000018">
          <w:pPr>
            <w:pBdr>
              <w:top w:space="0" w:sz="0" w:val="nil"/>
              <w:left w:space="0" w:sz="0" w:val="nil"/>
              <w:bottom w:space="0" w:sz="0" w:val="nil"/>
              <w:right w:space="0" w:sz="0" w:val="nil"/>
              <w:between w:space="0" w:sz="0" w:val="nil"/>
            </w:pBdr>
            <w:tabs>
              <w:tab w:val="right" w:leader="none" w:pos="9016"/>
            </w:tabs>
            <w:spacing w:after="100" w:lineRule="auto"/>
            <w:ind w:left="240" w:firstLine="0"/>
            <w:rPr>
              <w:rFonts w:ascii="Calibri" w:cs="Calibri" w:eastAsia="Calibri" w:hAnsi="Calibri"/>
              <w:color w:val="000000"/>
            </w:rPr>
          </w:pPr>
          <w:hyperlink w:anchor="_heading=h.cbss2bwj5zc2">
            <w:r w:rsidDel="00000000" w:rsidR="00000000" w:rsidRPr="00000000">
              <w:rPr>
                <w:color w:val="000000"/>
                <w:rtl w:val="0"/>
              </w:rPr>
              <w:t xml:space="preserve">2. Structured Socialisation Framework for Helios Urban Mobility</w:t>
              <w:tab/>
              <w:t xml:space="preserve">4</w:t>
            </w:r>
          </w:hyperlink>
          <w:r w:rsidDel="00000000" w:rsidR="00000000" w:rsidRPr="00000000">
            <w:rPr>
              <w:rtl w:val="0"/>
            </w:rPr>
          </w:r>
        </w:p>
        <w:p w:rsidR="00000000" w:rsidDel="00000000" w:rsidP="00000000" w:rsidRDefault="00000000" w:rsidRPr="00000000" w14:paraId="00000019">
          <w:pPr>
            <w:pBdr>
              <w:top w:space="0" w:sz="0" w:val="nil"/>
              <w:left w:space="0" w:sz="0" w:val="nil"/>
              <w:bottom w:space="0" w:sz="0" w:val="nil"/>
              <w:right w:space="0" w:sz="0" w:val="nil"/>
              <w:between w:space="0" w:sz="0" w:val="nil"/>
            </w:pBdr>
            <w:tabs>
              <w:tab w:val="right" w:leader="none" w:pos="9016"/>
            </w:tabs>
            <w:spacing w:after="100" w:lineRule="auto"/>
            <w:ind w:left="240" w:firstLine="0"/>
            <w:rPr>
              <w:rFonts w:ascii="Calibri" w:cs="Calibri" w:eastAsia="Calibri" w:hAnsi="Calibri"/>
              <w:color w:val="000000"/>
            </w:rPr>
          </w:pPr>
          <w:hyperlink w:anchor="_heading=h.lljkpn9xwg84">
            <w:r w:rsidDel="00000000" w:rsidR="00000000" w:rsidRPr="00000000">
              <w:rPr>
                <w:color w:val="000000"/>
                <w:rtl w:val="0"/>
              </w:rPr>
              <w:t xml:space="preserve">3. Strategies For Developing Organisational Identification, Ethics And Business Activism.</w:t>
              <w:tab/>
              <w:t xml:space="preserve">5</w:t>
            </w:r>
          </w:hyperlink>
          <w:r w:rsidDel="00000000" w:rsidR="00000000" w:rsidRPr="00000000">
            <w:rPr>
              <w:rtl w:val="0"/>
            </w:rPr>
          </w:r>
        </w:p>
        <w:p w:rsidR="00000000" w:rsidDel="00000000" w:rsidP="00000000" w:rsidRDefault="00000000" w:rsidRPr="00000000" w14:paraId="0000001A">
          <w:pPr>
            <w:pBdr>
              <w:top w:space="0" w:sz="0" w:val="nil"/>
              <w:left w:space="0" w:sz="0" w:val="nil"/>
              <w:bottom w:space="0" w:sz="0" w:val="nil"/>
              <w:right w:space="0" w:sz="0" w:val="nil"/>
              <w:between w:space="0" w:sz="0" w:val="nil"/>
            </w:pBdr>
            <w:tabs>
              <w:tab w:val="right" w:leader="none" w:pos="9016"/>
            </w:tabs>
            <w:spacing w:after="100" w:lineRule="auto"/>
            <w:rPr>
              <w:rFonts w:ascii="Calibri" w:cs="Calibri" w:eastAsia="Calibri" w:hAnsi="Calibri"/>
              <w:color w:val="000000"/>
            </w:rPr>
          </w:pPr>
          <w:hyperlink w:anchor="_heading=h.1zzv0jlfdzks">
            <w:r w:rsidDel="00000000" w:rsidR="00000000" w:rsidRPr="00000000">
              <w:rPr>
                <w:color w:val="000000"/>
                <w:rtl w:val="0"/>
              </w:rPr>
              <w:t xml:space="preserve">TASK B: Job Design</w:t>
              <w:tab/>
              <w:t xml:space="preserve">6</w:t>
            </w:r>
          </w:hyperlink>
          <w:r w:rsidDel="00000000" w:rsidR="00000000" w:rsidRPr="00000000">
            <w:rPr>
              <w:rtl w:val="0"/>
            </w:rPr>
          </w:r>
        </w:p>
        <w:p w:rsidR="00000000" w:rsidDel="00000000" w:rsidP="00000000" w:rsidRDefault="00000000" w:rsidRPr="00000000" w14:paraId="0000001B">
          <w:pPr>
            <w:pBdr>
              <w:top w:space="0" w:sz="0" w:val="nil"/>
              <w:left w:space="0" w:sz="0" w:val="nil"/>
              <w:bottom w:space="0" w:sz="0" w:val="nil"/>
              <w:right w:space="0" w:sz="0" w:val="nil"/>
              <w:between w:space="0" w:sz="0" w:val="nil"/>
            </w:pBdr>
            <w:tabs>
              <w:tab w:val="right" w:leader="none" w:pos="9016"/>
            </w:tabs>
            <w:spacing w:after="100" w:lineRule="auto"/>
            <w:ind w:left="240" w:firstLine="0"/>
            <w:rPr>
              <w:rFonts w:ascii="Calibri" w:cs="Calibri" w:eastAsia="Calibri" w:hAnsi="Calibri"/>
              <w:color w:val="000000"/>
            </w:rPr>
          </w:pPr>
          <w:hyperlink w:anchor="_heading=h.washlzdkgyym">
            <w:r w:rsidDel="00000000" w:rsidR="00000000" w:rsidRPr="00000000">
              <w:rPr>
                <w:color w:val="000000"/>
                <w:rtl w:val="0"/>
              </w:rPr>
              <w:t xml:space="preserve">1. Innovative Job Design Strategy</w:t>
              <w:tab/>
              <w:t xml:space="preserve">6</w:t>
            </w:r>
          </w:hyperlink>
          <w:r w:rsidDel="00000000" w:rsidR="00000000" w:rsidRPr="00000000">
            <w:rPr>
              <w:rtl w:val="0"/>
            </w:rPr>
          </w:r>
        </w:p>
        <w:p w:rsidR="00000000" w:rsidDel="00000000" w:rsidP="00000000" w:rsidRDefault="00000000" w:rsidRPr="00000000" w14:paraId="0000001C">
          <w:pPr>
            <w:pBdr>
              <w:top w:space="0" w:sz="0" w:val="nil"/>
              <w:left w:space="0" w:sz="0" w:val="nil"/>
              <w:bottom w:space="0" w:sz="0" w:val="nil"/>
              <w:right w:space="0" w:sz="0" w:val="nil"/>
              <w:between w:space="0" w:sz="0" w:val="nil"/>
            </w:pBdr>
            <w:tabs>
              <w:tab w:val="right" w:leader="none" w:pos="9016"/>
            </w:tabs>
            <w:spacing w:after="100" w:lineRule="auto"/>
            <w:ind w:left="240" w:firstLine="0"/>
            <w:rPr>
              <w:rFonts w:ascii="Calibri" w:cs="Calibri" w:eastAsia="Calibri" w:hAnsi="Calibri"/>
              <w:color w:val="000000"/>
            </w:rPr>
          </w:pPr>
          <w:hyperlink w:anchor="_heading=h.be889ua5w6oz">
            <w:r w:rsidDel="00000000" w:rsidR="00000000" w:rsidRPr="00000000">
              <w:rPr>
                <w:color w:val="000000"/>
                <w:rtl w:val="0"/>
              </w:rPr>
              <w:t xml:space="preserve">2. Developing Internal Motivation and Encouraging Creativity</w:t>
              <w:tab/>
              <w:t xml:space="preserve">10</w:t>
            </w:r>
          </w:hyperlink>
          <w:r w:rsidDel="00000000" w:rsidR="00000000" w:rsidRPr="00000000">
            <w:rPr>
              <w:rtl w:val="0"/>
            </w:rPr>
          </w:r>
        </w:p>
        <w:p w:rsidR="00000000" w:rsidDel="00000000" w:rsidP="00000000" w:rsidRDefault="00000000" w:rsidRPr="00000000" w14:paraId="0000001D">
          <w:pPr>
            <w:pBdr>
              <w:top w:space="0" w:sz="0" w:val="nil"/>
              <w:left w:space="0" w:sz="0" w:val="nil"/>
              <w:bottom w:space="0" w:sz="0" w:val="nil"/>
              <w:right w:space="0" w:sz="0" w:val="nil"/>
              <w:between w:space="0" w:sz="0" w:val="nil"/>
            </w:pBdr>
            <w:tabs>
              <w:tab w:val="right" w:leader="none" w:pos="9016"/>
            </w:tabs>
            <w:spacing w:after="100" w:lineRule="auto"/>
            <w:rPr>
              <w:rFonts w:ascii="Calibri" w:cs="Calibri" w:eastAsia="Calibri" w:hAnsi="Calibri"/>
              <w:color w:val="000000"/>
            </w:rPr>
          </w:pPr>
          <w:hyperlink w:anchor="_heading=h.23wlhxpso0m5">
            <w:r w:rsidDel="00000000" w:rsidR="00000000" w:rsidRPr="00000000">
              <w:rPr>
                <w:color w:val="000000"/>
                <w:rtl w:val="0"/>
              </w:rPr>
              <w:t xml:space="preserve">TASK C: Reflective report</w:t>
              <w:tab/>
              <w:t xml:space="preserve">11</w:t>
            </w:r>
          </w:hyperlink>
          <w:r w:rsidDel="00000000" w:rsidR="00000000" w:rsidRPr="00000000">
            <w:rPr>
              <w:rtl w:val="0"/>
            </w:rPr>
          </w:r>
        </w:p>
        <w:p w:rsidR="00000000" w:rsidDel="00000000" w:rsidP="00000000" w:rsidRDefault="00000000" w:rsidRPr="00000000" w14:paraId="0000001E">
          <w:pPr>
            <w:rPr/>
          </w:pPr>
          <w:r w:rsidDel="00000000" w:rsidR="00000000" w:rsidRPr="00000000">
            <w:rPr>
              <w:rtl w:val="0"/>
            </w:rPr>
          </w:r>
          <w:r w:rsidDel="00000000" w:rsidR="00000000" w:rsidRPr="00000000">
            <w:fldChar w:fldCharType="end"/>
          </w:r>
        </w:p>
      </w:sdtContent>
    </w:sdt>
    <w:p w:rsidR="00000000" w:rsidDel="00000000" w:rsidP="00000000" w:rsidRDefault="00000000" w:rsidRPr="00000000" w14:paraId="0000001F">
      <w:pPr>
        <w:rPr/>
      </w:pPr>
      <w:r w:rsidDel="00000000" w:rsidR="00000000" w:rsidRPr="00000000">
        <w:rPr>
          <w:rtl w:val="0"/>
        </w:rPr>
        <w:t xml:space="preserve"> </w:t>
      </w:r>
      <w:r w:rsidDel="00000000" w:rsidR="00000000" w:rsidRPr="00000000">
        <w:br w:type="page"/>
      </w:r>
      <w:r w:rsidDel="00000000" w:rsidR="00000000" w:rsidRPr="00000000">
        <w:rPr>
          <w:rtl w:val="0"/>
        </w:rPr>
      </w:r>
    </w:p>
    <w:p w:rsidR="00000000" w:rsidDel="00000000" w:rsidP="00000000" w:rsidRDefault="00000000" w:rsidRPr="00000000" w14:paraId="00000020">
      <w:pPr>
        <w:pStyle w:val="Heading1"/>
        <w:rPr/>
      </w:pPr>
      <w:bookmarkStart w:colFirst="0" w:colLast="0" w:name="_heading=h.wbf7sgrsm1h5" w:id="0"/>
      <w:bookmarkEnd w:id="0"/>
      <w:r w:rsidDel="00000000" w:rsidR="00000000" w:rsidRPr="00000000">
        <w:rPr>
          <w:rtl w:val="0"/>
        </w:rPr>
        <w:t xml:space="preserve">TASK A: Socialisation, Identity &amp; Business Activism</w:t>
      </w:r>
    </w:p>
    <w:p w:rsidR="00000000" w:rsidDel="00000000" w:rsidP="00000000" w:rsidRDefault="00000000" w:rsidRPr="00000000" w14:paraId="00000021">
      <w:pPr>
        <w:pStyle w:val="Heading2"/>
        <w:rPr/>
      </w:pPr>
      <w:bookmarkStart w:colFirst="0" w:colLast="0" w:name="_heading=h.4zy5rbdb48pa" w:id="1"/>
      <w:bookmarkEnd w:id="1"/>
      <w:r w:rsidDel="00000000" w:rsidR="00000000" w:rsidRPr="00000000">
        <w:rPr>
          <w:rtl w:val="0"/>
        </w:rPr>
        <w:t xml:space="preserve">1. Traditional Onboarding Versus Strategic Organisational Socialisation</w:t>
      </w:r>
    </w:p>
    <w:p w:rsidR="00000000" w:rsidDel="00000000" w:rsidP="00000000" w:rsidRDefault="00000000" w:rsidRPr="00000000" w14:paraId="00000022">
      <w:pPr>
        <w:rPr/>
      </w:pPr>
      <w:r w:rsidDel="00000000" w:rsidR="00000000" w:rsidRPr="00000000">
        <w:rPr>
          <w:rtl w:val="0"/>
        </w:rPr>
        <w:t xml:space="preserve">Typically, onboarding is focused on regulations and policies about operations and procedures, as well as any instructions related to the employee's job. While this may help with short term operational goals, it does not contribute to the long-term commitment or cultural fit of an employee, especially in highly skilled labour companies like HUM (Frögéli Jenner and Gustavsson, 2023). The traditional approach assumes that technical competence alone will be enough to achieve success in an organisation, and thus treats employees as functional resources as opposed to contributing strategically to the organisation. Hence, even if an employee knows how to perform the tasks associated with their job, they will be disconnected from the organisation's values and purpose.</w:t>
      </w:r>
    </w:p>
    <w:p w:rsidR="00000000" w:rsidDel="00000000" w:rsidP="00000000" w:rsidRDefault="00000000" w:rsidRPr="00000000" w14:paraId="00000023">
      <w:pPr>
        <w:rPr/>
      </w:pPr>
      <w:r w:rsidDel="00000000" w:rsidR="00000000" w:rsidRPr="00000000">
        <w:rPr>
          <w:rtl w:val="0"/>
        </w:rPr>
        <w:t xml:space="preserve">Conversely, strategic organisational socialisation is an ongoing process that develops the employees' identity, behaviours, and commitment over time. According to Van Maanen and Schein, collective learning, formal induction processes, serial mentoring, and investiture techniques are all important tactics used in facilitating the employee's successful integration into the workplace (Bauer </w:t>
      </w:r>
      <w:r w:rsidDel="00000000" w:rsidR="00000000" w:rsidRPr="00000000">
        <w:rPr>
          <w:i w:val="1"/>
          <w:iCs w:val="1"/>
          <w:rtl w:val="0"/>
        </w:rPr>
        <w:t xml:space="preserve">et al.,</w:t>
      </w:r>
      <w:r w:rsidDel="00000000" w:rsidR="00000000" w:rsidRPr="00000000">
        <w:rPr>
          <w:rtl w:val="0"/>
        </w:rPr>
        <w:t xml:space="preserve"> 2025). Crucially, these tactics form a bond for an employee to an organisational network, establishing shared meaning and creating a cultural norm. As such, strategic socialisation will provide a better outcome, as it supports not only technical adaptation but also psychological bonding and cultural alignment.</w:t>
      </w:r>
    </w:p>
    <w:p w:rsidR="00000000" w:rsidDel="00000000" w:rsidP="00000000" w:rsidRDefault="00000000" w:rsidRPr="00000000" w14:paraId="00000024">
      <w:pPr>
        <w:rPr/>
      </w:pPr>
      <w:r w:rsidDel="00000000" w:rsidR="00000000" w:rsidRPr="00000000">
        <w:rPr>
          <w:rtl w:val="0"/>
        </w:rPr>
        <w:t xml:space="preserve">The fact that HUM took over an 8-month ramp-up period brings the dysfunction of piecemeal onboarding systems in organisations spread across the world and focused on innovation to light (Rustiawan </w:t>
      </w:r>
      <w:r w:rsidDel="00000000" w:rsidR="00000000" w:rsidRPr="00000000">
        <w:rPr>
          <w:i w:val="1"/>
          <w:iCs w:val="1"/>
          <w:rtl w:val="0"/>
        </w:rPr>
        <w:t xml:space="preserve">et al.,</w:t>
      </w:r>
      <w:r w:rsidDel="00000000" w:rsidR="00000000" w:rsidRPr="00000000">
        <w:rPr>
          <w:rtl w:val="0"/>
        </w:rPr>
        <w:t xml:space="preserve"> 2023). Technical teaching is not enough: staff must also be culturally integrated, strategically aware and collaborative. If they do not have a formalised programme of socialisation in the organisation, newcomers risk feeling uncertain, feeling socially isolated, and experiencing identity fragmentation especially when moving to different parts of the world, London, Berlin, Singapore. This means that traditional induction will likely result in employees who are technically capable but are disconnected from the organisation's objectives. </w:t>
      </w:r>
    </w:p>
    <w:p w:rsidR="00000000" w:rsidDel="00000000" w:rsidP="00000000" w:rsidRDefault="00000000" w:rsidRPr="00000000" w14:paraId="00000025">
      <w:pPr>
        <w:rPr/>
      </w:pPr>
      <w:r w:rsidDel="00000000" w:rsidR="00000000" w:rsidRPr="00000000">
        <w:rPr>
          <w:rtl w:val="0"/>
        </w:rPr>
        <w:t xml:space="preserve">Psychological Contract Theory indicates that onboarding goes beyond completing administrative forms and familiarising new employees with their roles; onboarding is also about meeting the new employee's expectations for meaningful work, career development, ethical leaders and inclusion (Sandeepanie et al., 2023).  By improving low levels of engagement and retention of graduates, Helios Urban Mobility needs to provide access to mentors, communication of clear values and access to structured development opportunities from pre-boarding through Year 1. </w:t>
      </w:r>
    </w:p>
    <w:p w:rsidR="00000000" w:rsidDel="00000000" w:rsidP="00000000" w:rsidRDefault="00000000" w:rsidRPr="00000000" w14:paraId="00000026">
      <w:pPr>
        <w:rPr/>
      </w:pPr>
      <w:r w:rsidDel="00000000" w:rsidR="00000000" w:rsidRPr="00000000">
        <w:rPr>
          <w:rtl w:val="0"/>
        </w:rPr>
        <w:t xml:space="preserve">According to Identity Construction Theory, professional identities are formed through workplace interactions and validation.  Helios should include as part of its socialisation approach initiatives such as peer mentoring, cross-functional teams, leadership involvement and regular feedback to strengthen organisational identification, engagement, retention and reduce the time it takes for new employees to acclimatise to their new work environment.</w:t>
      </w:r>
    </w:p>
    <w:p w:rsidR="00000000" w:rsidDel="00000000" w:rsidP="00000000" w:rsidRDefault="00000000" w:rsidRPr="00000000" w14:paraId="00000027">
      <w:pPr>
        <w:pStyle w:val="Heading2"/>
        <w:rPr/>
      </w:pPr>
      <w:bookmarkStart w:colFirst="0" w:colLast="0" w:name="_heading=h.cbss2bwj5zc2" w:id="2"/>
      <w:bookmarkEnd w:id="2"/>
      <w:r w:rsidDel="00000000" w:rsidR="00000000" w:rsidRPr="00000000">
        <w:rPr>
          <w:rtl w:val="0"/>
        </w:rPr>
        <w:t xml:space="preserve">2. Structured Socialisation Framework for Helios Urban Mobility</w:t>
      </w:r>
    </w:p>
    <w:p w:rsidR="00000000" w:rsidDel="00000000" w:rsidP="00000000" w:rsidRDefault="00000000" w:rsidRPr="00000000" w14:paraId="00000028">
      <w:pPr>
        <w:rPr/>
      </w:pPr>
      <w:r w:rsidDel="00000000" w:rsidR="00000000" w:rsidRPr="00000000">
        <w:rPr>
          <w:rtl w:val="0"/>
        </w:rPr>
        <w:t xml:space="preserve">Helios Urban Mobility (HUM) needs a structured socialisation process that has three stages: pre-board, first 90 days, and year one integration. This is not a standard onboarding approach, but instead a system of human capital alongside a strategic approach to ensure that commitment, cultural integration and organisational identity are reinforced.</w:t>
      </w:r>
    </w:p>
    <w:tbl>
      <w:tblPr>
        <w:tblStyle w:val="Table1"/>
        <w:tblW w:w="9351.0" w:type="dxa"/>
        <w:jc w:val="left"/>
        <w:tblLayout w:type="fixed"/>
        <w:tblLook w:val="04A0"/>
      </w:tblPr>
      <w:tblGrid>
        <w:gridCol w:w="1696"/>
        <w:gridCol w:w="3261"/>
        <w:gridCol w:w="4394"/>
        <w:tblGridChange w:id="0">
          <w:tblGrid>
            <w:gridCol w:w="1696"/>
            <w:gridCol w:w="3261"/>
            <w:gridCol w:w="4394"/>
          </w:tblGrid>
        </w:tblGridChange>
      </w:tblGrid>
      <w:tr>
        <w:trPr>
          <w:cantSplit w:val="0"/>
          <w:tblHeader w:val="0"/>
        </w:trPr>
        <w:tc>
          <w:tcPr/>
          <w:p w:rsidR="00000000" w:rsidDel="00000000" w:rsidP="00000000" w:rsidRDefault="00000000" w:rsidRPr="00000000" w14:paraId="00000029">
            <w:pPr>
              <w:jc w:val="center"/>
              <w:rPr/>
            </w:pPr>
            <w:r w:rsidDel="00000000" w:rsidR="00000000" w:rsidRPr="00000000">
              <w:rPr>
                <w:rtl w:val="0"/>
              </w:rPr>
              <w:t xml:space="preserve">Stage</w:t>
            </w:r>
          </w:p>
        </w:tc>
        <w:tc>
          <w:tcPr/>
          <w:p w:rsidR="00000000" w:rsidDel="00000000" w:rsidP="00000000" w:rsidRDefault="00000000" w:rsidRPr="00000000" w14:paraId="0000002A">
            <w:pPr>
              <w:jc w:val="center"/>
              <w:rPr/>
            </w:pPr>
            <w:r w:rsidDel="00000000" w:rsidR="00000000" w:rsidRPr="00000000">
              <w:rPr>
                <w:rtl w:val="0"/>
              </w:rPr>
              <w:t xml:space="preserve">Key Activities</w:t>
            </w:r>
          </w:p>
        </w:tc>
        <w:tc>
          <w:tcPr/>
          <w:p w:rsidR="00000000" w:rsidDel="00000000" w:rsidP="00000000" w:rsidRDefault="00000000" w:rsidRPr="00000000" w14:paraId="0000002B">
            <w:pPr>
              <w:jc w:val="center"/>
              <w:rPr/>
            </w:pPr>
            <w:r w:rsidDel="00000000" w:rsidR="00000000" w:rsidRPr="00000000">
              <w:rPr>
                <w:rtl w:val="0"/>
              </w:rPr>
              <w:t xml:space="preserve">Strategic Contribution to HUM</w:t>
            </w:r>
          </w:p>
        </w:tc>
      </w:tr>
      <w:tr>
        <w:trPr>
          <w:cantSplit w:val="0"/>
          <w:tblHeader w:val="0"/>
        </w:trPr>
        <w:tc>
          <w:tcPr/>
          <w:p w:rsidR="00000000" w:rsidDel="00000000" w:rsidP="00000000" w:rsidRDefault="00000000" w:rsidRPr="00000000" w14:paraId="0000002C">
            <w:pPr>
              <w:rPr>
                <w:b w:val="0"/>
                <w:bCs w:val="0"/>
              </w:rPr>
            </w:pPr>
            <w:r w:rsidDel="00000000" w:rsidR="00000000" w:rsidRPr="00000000">
              <w:rPr>
                <w:rtl w:val="0"/>
              </w:rPr>
              <w:t xml:space="preserve">Stage 1: Pre-Boarding</w:t>
            </w:r>
            <w:r w:rsidDel="00000000" w:rsidR="00000000" w:rsidRPr="00000000">
              <w:rPr>
                <w:rtl w:val="0"/>
              </w:rPr>
            </w:r>
          </w:p>
          <w:p w:rsidR="00000000" w:rsidDel="00000000" w:rsidP="00000000" w:rsidRDefault="00000000" w:rsidRPr="00000000" w14:paraId="0000002D">
            <w:pPr>
              <w:rPr/>
            </w:pPr>
            <w:r w:rsidDel="00000000" w:rsidR="00000000" w:rsidRPr="00000000">
              <w:rPr>
                <w:rtl w:val="0"/>
              </w:rPr>
            </w:r>
          </w:p>
        </w:tc>
        <w:tc>
          <w:tcPr/>
          <w:p w:rsidR="00000000" w:rsidDel="00000000" w:rsidP="00000000" w:rsidRDefault="00000000" w:rsidRPr="00000000" w14:paraId="0000002E">
            <w:pPr>
              <w:rPr/>
            </w:pPr>
            <w:r w:rsidDel="00000000" w:rsidR="00000000" w:rsidRPr="00000000">
              <w:rPr>
                <w:rtl w:val="0"/>
              </w:rPr>
              <w:t xml:space="preserve">Pre-boarding should be immediately commenced after job acceptance to help eliminate uncertainty and to provide a sense of early psychological attachment. Pre-boarding activities can include digital cultural orientation platforms (DCO), welcome videos from senior leaders, assignment of onboarding mentors, sustainability learning resources, and virtual networking opportunities with HUM offices in London, Berlin, and Singapore (Godinho et al., 2023).</w:t>
            </w:r>
          </w:p>
        </w:tc>
        <w:tc>
          <w:tcPr/>
          <w:p w:rsidR="00000000" w:rsidDel="00000000" w:rsidP="00000000" w:rsidRDefault="00000000" w:rsidRPr="00000000" w14:paraId="0000002F">
            <w:pPr>
              <w:rPr/>
            </w:pPr>
            <w:r w:rsidDel="00000000" w:rsidR="00000000" w:rsidRPr="00000000">
              <w:rPr>
                <w:rtl w:val="0"/>
              </w:rPr>
              <w:t xml:space="preserve">This pre-boarding phase has a significant impact on the employee's expectation level prior to entering the organisation and plays an important role in developing the psychological contract. Demonstrating that the organisation supports and includes new employees early on will assist in reducing their anxiety level and increasing their confidence in the organisation. For an organisation such as HUM that has a very technologically advanced work environment and could therefore be perceived as being impersonal and/or fragmented, pre-boarding provides the means by which new employees can establish early on the meaningful connections they will develop with the organisation, and feel that they belong.</w:t>
            </w:r>
          </w:p>
          <w:p w:rsidR="00000000" w:rsidDel="00000000" w:rsidP="00000000" w:rsidRDefault="00000000" w:rsidRPr="00000000" w14:paraId="00000030">
            <w:pPr>
              <w:rPr/>
            </w:pPr>
            <w:r w:rsidDel="00000000" w:rsidR="00000000" w:rsidRPr="00000000">
              <w:rPr>
                <w:rtl w:val="0"/>
              </w:rPr>
            </w:r>
          </w:p>
        </w:tc>
      </w:tr>
      <w:tr>
        <w:trPr>
          <w:cantSplit w:val="0"/>
          <w:tblHeader w:val="0"/>
        </w:trPr>
        <w:tc>
          <w:tcPr/>
          <w:p w:rsidR="00000000" w:rsidDel="00000000" w:rsidP="00000000" w:rsidRDefault="00000000" w:rsidRPr="00000000" w14:paraId="00000031">
            <w:pPr>
              <w:rPr>
                <w:b w:val="0"/>
                <w:bCs w:val="0"/>
              </w:rPr>
            </w:pPr>
            <w:r w:rsidDel="00000000" w:rsidR="00000000" w:rsidRPr="00000000">
              <w:rPr>
                <w:rtl w:val="0"/>
              </w:rPr>
              <w:t xml:space="preserve">Stage 2: First 90 Days</w:t>
            </w:r>
            <w:r w:rsidDel="00000000" w:rsidR="00000000" w:rsidRPr="00000000">
              <w:rPr>
                <w:rtl w:val="0"/>
              </w:rPr>
            </w:r>
          </w:p>
          <w:p w:rsidR="00000000" w:rsidDel="00000000" w:rsidP="00000000" w:rsidRDefault="00000000" w:rsidRPr="00000000" w14:paraId="00000032">
            <w:pPr>
              <w:rPr/>
            </w:pPr>
            <w:r w:rsidDel="00000000" w:rsidR="00000000" w:rsidRPr="00000000">
              <w:rPr>
                <w:rtl w:val="0"/>
              </w:rPr>
            </w:r>
          </w:p>
        </w:tc>
        <w:tc>
          <w:tcPr/>
          <w:p w:rsidR="00000000" w:rsidDel="00000000" w:rsidP="00000000" w:rsidRDefault="00000000" w:rsidRPr="00000000" w14:paraId="00000033">
            <w:pPr>
              <w:rPr/>
            </w:pPr>
            <w:r w:rsidDel="00000000" w:rsidR="00000000" w:rsidRPr="00000000">
              <w:rPr>
                <w:rtl w:val="0"/>
              </w:rPr>
              <w:t xml:space="preserve">During their first 90 days at HUM, employees should be focused on: 1) Cultural assimilation; 2) Building relationships; and 3) Strategically integrating into the organisation versus simply adjusting to their new position. Structured induction programmes, values workshops, ethical AI discussions, collaborative innovation projects, mentoring, leadership shadowing and development coaching, and career development initiatives should be a part of the employee's orientation. (Jeske and Olson, 2022)</w:t>
            </w:r>
          </w:p>
        </w:tc>
        <w:tc>
          <w:tcPr/>
          <w:p w:rsidR="00000000" w:rsidDel="00000000" w:rsidP="00000000" w:rsidRDefault="00000000" w:rsidRPr="00000000" w14:paraId="00000034">
            <w:pPr>
              <w:rPr/>
            </w:pPr>
            <w:r w:rsidDel="00000000" w:rsidR="00000000" w:rsidRPr="00000000">
              <w:rPr>
                <w:rtl w:val="0"/>
              </w:rPr>
              <w:t xml:space="preserve">HUM is encouraged to use serial and investiture tactics from Van Maanen and Schein's socialisation framework (Mattera, 2022). Serial tactics provide a mentor with experience advising the newcomer through their adjustment by guiding them through various scenarios. Investiture tactics acknowledge that the employee brings strengths and individuality with them to the company. Both approaches will help create engagement and will expedite the integration process and retain high-potential graduates who value creative, learning, and professional development opportunities.</w:t>
            </w:r>
          </w:p>
          <w:p w:rsidR="00000000" w:rsidDel="00000000" w:rsidP="00000000" w:rsidRDefault="00000000" w:rsidRPr="00000000" w14:paraId="00000035">
            <w:pPr>
              <w:rPr/>
            </w:pPr>
            <w:r w:rsidDel="00000000" w:rsidR="00000000" w:rsidRPr="00000000">
              <w:rPr>
                <w:rtl w:val="0"/>
              </w:rPr>
            </w:r>
          </w:p>
        </w:tc>
      </w:tr>
      <w:tr>
        <w:trPr>
          <w:cantSplit w:val="0"/>
          <w:tblHeader w:val="0"/>
        </w:trPr>
        <w:tc>
          <w:tcPr/>
          <w:p w:rsidR="00000000" w:rsidDel="00000000" w:rsidP="00000000" w:rsidRDefault="00000000" w:rsidRPr="00000000" w14:paraId="00000036">
            <w:pPr>
              <w:rPr>
                <w:b w:val="0"/>
                <w:bCs w:val="0"/>
              </w:rPr>
            </w:pPr>
            <w:r w:rsidDel="00000000" w:rsidR="00000000" w:rsidRPr="00000000">
              <w:rPr>
                <w:rtl w:val="0"/>
              </w:rPr>
              <w:t xml:space="preserve">Stage 3: Year-One Integration</w:t>
            </w:r>
            <w:r w:rsidDel="00000000" w:rsidR="00000000" w:rsidRPr="00000000">
              <w:rPr>
                <w:rtl w:val="0"/>
              </w:rPr>
            </w:r>
          </w:p>
          <w:p w:rsidR="00000000" w:rsidDel="00000000" w:rsidP="00000000" w:rsidRDefault="00000000" w:rsidRPr="00000000" w14:paraId="00000037">
            <w:pPr>
              <w:rPr/>
            </w:pPr>
            <w:r w:rsidDel="00000000" w:rsidR="00000000" w:rsidRPr="00000000">
              <w:rPr>
                <w:rtl w:val="0"/>
              </w:rPr>
            </w:r>
          </w:p>
        </w:tc>
        <w:tc>
          <w:tcPr/>
          <w:p w:rsidR="00000000" w:rsidDel="00000000" w:rsidP="00000000" w:rsidRDefault="00000000" w:rsidRPr="00000000" w14:paraId="00000038">
            <w:pPr>
              <w:rPr/>
            </w:pPr>
            <w:r w:rsidDel="00000000" w:rsidR="00000000" w:rsidRPr="00000000">
              <w:rPr>
                <w:rtl w:val="0"/>
              </w:rPr>
              <w:t xml:space="preserve">Quarterly development evaluations, leadership programs for various cultures, innovation incubators, sustainable practices, international rotation possibilities, and continuing mentoring connections must all be part of continuous integration (Bell, 2021).</w:t>
            </w:r>
          </w:p>
        </w:tc>
        <w:tc>
          <w:tcPr/>
          <w:p w:rsidR="00000000" w:rsidDel="00000000" w:rsidP="00000000" w:rsidRDefault="00000000" w:rsidRPr="00000000" w14:paraId="00000039">
            <w:pPr>
              <w:rPr/>
            </w:pPr>
            <w:r w:rsidDel="00000000" w:rsidR="00000000" w:rsidRPr="00000000">
              <w:rPr>
                <w:rtl w:val="0"/>
              </w:rPr>
              <w:t xml:space="preserve">Socialising continually allows the process of bringing new employees into the company to be more than a separate activity handled by human resources but also to become part of the ongoing life of the organisation. This will help develop stronger feelings of belonging, co-operation, adaptability and engagement among the employees in an organisation. In HUM, where newly hired personnel are relied on to innovate and move knowledge around, year one integration will allow HUM to reinvent itself strategically and build a long-term commitment and retain those who have been with the organisation.</w:t>
            </w:r>
          </w:p>
          <w:p w:rsidR="00000000" w:rsidDel="00000000" w:rsidP="00000000" w:rsidRDefault="00000000" w:rsidRPr="00000000" w14:paraId="0000003A">
            <w:pPr>
              <w:rPr/>
            </w:pPr>
            <w:r w:rsidDel="00000000" w:rsidR="00000000" w:rsidRPr="00000000">
              <w:rPr>
                <w:rtl w:val="0"/>
              </w:rPr>
            </w:r>
          </w:p>
        </w:tc>
      </w:tr>
    </w:tbl>
    <w:p w:rsidR="00000000" w:rsidDel="00000000" w:rsidP="00000000" w:rsidRDefault="00000000" w:rsidRPr="00000000" w14:paraId="0000003B">
      <w:pPr>
        <w:rPr/>
      </w:pPr>
      <w:r w:rsidDel="00000000" w:rsidR="00000000" w:rsidRPr="00000000">
        <w:rPr>
          <w:rtl w:val="0"/>
        </w:rPr>
      </w:r>
    </w:p>
    <w:p w:rsidR="00000000" w:rsidDel="00000000" w:rsidP="00000000" w:rsidRDefault="00000000" w:rsidRPr="00000000" w14:paraId="0000003C">
      <w:pPr>
        <w:rPr/>
      </w:pPr>
      <w:r w:rsidDel="00000000" w:rsidR="00000000" w:rsidRPr="00000000">
        <w:rPr>
          <w:rtl w:val="0"/>
        </w:rPr>
      </w:r>
    </w:p>
    <w:p w:rsidR="00000000" w:rsidDel="00000000" w:rsidP="00000000" w:rsidRDefault="00000000" w:rsidRPr="00000000" w14:paraId="0000003D">
      <w:pPr>
        <w:rPr/>
      </w:pPr>
      <w:r w:rsidDel="00000000" w:rsidR="00000000" w:rsidRPr="00000000">
        <w:rPr>
          <w:rtl w:val="0"/>
        </w:rPr>
      </w:r>
    </w:p>
    <w:p w:rsidR="00000000" w:rsidDel="00000000" w:rsidP="00000000" w:rsidRDefault="00000000" w:rsidRPr="00000000" w14:paraId="0000003E">
      <w:pPr>
        <w:rPr/>
      </w:pPr>
      <w:r w:rsidDel="00000000" w:rsidR="00000000" w:rsidRPr="00000000">
        <w:rPr>
          <w:rtl w:val="0"/>
        </w:rPr>
      </w:r>
    </w:p>
    <w:p w:rsidR="00000000" w:rsidDel="00000000" w:rsidP="00000000" w:rsidRDefault="00000000" w:rsidRPr="00000000" w14:paraId="0000003F">
      <w:pPr>
        <w:pStyle w:val="Heading2"/>
        <w:rPr/>
      </w:pPr>
      <w:bookmarkStart w:colFirst="0" w:colLast="0" w:name="_heading=h.lljkpn9xwg84" w:id="3"/>
      <w:bookmarkEnd w:id="3"/>
      <w:r w:rsidDel="00000000" w:rsidR="00000000" w:rsidRPr="00000000">
        <w:rPr>
          <w:rtl w:val="0"/>
        </w:rPr>
        <w:t xml:space="preserve">3. Strategies For Developing Organisational Identification, Ethics And Business Activism.</w:t>
      </w:r>
    </w:p>
    <w:p w:rsidR="00000000" w:rsidDel="00000000" w:rsidP="00000000" w:rsidRDefault="00000000" w:rsidRPr="00000000" w14:paraId="00000040">
      <w:pPr>
        <w:rPr>
          <w:b w:val="1"/>
          <w:bCs w:val="1"/>
          <w:u w:val="single"/>
        </w:rPr>
      </w:pPr>
      <w:r w:rsidDel="00000000" w:rsidR="00000000" w:rsidRPr="00000000">
        <w:rPr>
          <w:b w:val="1"/>
          <w:bCs w:val="1"/>
          <w:u w:val="single"/>
          <w:rtl w:val="0"/>
        </w:rPr>
        <w:t xml:space="preserve">Organisational Identification</w:t>
      </w:r>
    </w:p>
    <w:p w:rsidR="00000000" w:rsidDel="00000000" w:rsidP="00000000" w:rsidRDefault="00000000" w:rsidRPr="00000000" w14:paraId="00000041">
      <w:pPr>
        <w:rPr/>
      </w:pPr>
      <w:r w:rsidDel="00000000" w:rsidR="00000000" w:rsidRPr="00000000">
        <w:rPr>
          <w:rtl w:val="0"/>
        </w:rPr>
        <w:t xml:space="preserve">At HUM, welcoming tales from preboarding, inventive team discussions within the first 30 days, monthly open dialogue sessions with leaders, quarterly shared recognition programs acknowledging the efforts of employees, and employee stories of making an impact during the first year contribute to the organisation's identity being firmed up. The essence of these initiatives is to create a sense of belonging, to generate pride in the organisation and emotionally connect to HUM's sustainable urban mobility (Ozenc and Hagan, 2019).</w:t>
      </w:r>
    </w:p>
    <w:p w:rsidR="00000000" w:rsidDel="00000000" w:rsidP="00000000" w:rsidRDefault="00000000" w:rsidRPr="00000000" w14:paraId="00000042">
      <w:pPr>
        <w:rPr>
          <w:b w:val="1"/>
          <w:bCs w:val="1"/>
          <w:u w:val="single"/>
        </w:rPr>
      </w:pPr>
      <w:r w:rsidDel="00000000" w:rsidR="00000000" w:rsidRPr="00000000">
        <w:rPr>
          <w:b w:val="1"/>
          <w:bCs w:val="1"/>
          <w:u w:val="single"/>
          <w:rtl w:val="0"/>
        </w:rPr>
        <w:t xml:space="preserve">Ethical Professionalism</w:t>
      </w:r>
    </w:p>
    <w:p w:rsidR="00000000" w:rsidDel="00000000" w:rsidP="00000000" w:rsidRDefault="00000000" w:rsidRPr="00000000" w14:paraId="00000043">
      <w:pPr>
        <w:rPr/>
      </w:pPr>
      <w:r w:rsidDel="00000000" w:rsidR="00000000" w:rsidRPr="00000000">
        <w:rPr>
          <w:rtl w:val="0"/>
        </w:rPr>
        <w:t xml:space="preserve">Ethical professionalism should be rooted in ethical AI governance training (in every 60 days), stakeholder-focused decision-making processes, ethics review committees, ethical role models and performance metrics with ethical indicators (Li, 2025). On a daily basis, the reports will be stored in access protected databases, confidential reports will be only discussed among core teams and stakeholder data will be reviewed by the core management bodies to avoid any breach of privacy. With HUM's participation in public infrastructure related to AI, if mistakes are made, it may impact organisational credibility and public trust. Ethics, then, has to be a practical value for the organisation rather than a symbol.</w:t>
      </w:r>
    </w:p>
    <w:p w:rsidR="00000000" w:rsidDel="00000000" w:rsidP="00000000" w:rsidRDefault="00000000" w:rsidRPr="00000000" w14:paraId="00000044">
      <w:pPr>
        <w:rPr>
          <w:b w:val="1"/>
          <w:bCs w:val="1"/>
          <w:u w:val="single"/>
        </w:rPr>
      </w:pPr>
      <w:r w:rsidDel="00000000" w:rsidR="00000000" w:rsidRPr="00000000">
        <w:rPr>
          <w:b w:val="1"/>
          <w:bCs w:val="1"/>
          <w:u w:val="single"/>
          <w:rtl w:val="0"/>
        </w:rPr>
        <w:t xml:space="preserve">Business Activist Mindset</w:t>
      </w:r>
    </w:p>
    <w:p w:rsidR="00000000" w:rsidDel="00000000" w:rsidP="00000000" w:rsidRDefault="00000000" w:rsidRPr="00000000" w14:paraId="00000045">
      <w:pPr>
        <w:rPr/>
      </w:pPr>
      <w:r w:rsidDel="00000000" w:rsidR="00000000" w:rsidRPr="00000000">
        <w:rPr>
          <w:rtl w:val="0"/>
        </w:rPr>
        <w:t xml:space="preserve">The evolution of Ulrich's HR business partner model indicates that organisations today need to deliver value to all stakeholders, including not only the owner, but also employees, the community and society at large (Sekol, 2024). The view of stakeholder capitalism suggests similar principles of balancing financial objectives against social and environmental responsibilities; the HUM company could establish a company-wide committee led by employees called the Social Impact Council, responsible for designing and implementing sustainability initiatives and community partnerships every three months. The Council could establish ESG performance metrics such as: reductions in carbon emissions; meeting diversity and inclusion targets; hours of employee volunteer work; rates of compliance with ethical AI standards; and scores from provided stakeholder satisfaction surveys. The HUM Company could also create an annual competition, called the "Smart Cities Innovation Challenge", that invites teams of employees from different departments within HUM to collaborate on creating innovative solutions to urban mobility challenges including, but not limited to: alleviation of traffic congestion; reduction of carbon emissions; accessibility for people with disabilities; and improvement of public transportation networks. Awarded projects would be supported with funding, sponsorship by HUM leadership, and assistance with implementation.</w:t>
      </w:r>
    </w:p>
    <w:p w:rsidR="00000000" w:rsidDel="00000000" w:rsidP="00000000" w:rsidRDefault="00000000" w:rsidRPr="00000000" w14:paraId="00000046">
      <w:pPr>
        <w:rPr/>
      </w:pPr>
      <w:r w:rsidDel="00000000" w:rsidR="00000000" w:rsidRPr="00000000">
        <w:rPr>
          <w:rtl w:val="0"/>
        </w:rPr>
        <w:t xml:space="preserve">While it is becoming increasingly clear that the majority of younger employees desire employment with “purpose-driven” organisations whose philosophies align with the values of sustainability and social responsibility, by helping employees see themselves as contributors to the public good as opposed to simply as technologists, HUM will significantly improve employee engagement, retention, and meaning in their jobs (Durth </w:t>
      </w:r>
      <w:r w:rsidDel="00000000" w:rsidR="00000000" w:rsidRPr="00000000">
        <w:rPr>
          <w:i w:val="1"/>
          <w:iCs w:val="1"/>
          <w:rtl w:val="0"/>
        </w:rPr>
        <w:t xml:space="preserve">et al.,</w:t>
      </w:r>
      <w:r w:rsidDel="00000000" w:rsidR="00000000" w:rsidRPr="00000000">
        <w:rPr>
          <w:rtl w:val="0"/>
        </w:rPr>
        <w:t xml:space="preserve"> 2022). Additionally, business activism will function as both an ethical obligation and a strategic option to attract talent, provide organisational legitimacy/credibility, and establish competitive advantages.</w:t>
      </w:r>
    </w:p>
    <w:p w:rsidR="00000000" w:rsidDel="00000000" w:rsidP="00000000" w:rsidRDefault="00000000" w:rsidRPr="00000000" w14:paraId="00000047">
      <w:pPr>
        <w:pStyle w:val="Heading1"/>
        <w:rPr/>
      </w:pPr>
      <w:bookmarkStart w:colFirst="0" w:colLast="0" w:name="_heading=h.1zzv0jlfdzks" w:id="4"/>
      <w:bookmarkEnd w:id="4"/>
      <w:r w:rsidDel="00000000" w:rsidR="00000000" w:rsidRPr="00000000">
        <w:rPr>
          <w:rtl w:val="0"/>
        </w:rPr>
        <w:t xml:space="preserve">TASK B: Job Design</w:t>
      </w:r>
    </w:p>
    <w:p w:rsidR="00000000" w:rsidDel="00000000" w:rsidP="00000000" w:rsidRDefault="00000000" w:rsidRPr="00000000" w14:paraId="00000048">
      <w:pPr>
        <w:pStyle w:val="Heading2"/>
        <w:rPr/>
      </w:pPr>
      <w:bookmarkStart w:colFirst="0" w:colLast="0" w:name="_heading=h.washlzdkgyym" w:id="5"/>
      <w:bookmarkEnd w:id="5"/>
      <w:r w:rsidDel="00000000" w:rsidR="00000000" w:rsidRPr="00000000">
        <w:rPr>
          <w:rtl w:val="0"/>
        </w:rPr>
        <w:t xml:space="preserve">1. Innovative Job Design Strategy</w:t>
      </w:r>
    </w:p>
    <w:p w:rsidR="00000000" w:rsidDel="00000000" w:rsidP="00000000" w:rsidRDefault="00000000" w:rsidRPr="00000000" w14:paraId="00000049">
      <w:pPr>
        <w:rPr>
          <w:b w:val="1"/>
          <w:bCs w:val="1"/>
          <w:u w:val="single"/>
        </w:rPr>
      </w:pPr>
      <w:r w:rsidDel="00000000" w:rsidR="00000000" w:rsidRPr="00000000">
        <w:rPr>
          <w:b w:val="1"/>
          <w:bCs w:val="1"/>
          <w:u w:val="single"/>
          <w:rtl w:val="0"/>
        </w:rPr>
        <w:t xml:space="preserve">Applying the Job Characteristics Model</w:t>
      </w:r>
    </w:p>
    <w:p w:rsidR="00000000" w:rsidDel="00000000" w:rsidP="00000000" w:rsidRDefault="00000000" w:rsidRPr="00000000" w14:paraId="0000004A">
      <w:pPr>
        <w:rPr/>
      </w:pPr>
      <w:r w:rsidDel="00000000" w:rsidR="00000000" w:rsidRPr="00000000">
        <w:rPr>
          <w:rtl w:val="0"/>
        </w:rPr>
        <w:t xml:space="preserve">The Job Characteristics Model, developed by Hackman and Oldham, proposes that employee enjoyment and motivation are affected by five fundamental job features. The 5 fundamental job characteristics are: Skill Variety, Task Identity, Task Significance, Autonomy, and Feedback (Bakker and Demerouti, 2024.). The traditional way of doing things in the Technology industry has placed too much focus on technical specialists. As a result, there are many repetitive jobs which limit the ability of employees to be creative or to see how they fit in the organization as a whole. Therefore, HUM should consider redesigning jobs to maximize the five job characteristics (Cotič </w:t>
      </w:r>
      <w:r w:rsidDel="00000000" w:rsidR="00000000" w:rsidRPr="00000000">
        <w:rPr>
          <w:i w:val="1"/>
          <w:iCs w:val="1"/>
          <w:rtl w:val="0"/>
        </w:rPr>
        <w:t xml:space="preserve">et al.,</w:t>
      </w:r>
      <w:r w:rsidDel="00000000" w:rsidR="00000000" w:rsidRPr="00000000">
        <w:rPr>
          <w:rtl w:val="0"/>
        </w:rPr>
        <w:t xml:space="preserve"> 2025).</w:t>
      </w:r>
    </w:p>
    <w:p w:rsidR="00000000" w:rsidDel="00000000" w:rsidP="00000000" w:rsidRDefault="00000000" w:rsidRPr="00000000" w14:paraId="0000004B">
      <w:pPr>
        <w:rPr/>
      </w:pPr>
      <w:r w:rsidDel="00000000" w:rsidR="00000000" w:rsidRPr="00000000">
        <w:rPr>
          <w:rtl w:val="0"/>
        </w:rPr>
        <w:t xml:space="preserve">To develop skill variety in employees, HUM should allow them to work across functions on cross-functional projects (Holman </w:t>
      </w:r>
      <w:r w:rsidDel="00000000" w:rsidR="00000000" w:rsidRPr="00000000">
        <w:rPr>
          <w:i w:val="1"/>
          <w:iCs w:val="1"/>
          <w:rtl w:val="0"/>
        </w:rPr>
        <w:t xml:space="preserve">et al.,</w:t>
      </w:r>
      <w:r w:rsidDel="00000000" w:rsidR="00000000" w:rsidRPr="00000000">
        <w:rPr>
          <w:rtl w:val="0"/>
        </w:rPr>
        <w:t xml:space="preserve"> 2024). Employees should be able to rotate through the functions of AI analytics, Mobility Infrastructure, Sustainability Planning, and Customer Solutions instead of being stuck in a narrow functional area. This will reduce the number of repetitive tasks that employees do, which will increase organizational learning and agility.</w:t>
      </w:r>
    </w:p>
    <w:p w:rsidR="00000000" w:rsidDel="00000000" w:rsidP="00000000" w:rsidRDefault="00000000" w:rsidRPr="00000000" w14:paraId="0000004C">
      <w:pPr>
        <w:jc w:val="center"/>
        <w:rPr/>
      </w:pPr>
      <w:r w:rsidDel="00000000" w:rsidR="00000000" w:rsidRPr="00000000">
        <w:rPr/>
        <w:drawing>
          <wp:inline distB="0" distT="0" distL="0" distR="0">
            <wp:extent cx="5407763" cy="4090074"/>
            <wp:effectExtent b="0" l="0" r="0" t="0"/>
            <wp:docPr descr="A Practical Guide to the Job Characteristics Model - AIHR" id="1" name="image3.png"/>
            <a:graphic>
              <a:graphicData uri="http://schemas.openxmlformats.org/drawingml/2006/picture">
                <pic:pic>
                  <pic:nvPicPr>
                    <pic:cNvPr descr="A Practical Guide to the Job Characteristics Model - AIHR" id="0" name="image3.png"/>
                    <pic:cNvPicPr preferRelativeResize="0"/>
                  </pic:nvPicPr>
                  <pic:blipFill>
                    <a:blip r:embed="rId7"/>
                    <a:srcRect b="12050" l="0" r="0" t="0"/>
                    <a:stretch>
                      <a:fillRect/>
                    </a:stretch>
                  </pic:blipFill>
                  <pic:spPr>
                    <a:xfrm>
                      <a:off x="0" y="0"/>
                      <a:ext cx="5407763" cy="4090074"/>
                    </a:xfrm>
                    <a:prstGeom prst="rect"/>
                    <a:ln/>
                  </pic:spPr>
                </pic:pic>
              </a:graphicData>
            </a:graphic>
          </wp:inline>
        </w:drawing>
      </w:r>
      <w:r w:rsidDel="00000000" w:rsidR="00000000" w:rsidRPr="00000000">
        <w:rPr>
          <w:rtl w:val="0"/>
        </w:rPr>
      </w:r>
    </w:p>
    <w:p w:rsidR="00000000" w:rsidDel="00000000" w:rsidP="00000000" w:rsidRDefault="00000000" w:rsidRPr="00000000" w14:paraId="0000004D">
      <w:pPr>
        <w:jc w:val="center"/>
        <w:rPr/>
      </w:pPr>
      <w:r w:rsidDel="00000000" w:rsidR="00000000" w:rsidRPr="00000000">
        <w:rPr>
          <w:rtl w:val="0"/>
        </w:rPr>
        <w:t xml:space="preserve">(Source: Holman </w:t>
      </w:r>
      <w:r w:rsidDel="00000000" w:rsidR="00000000" w:rsidRPr="00000000">
        <w:rPr>
          <w:i w:val="1"/>
          <w:iCs w:val="1"/>
          <w:rtl w:val="0"/>
        </w:rPr>
        <w:t xml:space="preserve">et al.,</w:t>
      </w:r>
      <w:r w:rsidDel="00000000" w:rsidR="00000000" w:rsidRPr="00000000">
        <w:rPr>
          <w:rtl w:val="0"/>
        </w:rPr>
        <w:t xml:space="preserve"> 2024)</w:t>
      </w:r>
    </w:p>
    <w:p w:rsidR="00000000" w:rsidDel="00000000" w:rsidP="00000000" w:rsidRDefault="00000000" w:rsidRPr="00000000" w14:paraId="0000004E">
      <w:pPr>
        <w:rPr/>
      </w:pPr>
      <w:r w:rsidDel="00000000" w:rsidR="00000000" w:rsidRPr="00000000">
        <w:rPr>
          <w:rtl w:val="0"/>
        </w:rPr>
        <w:t xml:space="preserve">To improve task identity, HUM should allow employees to own their projects from idea generation through to delivery. In order to improve task identity HUM will need to allow staff to take responsibility for managing the project from start up to the evaluation stage of a project. This helps improve motivation, accountability and innovation. Performance and quality will be kept at a high level through clearly defined KPIs and milestones; combined with agile processes for tracking progress on each project; as well as ongoing feedback from their manager and colleagues regarding performance. Employees should have the opportunity to participate in all stages of the innovation process; including the design, testing, stakeholder engagement and evaluation stages. This increases their sense of ownership and accountability (Huang</w:t>
      </w:r>
      <w:r w:rsidDel="00000000" w:rsidR="00000000" w:rsidRPr="00000000">
        <w:rPr>
          <w:i w:val="1"/>
          <w:iCs w:val="1"/>
          <w:rtl w:val="0"/>
        </w:rPr>
        <w:t xml:space="preserve"> et al.,</w:t>
      </w:r>
      <w:r w:rsidDel="00000000" w:rsidR="00000000" w:rsidRPr="00000000">
        <w:rPr>
          <w:rtl w:val="0"/>
        </w:rPr>
        <w:t xml:space="preserve"> 2023). To improve task significance, HUM should create links between employee contributions and how their work impacts society as a whole (for example, sustainable urban transport or environmental improvements). Employees who feel their work has a social impact will have a greater connection to, and will continue working for the company, compared to employees who only see their work as a way to make money.</w:t>
      </w:r>
    </w:p>
    <w:p w:rsidR="00000000" w:rsidDel="00000000" w:rsidP="00000000" w:rsidRDefault="00000000" w:rsidRPr="00000000" w14:paraId="0000004F">
      <w:pPr>
        <w:rPr/>
      </w:pPr>
      <w:r w:rsidDel="00000000" w:rsidR="00000000" w:rsidRPr="00000000">
        <w:rPr>
          <w:rtl w:val="0"/>
        </w:rPr>
        <w:t xml:space="preserve">Fourthly, the promotion of autonomy can be achieved through the creation of flexible project structures, decentralised decision making and the allocation of time for innovative activities (Schaefer </w:t>
      </w:r>
      <w:r w:rsidDel="00000000" w:rsidR="00000000" w:rsidRPr="00000000">
        <w:rPr>
          <w:i w:val="1"/>
          <w:iCs w:val="1"/>
          <w:rtl w:val="0"/>
        </w:rPr>
        <w:t xml:space="preserve">et al.,</w:t>
      </w:r>
      <w:r w:rsidDel="00000000" w:rsidR="00000000" w:rsidRPr="00000000">
        <w:rPr>
          <w:rtl w:val="0"/>
        </w:rPr>
        <w:t xml:space="preserve"> 2024). The degree of managerial control exerted on knowledge-intensive organisations can frequently diminish their capacity for creativity and intrinsic motivation. Thus, HUM will need to empower employees to have a say in their decisions about project management methods, collaboration processes and development pathways.</w:t>
      </w:r>
    </w:p>
    <w:p w:rsidR="00000000" w:rsidDel="00000000" w:rsidP="00000000" w:rsidRDefault="00000000" w:rsidRPr="00000000" w14:paraId="00000050">
      <w:pPr>
        <w:rPr/>
      </w:pPr>
      <w:r w:rsidDel="00000000" w:rsidR="00000000" w:rsidRPr="00000000">
        <w:rPr>
          <w:rtl w:val="0"/>
        </w:rPr>
        <w:t xml:space="preserve">Finally, the adoption of continuous feedback systems is necessary and should replace annual performance evaluations with more immediate (real-time) feedback, peer assessment and co-reflection as a means of increasing the effectiveness of learning and responsiveness to innovation (Huang</w:t>
      </w:r>
      <w:r w:rsidDel="00000000" w:rsidR="00000000" w:rsidRPr="00000000">
        <w:rPr>
          <w:i w:val="1"/>
          <w:iCs w:val="1"/>
          <w:rtl w:val="0"/>
        </w:rPr>
        <w:t xml:space="preserve"> et al.,</w:t>
      </w:r>
      <w:r w:rsidDel="00000000" w:rsidR="00000000" w:rsidRPr="00000000">
        <w:rPr>
          <w:rtl w:val="0"/>
        </w:rPr>
        <w:t xml:space="preserve"> 2023). It is important to note that the Job Characteristics Model is still relevant due to its focus on changing job design from efficiency-based to psychologically meaningful systems of work that increase employee engagement and foster innovation.</w:t>
      </w:r>
    </w:p>
    <w:p w:rsidR="00000000" w:rsidDel="00000000" w:rsidP="00000000" w:rsidRDefault="00000000" w:rsidRPr="00000000" w14:paraId="00000051">
      <w:pPr>
        <w:rPr>
          <w:b w:val="1"/>
          <w:bCs w:val="1"/>
          <w:u w:val="single"/>
        </w:rPr>
      </w:pPr>
      <w:r w:rsidDel="00000000" w:rsidR="00000000" w:rsidRPr="00000000">
        <w:rPr>
          <w:b w:val="1"/>
          <w:bCs w:val="1"/>
          <w:u w:val="single"/>
          <w:rtl w:val="0"/>
        </w:rPr>
        <w:t xml:space="preserve">Integrating Job Crafting Theory and Skills-Based Architecture</w:t>
      </w:r>
    </w:p>
    <w:p w:rsidR="00000000" w:rsidDel="00000000" w:rsidP="00000000" w:rsidRDefault="00000000" w:rsidRPr="00000000" w14:paraId="00000052">
      <w:pPr>
        <w:rPr/>
      </w:pPr>
      <w:r w:rsidDel="00000000" w:rsidR="00000000" w:rsidRPr="00000000">
        <w:rPr>
          <w:rtl w:val="0"/>
        </w:rPr>
        <w:t xml:space="preserve">According to Job Crafting Theory, employees are co-creators of their own experiences at work rather than just completing the tasks that have been assigned to them. For example, HUM could utilize job crafting to give new hires (devotees of the next generation) both a core job with an associated project, and an additional challenge project, such as a project at the Smart Mobility Innovation Lab or in Sustainability. If employees were also able to work on cross-functional teams composed of engineers, analysts, and product development people, they would experience greater variety in skills, greater autonomy, greater significance regarding the contribution they make, and would be able to see how their contributions add value. Moreover, the probability of retention for the younger generation will increase as those individuals will have the ability to experience learning at a quicker rate, develop their career, and feel they are making a meaningful contribution to HUM.</w:t>
      </w:r>
    </w:p>
    <w:p w:rsidR="00000000" w:rsidDel="00000000" w:rsidP="00000000" w:rsidRDefault="00000000" w:rsidRPr="00000000" w14:paraId="00000053">
      <w:pPr>
        <w:jc w:val="center"/>
        <w:rPr/>
      </w:pPr>
      <w:r w:rsidDel="00000000" w:rsidR="00000000" w:rsidRPr="00000000">
        <w:rPr>
          <w:rtl w:val="0"/>
        </w:rPr>
      </w:r>
    </w:p>
    <w:p w:rsidR="00000000" w:rsidDel="00000000" w:rsidP="00000000" w:rsidRDefault="00000000" w:rsidRPr="00000000" w14:paraId="00000054">
      <w:pPr>
        <w:jc w:val="center"/>
        <w:rPr/>
      </w:pPr>
      <w:r w:rsidDel="00000000" w:rsidR="00000000" w:rsidRPr="00000000">
        <w:rPr>
          <w:rtl w:val="0"/>
        </w:rPr>
      </w:r>
    </w:p>
    <w:p w:rsidR="00000000" w:rsidDel="00000000" w:rsidP="00000000" w:rsidRDefault="00000000" w:rsidRPr="00000000" w14:paraId="00000055">
      <w:pPr>
        <w:jc w:val="center"/>
        <w:rPr/>
      </w:pPr>
      <w:r w:rsidDel="00000000" w:rsidR="00000000" w:rsidRPr="00000000">
        <w:rPr/>
        <w:drawing>
          <wp:inline distB="0" distT="0" distL="0" distR="0">
            <wp:extent cx="5731510" cy="3227070"/>
            <wp:effectExtent b="0" l="0" r="0" t="0"/>
            <wp:docPr descr="Job Crafting PowerPoint and Google Slides Template - PPT Slides" id="3" name="image1.png"/>
            <a:graphic>
              <a:graphicData uri="http://schemas.openxmlformats.org/drawingml/2006/picture">
                <pic:pic>
                  <pic:nvPicPr>
                    <pic:cNvPr descr="Job Crafting PowerPoint and Google Slides Template - PPT Slides" id="0" name="image1.png"/>
                    <pic:cNvPicPr preferRelativeResize="0"/>
                  </pic:nvPicPr>
                  <pic:blipFill>
                    <a:blip r:embed="rId8"/>
                    <a:srcRect b="0" l="0" r="0" t="0"/>
                    <a:stretch>
                      <a:fillRect/>
                    </a:stretch>
                  </pic:blipFill>
                  <pic:spPr>
                    <a:xfrm>
                      <a:off x="0" y="0"/>
                      <a:ext cx="5731510" cy="3227070"/>
                    </a:xfrm>
                    <a:prstGeom prst="rect"/>
                    <a:ln/>
                  </pic:spPr>
                </pic:pic>
              </a:graphicData>
            </a:graphic>
          </wp:inline>
        </w:drawing>
      </w:r>
      <w:r w:rsidDel="00000000" w:rsidR="00000000" w:rsidRPr="00000000">
        <w:rPr>
          <w:rtl w:val="0"/>
        </w:rPr>
      </w:r>
    </w:p>
    <w:p w:rsidR="00000000" w:rsidDel="00000000" w:rsidP="00000000" w:rsidRDefault="00000000" w:rsidRPr="00000000" w14:paraId="00000056">
      <w:pPr>
        <w:jc w:val="center"/>
        <w:rPr/>
      </w:pPr>
      <w:r w:rsidDel="00000000" w:rsidR="00000000" w:rsidRPr="00000000">
        <w:rPr>
          <w:rtl w:val="0"/>
        </w:rPr>
        <w:t xml:space="preserve">(Source: Pagano, 2025).</w:t>
      </w:r>
    </w:p>
    <w:p w:rsidR="00000000" w:rsidDel="00000000" w:rsidP="00000000" w:rsidRDefault="00000000" w:rsidRPr="00000000" w14:paraId="00000057">
      <w:pPr>
        <w:rPr/>
      </w:pPr>
      <w:r w:rsidDel="00000000" w:rsidR="00000000" w:rsidRPr="00000000">
        <w:rPr>
          <w:rtl w:val="0"/>
        </w:rPr>
        <w:t xml:space="preserve">HUM could promote relational crafting, through mentoring partnerships, connecting London-based graduates with Berlin and Singapore-based mentors, to be involved in international smart-mobility projects, strengthening collaboration and the sharing of knowledge (Saa 2023). Employees could be supported in cognitive crafting by identifying how their AI solutions reduce traffic congestion and CO2 emissions, thus connecting their daily actions with HUM's sustainability mission. In addition, there could be a Skills-Based Architecture along with an internal talent marketplace that would permit employees to apply to short-term projects based on skill vs job title. For example, a data analyst could join a sustainability analytics project that would help to accelerate development and mobility as well as retain employees (Pagano 2025).</w:t>
      </w:r>
    </w:p>
    <w:p w:rsidR="00000000" w:rsidDel="00000000" w:rsidP="00000000" w:rsidRDefault="00000000" w:rsidRPr="00000000" w14:paraId="00000058">
      <w:pPr>
        <w:jc w:val="center"/>
        <w:rPr/>
      </w:pPr>
      <w:r w:rsidDel="00000000" w:rsidR="00000000" w:rsidRPr="00000000">
        <w:rPr/>
        <w:drawing>
          <wp:inline distB="0" distT="0" distL="0" distR="0">
            <wp:extent cx="5072752" cy="2855601"/>
            <wp:effectExtent b="0" l="0" r="0" t="0"/>
            <wp:docPr descr="Skills Architecture (360 Degrees of Skills) | Richardson Consulting Group" id="2" name="image2.png"/>
            <a:graphic>
              <a:graphicData uri="http://schemas.openxmlformats.org/drawingml/2006/picture">
                <pic:pic>
                  <pic:nvPicPr>
                    <pic:cNvPr descr="Skills Architecture (360 Degrees of Skills) | Richardson Consulting Group" id="0" name="image2.png"/>
                    <pic:cNvPicPr preferRelativeResize="0"/>
                  </pic:nvPicPr>
                  <pic:blipFill>
                    <a:blip r:embed="rId9"/>
                    <a:srcRect b="0" l="0" r="0" t="0"/>
                    <a:stretch>
                      <a:fillRect/>
                    </a:stretch>
                  </pic:blipFill>
                  <pic:spPr>
                    <a:xfrm>
                      <a:off x="0" y="0"/>
                      <a:ext cx="5072752" cy="2855601"/>
                    </a:xfrm>
                    <a:prstGeom prst="rect"/>
                    <a:ln/>
                  </pic:spPr>
                </pic:pic>
              </a:graphicData>
            </a:graphic>
          </wp:inline>
        </w:drawing>
      </w:r>
      <w:r w:rsidDel="00000000" w:rsidR="00000000" w:rsidRPr="00000000">
        <w:rPr>
          <w:rtl w:val="0"/>
        </w:rPr>
      </w:r>
    </w:p>
    <w:p w:rsidR="00000000" w:rsidDel="00000000" w:rsidP="00000000" w:rsidRDefault="00000000" w:rsidRPr="00000000" w14:paraId="00000059">
      <w:pPr>
        <w:jc w:val="center"/>
        <w:rPr/>
      </w:pPr>
      <w:r w:rsidDel="00000000" w:rsidR="00000000" w:rsidRPr="00000000">
        <w:rPr>
          <w:rtl w:val="0"/>
        </w:rPr>
        <w:t xml:space="preserve">(Source: Saa, 2023)</w:t>
      </w:r>
    </w:p>
    <w:p w:rsidR="00000000" w:rsidDel="00000000" w:rsidP="00000000" w:rsidRDefault="00000000" w:rsidRPr="00000000" w14:paraId="0000005A">
      <w:pPr>
        <w:pStyle w:val="Heading2"/>
        <w:rPr/>
      </w:pPr>
      <w:bookmarkStart w:colFirst="0" w:colLast="0" w:name="_heading=h.be889ua5w6oz" w:id="6"/>
      <w:bookmarkEnd w:id="6"/>
      <w:r w:rsidDel="00000000" w:rsidR="00000000" w:rsidRPr="00000000">
        <w:rPr>
          <w:rtl w:val="0"/>
        </w:rPr>
        <w:t xml:space="preserve">2. Developing Internal Motivation and Encouraging Creativity</w:t>
      </w:r>
    </w:p>
    <w:p w:rsidR="00000000" w:rsidDel="00000000" w:rsidP="00000000" w:rsidRDefault="00000000" w:rsidRPr="00000000" w14:paraId="0000005B">
      <w:pPr>
        <w:rPr/>
      </w:pPr>
      <w:r w:rsidDel="00000000" w:rsidR="00000000" w:rsidRPr="00000000">
        <w:rPr>
          <w:rtl w:val="0"/>
        </w:rPr>
        <w:t xml:space="preserve">Intrinsic motivation enhances the proposed job design by providing higher levels of autonomy, abilities, meaning, and connection with coworkers or customers. Examples of how this is achieved at HUM may include allowing employees to select their own innovation projects or develop new competencies through working with other parts of the company, contributing to sustainable urban mobility projects, and working collaboratively with the company’s international offices. As indicated by Self-Determination Theory, the four experiences described will improve an employee’s level of engagement, motivation, and performance (Aldabbas, Pinnington and Lahrech, 2023). The job characteristics model supports intrinsic motivation based on how the job or task is designed, increases the significance of the job/task (how important the worker feels his/her specific job is), provides the worker with autonomy (independent control of one's job) and provides feedback (information about performance).</w:t>
      </w:r>
    </w:p>
    <w:p w:rsidR="00000000" w:rsidDel="00000000" w:rsidP="00000000" w:rsidRDefault="00000000" w:rsidRPr="00000000" w14:paraId="0000005C">
      <w:pPr>
        <w:rPr/>
      </w:pPr>
      <w:r w:rsidDel="00000000" w:rsidR="00000000" w:rsidRPr="00000000">
        <w:rPr>
          <w:rtl w:val="0"/>
        </w:rPr>
        <w:t xml:space="preserve">Creativity, persistence and discretionary effort are demonstrated by workers when they believe that their jobs provide meaning and fulfil a social purpose. In the same way, job crafting increases workers' ownership of their jobs and encourages them to take initiative by actively shaping their job experience, rather than passively accepting what is given to them by the manager and/or the structure (Xu, Wang and Suntrayuth, 2022). The skills-based job architecture and the internal talent marketplace drive motivation by creating ongoing learning opportunities and job flexibility. Workers will remain motivated if they see a long-term opportunity for growth and development within the organisation.</w:t>
      </w:r>
    </w:p>
    <w:p w:rsidR="00000000" w:rsidDel="00000000" w:rsidP="00000000" w:rsidRDefault="00000000" w:rsidRPr="00000000" w14:paraId="0000005D">
      <w:pPr>
        <w:rPr/>
      </w:pPr>
      <w:r w:rsidDel="00000000" w:rsidR="00000000" w:rsidRPr="00000000">
        <w:rPr>
          <w:rtl w:val="0"/>
        </w:rPr>
        <w:t xml:space="preserve">From an innovation perspective, the new organisation design will foster experimentation, increase collaboration across functional areas and stimulate the exchange of information and knowledge (Nili and Tasavori, 2022). Innovation does not typically result from rigid hierarchical systems with too much control and functional silos. Innovation is based on the degree of autonomy given to individuals, the variety of perspectives and ideas that are recognised, and the collaboration to solve problems.</w:t>
      </w:r>
    </w:p>
    <w:p w:rsidR="00000000" w:rsidDel="00000000" w:rsidP="00000000" w:rsidRDefault="00000000" w:rsidRPr="00000000" w14:paraId="0000005E">
      <w:pPr>
        <w:rPr/>
      </w:pPr>
      <w:r w:rsidDel="00000000" w:rsidR="00000000" w:rsidRPr="00000000">
        <w:rPr>
          <w:rtl w:val="0"/>
        </w:rPr>
        <w:t xml:space="preserve">In addition, as part of HUM's commitment to sustainable urban transportation, workers must consider technological know-how along with ethical, environmental and stakeholder issues when doing their jobs (Mdhlalose, 2024). Flexible job structures, which may have greater psychological meaning for employees, are also very strategic because they encourage employees to think outside the box of limited technical duties.</w:t>
      </w:r>
    </w:p>
    <w:p w:rsidR="00000000" w:rsidDel="00000000" w:rsidP="00000000" w:rsidRDefault="00000000" w:rsidRPr="00000000" w14:paraId="0000005F">
      <w:pPr>
        <w:rPr>
          <w:b w:val="1"/>
          <w:bCs w:val="1"/>
        </w:rPr>
      </w:pPr>
      <w:bookmarkStart w:colFirst="0" w:colLast="0" w:name="_heading=h.23wlhxpso0m5" w:id="7"/>
      <w:bookmarkEnd w:id="7"/>
      <w:r w:rsidDel="00000000" w:rsidR="00000000" w:rsidRPr="00000000">
        <w:br w:type="page"/>
      </w:r>
      <w:r w:rsidDel="00000000" w:rsidR="00000000" w:rsidRPr="00000000">
        <w:rPr>
          <w:rtl w:val="0"/>
        </w:rPr>
      </w:r>
    </w:p>
    <w:p w:rsidR="00000000" w:rsidDel="00000000" w:rsidP="00000000" w:rsidRDefault="00000000" w:rsidRPr="00000000" w14:paraId="00000060">
      <w:pPr>
        <w:pStyle w:val="Heading1"/>
        <w:rPr/>
      </w:pPr>
      <w:r w:rsidDel="00000000" w:rsidR="00000000" w:rsidRPr="00000000">
        <w:rPr>
          <w:rtl w:val="0"/>
        </w:rPr>
        <w:t xml:space="preserve">TASK C: Reflective report</w:t>
      </w:r>
    </w:p>
    <w:p w:rsidR="00000000" w:rsidDel="00000000" w:rsidP="00000000" w:rsidRDefault="00000000" w:rsidRPr="00000000" w14:paraId="00000061">
      <w:pPr>
        <w:rPr>
          <w:b w:val="1"/>
          <w:bCs w:val="1"/>
          <w:u w:val="single"/>
        </w:rPr>
      </w:pPr>
      <w:r w:rsidDel="00000000" w:rsidR="00000000" w:rsidRPr="00000000">
        <w:rPr>
          <w:b w:val="1"/>
          <w:bCs w:val="1"/>
          <w:u w:val="single"/>
          <w:rtl w:val="0"/>
        </w:rPr>
        <w:t xml:space="preserve">Application Of AI As A Decision-Support Tool</w:t>
      </w:r>
    </w:p>
    <w:p w:rsidR="00000000" w:rsidDel="00000000" w:rsidP="00000000" w:rsidRDefault="00000000" w:rsidRPr="00000000" w14:paraId="00000062">
      <w:pPr>
        <w:rPr/>
      </w:pPr>
      <w:r w:rsidDel="00000000" w:rsidR="00000000" w:rsidRPr="00000000">
        <w:rPr>
          <w:rtl w:val="0"/>
        </w:rPr>
        <w:t xml:space="preserve">The rise of Artificial Intelligence (AI) in Human Resource Management has had a major impact on Strategic Decision Making. While there are advantages to AI, including increased efficiency, predictive ability, and data processing capabilities, overreliance on automated systems has the potential to diminish important aspects of human judgment, ethical reasoning, and contextual awareness (Halid </w:t>
      </w:r>
      <w:r w:rsidDel="00000000" w:rsidR="00000000" w:rsidRPr="00000000">
        <w:rPr>
          <w:i w:val="1"/>
          <w:iCs w:val="1"/>
          <w:rtl w:val="0"/>
        </w:rPr>
        <w:t xml:space="preserve">et al.,</w:t>
      </w:r>
      <w:r w:rsidDel="00000000" w:rsidR="00000000" w:rsidRPr="00000000">
        <w:rPr>
          <w:rtl w:val="0"/>
        </w:rPr>
        <w:t xml:space="preserve"> 2024). Therefore, as a future professional in HR, my intention is to use AI as a support tool for decision-making, rather than a replacement for human decision-making processes.</w:t>
      </w:r>
    </w:p>
    <w:p w:rsidR="00000000" w:rsidDel="00000000" w:rsidP="00000000" w:rsidRDefault="00000000" w:rsidRPr="00000000" w14:paraId="00000063">
      <w:pPr>
        <w:rPr/>
      </w:pPr>
      <w:r w:rsidDel="00000000" w:rsidR="00000000" w:rsidRPr="00000000">
        <w:rPr>
          <w:rtl w:val="0"/>
        </w:rPr>
        <w:t xml:space="preserve">AI has the potential to improve many aspects of HR functions by providing analytical data insights to determine workforce trends, predict turnover risk, identify skill gaps, and improve the efficient recruitment of employees. An HR example of where AI may be beneficial within an organisation such as Helios Urban Mobility (HUM) is through the use of AI-based systems to assist with workforce planning and talent management through efficiently analysing high volumes of employee and organisational data versus traditional manual methods (Aldino and Sujoko, 2025). However, AI systems might also contain algorithmic bias, incomplete contextual assessment (non-situational), and ethical constraints when assessing complex human behaviours, culturally diverse workplace dynamics, therefore creating potential risks to making just and strategically sound decisions by placing full reliance upon AI-generated recommendations.</w:t>
      </w:r>
    </w:p>
    <w:p w:rsidR="00000000" w:rsidDel="00000000" w:rsidP="00000000" w:rsidRDefault="00000000" w:rsidRPr="00000000" w14:paraId="00000064">
      <w:pPr>
        <w:rPr/>
      </w:pPr>
      <w:r w:rsidDel="00000000" w:rsidR="00000000" w:rsidRPr="00000000">
        <w:rPr>
          <w:rtl w:val="0"/>
        </w:rPr>
        <w:t xml:space="preserve">Impartially speaking, human judgement is a critical factor because the emotional, ethical, empathetic and contextual understandings required to make organisational decisions are outside the complete capacity of AI. Take for example, employee engagement, succession planning regarding leadership, and cultural fit - these require a more nuanced understanding than the quantitative analysis that may be provided by HRIS systems (Basheleishvili and Kapanadze, 2025). I plan to take a human-in-the-loop approach using AI as a tool for analysis, and leave final decisions to the use of professional judgment and ethics. This will help to ensure that increasing efficiency will not come at the expense of fairness and inclusivity, and/or mistrust within organisations.</w:t>
      </w:r>
    </w:p>
    <w:p w:rsidR="00000000" w:rsidDel="00000000" w:rsidP="00000000" w:rsidRDefault="00000000" w:rsidRPr="00000000" w14:paraId="00000065">
      <w:pPr>
        <w:rPr/>
      </w:pPr>
      <w:r w:rsidDel="00000000" w:rsidR="00000000" w:rsidRPr="00000000">
        <w:rPr>
          <w:rtl w:val="0"/>
        </w:rPr>
        <w:t xml:space="preserve">In addition, the ever-growing presence of AI within HR illustrates the necessity of constant professional development. In order to be employable within an increasingly digital and global marketplace, HR professionals will need to possess a blend of technological knowledge with strategic, interpersonal and cross-cultural skills (Basheleishvili and Kapanadze, 2025). This document outlines my personal capability development plan for enhancing my employability and enhancing my contribution to the strategic effectiveness of HR.</w:t>
      </w:r>
    </w:p>
    <w:p w:rsidR="00000000" w:rsidDel="00000000" w:rsidP="00000000" w:rsidRDefault="00000000" w:rsidRPr="00000000" w14:paraId="00000066">
      <w:pPr>
        <w:rPr>
          <w:b w:val="1"/>
          <w:bCs w:val="1"/>
          <w:u w:val="single"/>
        </w:rPr>
      </w:pPr>
      <w:r w:rsidDel="00000000" w:rsidR="00000000" w:rsidRPr="00000000">
        <w:rPr>
          <w:b w:val="1"/>
          <w:bCs w:val="1"/>
          <w:u w:val="single"/>
          <w:rtl w:val="0"/>
        </w:rPr>
        <w:t xml:space="preserve">Personal Capability Development Plan</w:t>
      </w:r>
    </w:p>
    <w:tbl>
      <w:tblPr>
        <w:tblStyle w:val="Table2"/>
        <w:tblW w:w="9016.0" w:type="dxa"/>
        <w:jc w:val="center"/>
        <w:tblLayout w:type="fixed"/>
        <w:tblLook w:val="04A0"/>
      </w:tblPr>
      <w:tblGrid>
        <w:gridCol w:w="2254"/>
        <w:gridCol w:w="2254"/>
        <w:gridCol w:w="2254"/>
        <w:gridCol w:w="2254"/>
        <w:tblGridChange w:id="0">
          <w:tblGrid>
            <w:gridCol w:w="2254"/>
            <w:gridCol w:w="2254"/>
            <w:gridCol w:w="2254"/>
            <w:gridCol w:w="2254"/>
          </w:tblGrid>
        </w:tblGridChange>
      </w:tblGrid>
      <w:tr>
        <w:trPr>
          <w:cantSplit w:val="0"/>
          <w:tblHeader w:val="0"/>
        </w:trPr>
        <w:tc>
          <w:tcPr/>
          <w:p w:rsidR="00000000" w:rsidDel="00000000" w:rsidP="00000000" w:rsidRDefault="00000000" w:rsidRPr="00000000" w14:paraId="00000067">
            <w:pPr>
              <w:jc w:val="center"/>
              <w:rPr>
                <w:b w:val="1"/>
                <w:bCs w:val="1"/>
              </w:rPr>
            </w:pPr>
            <w:r w:rsidDel="00000000" w:rsidR="00000000" w:rsidRPr="00000000">
              <w:rPr>
                <w:b w:val="1"/>
                <w:bCs w:val="1"/>
                <w:i w:val="0"/>
                <w:iCs w:val="0"/>
                <w:rtl w:val="0"/>
              </w:rPr>
              <w:t xml:space="preserve">Development area</w:t>
            </w:r>
            <w:r w:rsidDel="00000000" w:rsidR="00000000" w:rsidRPr="00000000">
              <w:rPr>
                <w:rtl w:val="0"/>
              </w:rPr>
            </w:r>
          </w:p>
        </w:tc>
        <w:tc>
          <w:tcPr/>
          <w:p w:rsidR="00000000" w:rsidDel="00000000" w:rsidP="00000000" w:rsidRDefault="00000000" w:rsidRPr="00000000" w14:paraId="00000068">
            <w:pPr>
              <w:jc w:val="center"/>
              <w:rPr>
                <w:b w:val="1"/>
                <w:bCs w:val="1"/>
              </w:rPr>
            </w:pPr>
            <w:r w:rsidDel="00000000" w:rsidR="00000000" w:rsidRPr="00000000">
              <w:rPr>
                <w:b w:val="1"/>
                <w:bCs w:val="1"/>
                <w:i w:val="0"/>
                <w:iCs w:val="0"/>
                <w:rtl w:val="0"/>
              </w:rPr>
              <w:t xml:space="preserve">Current Limitation</w:t>
            </w:r>
            <w:r w:rsidDel="00000000" w:rsidR="00000000" w:rsidRPr="00000000">
              <w:rPr>
                <w:rtl w:val="0"/>
              </w:rPr>
            </w:r>
          </w:p>
        </w:tc>
        <w:tc>
          <w:tcPr/>
          <w:p w:rsidR="00000000" w:rsidDel="00000000" w:rsidP="00000000" w:rsidRDefault="00000000" w:rsidRPr="00000000" w14:paraId="00000069">
            <w:pPr>
              <w:jc w:val="center"/>
              <w:rPr>
                <w:b w:val="1"/>
                <w:bCs w:val="1"/>
              </w:rPr>
            </w:pPr>
            <w:r w:rsidDel="00000000" w:rsidR="00000000" w:rsidRPr="00000000">
              <w:rPr>
                <w:b w:val="1"/>
                <w:bCs w:val="1"/>
                <w:i w:val="0"/>
                <w:iCs w:val="0"/>
                <w:rtl w:val="0"/>
              </w:rPr>
              <w:t xml:space="preserve">Development Strategy</w:t>
            </w:r>
            <w:r w:rsidDel="00000000" w:rsidR="00000000" w:rsidRPr="00000000">
              <w:rPr>
                <w:rtl w:val="0"/>
              </w:rPr>
            </w:r>
          </w:p>
        </w:tc>
        <w:tc>
          <w:tcPr/>
          <w:p w:rsidR="00000000" w:rsidDel="00000000" w:rsidP="00000000" w:rsidRDefault="00000000" w:rsidRPr="00000000" w14:paraId="0000006A">
            <w:pPr>
              <w:jc w:val="center"/>
              <w:rPr>
                <w:b w:val="1"/>
                <w:bCs w:val="1"/>
              </w:rPr>
            </w:pPr>
            <w:r w:rsidDel="00000000" w:rsidR="00000000" w:rsidRPr="00000000">
              <w:rPr>
                <w:b w:val="1"/>
                <w:bCs w:val="1"/>
                <w:i w:val="0"/>
                <w:iCs w:val="0"/>
                <w:rtl w:val="0"/>
              </w:rPr>
              <w:t xml:space="preserve">Expected Outcome</w:t>
            </w:r>
            <w:r w:rsidDel="00000000" w:rsidR="00000000" w:rsidRPr="00000000">
              <w:rPr>
                <w:rtl w:val="0"/>
              </w:rPr>
            </w:r>
          </w:p>
        </w:tc>
      </w:tr>
      <w:tr>
        <w:trPr>
          <w:cantSplit w:val="0"/>
          <w:tblHeader w:val="0"/>
        </w:trPr>
        <w:tc>
          <w:tcPr/>
          <w:p w:rsidR="00000000" w:rsidDel="00000000" w:rsidP="00000000" w:rsidRDefault="00000000" w:rsidRPr="00000000" w14:paraId="0000006B">
            <w:pPr>
              <w:rPr>
                <w:b w:val="1"/>
                <w:bCs w:val="1"/>
              </w:rPr>
            </w:pPr>
            <w:r w:rsidDel="00000000" w:rsidR="00000000" w:rsidRPr="00000000">
              <w:rPr>
                <w:b w:val="1"/>
                <w:bCs w:val="1"/>
                <w:i w:val="0"/>
                <w:iCs w:val="0"/>
                <w:rtl w:val="0"/>
              </w:rPr>
              <w:t xml:space="preserve">Data Literacy</w:t>
            </w:r>
            <w:r w:rsidDel="00000000" w:rsidR="00000000" w:rsidRPr="00000000">
              <w:rPr>
                <w:rtl w:val="0"/>
              </w:rPr>
            </w:r>
          </w:p>
        </w:tc>
        <w:tc>
          <w:tcPr/>
          <w:p w:rsidR="00000000" w:rsidDel="00000000" w:rsidP="00000000" w:rsidRDefault="00000000" w:rsidRPr="00000000" w14:paraId="0000006C">
            <w:pPr>
              <w:rPr/>
            </w:pPr>
            <w:r w:rsidDel="00000000" w:rsidR="00000000" w:rsidRPr="00000000">
              <w:rPr>
                <w:rtl w:val="0"/>
              </w:rPr>
              <w:t xml:space="preserve">Limited confidence in HR analytics and data interpretation </w:t>
            </w:r>
          </w:p>
        </w:tc>
        <w:tc>
          <w:tcPr/>
          <w:p w:rsidR="00000000" w:rsidDel="00000000" w:rsidP="00000000" w:rsidRDefault="00000000" w:rsidRPr="00000000" w14:paraId="0000006D">
            <w:pPr>
              <w:rPr/>
            </w:pPr>
            <w:r w:rsidDel="00000000" w:rsidR="00000000" w:rsidRPr="00000000">
              <w:rPr>
                <w:rtl w:val="0"/>
              </w:rPr>
              <w:t xml:space="preserve">Complete courses in HR analytics, Power Bi, and workforce data analysis </w:t>
            </w:r>
          </w:p>
        </w:tc>
        <w:tc>
          <w:tcPr/>
          <w:p w:rsidR="00000000" w:rsidDel="00000000" w:rsidP="00000000" w:rsidRDefault="00000000" w:rsidRPr="00000000" w14:paraId="0000006E">
            <w:pPr>
              <w:rPr/>
            </w:pPr>
            <w:r w:rsidDel="00000000" w:rsidR="00000000" w:rsidRPr="00000000">
              <w:rPr>
                <w:rtl w:val="0"/>
              </w:rPr>
              <w:t xml:space="preserve">Improved evidence-based decision-making capabilities </w:t>
            </w:r>
          </w:p>
        </w:tc>
      </w:tr>
      <w:tr>
        <w:trPr>
          <w:cantSplit w:val="0"/>
          <w:tblHeader w:val="0"/>
        </w:trPr>
        <w:tc>
          <w:tcPr/>
          <w:p w:rsidR="00000000" w:rsidDel="00000000" w:rsidP="00000000" w:rsidRDefault="00000000" w:rsidRPr="00000000" w14:paraId="0000006F">
            <w:pPr>
              <w:rPr>
                <w:b w:val="1"/>
                <w:bCs w:val="1"/>
              </w:rPr>
            </w:pPr>
            <w:r w:rsidDel="00000000" w:rsidR="00000000" w:rsidRPr="00000000">
              <w:rPr>
                <w:b w:val="1"/>
                <w:bCs w:val="1"/>
                <w:i w:val="0"/>
                <w:iCs w:val="0"/>
                <w:rtl w:val="0"/>
              </w:rPr>
              <w:t xml:space="preserve">AI augmentation in HR</w:t>
            </w:r>
            <w:r w:rsidDel="00000000" w:rsidR="00000000" w:rsidRPr="00000000">
              <w:rPr>
                <w:rtl w:val="0"/>
              </w:rPr>
            </w:r>
          </w:p>
        </w:tc>
        <w:tc>
          <w:tcPr/>
          <w:p w:rsidR="00000000" w:rsidDel="00000000" w:rsidP="00000000" w:rsidRDefault="00000000" w:rsidRPr="00000000" w14:paraId="00000070">
            <w:pPr>
              <w:rPr/>
            </w:pPr>
            <w:r w:rsidDel="00000000" w:rsidR="00000000" w:rsidRPr="00000000">
              <w:rPr>
                <w:rtl w:val="0"/>
              </w:rPr>
              <w:t xml:space="preserve">Limited practical understanding of AI applications in HR</w:t>
            </w:r>
          </w:p>
        </w:tc>
        <w:tc>
          <w:tcPr/>
          <w:p w:rsidR="00000000" w:rsidDel="00000000" w:rsidP="00000000" w:rsidRDefault="00000000" w:rsidRPr="00000000" w14:paraId="00000071">
            <w:pPr>
              <w:rPr/>
            </w:pPr>
            <w:r w:rsidDel="00000000" w:rsidR="00000000" w:rsidRPr="00000000">
              <w:rPr>
                <w:rtl w:val="0"/>
              </w:rPr>
              <w:t xml:space="preserve">Undertake AI and digital HR certification and explore AI-based HR system </w:t>
            </w:r>
          </w:p>
        </w:tc>
        <w:tc>
          <w:tcPr/>
          <w:p w:rsidR="00000000" w:rsidDel="00000000" w:rsidP="00000000" w:rsidRDefault="00000000" w:rsidRPr="00000000" w14:paraId="00000072">
            <w:pPr>
              <w:rPr/>
            </w:pPr>
            <w:r w:rsidDel="00000000" w:rsidR="00000000" w:rsidRPr="00000000">
              <w:rPr>
                <w:rtl w:val="0"/>
              </w:rPr>
              <w:t xml:space="preserve">Enhanced capability to integrate AI responsibly within HR practice</w:t>
            </w:r>
          </w:p>
        </w:tc>
      </w:tr>
      <w:tr>
        <w:trPr>
          <w:cantSplit w:val="0"/>
          <w:tblHeader w:val="0"/>
        </w:trPr>
        <w:tc>
          <w:tcPr/>
          <w:p w:rsidR="00000000" w:rsidDel="00000000" w:rsidP="00000000" w:rsidRDefault="00000000" w:rsidRPr="00000000" w14:paraId="00000073">
            <w:pPr>
              <w:rPr>
                <w:b w:val="1"/>
                <w:bCs w:val="1"/>
              </w:rPr>
            </w:pPr>
            <w:r w:rsidDel="00000000" w:rsidR="00000000" w:rsidRPr="00000000">
              <w:rPr>
                <w:b w:val="1"/>
                <w:bCs w:val="1"/>
                <w:i w:val="0"/>
                <w:iCs w:val="0"/>
                <w:rtl w:val="0"/>
              </w:rPr>
              <w:t xml:space="preserve">Strategic Influencing skills </w:t>
            </w:r>
            <w:r w:rsidDel="00000000" w:rsidR="00000000" w:rsidRPr="00000000">
              <w:rPr>
                <w:rtl w:val="0"/>
              </w:rPr>
            </w:r>
          </w:p>
        </w:tc>
        <w:tc>
          <w:tcPr/>
          <w:p w:rsidR="00000000" w:rsidDel="00000000" w:rsidP="00000000" w:rsidRDefault="00000000" w:rsidRPr="00000000" w14:paraId="00000074">
            <w:pPr>
              <w:rPr/>
            </w:pPr>
            <w:r w:rsidDel="00000000" w:rsidR="00000000" w:rsidRPr="00000000">
              <w:rPr>
                <w:rtl w:val="0"/>
              </w:rPr>
              <w:t xml:space="preserve">Limited experience influencing senior stakeholders </w:t>
            </w:r>
          </w:p>
        </w:tc>
        <w:tc>
          <w:tcPr/>
          <w:p w:rsidR="00000000" w:rsidDel="00000000" w:rsidP="00000000" w:rsidRDefault="00000000" w:rsidRPr="00000000" w14:paraId="00000075">
            <w:pPr>
              <w:rPr/>
            </w:pPr>
            <w:r w:rsidDel="00000000" w:rsidR="00000000" w:rsidRPr="00000000">
              <w:rPr>
                <w:rtl w:val="0"/>
              </w:rPr>
              <w:t xml:space="preserve">Participate in leadership workshops, presentations and negotiation training </w:t>
            </w:r>
          </w:p>
        </w:tc>
        <w:tc>
          <w:tcPr/>
          <w:p w:rsidR="00000000" w:rsidDel="00000000" w:rsidP="00000000" w:rsidRDefault="00000000" w:rsidRPr="00000000" w14:paraId="00000076">
            <w:pPr>
              <w:rPr/>
            </w:pPr>
            <w:r w:rsidDel="00000000" w:rsidR="00000000" w:rsidRPr="00000000">
              <w:rPr>
                <w:rtl w:val="0"/>
              </w:rPr>
              <w:t xml:space="preserve">Stronger communication and strategic leadership capability</w:t>
            </w:r>
          </w:p>
        </w:tc>
      </w:tr>
      <w:tr>
        <w:trPr>
          <w:cantSplit w:val="0"/>
          <w:tblHeader w:val="0"/>
        </w:trPr>
        <w:tc>
          <w:tcPr/>
          <w:p w:rsidR="00000000" w:rsidDel="00000000" w:rsidP="00000000" w:rsidRDefault="00000000" w:rsidRPr="00000000" w14:paraId="00000077">
            <w:pPr>
              <w:rPr>
                <w:b w:val="1"/>
                <w:bCs w:val="1"/>
              </w:rPr>
            </w:pPr>
            <w:r w:rsidDel="00000000" w:rsidR="00000000" w:rsidRPr="00000000">
              <w:rPr>
                <w:b w:val="1"/>
                <w:bCs w:val="1"/>
                <w:i w:val="0"/>
                <w:iCs w:val="0"/>
                <w:rtl w:val="0"/>
              </w:rPr>
              <w:t xml:space="preserve">Global Mobility </w:t>
            </w:r>
            <w:r w:rsidDel="00000000" w:rsidR="00000000" w:rsidRPr="00000000">
              <w:rPr>
                <w:rtl w:val="0"/>
              </w:rPr>
            </w:r>
          </w:p>
        </w:tc>
        <w:tc>
          <w:tcPr/>
          <w:p w:rsidR="00000000" w:rsidDel="00000000" w:rsidP="00000000" w:rsidRDefault="00000000" w:rsidRPr="00000000" w14:paraId="00000078">
            <w:pPr>
              <w:rPr/>
            </w:pPr>
            <w:r w:rsidDel="00000000" w:rsidR="00000000" w:rsidRPr="00000000">
              <w:rPr>
                <w:rtl w:val="0"/>
              </w:rPr>
              <w:t xml:space="preserve">Limited exposure to international HR practices </w:t>
            </w:r>
          </w:p>
        </w:tc>
        <w:tc>
          <w:tcPr/>
          <w:p w:rsidR="00000000" w:rsidDel="00000000" w:rsidP="00000000" w:rsidRDefault="00000000" w:rsidRPr="00000000" w14:paraId="00000079">
            <w:pPr>
              <w:rPr/>
            </w:pPr>
            <w:r w:rsidDel="00000000" w:rsidR="00000000" w:rsidRPr="00000000">
              <w:rPr>
                <w:rtl w:val="0"/>
              </w:rPr>
              <w:t xml:space="preserve"> Engage with global HR case studies and cross-cultural management learning </w:t>
            </w:r>
          </w:p>
        </w:tc>
        <w:tc>
          <w:tcPr/>
          <w:p w:rsidR="00000000" w:rsidDel="00000000" w:rsidP="00000000" w:rsidRDefault="00000000" w:rsidRPr="00000000" w14:paraId="0000007A">
            <w:pPr>
              <w:rPr/>
            </w:pPr>
            <w:r w:rsidDel="00000000" w:rsidR="00000000" w:rsidRPr="00000000">
              <w:rPr>
                <w:rtl w:val="0"/>
              </w:rPr>
              <w:t xml:space="preserve">Greater understanding of international workforce management </w:t>
            </w:r>
          </w:p>
        </w:tc>
      </w:tr>
      <w:tr>
        <w:trPr>
          <w:cantSplit w:val="0"/>
          <w:tblHeader w:val="0"/>
        </w:trPr>
        <w:tc>
          <w:tcPr/>
          <w:p w:rsidR="00000000" w:rsidDel="00000000" w:rsidP="00000000" w:rsidRDefault="00000000" w:rsidRPr="00000000" w14:paraId="0000007B">
            <w:pPr>
              <w:rPr>
                <w:b w:val="1"/>
                <w:bCs w:val="1"/>
              </w:rPr>
            </w:pPr>
            <w:r w:rsidDel="00000000" w:rsidR="00000000" w:rsidRPr="00000000">
              <w:rPr>
                <w:b w:val="1"/>
                <w:bCs w:val="1"/>
                <w:i w:val="0"/>
                <w:iCs w:val="0"/>
                <w:rtl w:val="0"/>
              </w:rPr>
              <w:t xml:space="preserve">Ethical Decision-making </w:t>
            </w:r>
            <w:r w:rsidDel="00000000" w:rsidR="00000000" w:rsidRPr="00000000">
              <w:rPr>
                <w:rtl w:val="0"/>
              </w:rPr>
            </w:r>
          </w:p>
        </w:tc>
        <w:tc>
          <w:tcPr/>
          <w:p w:rsidR="00000000" w:rsidDel="00000000" w:rsidP="00000000" w:rsidRDefault="00000000" w:rsidRPr="00000000" w14:paraId="0000007C">
            <w:pPr>
              <w:rPr/>
            </w:pPr>
            <w:r w:rsidDel="00000000" w:rsidR="00000000" w:rsidRPr="00000000">
              <w:rPr>
                <w:rtl w:val="0"/>
              </w:rPr>
              <w:t xml:space="preserve">Need for deeper comprehension of ethical HR challenges </w:t>
            </w:r>
          </w:p>
        </w:tc>
        <w:tc>
          <w:tcPr/>
          <w:p w:rsidR="00000000" w:rsidDel="00000000" w:rsidP="00000000" w:rsidRDefault="00000000" w:rsidRPr="00000000" w14:paraId="0000007D">
            <w:pPr>
              <w:rPr/>
            </w:pPr>
            <w:r w:rsidDel="00000000" w:rsidR="00000000" w:rsidRPr="00000000">
              <w:rPr>
                <w:rtl w:val="0"/>
              </w:rPr>
              <w:t xml:space="preserve">Study ESG frameworks, ethical AI governance and employment ethics </w:t>
            </w:r>
          </w:p>
        </w:tc>
        <w:tc>
          <w:tcPr/>
          <w:p w:rsidR="00000000" w:rsidDel="00000000" w:rsidP="00000000" w:rsidRDefault="00000000" w:rsidRPr="00000000" w14:paraId="0000007E">
            <w:pPr>
              <w:rPr/>
            </w:pPr>
            <w:r w:rsidDel="00000000" w:rsidR="00000000" w:rsidRPr="00000000">
              <w:rPr>
                <w:rtl w:val="0"/>
              </w:rPr>
              <w:t xml:space="preserve">Improved ethical and responsible decision-making skills </w:t>
            </w:r>
          </w:p>
        </w:tc>
      </w:tr>
    </w:tbl>
    <w:p w:rsidR="00000000" w:rsidDel="00000000" w:rsidP="00000000" w:rsidRDefault="00000000" w:rsidRPr="00000000" w14:paraId="0000007F">
      <w:pPr>
        <w:rPr>
          <w:b w:val="1"/>
          <w:bCs w:val="1"/>
        </w:rPr>
      </w:pPr>
      <w:r w:rsidDel="00000000" w:rsidR="00000000" w:rsidRPr="00000000">
        <w:rPr>
          <w:rtl w:val="0"/>
        </w:rPr>
      </w:r>
    </w:p>
    <w:p w:rsidR="00000000" w:rsidDel="00000000" w:rsidP="00000000" w:rsidRDefault="00000000" w:rsidRPr="00000000" w14:paraId="00000080">
      <w:pPr>
        <w:spacing w:line="259" w:lineRule="auto"/>
        <w:jc w:val="left"/>
        <w:rPr>
          <w:b w:val="1"/>
          <w:bCs w:val="1"/>
        </w:rPr>
      </w:pPr>
      <w:r w:rsidDel="00000000" w:rsidR="00000000" w:rsidRPr="00000000">
        <w:br w:type="page"/>
      </w:r>
      <w:r w:rsidDel="00000000" w:rsidR="00000000" w:rsidRPr="00000000">
        <w:rPr>
          <w:rtl w:val="0"/>
        </w:rPr>
      </w:r>
    </w:p>
    <w:p w:rsidR="00000000" w:rsidDel="00000000" w:rsidP="00000000" w:rsidRDefault="00000000" w:rsidRPr="00000000" w14:paraId="00000081">
      <w:pPr>
        <w:rPr>
          <w:b w:val="1"/>
          <w:bCs w:val="1"/>
        </w:rPr>
      </w:pPr>
      <w:r w:rsidDel="00000000" w:rsidR="00000000" w:rsidRPr="00000000">
        <w:rPr>
          <w:b w:val="1"/>
          <w:bCs w:val="1"/>
          <w:rtl w:val="0"/>
        </w:rPr>
        <w:t xml:space="preserve">Reference </w:t>
      </w:r>
    </w:p>
    <w:p w:rsidR="00000000" w:rsidDel="00000000" w:rsidP="00000000" w:rsidRDefault="00000000" w:rsidRPr="00000000" w14:paraId="00000082">
      <w:pPr>
        <w:rPr/>
      </w:pPr>
      <w:bookmarkStart w:colFirst="0" w:colLast="0" w:name="_heading=h.lxxhefyphnz5" w:id="8"/>
      <w:bookmarkEnd w:id="8"/>
      <w:r w:rsidDel="00000000" w:rsidR="00000000" w:rsidRPr="00000000">
        <w:rPr>
          <w:rtl w:val="0"/>
        </w:rPr>
        <w:t xml:space="preserve">Aldabbas, H., Pinnington, A.H. and Lahrech, A., 2023. Encouraging more creativity in organizations: the importance of employees’ intrinsic motivation and work engagement. </w:t>
      </w:r>
      <w:r w:rsidDel="00000000" w:rsidR="00000000" w:rsidRPr="00000000">
        <w:rPr>
          <w:i w:val="1"/>
          <w:iCs w:val="1"/>
          <w:rtl w:val="0"/>
        </w:rPr>
        <w:t xml:space="preserve">International Journal of Organizational Analysis</w:t>
      </w:r>
      <w:r w:rsidDel="00000000" w:rsidR="00000000" w:rsidRPr="00000000">
        <w:rPr>
          <w:rtl w:val="0"/>
        </w:rPr>
        <w:t xml:space="preserve">, </w:t>
      </w:r>
      <w:r w:rsidDel="00000000" w:rsidR="00000000" w:rsidRPr="00000000">
        <w:rPr>
          <w:i w:val="1"/>
          <w:iCs w:val="1"/>
          <w:rtl w:val="0"/>
        </w:rPr>
        <w:t xml:space="preserve">31</w:t>
      </w:r>
      <w:r w:rsidDel="00000000" w:rsidR="00000000" w:rsidRPr="00000000">
        <w:rPr>
          <w:rtl w:val="0"/>
        </w:rPr>
        <w:t xml:space="preserve">(6), pp.2337-2358.</w:t>
      </w:r>
    </w:p>
    <w:p w:rsidR="00000000" w:rsidDel="00000000" w:rsidP="00000000" w:rsidRDefault="00000000" w:rsidRPr="00000000" w14:paraId="00000083">
      <w:pPr>
        <w:rPr/>
      </w:pPr>
      <w:r w:rsidDel="00000000" w:rsidR="00000000" w:rsidRPr="00000000">
        <w:rPr>
          <w:rtl w:val="0"/>
        </w:rPr>
        <w:t xml:space="preserve">Aldino, B. and Sujoko, S., 2025. Leveraging Artificial Intelligence in Decision Support Systems for Strategic Human Resource Management: A Systematic Literature Review. OPSearch: American Journal of Open Research, 4(4), pp.1-23.</w:t>
      </w:r>
    </w:p>
    <w:p w:rsidR="00000000" w:rsidDel="00000000" w:rsidP="00000000" w:rsidRDefault="00000000" w:rsidRPr="00000000" w14:paraId="00000084">
      <w:pPr>
        <w:rPr/>
      </w:pPr>
      <w:r w:rsidDel="00000000" w:rsidR="00000000" w:rsidRPr="00000000">
        <w:rPr>
          <w:rtl w:val="0"/>
        </w:rPr>
        <w:t xml:space="preserve">Bakker, A.B. and Demerouti, E., 2024. Job demands–resources theory: Frequently asked questions. </w:t>
      </w:r>
      <w:r w:rsidDel="00000000" w:rsidR="00000000" w:rsidRPr="00000000">
        <w:rPr>
          <w:i w:val="1"/>
          <w:iCs w:val="1"/>
          <w:rtl w:val="0"/>
        </w:rPr>
        <w:t xml:space="preserve">Journal of Occupational Health Psychology</w:t>
      </w:r>
      <w:r w:rsidDel="00000000" w:rsidR="00000000" w:rsidRPr="00000000">
        <w:rPr>
          <w:rtl w:val="0"/>
        </w:rPr>
        <w:t xml:space="preserve">, </w:t>
      </w:r>
      <w:r w:rsidDel="00000000" w:rsidR="00000000" w:rsidRPr="00000000">
        <w:rPr>
          <w:i w:val="1"/>
          <w:iCs w:val="1"/>
          <w:rtl w:val="0"/>
        </w:rPr>
        <w:t xml:space="preserve">29</w:t>
      </w:r>
      <w:r w:rsidDel="00000000" w:rsidR="00000000" w:rsidRPr="00000000">
        <w:rPr>
          <w:rtl w:val="0"/>
        </w:rPr>
        <w:t xml:space="preserve">(3), p.188.</w:t>
      </w:r>
    </w:p>
    <w:p w:rsidR="00000000" w:rsidDel="00000000" w:rsidP="00000000" w:rsidRDefault="00000000" w:rsidRPr="00000000" w14:paraId="00000085">
      <w:pPr>
        <w:rPr/>
      </w:pPr>
      <w:r w:rsidDel="00000000" w:rsidR="00000000" w:rsidRPr="00000000">
        <w:rPr>
          <w:rtl w:val="0"/>
        </w:rPr>
        <w:t xml:space="preserve">Basheleishvili, I. and Kapanadze, G., 2025. Development of A Decision Support System Algorithm for Human Resource Evaluation. Decision Making Advances, 3(1), pp.31-39.</w:t>
      </w:r>
    </w:p>
    <w:p w:rsidR="00000000" w:rsidDel="00000000" w:rsidP="00000000" w:rsidRDefault="00000000" w:rsidRPr="00000000" w14:paraId="00000086">
      <w:pPr>
        <w:rPr/>
      </w:pPr>
      <w:r w:rsidDel="00000000" w:rsidR="00000000" w:rsidRPr="00000000">
        <w:rPr>
          <w:rtl w:val="0"/>
        </w:rPr>
        <w:t xml:space="preserve">Bauer, T.N., Erdogan, B., Ellis, A.M., Truxillo, D.M., Brady, G.M. and McCarthy, J.M., 2025. The evolving future of work: Implications for newcomer adaptability and connectivity during organizational socialization. Human resource management, 64(6), pp.1651-1668.</w:t>
      </w:r>
    </w:p>
    <w:p w:rsidR="00000000" w:rsidDel="00000000" w:rsidP="00000000" w:rsidRDefault="00000000" w:rsidRPr="00000000" w14:paraId="00000087">
      <w:pPr>
        <w:rPr/>
      </w:pPr>
      <w:r w:rsidDel="00000000" w:rsidR="00000000" w:rsidRPr="00000000">
        <w:rPr>
          <w:rtl w:val="0"/>
        </w:rPr>
        <w:t xml:space="preserve">Bell, T., 2021. Onboarding: Improving employer and employee relations. Certified Public Manager® Applied Research, 2(1), p.1.</w:t>
      </w:r>
    </w:p>
    <w:p w:rsidR="00000000" w:rsidDel="00000000" w:rsidP="00000000" w:rsidRDefault="00000000" w:rsidRPr="00000000" w14:paraId="00000088">
      <w:pPr>
        <w:rPr/>
      </w:pPr>
      <w:r w:rsidDel="00000000" w:rsidR="00000000" w:rsidRPr="00000000">
        <w:rPr>
          <w:rtl w:val="0"/>
        </w:rPr>
        <w:t xml:space="preserve">Cotič, L.P., Man, M.M.K., Soga, L.R., Konstantopoulou, A. and Lodorfos, G., 2025. Job characteristics for work engagement: autonomy, feedback, skill variety, task identity, and task significance. Global Business and Organizational Excellence, 44(5), pp.75-85.</w:t>
      </w:r>
    </w:p>
    <w:p w:rsidR="00000000" w:rsidDel="00000000" w:rsidP="00000000" w:rsidRDefault="00000000" w:rsidRPr="00000000" w14:paraId="00000089">
      <w:pPr>
        <w:rPr/>
      </w:pPr>
      <w:r w:rsidDel="00000000" w:rsidR="00000000" w:rsidRPr="00000000">
        <w:rPr>
          <w:rtl w:val="0"/>
        </w:rPr>
        <w:t xml:space="preserve">Durth, S., Gandhi, N., Komm, A. and Pollner, F., 2022. HR’s new operating model. McKinsey &amp; Company.</w:t>
      </w:r>
    </w:p>
    <w:p w:rsidR="00000000" w:rsidDel="00000000" w:rsidP="00000000" w:rsidRDefault="00000000" w:rsidRPr="00000000" w14:paraId="0000008A">
      <w:pPr>
        <w:rPr/>
      </w:pPr>
      <w:r w:rsidDel="00000000" w:rsidR="00000000" w:rsidRPr="00000000">
        <w:rPr>
          <w:rtl w:val="0"/>
        </w:rPr>
        <w:t xml:space="preserve">Frögéli, E., Jenner, B. and Gustavsson, P., 2023. Effectiveness of formal onboarding for facilitating organizational socialization: A systematic review. PloS one, 18(2), p.e0281823.</w:t>
      </w:r>
    </w:p>
    <w:p w:rsidR="00000000" w:rsidDel="00000000" w:rsidP="00000000" w:rsidRDefault="00000000" w:rsidRPr="00000000" w14:paraId="0000008B">
      <w:pPr>
        <w:rPr/>
      </w:pPr>
      <w:r w:rsidDel="00000000" w:rsidR="00000000" w:rsidRPr="00000000">
        <w:rPr>
          <w:rtl w:val="0"/>
        </w:rPr>
        <w:t xml:space="preserve">Godinho, T., Reis, I.P., Carvalho, R. and Martinho, F., 2023. Onboarding handbook: An indispensable tool for onboarding processes. Administrative sciences, 13(3), p.79.</w:t>
      </w:r>
    </w:p>
    <w:p w:rsidR="00000000" w:rsidDel="00000000" w:rsidP="00000000" w:rsidRDefault="00000000" w:rsidRPr="00000000" w14:paraId="0000008C">
      <w:pPr>
        <w:rPr/>
      </w:pPr>
      <w:r w:rsidDel="00000000" w:rsidR="00000000" w:rsidRPr="00000000">
        <w:rPr>
          <w:rtl w:val="0"/>
        </w:rPr>
        <w:t xml:space="preserve">Halid, H., Ravesangar, K., Mahadzir, S.L. and Halim, S.N.A., 2024. Artificial intelligence (AI) in human resource management (HRM). In </w:t>
      </w:r>
      <w:r w:rsidDel="00000000" w:rsidR="00000000" w:rsidRPr="00000000">
        <w:rPr>
          <w:i w:val="1"/>
          <w:iCs w:val="1"/>
          <w:rtl w:val="0"/>
        </w:rPr>
        <w:t xml:space="preserve">Building the future with human resource management</w:t>
      </w:r>
      <w:r w:rsidDel="00000000" w:rsidR="00000000" w:rsidRPr="00000000">
        <w:rPr>
          <w:rtl w:val="0"/>
        </w:rPr>
        <w:t xml:space="preserve"> (pp. 37-70). Cham: Springer International Publishing.</w:t>
      </w:r>
    </w:p>
    <w:p w:rsidR="00000000" w:rsidDel="00000000" w:rsidP="00000000" w:rsidRDefault="00000000" w:rsidRPr="00000000" w14:paraId="0000008D">
      <w:pPr>
        <w:rPr/>
      </w:pPr>
      <w:r w:rsidDel="00000000" w:rsidR="00000000" w:rsidRPr="00000000">
        <w:rPr>
          <w:rtl w:val="0"/>
        </w:rPr>
        <w:t xml:space="preserve">Holman, D., Escaffi</w:t>
      </w:r>
      <w:r w:rsidDel="00000000" w:rsidR="00000000" w:rsidRPr="00000000">
        <w:rPr>
          <w:rFonts w:ascii="Cambria Math" w:cs="Cambria Math" w:eastAsia="Cambria Math" w:hAnsi="Cambria Math"/>
          <w:rtl w:val="0"/>
        </w:rPr>
        <w:t xml:space="preserve">‐</w:t>
      </w:r>
      <w:r w:rsidDel="00000000" w:rsidR="00000000" w:rsidRPr="00000000">
        <w:rPr>
          <w:rtl w:val="0"/>
        </w:rPr>
        <w:t xml:space="preserve">Schwarz, M., Vasquez, C.A., Irmer, J.P. and Zapf, D., 2024. Does job crafting affect employee outcomes via job characteristics? A meta</w:t>
      </w:r>
      <w:r w:rsidDel="00000000" w:rsidR="00000000" w:rsidRPr="00000000">
        <w:rPr>
          <w:rFonts w:ascii="Cambria Math" w:cs="Cambria Math" w:eastAsia="Cambria Math" w:hAnsi="Cambria Math"/>
          <w:rtl w:val="0"/>
        </w:rPr>
        <w:t xml:space="preserve">‐</w:t>
      </w:r>
      <w:r w:rsidDel="00000000" w:rsidR="00000000" w:rsidRPr="00000000">
        <w:rPr>
          <w:rtl w:val="0"/>
        </w:rPr>
        <w:t xml:space="preserve">analytic test of a key job crafting mechanism. Journal of Occupational and Organizational Psychology, 97(1), pp.47-73.</w:t>
      </w:r>
    </w:p>
    <w:p w:rsidR="00000000" w:rsidDel="00000000" w:rsidP="00000000" w:rsidRDefault="00000000" w:rsidRPr="00000000" w14:paraId="0000008E">
      <w:pPr>
        <w:rPr/>
      </w:pPr>
      <w:r w:rsidDel="00000000" w:rsidR="00000000" w:rsidRPr="00000000">
        <w:rPr>
          <w:rtl w:val="0"/>
        </w:rPr>
        <w:t xml:space="preserve">Huang, X., Yang, F., Zheng, J., Feng, C. and Zhang, L., 2023. Personalized human resource management via HR analytics and artificial intelligence: Theory and implications. Asia Pacific Management Review, 28(4), pp.598-610.</w:t>
      </w:r>
    </w:p>
    <w:p w:rsidR="00000000" w:rsidDel="00000000" w:rsidP="00000000" w:rsidRDefault="00000000" w:rsidRPr="00000000" w14:paraId="0000008F">
      <w:pPr>
        <w:rPr/>
      </w:pPr>
      <w:r w:rsidDel="00000000" w:rsidR="00000000" w:rsidRPr="00000000">
        <w:rPr>
          <w:rtl w:val="0"/>
        </w:rPr>
        <w:t xml:space="preserve">Jeske, D. and Olson, D., 2022. Onboarding new hires: recognising mutual learning opportunities. Journal of Work-Applied Management, 14(1), pp.63-76.</w:t>
      </w:r>
    </w:p>
    <w:p w:rsidR="00000000" w:rsidDel="00000000" w:rsidP="00000000" w:rsidRDefault="00000000" w:rsidRPr="00000000" w14:paraId="00000090">
      <w:pPr>
        <w:rPr/>
      </w:pPr>
      <w:r w:rsidDel="00000000" w:rsidR="00000000" w:rsidRPr="00000000">
        <w:rPr>
          <w:rtl w:val="0"/>
        </w:rPr>
        <w:t xml:space="preserve">Li, F.F., 2025. The Rise of Ethical, Governance, and Trust-Oriented Roles in AI-Enabled Workplaces. Governance, and Trust-Oriented Roles in AI-Enabled Workplaces (December 15, 2025).</w:t>
      </w:r>
    </w:p>
    <w:p w:rsidR="00000000" w:rsidDel="00000000" w:rsidP="00000000" w:rsidRDefault="00000000" w:rsidRPr="00000000" w14:paraId="00000091">
      <w:pPr>
        <w:rPr/>
      </w:pPr>
      <w:r w:rsidDel="00000000" w:rsidR="00000000" w:rsidRPr="00000000">
        <w:rPr>
          <w:rtl w:val="0"/>
        </w:rPr>
        <w:t xml:space="preserve">Mattera Jr, W.J., 2022. Examining Factors Related to Employees' Perceived Value Congruence in a Newcomer Training Program. Louisiana State University and Agricultural &amp; Mechanical College.</w:t>
      </w:r>
    </w:p>
    <w:p w:rsidR="00000000" w:rsidDel="00000000" w:rsidP="00000000" w:rsidRDefault="00000000" w:rsidRPr="00000000" w14:paraId="00000092">
      <w:pPr>
        <w:rPr/>
      </w:pPr>
      <w:bookmarkStart w:colFirst="0" w:colLast="0" w:name="_heading=h.d7ztb4txjwoo" w:id="9"/>
      <w:bookmarkEnd w:id="9"/>
      <w:r w:rsidDel="00000000" w:rsidR="00000000" w:rsidRPr="00000000">
        <w:rPr>
          <w:rtl w:val="0"/>
        </w:rPr>
        <w:t xml:space="preserve">Mdhlalose, D., 2024. An Examination of Employee Rewards and Work Environment on Employee Creativity and Innovation. SEISENSE Journal of Management, 7(1).</w:t>
      </w:r>
    </w:p>
    <w:p w:rsidR="00000000" w:rsidDel="00000000" w:rsidP="00000000" w:rsidRDefault="00000000" w:rsidRPr="00000000" w14:paraId="00000093">
      <w:pPr>
        <w:rPr/>
      </w:pPr>
      <w:r w:rsidDel="00000000" w:rsidR="00000000" w:rsidRPr="00000000">
        <w:rPr>
          <w:rtl w:val="0"/>
        </w:rPr>
        <w:t xml:space="preserve">Nevala, S., 2025. How to improve the orientation process and workplace learning?.</w:t>
      </w:r>
    </w:p>
    <w:p w:rsidR="00000000" w:rsidDel="00000000" w:rsidP="00000000" w:rsidRDefault="00000000" w:rsidRPr="00000000" w14:paraId="00000094">
      <w:pPr>
        <w:rPr/>
      </w:pPr>
      <w:bookmarkStart w:colFirst="0" w:colLast="0" w:name="_heading=h.4ky5z5are5xd" w:id="10"/>
      <w:bookmarkEnd w:id="10"/>
      <w:r w:rsidDel="00000000" w:rsidR="00000000" w:rsidRPr="00000000">
        <w:rPr>
          <w:rtl w:val="0"/>
        </w:rPr>
        <w:t xml:space="preserve">Nili, F. and Tasavori, M., 2022. Linking an autonomy-supportive climate and employee creativity: the influence of intrinsic motivation and company support for creativity. European Business Review, 34(5), pp.666-688.</w:t>
      </w:r>
    </w:p>
    <w:p w:rsidR="00000000" w:rsidDel="00000000" w:rsidP="00000000" w:rsidRDefault="00000000" w:rsidRPr="00000000" w14:paraId="00000095">
      <w:pPr>
        <w:rPr/>
      </w:pPr>
      <w:r w:rsidDel="00000000" w:rsidR="00000000" w:rsidRPr="00000000">
        <w:rPr>
          <w:rtl w:val="0"/>
        </w:rPr>
        <w:t xml:space="preserve">Ozenc, K. and Hagan, M., 2019. Rituals for work: 50 ways to create engagement, shared purpose, and a culture that can adapt to change. John Wiley &amp; Sons.</w:t>
      </w:r>
    </w:p>
    <w:p w:rsidR="00000000" w:rsidDel="00000000" w:rsidP="00000000" w:rsidRDefault="00000000" w:rsidRPr="00000000" w14:paraId="00000096">
      <w:pPr>
        <w:rPr/>
      </w:pPr>
      <w:r w:rsidDel="00000000" w:rsidR="00000000" w:rsidRPr="00000000">
        <w:rPr>
          <w:rtl w:val="0"/>
        </w:rPr>
        <w:t xml:space="preserve">Pagano, K., 2025. </w:t>
      </w:r>
      <w:r w:rsidDel="00000000" w:rsidR="00000000" w:rsidRPr="00000000">
        <w:rPr>
          <w:i w:val="1"/>
          <w:iCs w:val="1"/>
          <w:rtl w:val="0"/>
        </w:rPr>
        <w:t xml:space="preserve">Building the Skills-Based Organization: A Blueprint for Transformation</w:t>
      </w:r>
      <w:r w:rsidDel="00000000" w:rsidR="00000000" w:rsidRPr="00000000">
        <w:rPr>
          <w:rtl w:val="0"/>
        </w:rPr>
        <w:t xml:space="preserve">. American Society for Training and Development.</w:t>
      </w:r>
    </w:p>
    <w:p w:rsidR="00000000" w:rsidDel="00000000" w:rsidP="00000000" w:rsidRDefault="00000000" w:rsidRPr="00000000" w14:paraId="00000097">
      <w:pPr>
        <w:rPr/>
      </w:pPr>
      <w:r w:rsidDel="00000000" w:rsidR="00000000" w:rsidRPr="00000000">
        <w:rPr>
          <w:rtl w:val="0"/>
        </w:rPr>
        <w:t xml:space="preserve">Rustiawan, I., Gadzali, S.S., Suharyat, Y., Iswadi, U. and Ausat, A.M.A., 2023. The strategic role of human resource management in achieving organisational goals. Innovative: Journal Of Social Science Research, 3(2), pp.632-642.</w:t>
      </w:r>
    </w:p>
    <w:p w:rsidR="00000000" w:rsidDel="00000000" w:rsidP="00000000" w:rsidRDefault="00000000" w:rsidRPr="00000000" w14:paraId="00000098">
      <w:pPr>
        <w:rPr/>
      </w:pPr>
      <w:r w:rsidDel="00000000" w:rsidR="00000000" w:rsidRPr="00000000">
        <w:rPr>
          <w:rtl w:val="0"/>
        </w:rPr>
        <w:t xml:space="preserve">Saa, I.L., 2023. Empowering career crafting in the future of work with data-driven tools (Doctoral dissertation, Massachusetts Institute of Technology).</w:t>
      </w:r>
    </w:p>
    <w:p w:rsidR="00000000" w:rsidDel="00000000" w:rsidP="00000000" w:rsidRDefault="00000000" w:rsidRPr="00000000" w14:paraId="00000099">
      <w:pPr>
        <w:rPr/>
      </w:pPr>
      <w:r w:rsidDel="00000000" w:rsidR="00000000" w:rsidRPr="00000000">
        <w:rPr>
          <w:rtl w:val="0"/>
        </w:rPr>
        <w:t xml:space="preserve">Sandeepanie, M.H.R., Gamage, P., Perera, G.D.N. and Sajeewani, T.L., 2023. The role of talent management and employee psychological contract on employer branding: a pragmatic conceptual model. Management Research Review, 46(2), pp.196-222.</w:t>
      </w:r>
    </w:p>
    <w:p w:rsidR="00000000" w:rsidDel="00000000" w:rsidP="00000000" w:rsidRDefault="00000000" w:rsidRPr="00000000" w14:paraId="0000009A">
      <w:pPr>
        <w:rPr/>
      </w:pPr>
      <w:r w:rsidDel="00000000" w:rsidR="00000000" w:rsidRPr="00000000">
        <w:rPr>
          <w:rtl w:val="0"/>
        </w:rPr>
        <w:t xml:space="preserve">Schaefer, S.D., Cunningham, P., Diehl, S. and Terlutter, R., 2024. Employees' positive perceptions of corporate social responsibility create beneficial outcomes for firms and their employees: Organizational pride as a mediator. Corporate Social Responsibility and Environmental Management, 31(3), pp.2574-2587.</w:t>
      </w:r>
    </w:p>
    <w:p w:rsidR="00000000" w:rsidDel="00000000" w:rsidP="00000000" w:rsidRDefault="00000000" w:rsidRPr="00000000" w14:paraId="0000009B">
      <w:pPr>
        <w:rPr/>
      </w:pPr>
      <w:r w:rsidDel="00000000" w:rsidR="00000000" w:rsidRPr="00000000">
        <w:rPr>
          <w:rtl w:val="0"/>
        </w:rPr>
        <w:t xml:space="preserve">Sekol, M., 2024. ESG mindset: Business resilience and sustainable growth. Kogan Page Publishers.</w:t>
      </w:r>
    </w:p>
    <w:p w:rsidR="00000000" w:rsidDel="00000000" w:rsidP="00000000" w:rsidRDefault="00000000" w:rsidRPr="00000000" w14:paraId="0000009C">
      <w:pPr>
        <w:rPr/>
      </w:pPr>
      <w:bookmarkStart w:colFirst="0" w:colLast="0" w:name="_heading=h.szkap0papzud" w:id="11"/>
      <w:bookmarkEnd w:id="11"/>
      <w:r w:rsidDel="00000000" w:rsidR="00000000" w:rsidRPr="00000000">
        <w:rPr>
          <w:rtl w:val="0"/>
        </w:rPr>
        <w:t xml:space="preserve">Xu, Z., Wang, H. and Suntrayuth, S., 2022. Organizational climate, innovation orientation, and innovative work behavior: the mediating role of psychological safety and intrinsic motivation. Discrete Dynamics in Nature and Society, 2022(1), p.9067136.</w:t>
      </w:r>
    </w:p>
    <w:sectPr>
      <w:footerReference r:id="rId10" w:type="default"/>
      <w:pgSz w:h="16838" w:w="11906" w:orient="portrait"/>
      <w:pgMar w:bottom="1440" w:top="1440" w:left="1440" w:right="1440" w:header="708" w:footer="708"/>
      <w:pgNumType w:start="1"/>
      <w:titlePg w:val="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nt w:name="Arial"/>
  <w:font w:name="Calibri"/>
  <w:font w:name="Cambria Math">
    <w:embedRegular w:fontKey="{00000000-0000-0000-0000-000000000000}" r:id="rId1" w:subsetted="0"/>
  </w:font>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p w:rsidR="00000000" w:rsidDel="00000000" w:rsidP="00000000" w:rsidRDefault="00000000" w:rsidRPr="00000000" w14:paraId="0000009D">
    <w:pPr>
      <w:pBdr>
        <w:top w:space="0" w:sz="0" w:val="nil"/>
        <w:left w:space="0" w:sz="0" w:val="nil"/>
        <w:bottom w:space="0" w:sz="0" w:val="nil"/>
        <w:right w:space="0" w:sz="0" w:val="nil"/>
        <w:between w:space="0" w:sz="0" w:val="nil"/>
      </w:pBdr>
      <w:tabs>
        <w:tab w:val="center" w:leader="none" w:pos="4513"/>
        <w:tab w:val="right" w:leader="none" w:pos="9026"/>
      </w:tabs>
      <w:spacing w:after="0" w:line="240" w:lineRule="auto"/>
      <w:jc w:val="right"/>
      <w:rPr>
        <w:color w:val="000000"/>
      </w:rPr>
    </w:pPr>
    <w:r w:rsidDel="00000000" w:rsidR="00000000" w:rsidRPr="00000000">
      <w:rPr>
        <w:color w:val="000000"/>
        <w:rtl w:val="0"/>
      </w:rPr>
      <w:t xml:space="preserve">Page | </w:t>
    </w:r>
    <w:r w:rsidDel="00000000" w:rsidR="00000000" w:rsidRPr="00000000">
      <w:rPr>
        <w:color w:val="000000"/>
      </w:rPr>
      <w:fldChar w:fldCharType="begin"/>
      <w:instrText xml:space="preserve">PAGE</w:instrText>
      <w:fldChar w:fldCharType="separate"/>
      <w:fldChar w:fldCharType="end"/>
    </w:r>
    <w:r w:rsidDel="00000000" w:rsidR="00000000" w:rsidRPr="00000000">
      <w:rPr>
        <w:color w:val="000000"/>
        <w:rtl w:val="0"/>
      </w:rPr>
      <w:t xml:space="preserve"> </w:t>
    </w:r>
  </w:p>
  <w:p w:rsidR="00000000" w:rsidDel="00000000" w:rsidP="00000000" w:rsidRDefault="00000000" w:rsidRPr="00000000" w14:paraId="0000009E">
    <w:pPr>
      <w:pBdr>
        <w:top w:space="0" w:sz="0" w:val="nil"/>
        <w:left w:space="0" w:sz="0" w:val="nil"/>
        <w:bottom w:space="0" w:sz="0" w:val="nil"/>
        <w:right w:space="0" w:sz="0" w:val="nil"/>
        <w:between w:space="0" w:sz="0" w:val="nil"/>
      </w:pBdr>
      <w:tabs>
        <w:tab w:val="center" w:leader="none" w:pos="4513"/>
        <w:tab w:val="right" w:leader="none" w:pos="9026"/>
      </w:tabs>
      <w:spacing w:after="0" w:line="240" w:lineRule="auto"/>
      <w:rPr>
        <w:color w:val="000000"/>
      </w:rPr>
    </w:pPr>
    <w:r w:rsidDel="00000000" w:rsidR="00000000" w:rsidRPr="00000000">
      <w:rPr>
        <w:rtl w:val="0"/>
      </w:rPr>
    </w:r>
  </w:p>
</w:ft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embedTrueTypeFonts w:val="1"/>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ocDefaults>
    <w:rPrDefault>
      <w:rPr>
        <w:rFonts w:ascii="Arial" w:cs="Arial" w:eastAsia="Arial" w:hAnsi="Arial"/>
        <w:sz w:val="24"/>
        <w:szCs w:val="24"/>
        <w:lang w:val="en_GB"/>
      </w:rPr>
    </w:rPrDefault>
    <w:pPrDefault>
      <w:pPr>
        <w:spacing w:after="160" w:line="360" w:lineRule="auto"/>
        <w:jc w:val="both"/>
      </w:pPr>
    </w:pPrDefault>
  </w:docDefaults>
  <w:style w:type="table" w:styleId="TableNormal" w:default="1">
    <w:name w:val="TableNormal"/>
    <w:tblPr>
      <w:tblCellMar>
        <w:top w:w="100.0" w:type="dxa"/>
        <w:left w:w="100.0" w:type="dxa"/>
        <w:bottom w:w="100.0" w:type="dxa"/>
        <w:right w:w="100.0" w:type="dxa"/>
      </w:tblCellMar>
    </w:tblPr>
  </w:style>
  <w:style w:type="paragraph" w:styleId="Normal" w:default="1">
    <w:name w:val="normal"/>
  </w:style>
  <w:style w:type="paragraph" w:styleId="Heading1">
    <w:name w:val="heading 1"/>
    <w:basedOn w:val="Normal"/>
    <w:next w:val="Normal"/>
    <w:pPr>
      <w:keepNext w:val="1"/>
      <w:keepLines w:val="1"/>
      <w:spacing w:after="0" w:before="240" w:lineRule="auto"/>
    </w:pPr>
    <w:rPr>
      <w:b w:val="1"/>
      <w:bCs w:val="1"/>
    </w:rPr>
  </w:style>
  <w:style w:type="paragraph" w:styleId="Heading2">
    <w:name w:val="heading 2"/>
    <w:basedOn w:val="Normal"/>
    <w:next w:val="Normal"/>
    <w:pPr>
      <w:keepNext w:val="1"/>
      <w:keepLines w:val="1"/>
      <w:spacing w:after="80" w:before="160" w:lineRule="auto"/>
    </w:pPr>
    <w:rPr>
      <w:rFonts w:ascii="Calibri" w:cs="Calibri" w:eastAsia="Calibri" w:hAnsi="Calibri"/>
      <w:color w:val="2f5496"/>
      <w:sz w:val="32"/>
      <w:szCs w:val="32"/>
    </w:rPr>
  </w:style>
  <w:style w:type="paragraph" w:styleId="Heading3">
    <w:name w:val="heading 3"/>
    <w:basedOn w:val="Normal"/>
    <w:next w:val="Normal"/>
    <w:pPr>
      <w:keepNext w:val="1"/>
      <w:keepLines w:val="1"/>
      <w:spacing w:after="80" w:before="160" w:lineRule="auto"/>
    </w:pPr>
    <w:rPr>
      <w:rFonts w:ascii="Calibri" w:cs="Calibri" w:eastAsia="Calibri" w:hAnsi="Calibri"/>
      <w:color w:val="2f5496"/>
      <w:sz w:val="28"/>
      <w:szCs w:val="28"/>
    </w:rPr>
  </w:style>
  <w:style w:type="paragraph" w:styleId="Heading4">
    <w:name w:val="heading 4"/>
    <w:basedOn w:val="Normal"/>
    <w:next w:val="Normal"/>
    <w:pPr>
      <w:keepNext w:val="1"/>
      <w:keepLines w:val="1"/>
      <w:spacing w:after="40" w:before="80" w:lineRule="auto"/>
    </w:pPr>
    <w:rPr>
      <w:rFonts w:ascii="Calibri" w:cs="Calibri" w:eastAsia="Calibri" w:hAnsi="Calibri"/>
      <w:i w:val="1"/>
      <w:iCs w:val="1"/>
      <w:color w:val="2f5496"/>
    </w:rPr>
  </w:style>
  <w:style w:type="paragraph" w:styleId="Heading5">
    <w:name w:val="heading 5"/>
    <w:basedOn w:val="Normal"/>
    <w:next w:val="Normal"/>
    <w:pPr>
      <w:keepNext w:val="1"/>
      <w:keepLines w:val="1"/>
      <w:spacing w:after="40" w:before="80" w:lineRule="auto"/>
    </w:pPr>
    <w:rPr>
      <w:rFonts w:ascii="Calibri" w:cs="Calibri" w:eastAsia="Calibri" w:hAnsi="Calibri"/>
      <w:color w:val="2f5496"/>
    </w:rPr>
  </w:style>
  <w:style w:type="paragraph" w:styleId="Heading6">
    <w:name w:val="heading 6"/>
    <w:basedOn w:val="Normal"/>
    <w:next w:val="Normal"/>
    <w:pPr>
      <w:keepNext w:val="1"/>
      <w:keepLines w:val="1"/>
      <w:spacing w:after="0" w:before="40" w:lineRule="auto"/>
    </w:pPr>
    <w:rPr>
      <w:rFonts w:ascii="Calibri" w:cs="Calibri" w:eastAsia="Calibri" w:hAnsi="Calibri"/>
      <w:i w:val="1"/>
      <w:iCs w:val="1"/>
      <w:color w:val="595959"/>
    </w:rPr>
  </w:style>
  <w:style w:type="paragraph" w:styleId="Title">
    <w:name w:val="Title"/>
    <w:basedOn w:val="Normal"/>
    <w:next w:val="Normal"/>
    <w:pPr>
      <w:spacing w:after="80" w:line="240" w:lineRule="auto"/>
    </w:pPr>
    <w:rPr>
      <w:rFonts w:ascii="Calibri" w:cs="Calibri" w:eastAsia="Calibri" w:hAnsi="Calibri"/>
      <w:sz w:val="56"/>
      <w:szCs w:val="56"/>
    </w:rPr>
  </w:style>
  <w:style w:type="paragraph" w:styleId="Subtitle">
    <w:name w:val="Subtitle"/>
    <w:basedOn w:val="Normal"/>
    <w:next w:val="Normal"/>
    <w:pPr/>
    <w:rPr>
      <w:rFonts w:ascii="Calibri" w:cs="Calibri" w:eastAsia="Calibri" w:hAnsi="Calibri"/>
      <w:color w:val="595959"/>
      <w:sz w:val="28"/>
      <w:szCs w:val="28"/>
    </w:rPr>
  </w:style>
  <w:style w:type="table" w:styleId="Table1">
    <w:basedOn w:val="TableNormal"/>
    <w:pPr>
      <w:spacing w:after="0" w:line="240" w:lineRule="auto"/>
    </w:pPr>
    <w:tblPr>
      <w:tblStyleRowBandSize w:val="1"/>
      <w:tblStyleColBandSize w:val="1"/>
      <w:tblCellMar>
        <w:top w:w="0.0" w:type="dxa"/>
        <w:left w:w="108.0" w:type="dxa"/>
        <w:bottom w:w="0.0" w:type="dxa"/>
        <w:right w:w="108.0" w:type="dxa"/>
      </w:tblCellMar>
    </w:tblPr>
    <w:tblStylePr w:type="band1Horz">
      <w:tcPr>
        <w:shd w:fill="f2f2f2" w:val="clear"/>
      </w:tcPr>
    </w:tblStylePr>
    <w:tblStylePr w:type="band1Vert">
      <w:tcPr>
        <w:shd w:fill="f2f2f2" w:val="clear"/>
      </w:tcPr>
    </w:tblStylePr>
    <w:tblStylePr w:type="firstCol">
      <w:rPr>
        <w:b w:val="1"/>
        <w:bCs w:val="1"/>
      </w:rPr>
    </w:tblStylePr>
    <w:tblStylePr w:type="firstRow">
      <w:rPr>
        <w:b w:val="1"/>
        <w:bCs w:val="1"/>
      </w:rPr>
    </w:tblStylePr>
    <w:tblStylePr w:type="lastCol">
      <w:rPr>
        <w:b w:val="1"/>
        <w:bCs w:val="1"/>
      </w:rPr>
    </w:tblStylePr>
    <w:tblStylePr w:type="lastRow">
      <w:rPr>
        <w:b w:val="1"/>
        <w:bCs w:val="1"/>
      </w:rPr>
    </w:tblStylePr>
  </w:style>
  <w:style w:type="table" w:styleId="Table2">
    <w:basedOn w:val="TableNormal"/>
    <w:pPr>
      <w:spacing w:after="0" w:line="240" w:lineRule="auto"/>
    </w:pPr>
    <w:tblPr>
      <w:tblStyleRowBandSize w:val="1"/>
      <w:tblStyleColBandSize w:val="1"/>
      <w:tblCellMar>
        <w:top w:w="0.0" w:type="dxa"/>
        <w:left w:w="108.0" w:type="dxa"/>
        <w:bottom w:w="0.0" w:type="dxa"/>
        <w:right w:w="108.0" w:type="dxa"/>
      </w:tblCellMar>
    </w:tblPr>
    <w:tblStylePr w:type="band1Horz">
      <w:tcPr>
        <w:shd w:fill="f2f2f2" w:val="clear"/>
      </w:tcPr>
    </w:tblStylePr>
    <w:tblStylePr w:type="band1Vert">
      <w:tcPr>
        <w:shd w:fill="f2f2f2" w:val="clear"/>
      </w:tcPr>
    </w:tblStylePr>
    <w:tblStylePr w:type="firstCol">
      <w:pPr>
        <w:jc w:val="right"/>
      </w:pPr>
      <w:rPr>
        <w:rFonts w:ascii="Calibri" w:cs="Calibri" w:eastAsia="Calibri" w:hAnsi="Calibri"/>
        <w:i w:val="1"/>
        <w:iCs w:val="1"/>
        <w:sz w:val="26"/>
        <w:szCs w:val="26"/>
      </w:rPr>
      <w:tcPr>
        <w:tcBorders>
          <w:right w:color="7f7f7f" w:space="0" w:sz="4" w:val="single"/>
        </w:tcBorders>
        <w:shd w:fill="ffffff" w:val="clear"/>
      </w:tcPr>
    </w:tblStylePr>
    <w:tblStylePr w:type="firstRow">
      <w:rPr>
        <w:rFonts w:ascii="Calibri" w:cs="Calibri" w:eastAsia="Calibri" w:hAnsi="Calibri"/>
        <w:i w:val="1"/>
        <w:iCs w:val="1"/>
        <w:sz w:val="26"/>
        <w:szCs w:val="26"/>
      </w:rPr>
      <w:tcPr>
        <w:tcBorders>
          <w:bottom w:color="7f7f7f" w:space="0" w:sz="4" w:val="single"/>
        </w:tcBorders>
        <w:shd w:fill="ffffff" w:val="clear"/>
      </w:tcPr>
    </w:tblStylePr>
    <w:tblStylePr w:type="lastCol">
      <w:rPr>
        <w:rFonts w:ascii="Calibri" w:cs="Calibri" w:eastAsia="Calibri" w:hAnsi="Calibri"/>
        <w:i w:val="1"/>
        <w:iCs w:val="1"/>
        <w:sz w:val="26"/>
        <w:szCs w:val="26"/>
      </w:rPr>
      <w:tcPr>
        <w:tcBorders>
          <w:left w:color="7f7f7f" w:space="0" w:sz="4" w:val="single"/>
        </w:tcBorders>
        <w:shd w:fill="ffffff" w:val="clear"/>
      </w:tcPr>
    </w:tblStylePr>
    <w:tblStylePr w:type="lastRow">
      <w:rPr>
        <w:rFonts w:ascii="Calibri" w:cs="Calibri" w:eastAsia="Calibri" w:hAnsi="Calibri"/>
        <w:i w:val="1"/>
        <w:iCs w:val="1"/>
        <w:sz w:val="26"/>
        <w:szCs w:val="26"/>
      </w:rPr>
      <w:tcPr>
        <w:tcBorders>
          <w:top w:color="7f7f7f" w:space="0" w:sz="4" w:val="single"/>
        </w:tcBorders>
        <w:shd w:fill="ffffff" w:val="clear"/>
      </w:tcPr>
    </w:tblStylePr>
    <w:tblStylePr w:type="neCell">
      <w:tcPr>
        <w:tcBorders>
          <w:left w:color="000000" w:space="0" w:sz="0" w:val="nil"/>
        </w:tcBorders>
      </w:tcPr>
    </w:tblStylePr>
    <w:tblStylePr w:type="nwCell">
      <w:tcPr>
        <w:tcBorders>
          <w:right w:color="000000" w:space="0" w:sz="0" w:val="nil"/>
        </w:tcBorders>
      </w:tcPr>
    </w:tblStylePr>
    <w:tblStylePr w:type="seCell">
      <w:tcPr>
        <w:tcBorders>
          <w:left w:color="000000" w:space="0" w:sz="0" w:val="nil"/>
        </w:tcBorders>
      </w:tcPr>
    </w:tblStylePr>
    <w:tblStylePr w:type="swCell">
      <w:tcPr>
        <w:tcBorders>
          <w:right w:color="000000" w:space="0" w:sz="0" w:val="nil"/>
        </w:tcBorders>
      </w:tcPr>
    </w:tblStyle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10" Type="http://schemas.openxmlformats.org/officeDocument/2006/relationships/footer" Target="footer1.xml"/><Relationship Id="rId9" Type="http://schemas.openxmlformats.org/officeDocument/2006/relationships/image" Target="media/image2.png"/><Relationship Id="rId5" Type="http://schemas.openxmlformats.org/officeDocument/2006/relationships/styles" Target="styles.xml"/><Relationship Id="rId6" Type="http://schemas.openxmlformats.org/officeDocument/2006/relationships/customXml" Target="../customXML/item1.xml"/><Relationship Id="rId7" Type="http://schemas.openxmlformats.org/officeDocument/2006/relationships/image" Target="media/image3.png"/><Relationship Id="rId8" Type="http://schemas.openxmlformats.org/officeDocument/2006/relationships/image" Target="media/image1.png"/></Relationships>
</file>

<file path=word/_rels/fontTable.xml.rels><?xml version="1.0" encoding="UTF-8" standalone="yes"?><Relationships xmlns="http://schemas.openxmlformats.org/package/2006/relationships"><Relationship Id="rId1" Type="http://schemas.openxmlformats.org/officeDocument/2006/relationships/font" Target="fonts/CambriaMath-regular.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jzjch3LjPutBv1kyVLxHLDVNKFJA==">CgMxLjAyDmgud2JmN3NncnNtMWg1Mg5oLjR6eTVyYmRiNDhwYTIOaC5jYnNzMmJ3ajV6YzIyDmgubGxqa3BuOXh3Zzg0Mg5oLjF6enYwamxmZHprczIOaC53YXNobHpka2d5eW0yDmguYmU4ODl1YTV3Nm96Mg5oLjIzd2xoeHBzbzBtNTIOaC5seHhoZWZ5cGhuejUyDmguZDd6dGI0dHhqd29vMg5oLjRreTV6NWFyZTV4ZDIOaC5zemthcDBwYXB6dWQ4AHIhMXhHeUJPZHRJUm5CbGhLSTh5VzZmY3MyWVBNMlptOENZ</go:docsCustomData>
</go:gDocsCustomXmlDataStorage>
</file>

<file path=customXML/itemProps1.xml><?xml version="1.0" encoding="utf-8"?>
<ds:datastoreItem xmlns:ds="http://schemas.openxmlformats.org/officeDocument/2006/customXml" ds:itemID="{11111111-1234-1234-1234-123412341234}">
  <ds:schemaRefs>
    <ds:schemaRef ds:uri="http://schemas.openxmlformats.org/officeDocument/2006/relationships"/>
    <ds:schemaRef ds:uri="http://customooxmlschemas.google.com/"/>
  </ds:schemaRefs>
</ds:datastoreItem>
</file>