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olor w:val="156082" w:themeColor="accent1"/>
          <w:lang w:val="en-GB"/>
        </w:rPr>
        <w:id w:val="47973837"/>
        <w:docPartObj>
          <w:docPartGallery w:val="Cover Pages"/>
          <w:docPartUnique/>
        </w:docPartObj>
      </w:sdtPr>
      <w:sdtEndPr>
        <w:rPr>
          <w:sz w:val="40"/>
          <w:szCs w:val="40"/>
          <w:lang w:eastAsia="en-GB"/>
        </w:rPr>
      </w:sdtEndPr>
      <w:sdtContent>
        <w:p w14:paraId="0A1B62F3" w14:textId="2DC1DE00" w:rsidR="009759C0" w:rsidRPr="00CD02F5" w:rsidRDefault="009759C0">
          <w:pPr>
            <w:pStyle w:val="NoSpacing"/>
            <w:spacing w:before="1540" w:after="240"/>
            <w:jc w:val="center"/>
            <w:rPr>
              <w:rFonts w:ascii="Arial" w:hAnsi="Arial" w:cs="Arial"/>
              <w:color w:val="156082" w:themeColor="accent1"/>
            </w:rPr>
          </w:pPr>
          <w:r>
            <w:rPr>
              <w:noProof/>
              <w:color w:val="156082" w:themeColor="accent1"/>
            </w:rPr>
            <w:drawing>
              <wp:inline distT="0" distB="0" distL="0" distR="0" wp14:anchorId="537229CC" wp14:editId="5DBA607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0F4761" w:themeColor="accent1" w:themeShade="BF"/>
              <w:sz w:val="52"/>
              <w:szCs w:val="52"/>
            </w:rPr>
            <w:alias w:val="Title"/>
            <w:tag w:val=""/>
            <w:id w:val="1735040861"/>
            <w:placeholder>
              <w:docPart w:val="C03D50AED19C4A519AC629107FC826AC"/>
            </w:placeholder>
            <w:dataBinding w:prefixMappings="xmlns:ns0='http://purl.org/dc/elements/1.1/' xmlns:ns1='http://schemas.openxmlformats.org/package/2006/metadata/core-properties' " w:xpath="/ns1:coreProperties[1]/ns0:title[1]" w:storeItemID="{6C3C8BC8-F283-45AE-878A-BAB7291924A1}"/>
            <w:text/>
          </w:sdtPr>
          <w:sdtEndPr/>
          <w:sdtContent>
            <w:p w14:paraId="0CE6C4BE" w14:textId="46B626E3" w:rsidR="009759C0" w:rsidRPr="001F13C6" w:rsidRDefault="001F13C6" w:rsidP="001F13C6">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0F4761" w:themeColor="accent1" w:themeShade="BF"/>
                  <w:sz w:val="52"/>
                  <w:szCs w:val="52"/>
                </w:rPr>
              </w:pPr>
              <w:r w:rsidRPr="001F13C6">
                <w:rPr>
                  <w:rFonts w:ascii="Arial" w:hAnsi="Arial" w:cs="Arial"/>
                  <w:color w:val="0F4761" w:themeColor="accent1" w:themeShade="BF"/>
                  <w:sz w:val="52"/>
                  <w:szCs w:val="52"/>
                </w:rPr>
                <w:t>Strategic Analysis and Future Growth Strategy for Sutton Housing Partnership as a Public–SME Housing Provider</w:t>
              </w:r>
            </w:p>
          </w:sdtContent>
        </w:sdt>
        <w:p w14:paraId="66883BAD" w14:textId="20332394" w:rsidR="000F0918" w:rsidRPr="00411820" w:rsidRDefault="009759C0" w:rsidP="00411820">
          <w:pPr>
            <w:pStyle w:val="NoSpacing"/>
            <w:spacing w:before="480"/>
            <w:jc w:val="center"/>
            <w:rPr>
              <w:rFonts w:ascii="Arial" w:hAnsi="Arial" w:cs="Arial"/>
              <w:color w:val="156082" w:themeColor="accent1"/>
              <w:szCs w:val="22"/>
            </w:rPr>
          </w:pPr>
          <w:r>
            <w:rPr>
              <w:noProof/>
              <w:color w:val="156082" w:themeColor="accent1"/>
            </w:rPr>
            <w:drawing>
              <wp:inline distT="0" distB="0" distL="0" distR="0" wp14:anchorId="010C8253" wp14:editId="495EC1F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9E542E" w14:textId="55B970E2" w:rsidR="000F0918" w:rsidRPr="00941F77" w:rsidRDefault="000F0918" w:rsidP="00941F77">
          <w:pPr>
            <w:jc w:val="left"/>
            <w:rPr>
              <w:rFonts w:cs="Arial"/>
              <w:color w:val="0F4761" w:themeColor="accent1" w:themeShade="BF"/>
              <w:sz w:val="32"/>
              <w:szCs w:val="32"/>
            </w:rPr>
          </w:pPr>
          <w:r w:rsidRPr="00941F77">
            <w:rPr>
              <w:rFonts w:cs="Arial"/>
              <w:color w:val="0F4761" w:themeColor="accent1" w:themeShade="BF"/>
              <w:sz w:val="32"/>
              <w:szCs w:val="32"/>
              <w:lang w:eastAsia="en-GB"/>
            </w:rPr>
            <w:t xml:space="preserve">Module: </w:t>
          </w:r>
          <w:r w:rsidR="0006495A" w:rsidRPr="00941F77">
            <w:rPr>
              <w:rFonts w:cs="Arial"/>
              <w:color w:val="0F4761" w:themeColor="accent1" w:themeShade="BF"/>
              <w:sz w:val="32"/>
              <w:szCs w:val="32"/>
            </w:rPr>
            <w:t>Strategic Management for Business</w:t>
          </w:r>
        </w:p>
        <w:p w14:paraId="041069AB" w14:textId="2A3D7B98" w:rsidR="000F0918" w:rsidRPr="00941F77" w:rsidRDefault="000F0918" w:rsidP="00941F77">
          <w:pPr>
            <w:jc w:val="left"/>
            <w:rPr>
              <w:rFonts w:cs="Arial"/>
              <w:color w:val="0F4761" w:themeColor="accent1" w:themeShade="BF"/>
              <w:sz w:val="32"/>
              <w:szCs w:val="32"/>
              <w:lang w:eastAsia="en-GB"/>
            </w:rPr>
          </w:pPr>
          <w:r w:rsidRPr="00941F77">
            <w:rPr>
              <w:rFonts w:cs="Arial"/>
              <w:color w:val="0F4761" w:themeColor="accent1" w:themeShade="BF"/>
              <w:sz w:val="32"/>
              <w:szCs w:val="32"/>
            </w:rPr>
            <w:t xml:space="preserve">Module code: </w:t>
          </w:r>
          <w:r w:rsidR="007613EC" w:rsidRPr="00941F77">
            <w:rPr>
              <w:rFonts w:cs="Arial"/>
              <w:color w:val="0F4761" w:themeColor="accent1" w:themeShade="BF"/>
              <w:sz w:val="32"/>
              <w:szCs w:val="32"/>
            </w:rPr>
            <w:t>LCLM 6001</w:t>
          </w:r>
        </w:p>
        <w:p w14:paraId="04B26977" w14:textId="77777777" w:rsidR="000F0918" w:rsidRPr="00941F77" w:rsidRDefault="000F0918" w:rsidP="00941F77">
          <w:pPr>
            <w:jc w:val="left"/>
            <w:rPr>
              <w:rFonts w:cs="Arial"/>
              <w:color w:val="0F4761" w:themeColor="accent1" w:themeShade="BF"/>
              <w:sz w:val="32"/>
              <w:szCs w:val="32"/>
              <w:lang w:val="nl-NL" w:eastAsia="en-GB"/>
            </w:rPr>
          </w:pPr>
          <w:r w:rsidRPr="00941F77">
            <w:rPr>
              <w:rFonts w:cs="Arial"/>
              <w:color w:val="0F4761" w:themeColor="accent1" w:themeShade="BF"/>
              <w:sz w:val="32"/>
              <w:szCs w:val="32"/>
              <w:lang w:val="nl-NL" w:eastAsia="en-GB"/>
            </w:rPr>
            <w:t>Student: Dijana Sklancec</w:t>
          </w:r>
        </w:p>
        <w:p w14:paraId="4B84B161" w14:textId="77777777" w:rsidR="000F0918" w:rsidRPr="00941F77" w:rsidRDefault="000F0918" w:rsidP="00941F77">
          <w:pPr>
            <w:jc w:val="left"/>
            <w:rPr>
              <w:rFonts w:eastAsia="Times New Roman" w:cs="Arial"/>
              <w:color w:val="0F4761" w:themeColor="accent1" w:themeShade="BF"/>
              <w:kern w:val="0"/>
              <w:sz w:val="32"/>
              <w:szCs w:val="32"/>
              <w:lang w:val="nl-NL" w:eastAsia="en-GB"/>
              <w14:ligatures w14:val="none"/>
            </w:rPr>
          </w:pPr>
          <w:r w:rsidRPr="00941F77">
            <w:rPr>
              <w:rFonts w:cs="Arial"/>
              <w:color w:val="0F4761" w:themeColor="accent1" w:themeShade="BF"/>
              <w:sz w:val="32"/>
              <w:szCs w:val="32"/>
              <w:lang w:val="nl-NL" w:eastAsia="en-GB"/>
            </w:rPr>
            <w:t xml:space="preserve">Student ID: </w:t>
          </w:r>
          <w:r w:rsidRPr="00941F77">
            <w:rPr>
              <w:rFonts w:eastAsia="Times New Roman" w:cs="Arial"/>
              <w:color w:val="0F4761" w:themeColor="accent1" w:themeShade="BF"/>
              <w:kern w:val="0"/>
              <w:sz w:val="32"/>
              <w:szCs w:val="32"/>
              <w:lang w:val="nl-NL" w:eastAsia="en-GB"/>
              <w14:ligatures w14:val="none"/>
            </w:rPr>
            <w:t>2314272</w:t>
          </w:r>
        </w:p>
        <w:p w14:paraId="3C95A417" w14:textId="16755BC6" w:rsidR="000F0918" w:rsidRPr="00941F77" w:rsidRDefault="000F0918" w:rsidP="00941F77">
          <w:pPr>
            <w:jc w:val="left"/>
            <w:rPr>
              <w:rFonts w:eastAsia="Times New Roman" w:cs="Arial"/>
              <w:color w:val="0F4761" w:themeColor="accent1" w:themeShade="BF"/>
              <w:kern w:val="0"/>
              <w:sz w:val="32"/>
              <w:szCs w:val="32"/>
              <w:lang w:eastAsia="en-GB"/>
              <w14:ligatures w14:val="none"/>
            </w:rPr>
          </w:pPr>
          <w:r w:rsidRPr="00941F77">
            <w:rPr>
              <w:rFonts w:eastAsia="Times New Roman" w:cs="Arial"/>
              <w:color w:val="0F4761" w:themeColor="accent1" w:themeShade="BF"/>
              <w:kern w:val="0"/>
              <w:sz w:val="32"/>
              <w:szCs w:val="32"/>
              <w:lang w:eastAsia="en-GB"/>
              <w14:ligatures w14:val="none"/>
            </w:rPr>
            <w:t xml:space="preserve">Lecturer: </w:t>
          </w:r>
          <w:r w:rsidR="0086483E" w:rsidRPr="00941F77">
            <w:rPr>
              <w:rFonts w:cs="Arial"/>
              <w:color w:val="0F4761" w:themeColor="accent1" w:themeShade="BF"/>
              <w:sz w:val="32"/>
              <w:szCs w:val="32"/>
              <w:shd w:val="clear" w:color="auto" w:fill="FFFFFF"/>
            </w:rPr>
            <w:t> Faizu Edu</w:t>
          </w:r>
        </w:p>
        <w:p w14:paraId="53C4D5A1" w14:textId="4ED080F0" w:rsidR="000F0918" w:rsidRPr="00411820" w:rsidRDefault="000F0918" w:rsidP="00941F77">
          <w:pPr>
            <w:jc w:val="left"/>
            <w:rPr>
              <w:rFonts w:cs="Arial"/>
              <w:sz w:val="32"/>
              <w:szCs w:val="32"/>
              <w:lang w:eastAsia="en-GB"/>
            </w:rPr>
            <w:sectPr w:rsidR="000F0918" w:rsidRPr="00411820" w:rsidSect="007B17FE">
              <w:footerReference w:type="default" r:id="rId10"/>
              <w:pgSz w:w="11906" w:h="16838"/>
              <w:pgMar w:top="1440" w:right="1440" w:bottom="1440" w:left="1440" w:header="708" w:footer="708" w:gutter="0"/>
              <w:pgNumType w:start="0"/>
              <w:cols w:space="708"/>
              <w:titlePg/>
              <w:docGrid w:linePitch="360"/>
            </w:sectPr>
          </w:pPr>
          <w:r w:rsidRPr="00941F77">
            <w:rPr>
              <w:rFonts w:eastAsia="Times New Roman" w:cs="Arial"/>
              <w:color w:val="0F4761" w:themeColor="accent1" w:themeShade="BF"/>
              <w:kern w:val="0"/>
              <w:sz w:val="32"/>
              <w:szCs w:val="32"/>
              <w:lang w:eastAsia="en-GB"/>
              <w14:ligatures w14:val="none"/>
            </w:rPr>
            <w:t>Submission deadline:</w:t>
          </w:r>
          <w:r w:rsidR="00737CCB" w:rsidRPr="00941F77">
            <w:rPr>
              <w:rFonts w:eastAsia="Times New Roman" w:cs="Arial"/>
              <w:color w:val="0F4761" w:themeColor="accent1" w:themeShade="BF"/>
              <w:sz w:val="32"/>
              <w:szCs w:val="32"/>
              <w:lang w:eastAsia="en-GB"/>
            </w:rPr>
            <w:t xml:space="preserve"> </w:t>
          </w:r>
          <w:r w:rsidR="00737CCB" w:rsidRPr="00941F77">
            <w:rPr>
              <w:rFonts w:cs="Arial"/>
              <w:color w:val="0F4761" w:themeColor="accent1" w:themeShade="BF"/>
              <w:sz w:val="32"/>
              <w:szCs w:val="32"/>
            </w:rPr>
            <w:t>19th December 20</w:t>
          </w:r>
        </w:p>
        <w:p w14:paraId="3657F5F8" w14:textId="6930A68E" w:rsidR="0067761F" w:rsidRPr="00BD7F7F" w:rsidRDefault="0067761F" w:rsidP="0067761F">
          <w:pPr>
            <w:rPr>
              <w:color w:val="156082" w:themeColor="accent1"/>
              <w:sz w:val="40"/>
              <w:szCs w:val="40"/>
              <w:lang w:eastAsia="en-GB"/>
            </w:rPr>
          </w:pPr>
          <w:r w:rsidRPr="00F473E2">
            <w:rPr>
              <w:color w:val="0F4761" w:themeColor="accent1" w:themeShade="BF"/>
              <w:sz w:val="40"/>
              <w:szCs w:val="40"/>
              <w:lang w:eastAsia="en-GB"/>
            </w:rPr>
            <w:lastRenderedPageBreak/>
            <w:t>Executive Summary</w:t>
          </w:r>
        </w:p>
      </w:sdtContent>
    </w:sdt>
    <w:p w14:paraId="3527BA25" w14:textId="3E841EA2" w:rsidR="00D964C3" w:rsidRPr="00D964C3" w:rsidRDefault="00D964C3" w:rsidP="00D964C3">
      <w:pPr>
        <w:pStyle w:val="NormalWeb"/>
        <w:spacing w:line="360" w:lineRule="auto"/>
        <w:jc w:val="both"/>
        <w:rPr>
          <w:rFonts w:ascii="Arial" w:hAnsi="Arial" w:cs="Arial"/>
          <w:i w:val="0"/>
          <w:iCs w:val="0"/>
          <w:sz w:val="22"/>
          <w:szCs w:val="22"/>
        </w:rPr>
      </w:pPr>
      <w:r w:rsidRPr="00D964C3">
        <w:rPr>
          <w:rFonts w:ascii="Arial" w:hAnsi="Arial" w:cs="Arial"/>
          <w:i w:val="0"/>
          <w:iCs w:val="0"/>
          <w:sz w:val="22"/>
          <w:szCs w:val="22"/>
        </w:rPr>
        <w:t>This report evaluates the strategic direction of Sutton Housing Partnership (SHP), an ALMO operating in the UK social housing sector, with SME-like constraints of scale, workforce capacity, and limited capital. The analysis employs PESTEL, SWOT, Porter’s Five Forces, Value Chain, Ansoff Matrix, Porter’s Generic Strategies, Bowman’s Strategic Clock, and Mendelow’s stakeholder mapping to assess internal capabilities, external pressures, and competitive positioning.</w:t>
      </w:r>
    </w:p>
    <w:p w14:paraId="501CF3FC" w14:textId="77777777" w:rsidR="00D964C3" w:rsidRPr="00D964C3" w:rsidRDefault="00D964C3" w:rsidP="00D964C3">
      <w:pPr>
        <w:rPr>
          <w:rFonts w:eastAsia="Times New Roman" w:cs="Arial"/>
          <w:szCs w:val="22"/>
          <w:lang w:eastAsia="en-GB"/>
        </w:rPr>
      </w:pPr>
      <w:r w:rsidRPr="00D964C3">
        <w:rPr>
          <w:rFonts w:eastAsia="Times New Roman" w:cs="Arial"/>
          <w:szCs w:val="22"/>
          <w:lang w:eastAsia="en-GB"/>
        </w:rPr>
        <w:t>The environmental scan highlights regulatory pressures, rising tenant expectations, decarbonisation mandates, and digital transformation needs. SHP’s internal strengths include resident-centred engagement, emerging digital capabilities, and strong partnership with the London Borough of Sutton (LBS). Weaknesses include ageing housing stock, repair backlogs, limited technical capacity, and fragmented digital systems. Competitive analysis indicates high tenant influence, moderate supplier power, and quality-driven differentiation opportunities.</w:t>
      </w:r>
    </w:p>
    <w:p w14:paraId="01C8DC86" w14:textId="4F31854F" w:rsidR="00D964C3" w:rsidRPr="00D964C3" w:rsidRDefault="00D964C3" w:rsidP="00D964C3">
      <w:pPr>
        <w:rPr>
          <w:rFonts w:eastAsia="Times New Roman" w:cs="Arial"/>
          <w:szCs w:val="22"/>
          <w:lang w:eastAsia="en-GB"/>
        </w:rPr>
      </w:pPr>
      <w:r w:rsidRPr="00D964C3">
        <w:rPr>
          <w:rFonts w:eastAsia="Times New Roman" w:cs="Arial"/>
          <w:szCs w:val="22"/>
          <w:lang w:eastAsia="en-GB"/>
        </w:rPr>
        <w:t xml:space="preserve">Strategic growth analysis identifies </w:t>
      </w:r>
      <w:r w:rsidRPr="00D964C3">
        <w:rPr>
          <w:rFonts w:eastAsia="Times New Roman" w:cs="Arial"/>
          <w:b/>
          <w:bCs/>
          <w:szCs w:val="22"/>
          <w:lang w:eastAsia="en-GB"/>
        </w:rPr>
        <w:t>differentiation and focused service strategies</w:t>
      </w:r>
      <w:r w:rsidRPr="00D964C3">
        <w:rPr>
          <w:rFonts w:eastAsia="Times New Roman" w:cs="Arial"/>
          <w:szCs w:val="22"/>
          <w:lang w:eastAsia="en-GB"/>
        </w:rPr>
        <w:t xml:space="preserve"> as feasible within SHP’s statutory remit. The proposed </w:t>
      </w:r>
      <w:r w:rsidRPr="00D964C3">
        <w:rPr>
          <w:rFonts w:eastAsia="Times New Roman" w:cs="Arial"/>
          <w:b/>
          <w:bCs/>
          <w:szCs w:val="22"/>
          <w:lang w:eastAsia="en-GB"/>
        </w:rPr>
        <w:t xml:space="preserve">Sustainable Homes </w:t>
      </w:r>
      <w:r w:rsidR="000E6C31">
        <w:rPr>
          <w:rFonts w:eastAsia="Times New Roman" w:cs="Arial"/>
          <w:b/>
          <w:bCs/>
          <w:szCs w:val="22"/>
          <w:lang w:eastAsia="en-GB"/>
        </w:rPr>
        <w:t>and</w:t>
      </w:r>
      <w:r w:rsidRPr="00D964C3">
        <w:rPr>
          <w:rFonts w:eastAsia="Times New Roman" w:cs="Arial"/>
          <w:b/>
          <w:bCs/>
          <w:szCs w:val="22"/>
          <w:lang w:eastAsia="en-GB"/>
        </w:rPr>
        <w:t xml:space="preserve"> Communities (SHC) Strategy</w:t>
      </w:r>
      <w:r w:rsidRPr="00D964C3">
        <w:rPr>
          <w:rFonts w:eastAsia="Times New Roman" w:cs="Arial"/>
          <w:szCs w:val="22"/>
          <w:lang w:eastAsia="en-GB"/>
        </w:rPr>
        <w:t xml:space="preserve"> integrates three pillars:</w:t>
      </w:r>
    </w:p>
    <w:p w14:paraId="11C0A938" w14:textId="2CB8D455" w:rsidR="00D964C3" w:rsidRPr="00D964C3" w:rsidRDefault="00D964C3" w:rsidP="00CE3569">
      <w:pPr>
        <w:numPr>
          <w:ilvl w:val="0"/>
          <w:numId w:val="13"/>
        </w:numPr>
        <w:rPr>
          <w:rFonts w:eastAsia="Times New Roman" w:cs="Arial"/>
          <w:szCs w:val="22"/>
          <w:lang w:eastAsia="en-GB"/>
        </w:rPr>
      </w:pPr>
      <w:r w:rsidRPr="00D964C3">
        <w:rPr>
          <w:rFonts w:eastAsia="Times New Roman" w:cs="Arial"/>
          <w:b/>
          <w:bCs/>
          <w:szCs w:val="22"/>
          <w:lang w:eastAsia="en-GB"/>
        </w:rPr>
        <w:t xml:space="preserve">Decarbonisation </w:t>
      </w:r>
      <w:r w:rsidR="00D45187">
        <w:rPr>
          <w:rFonts w:eastAsia="Times New Roman" w:cs="Arial"/>
          <w:b/>
          <w:bCs/>
          <w:szCs w:val="22"/>
          <w:lang w:eastAsia="en-GB"/>
        </w:rPr>
        <w:t>and</w:t>
      </w:r>
      <w:r w:rsidRPr="00D964C3">
        <w:rPr>
          <w:rFonts w:eastAsia="Times New Roman" w:cs="Arial"/>
          <w:b/>
          <w:bCs/>
          <w:szCs w:val="22"/>
          <w:lang w:eastAsia="en-GB"/>
        </w:rPr>
        <w:t xml:space="preserve"> Asset Sustainability</w:t>
      </w:r>
      <w:r w:rsidRPr="00D964C3">
        <w:rPr>
          <w:rFonts w:eastAsia="Times New Roman" w:cs="Arial"/>
          <w:szCs w:val="22"/>
          <w:lang w:eastAsia="en-GB"/>
        </w:rPr>
        <w:t xml:space="preserve"> </w:t>
      </w:r>
      <w:r w:rsidR="00E0596C">
        <w:rPr>
          <w:rFonts w:eastAsia="Times New Roman"/>
          <w:lang w:eastAsia="en-GB"/>
        </w:rPr>
        <w:t>-</w:t>
      </w:r>
      <w:r w:rsidRPr="00D964C3">
        <w:rPr>
          <w:rFonts w:eastAsia="Times New Roman" w:cs="Arial"/>
          <w:szCs w:val="22"/>
          <w:lang w:eastAsia="en-GB"/>
        </w:rPr>
        <w:t xml:space="preserve"> </w:t>
      </w:r>
      <w:r w:rsidR="004332BC">
        <w:t xml:space="preserve">Phased retrofit programmes will work toward achieving </w:t>
      </w:r>
      <w:r w:rsidR="00303C54">
        <w:t>Energy Performance Certificate (</w:t>
      </w:r>
      <w:r w:rsidR="004332BC">
        <w:t>EPC</w:t>
      </w:r>
      <w:r w:rsidR="00303C54">
        <w:t>)</w:t>
      </w:r>
      <w:r w:rsidR="004332BC">
        <w:t xml:space="preserve"> rating C or above for 80 per cent of high-risk stock by 2030, with an intended reduction of emergency repairs by 15 per cent per year.</w:t>
      </w:r>
    </w:p>
    <w:p w14:paraId="27288717" w14:textId="137C454B" w:rsidR="00D964C3" w:rsidRPr="00D964C3" w:rsidRDefault="00D964C3" w:rsidP="00CE3569">
      <w:pPr>
        <w:numPr>
          <w:ilvl w:val="0"/>
          <w:numId w:val="13"/>
        </w:numPr>
        <w:rPr>
          <w:rFonts w:eastAsia="Times New Roman" w:cs="Arial"/>
          <w:szCs w:val="22"/>
          <w:lang w:eastAsia="en-GB"/>
        </w:rPr>
      </w:pPr>
      <w:r w:rsidRPr="00D964C3">
        <w:rPr>
          <w:rFonts w:eastAsia="Times New Roman" w:cs="Arial"/>
          <w:b/>
          <w:bCs/>
          <w:szCs w:val="22"/>
          <w:lang w:eastAsia="en-GB"/>
        </w:rPr>
        <w:t xml:space="preserve">Digital Transformation </w:t>
      </w:r>
      <w:r w:rsidR="009B4834">
        <w:rPr>
          <w:rFonts w:eastAsia="Times New Roman" w:cs="Arial"/>
          <w:b/>
          <w:bCs/>
          <w:szCs w:val="22"/>
          <w:lang w:eastAsia="en-GB"/>
        </w:rPr>
        <w:t>and</w:t>
      </w:r>
      <w:r w:rsidRPr="00D964C3">
        <w:rPr>
          <w:rFonts w:eastAsia="Times New Roman" w:cs="Arial"/>
          <w:b/>
          <w:bCs/>
          <w:szCs w:val="22"/>
          <w:lang w:eastAsia="en-GB"/>
        </w:rPr>
        <w:t xml:space="preserve"> Service Modernisation</w:t>
      </w:r>
      <w:r w:rsidRPr="00D964C3">
        <w:rPr>
          <w:rFonts w:eastAsia="Times New Roman" w:cs="Arial"/>
          <w:szCs w:val="22"/>
          <w:lang w:eastAsia="en-GB"/>
        </w:rPr>
        <w:t xml:space="preserve"> </w:t>
      </w:r>
      <w:r w:rsidR="009B4834">
        <w:rPr>
          <w:rFonts w:eastAsia="Times New Roman"/>
          <w:lang w:eastAsia="en-GB"/>
        </w:rPr>
        <w:t xml:space="preserve">- </w:t>
      </w:r>
      <w:r w:rsidR="009B4834">
        <w:t>The implementation of integrated tenant portals and predictive maintenance analytics aims to achieve 75 per cent digital adoption and ensure that 50 per cent of repairs are predicted and prevented within three years.</w:t>
      </w:r>
    </w:p>
    <w:p w14:paraId="297A68DE" w14:textId="77777777" w:rsidR="00E71037" w:rsidRPr="00E71037" w:rsidRDefault="00D964C3" w:rsidP="00DD36A4">
      <w:pPr>
        <w:numPr>
          <w:ilvl w:val="0"/>
          <w:numId w:val="13"/>
        </w:numPr>
        <w:rPr>
          <w:rFonts w:eastAsia="Times New Roman" w:cs="Arial"/>
          <w:szCs w:val="22"/>
          <w:lang w:eastAsia="en-GB"/>
        </w:rPr>
      </w:pPr>
      <w:r w:rsidRPr="00E71037">
        <w:rPr>
          <w:rFonts w:eastAsia="Times New Roman" w:cs="Arial"/>
          <w:b/>
          <w:bCs/>
          <w:szCs w:val="22"/>
          <w:lang w:eastAsia="en-GB"/>
        </w:rPr>
        <w:t>Resident-Centred Service Differentiation</w:t>
      </w:r>
      <w:r w:rsidRPr="00E71037">
        <w:rPr>
          <w:rFonts w:eastAsia="Times New Roman" w:cs="Arial"/>
          <w:szCs w:val="22"/>
          <w:lang w:eastAsia="en-GB"/>
        </w:rPr>
        <w:t xml:space="preserve"> </w:t>
      </w:r>
      <w:r w:rsidR="00E0596C" w:rsidRPr="00E71037">
        <w:rPr>
          <w:rFonts w:eastAsia="Times New Roman"/>
          <w:lang w:eastAsia="en-GB"/>
        </w:rPr>
        <w:t>-</w:t>
      </w:r>
      <w:r w:rsidRPr="00E71037">
        <w:rPr>
          <w:rFonts w:eastAsia="Times New Roman" w:cs="Arial"/>
          <w:szCs w:val="22"/>
          <w:lang w:eastAsia="en-GB"/>
        </w:rPr>
        <w:t xml:space="preserve"> Co-production </w:t>
      </w:r>
      <w:r w:rsidR="00E71037">
        <w:t>panels and participatory budgeting will be used to engage 70 per cent of priority estates within two years, strengthening resident involvement and service legitimacy.</w:t>
      </w:r>
    </w:p>
    <w:p w14:paraId="3A94BB13" w14:textId="002B251A" w:rsidR="00D964C3" w:rsidRPr="00E71037" w:rsidRDefault="00D964C3" w:rsidP="00E71037">
      <w:pPr>
        <w:ind w:left="720"/>
        <w:rPr>
          <w:rFonts w:eastAsia="Times New Roman" w:cs="Arial"/>
          <w:szCs w:val="22"/>
          <w:lang w:eastAsia="en-GB"/>
        </w:rPr>
      </w:pPr>
      <w:r w:rsidRPr="00E71037">
        <w:rPr>
          <w:rFonts w:eastAsia="Times New Roman" w:cs="Arial"/>
          <w:szCs w:val="22"/>
          <w:lang w:eastAsia="en-GB"/>
        </w:rPr>
        <w:t>A phased 0</w:t>
      </w:r>
      <w:r w:rsidR="00C8798C">
        <w:rPr>
          <w:rFonts w:eastAsia="Times New Roman" w:cs="Arial"/>
          <w:szCs w:val="22"/>
          <w:lang w:eastAsia="en-GB"/>
        </w:rPr>
        <w:t>-</w:t>
      </w:r>
      <w:r w:rsidRPr="00E71037">
        <w:rPr>
          <w:rFonts w:eastAsia="Times New Roman"/>
          <w:lang w:eastAsia="en-GB"/>
        </w:rPr>
        <w:t>5-year</w:t>
      </w:r>
      <w:r w:rsidRPr="00E71037">
        <w:rPr>
          <w:rFonts w:eastAsia="Times New Roman" w:cs="Arial"/>
          <w:szCs w:val="22"/>
          <w:lang w:eastAsia="en-GB"/>
        </w:rPr>
        <w:t xml:space="preserve"> implementation model ensures SME feasibility, while KPIs, RAG reporting, and governance structures monitor progress. Stakeholder analysis confirms that the strategy is suitable, feasible, and acceptable, balancing high-power actors’ expectations (LBS, RSH, SHP Board) with resident needs.</w:t>
      </w:r>
    </w:p>
    <w:p w14:paraId="180F761B" w14:textId="4DE1AC16" w:rsidR="00150F6B" w:rsidRDefault="00D964C3" w:rsidP="00A05CE3">
      <w:pPr>
        <w:rPr>
          <w:rFonts w:eastAsia="Times New Roman" w:cs="Arial"/>
          <w:szCs w:val="22"/>
          <w:lang w:eastAsia="en-GB"/>
        </w:rPr>
      </w:pPr>
      <w:r w:rsidRPr="00D964C3">
        <w:rPr>
          <w:rFonts w:eastAsia="Times New Roman" w:cs="Arial"/>
          <w:szCs w:val="22"/>
          <w:lang w:eastAsia="en-GB"/>
        </w:rPr>
        <w:lastRenderedPageBreak/>
        <w:t xml:space="preserve">Overall, the SHC Strategy offers a </w:t>
      </w:r>
      <w:r w:rsidRPr="00D964C3">
        <w:rPr>
          <w:rFonts w:eastAsia="Times New Roman" w:cs="Arial"/>
          <w:b/>
          <w:bCs/>
          <w:szCs w:val="22"/>
          <w:lang w:eastAsia="en-GB"/>
        </w:rPr>
        <w:t>sustainable, scalable, and low-risk growth pathway</w:t>
      </w:r>
      <w:r w:rsidRPr="00D964C3">
        <w:rPr>
          <w:rFonts w:eastAsia="Times New Roman" w:cs="Arial"/>
          <w:szCs w:val="22"/>
          <w:lang w:eastAsia="en-GB"/>
        </w:rPr>
        <w:t>, enhancing service quality, compliance, energy efficiency, and tenant trust, while addressing operational and regulatory challenges inherent to SME-scale social housing providers.</w:t>
      </w:r>
    </w:p>
    <w:p w14:paraId="5CE51F0E" w14:textId="77777777" w:rsidR="00A51089" w:rsidRDefault="00A51089" w:rsidP="00A05CE3">
      <w:pPr>
        <w:rPr>
          <w:rFonts w:eastAsia="Times New Roman" w:cs="Arial"/>
          <w:szCs w:val="22"/>
          <w:lang w:eastAsia="en-GB"/>
        </w:rPr>
      </w:pPr>
    </w:p>
    <w:p w14:paraId="62BF7AD5" w14:textId="77777777" w:rsidR="00A51089" w:rsidRDefault="00A51089" w:rsidP="00A05CE3">
      <w:pPr>
        <w:rPr>
          <w:rFonts w:eastAsia="Times New Roman" w:cs="Arial"/>
          <w:szCs w:val="22"/>
          <w:lang w:eastAsia="en-GB"/>
        </w:rPr>
      </w:pPr>
    </w:p>
    <w:p w14:paraId="0F831D08" w14:textId="77777777" w:rsidR="00A51089" w:rsidRDefault="00A51089" w:rsidP="00A05CE3">
      <w:pPr>
        <w:rPr>
          <w:rFonts w:eastAsia="Times New Roman" w:cs="Arial"/>
          <w:szCs w:val="22"/>
          <w:lang w:eastAsia="en-GB"/>
        </w:rPr>
      </w:pPr>
    </w:p>
    <w:p w14:paraId="1B876135" w14:textId="77777777" w:rsidR="00A51089" w:rsidRDefault="00A51089" w:rsidP="00A05CE3">
      <w:pPr>
        <w:rPr>
          <w:rFonts w:eastAsia="Times New Roman" w:cs="Arial"/>
          <w:szCs w:val="22"/>
          <w:lang w:eastAsia="en-GB"/>
        </w:rPr>
      </w:pPr>
    </w:p>
    <w:p w14:paraId="751BA43C" w14:textId="77777777" w:rsidR="00A51089" w:rsidRDefault="00A51089" w:rsidP="00A05CE3">
      <w:pPr>
        <w:rPr>
          <w:rFonts w:eastAsia="Times New Roman" w:cs="Arial"/>
          <w:szCs w:val="22"/>
          <w:lang w:eastAsia="en-GB"/>
        </w:rPr>
      </w:pPr>
    </w:p>
    <w:p w14:paraId="6B71E829" w14:textId="77777777" w:rsidR="00A51089" w:rsidRDefault="00A51089" w:rsidP="00A05CE3">
      <w:pPr>
        <w:rPr>
          <w:rFonts w:eastAsia="Times New Roman" w:cs="Arial"/>
          <w:szCs w:val="22"/>
          <w:lang w:eastAsia="en-GB"/>
        </w:rPr>
      </w:pPr>
    </w:p>
    <w:p w14:paraId="52406C2D" w14:textId="77777777" w:rsidR="00A51089" w:rsidRDefault="00A51089" w:rsidP="00A05CE3">
      <w:pPr>
        <w:rPr>
          <w:rFonts w:eastAsia="Times New Roman" w:cs="Arial"/>
          <w:szCs w:val="22"/>
          <w:lang w:eastAsia="en-GB"/>
        </w:rPr>
      </w:pPr>
    </w:p>
    <w:p w14:paraId="1107B324" w14:textId="77777777" w:rsidR="00A51089" w:rsidRDefault="00A51089" w:rsidP="00A05CE3">
      <w:pPr>
        <w:rPr>
          <w:rFonts w:eastAsia="Times New Roman" w:cs="Arial"/>
          <w:szCs w:val="22"/>
          <w:lang w:eastAsia="en-GB"/>
        </w:rPr>
      </w:pPr>
    </w:p>
    <w:p w14:paraId="3B57BDAE" w14:textId="77777777" w:rsidR="00A51089" w:rsidRDefault="00A51089" w:rsidP="00A05CE3">
      <w:pPr>
        <w:rPr>
          <w:rFonts w:eastAsia="Times New Roman" w:cs="Arial"/>
          <w:szCs w:val="22"/>
          <w:lang w:eastAsia="en-GB"/>
        </w:rPr>
      </w:pPr>
    </w:p>
    <w:p w14:paraId="21CA3704" w14:textId="77777777" w:rsidR="00A51089" w:rsidRDefault="00A51089" w:rsidP="00A05CE3">
      <w:pPr>
        <w:rPr>
          <w:rFonts w:eastAsia="Times New Roman" w:cs="Arial"/>
          <w:szCs w:val="22"/>
          <w:lang w:eastAsia="en-GB"/>
        </w:rPr>
      </w:pPr>
    </w:p>
    <w:p w14:paraId="46C0E3B3" w14:textId="77777777" w:rsidR="00A51089" w:rsidRDefault="00A51089" w:rsidP="00A05CE3">
      <w:pPr>
        <w:rPr>
          <w:rFonts w:eastAsia="Times New Roman" w:cs="Arial"/>
          <w:szCs w:val="22"/>
          <w:lang w:eastAsia="en-GB"/>
        </w:rPr>
      </w:pPr>
    </w:p>
    <w:p w14:paraId="2B996ACF" w14:textId="77777777" w:rsidR="00A51089" w:rsidRDefault="00A51089" w:rsidP="00A05CE3">
      <w:pPr>
        <w:rPr>
          <w:rFonts w:eastAsia="Times New Roman" w:cs="Arial"/>
          <w:szCs w:val="22"/>
          <w:lang w:eastAsia="en-GB"/>
        </w:rPr>
      </w:pPr>
    </w:p>
    <w:p w14:paraId="0ED7B073" w14:textId="77777777" w:rsidR="00A51089" w:rsidRDefault="00A51089" w:rsidP="00A05CE3">
      <w:pPr>
        <w:rPr>
          <w:rFonts w:eastAsia="Times New Roman" w:cs="Arial"/>
          <w:szCs w:val="22"/>
          <w:lang w:eastAsia="en-GB"/>
        </w:rPr>
      </w:pPr>
    </w:p>
    <w:p w14:paraId="1CB93B45" w14:textId="77777777" w:rsidR="00A51089" w:rsidRDefault="00A51089" w:rsidP="00A05CE3">
      <w:pPr>
        <w:rPr>
          <w:rFonts w:eastAsia="Times New Roman" w:cs="Arial"/>
          <w:szCs w:val="22"/>
          <w:lang w:eastAsia="en-GB"/>
        </w:rPr>
      </w:pPr>
    </w:p>
    <w:p w14:paraId="303723F7" w14:textId="77777777" w:rsidR="00A51089" w:rsidRDefault="00A51089" w:rsidP="00A05CE3">
      <w:pPr>
        <w:rPr>
          <w:rFonts w:eastAsia="Times New Roman" w:cs="Arial"/>
          <w:szCs w:val="22"/>
          <w:lang w:eastAsia="en-GB"/>
        </w:rPr>
      </w:pPr>
    </w:p>
    <w:p w14:paraId="0C1EE588" w14:textId="77777777" w:rsidR="00A51089" w:rsidRDefault="00A51089" w:rsidP="00A05CE3">
      <w:pPr>
        <w:rPr>
          <w:rFonts w:eastAsia="Times New Roman" w:cs="Arial"/>
          <w:szCs w:val="22"/>
          <w:lang w:eastAsia="en-GB"/>
        </w:rPr>
      </w:pPr>
    </w:p>
    <w:p w14:paraId="0CC5C90E" w14:textId="77777777" w:rsidR="00A51089" w:rsidRDefault="00A51089" w:rsidP="00A05CE3">
      <w:pPr>
        <w:rPr>
          <w:rFonts w:eastAsia="Times New Roman" w:cs="Arial"/>
          <w:szCs w:val="22"/>
          <w:lang w:eastAsia="en-GB"/>
        </w:rPr>
      </w:pPr>
    </w:p>
    <w:p w14:paraId="24B11C0A" w14:textId="77777777" w:rsidR="00A51089" w:rsidRDefault="00A51089" w:rsidP="00A05CE3">
      <w:pPr>
        <w:rPr>
          <w:rFonts w:eastAsia="Times New Roman"/>
          <w:lang w:eastAsia="en-GB"/>
        </w:rPr>
      </w:pPr>
    </w:p>
    <w:sdt>
      <w:sdtPr>
        <w:rPr>
          <w:rFonts w:ascii="Arial" w:eastAsiaTheme="minorHAnsi" w:hAnsi="Arial" w:cs="Arial"/>
          <w:color w:val="auto"/>
          <w:sz w:val="22"/>
          <w:szCs w:val="22"/>
          <w:lang w:val="en-GB"/>
        </w:rPr>
        <w:id w:val="-683051176"/>
        <w:docPartObj>
          <w:docPartGallery w:val="Table of Contents"/>
          <w:docPartUnique/>
        </w:docPartObj>
      </w:sdtPr>
      <w:sdtEndPr>
        <w:rPr>
          <w:b/>
          <w:bCs/>
          <w:noProof/>
        </w:rPr>
      </w:sdtEndPr>
      <w:sdtContent>
        <w:p w14:paraId="25E2656E" w14:textId="039A11F8" w:rsidR="00D64FAF" w:rsidRPr="00810896" w:rsidRDefault="00D64FAF" w:rsidP="00810896">
          <w:pPr>
            <w:pStyle w:val="TOCHeading"/>
            <w:spacing w:line="360" w:lineRule="auto"/>
            <w:rPr>
              <w:rFonts w:ascii="Arial" w:hAnsi="Arial" w:cs="Arial"/>
              <w:sz w:val="40"/>
              <w:szCs w:val="40"/>
            </w:rPr>
          </w:pPr>
          <w:r w:rsidRPr="00810896">
            <w:rPr>
              <w:rFonts w:ascii="Arial" w:hAnsi="Arial" w:cs="Arial"/>
              <w:sz w:val="40"/>
              <w:szCs w:val="40"/>
            </w:rPr>
            <w:t>Table of Contents</w:t>
          </w:r>
        </w:p>
        <w:p w14:paraId="307F9D1C" w14:textId="70706671" w:rsidR="004C3B8B" w:rsidRDefault="00D64FAF">
          <w:pPr>
            <w:pStyle w:val="TOC1"/>
            <w:rPr>
              <w:rFonts w:asciiTheme="minorHAnsi" w:eastAsiaTheme="minorEastAsia" w:hAnsiTheme="minorHAnsi"/>
              <w:noProof/>
              <w:sz w:val="24"/>
              <w:lang w:eastAsia="en-GB"/>
            </w:rPr>
          </w:pPr>
          <w:r w:rsidRPr="00E2115E">
            <w:rPr>
              <w:rFonts w:cs="Arial"/>
              <w:szCs w:val="22"/>
            </w:rPr>
            <w:fldChar w:fldCharType="begin"/>
          </w:r>
          <w:r w:rsidRPr="00E2115E">
            <w:rPr>
              <w:rFonts w:cs="Arial"/>
              <w:szCs w:val="22"/>
            </w:rPr>
            <w:instrText xml:space="preserve"> TOC \o "1-3" \h \z \u </w:instrText>
          </w:r>
          <w:r w:rsidRPr="00E2115E">
            <w:rPr>
              <w:rFonts w:cs="Arial"/>
              <w:szCs w:val="22"/>
            </w:rPr>
            <w:fldChar w:fldCharType="separate"/>
          </w:r>
          <w:hyperlink w:anchor="_Toc216130263" w:history="1">
            <w:r w:rsidR="004C3B8B" w:rsidRPr="009455C4">
              <w:rPr>
                <w:rStyle w:val="Hyperlink"/>
                <w:rFonts w:eastAsia="Times New Roman"/>
                <w:noProof/>
                <w:lang w:eastAsia="en-GB"/>
              </w:rPr>
              <w:t>1.</w:t>
            </w:r>
            <w:r w:rsidR="004C3B8B">
              <w:rPr>
                <w:rFonts w:asciiTheme="minorHAnsi" w:eastAsiaTheme="minorEastAsia" w:hAnsiTheme="minorHAnsi"/>
                <w:noProof/>
                <w:sz w:val="24"/>
                <w:lang w:eastAsia="en-GB"/>
              </w:rPr>
              <w:tab/>
            </w:r>
            <w:r w:rsidR="004C3B8B" w:rsidRPr="009455C4">
              <w:rPr>
                <w:rStyle w:val="Hyperlink"/>
                <w:rFonts w:eastAsia="Times New Roman"/>
                <w:noProof/>
                <w:lang w:eastAsia="en-GB"/>
              </w:rPr>
              <w:t>Introduction to Sutton Housing Partnership</w:t>
            </w:r>
            <w:r w:rsidR="004C3B8B">
              <w:rPr>
                <w:noProof/>
                <w:webHidden/>
              </w:rPr>
              <w:tab/>
            </w:r>
            <w:r w:rsidR="004C3B8B">
              <w:rPr>
                <w:noProof/>
                <w:webHidden/>
              </w:rPr>
              <w:fldChar w:fldCharType="begin"/>
            </w:r>
            <w:r w:rsidR="004C3B8B">
              <w:rPr>
                <w:noProof/>
                <w:webHidden/>
              </w:rPr>
              <w:instrText xml:space="preserve"> PAGEREF _Toc216130263 \h </w:instrText>
            </w:r>
            <w:r w:rsidR="004C3B8B">
              <w:rPr>
                <w:noProof/>
                <w:webHidden/>
              </w:rPr>
            </w:r>
            <w:r w:rsidR="004C3B8B">
              <w:rPr>
                <w:noProof/>
                <w:webHidden/>
              </w:rPr>
              <w:fldChar w:fldCharType="separate"/>
            </w:r>
            <w:r w:rsidR="004C3B8B">
              <w:rPr>
                <w:noProof/>
                <w:webHidden/>
              </w:rPr>
              <w:t>1</w:t>
            </w:r>
            <w:r w:rsidR="004C3B8B">
              <w:rPr>
                <w:noProof/>
                <w:webHidden/>
              </w:rPr>
              <w:fldChar w:fldCharType="end"/>
            </w:r>
          </w:hyperlink>
        </w:p>
        <w:p w14:paraId="2ABB03EE" w14:textId="41975409" w:rsidR="004C3B8B" w:rsidRDefault="004C3B8B">
          <w:pPr>
            <w:pStyle w:val="TOC1"/>
            <w:rPr>
              <w:rFonts w:asciiTheme="minorHAnsi" w:eastAsiaTheme="minorEastAsia" w:hAnsiTheme="minorHAnsi"/>
              <w:noProof/>
              <w:sz w:val="24"/>
              <w:lang w:eastAsia="en-GB"/>
            </w:rPr>
          </w:pPr>
          <w:hyperlink w:anchor="_Toc216130264" w:history="1">
            <w:r w:rsidRPr="009455C4">
              <w:rPr>
                <w:rStyle w:val="Hyperlink"/>
                <w:rFonts w:eastAsia="Times New Roman"/>
                <w:noProof/>
                <w:lang w:eastAsia="en-GB"/>
              </w:rPr>
              <w:t>2.</w:t>
            </w:r>
            <w:r>
              <w:rPr>
                <w:rFonts w:asciiTheme="minorHAnsi" w:eastAsiaTheme="minorEastAsia" w:hAnsiTheme="minorHAnsi"/>
                <w:noProof/>
                <w:sz w:val="24"/>
                <w:lang w:eastAsia="en-GB"/>
              </w:rPr>
              <w:tab/>
            </w:r>
            <w:r w:rsidRPr="009455C4">
              <w:rPr>
                <w:rStyle w:val="Hyperlink"/>
                <w:rFonts w:eastAsia="Times New Roman"/>
                <w:noProof/>
                <w:lang w:eastAsia="en-GB"/>
              </w:rPr>
              <w:t>Appraisal of SHP’s Current Strategic Direction and Goals</w:t>
            </w:r>
            <w:r>
              <w:rPr>
                <w:noProof/>
                <w:webHidden/>
              </w:rPr>
              <w:tab/>
            </w:r>
            <w:r>
              <w:rPr>
                <w:noProof/>
                <w:webHidden/>
              </w:rPr>
              <w:fldChar w:fldCharType="begin"/>
            </w:r>
            <w:r>
              <w:rPr>
                <w:noProof/>
                <w:webHidden/>
              </w:rPr>
              <w:instrText xml:space="preserve"> PAGEREF _Toc216130264 \h </w:instrText>
            </w:r>
            <w:r>
              <w:rPr>
                <w:noProof/>
                <w:webHidden/>
              </w:rPr>
            </w:r>
            <w:r>
              <w:rPr>
                <w:noProof/>
                <w:webHidden/>
              </w:rPr>
              <w:fldChar w:fldCharType="separate"/>
            </w:r>
            <w:r>
              <w:rPr>
                <w:noProof/>
                <w:webHidden/>
              </w:rPr>
              <w:t>2</w:t>
            </w:r>
            <w:r>
              <w:rPr>
                <w:noProof/>
                <w:webHidden/>
              </w:rPr>
              <w:fldChar w:fldCharType="end"/>
            </w:r>
          </w:hyperlink>
        </w:p>
        <w:p w14:paraId="6392833F" w14:textId="7089545E"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65" w:history="1">
            <w:r w:rsidRPr="009455C4">
              <w:rPr>
                <w:rStyle w:val="Hyperlink"/>
                <w:noProof/>
              </w:rPr>
              <w:t>2.1</w:t>
            </w:r>
            <w:r>
              <w:rPr>
                <w:rFonts w:asciiTheme="minorHAnsi" w:eastAsiaTheme="minorEastAsia" w:hAnsiTheme="minorHAnsi"/>
                <w:noProof/>
                <w:sz w:val="24"/>
                <w:lang w:eastAsia="en-GB"/>
              </w:rPr>
              <w:tab/>
            </w:r>
            <w:r w:rsidRPr="009455C4">
              <w:rPr>
                <w:rStyle w:val="Hyperlink"/>
                <w:noProof/>
              </w:rPr>
              <w:t>Vision, Mission, and Objectives</w:t>
            </w:r>
            <w:r>
              <w:rPr>
                <w:noProof/>
                <w:webHidden/>
              </w:rPr>
              <w:tab/>
            </w:r>
            <w:r>
              <w:rPr>
                <w:noProof/>
                <w:webHidden/>
              </w:rPr>
              <w:fldChar w:fldCharType="begin"/>
            </w:r>
            <w:r>
              <w:rPr>
                <w:noProof/>
                <w:webHidden/>
              </w:rPr>
              <w:instrText xml:space="preserve"> PAGEREF _Toc216130265 \h </w:instrText>
            </w:r>
            <w:r>
              <w:rPr>
                <w:noProof/>
                <w:webHidden/>
              </w:rPr>
            </w:r>
            <w:r>
              <w:rPr>
                <w:noProof/>
                <w:webHidden/>
              </w:rPr>
              <w:fldChar w:fldCharType="separate"/>
            </w:r>
            <w:r>
              <w:rPr>
                <w:noProof/>
                <w:webHidden/>
              </w:rPr>
              <w:t>2</w:t>
            </w:r>
            <w:r>
              <w:rPr>
                <w:noProof/>
                <w:webHidden/>
              </w:rPr>
              <w:fldChar w:fldCharType="end"/>
            </w:r>
          </w:hyperlink>
        </w:p>
        <w:p w14:paraId="06C1F429" w14:textId="5FF30FB8"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66" w:history="1">
            <w:r w:rsidRPr="009455C4">
              <w:rPr>
                <w:rStyle w:val="Hyperlink"/>
                <w:noProof/>
              </w:rPr>
              <w:t>2.2</w:t>
            </w:r>
            <w:r>
              <w:rPr>
                <w:rFonts w:asciiTheme="minorHAnsi" w:eastAsiaTheme="minorEastAsia" w:hAnsiTheme="minorHAnsi"/>
                <w:noProof/>
                <w:sz w:val="24"/>
                <w:lang w:eastAsia="en-GB"/>
              </w:rPr>
              <w:tab/>
            </w:r>
            <w:r w:rsidRPr="009455C4">
              <w:rPr>
                <w:rStyle w:val="Hyperlink"/>
                <w:noProof/>
              </w:rPr>
              <w:t>Strategic Fit and SME Constraints</w:t>
            </w:r>
            <w:r>
              <w:rPr>
                <w:noProof/>
                <w:webHidden/>
              </w:rPr>
              <w:tab/>
            </w:r>
            <w:r>
              <w:rPr>
                <w:noProof/>
                <w:webHidden/>
              </w:rPr>
              <w:fldChar w:fldCharType="begin"/>
            </w:r>
            <w:r>
              <w:rPr>
                <w:noProof/>
                <w:webHidden/>
              </w:rPr>
              <w:instrText xml:space="preserve"> PAGEREF _Toc216130266 \h </w:instrText>
            </w:r>
            <w:r>
              <w:rPr>
                <w:noProof/>
                <w:webHidden/>
              </w:rPr>
            </w:r>
            <w:r>
              <w:rPr>
                <w:noProof/>
                <w:webHidden/>
              </w:rPr>
              <w:fldChar w:fldCharType="separate"/>
            </w:r>
            <w:r>
              <w:rPr>
                <w:noProof/>
                <w:webHidden/>
              </w:rPr>
              <w:t>2</w:t>
            </w:r>
            <w:r>
              <w:rPr>
                <w:noProof/>
                <w:webHidden/>
              </w:rPr>
              <w:fldChar w:fldCharType="end"/>
            </w:r>
          </w:hyperlink>
        </w:p>
        <w:p w14:paraId="59C08E6D" w14:textId="75010920" w:rsidR="004C3B8B" w:rsidRDefault="004C3B8B">
          <w:pPr>
            <w:pStyle w:val="TOC1"/>
            <w:rPr>
              <w:rFonts w:asciiTheme="minorHAnsi" w:eastAsiaTheme="minorEastAsia" w:hAnsiTheme="minorHAnsi"/>
              <w:noProof/>
              <w:sz w:val="24"/>
              <w:lang w:eastAsia="en-GB"/>
            </w:rPr>
          </w:pPr>
          <w:hyperlink w:anchor="_Toc216130267" w:history="1">
            <w:r w:rsidRPr="009455C4">
              <w:rPr>
                <w:rStyle w:val="Hyperlink"/>
                <w:rFonts w:eastAsia="Times New Roman"/>
                <w:noProof/>
                <w:lang w:eastAsia="en-GB"/>
              </w:rPr>
              <w:t>3.</w:t>
            </w:r>
            <w:r>
              <w:rPr>
                <w:rFonts w:asciiTheme="minorHAnsi" w:eastAsiaTheme="minorEastAsia" w:hAnsiTheme="minorHAnsi"/>
                <w:noProof/>
                <w:sz w:val="24"/>
                <w:lang w:eastAsia="en-GB"/>
              </w:rPr>
              <w:tab/>
            </w:r>
            <w:r w:rsidRPr="009455C4">
              <w:rPr>
                <w:rStyle w:val="Hyperlink"/>
                <w:rFonts w:eastAsia="Times New Roman"/>
                <w:noProof/>
                <w:lang w:eastAsia="en-GB"/>
              </w:rPr>
              <w:t>Environmental Scan and Competitive Positioning</w:t>
            </w:r>
            <w:r>
              <w:rPr>
                <w:noProof/>
                <w:webHidden/>
              </w:rPr>
              <w:tab/>
            </w:r>
            <w:r>
              <w:rPr>
                <w:noProof/>
                <w:webHidden/>
              </w:rPr>
              <w:fldChar w:fldCharType="begin"/>
            </w:r>
            <w:r>
              <w:rPr>
                <w:noProof/>
                <w:webHidden/>
              </w:rPr>
              <w:instrText xml:space="preserve"> PAGEREF _Toc216130267 \h </w:instrText>
            </w:r>
            <w:r>
              <w:rPr>
                <w:noProof/>
                <w:webHidden/>
              </w:rPr>
            </w:r>
            <w:r>
              <w:rPr>
                <w:noProof/>
                <w:webHidden/>
              </w:rPr>
              <w:fldChar w:fldCharType="separate"/>
            </w:r>
            <w:r>
              <w:rPr>
                <w:noProof/>
                <w:webHidden/>
              </w:rPr>
              <w:t>2</w:t>
            </w:r>
            <w:r>
              <w:rPr>
                <w:noProof/>
                <w:webHidden/>
              </w:rPr>
              <w:fldChar w:fldCharType="end"/>
            </w:r>
          </w:hyperlink>
        </w:p>
        <w:p w14:paraId="4B24DB04" w14:textId="6E233C36"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68" w:history="1">
            <w:r w:rsidRPr="009455C4">
              <w:rPr>
                <w:rStyle w:val="Hyperlink"/>
                <w:noProof/>
              </w:rPr>
              <w:t>3.1</w:t>
            </w:r>
            <w:r>
              <w:rPr>
                <w:rFonts w:asciiTheme="minorHAnsi" w:eastAsiaTheme="minorEastAsia" w:hAnsiTheme="minorHAnsi"/>
                <w:noProof/>
                <w:sz w:val="24"/>
                <w:lang w:eastAsia="en-GB"/>
              </w:rPr>
              <w:tab/>
            </w:r>
            <w:r w:rsidRPr="009455C4">
              <w:rPr>
                <w:rStyle w:val="Hyperlink"/>
                <w:noProof/>
              </w:rPr>
              <w:t>External Environment - PESTEL Analysis</w:t>
            </w:r>
            <w:r>
              <w:rPr>
                <w:noProof/>
                <w:webHidden/>
              </w:rPr>
              <w:tab/>
            </w:r>
            <w:r>
              <w:rPr>
                <w:noProof/>
                <w:webHidden/>
              </w:rPr>
              <w:fldChar w:fldCharType="begin"/>
            </w:r>
            <w:r>
              <w:rPr>
                <w:noProof/>
                <w:webHidden/>
              </w:rPr>
              <w:instrText xml:space="preserve"> PAGEREF _Toc216130268 \h </w:instrText>
            </w:r>
            <w:r>
              <w:rPr>
                <w:noProof/>
                <w:webHidden/>
              </w:rPr>
            </w:r>
            <w:r>
              <w:rPr>
                <w:noProof/>
                <w:webHidden/>
              </w:rPr>
              <w:fldChar w:fldCharType="separate"/>
            </w:r>
            <w:r>
              <w:rPr>
                <w:noProof/>
                <w:webHidden/>
              </w:rPr>
              <w:t>3</w:t>
            </w:r>
            <w:r>
              <w:rPr>
                <w:noProof/>
                <w:webHidden/>
              </w:rPr>
              <w:fldChar w:fldCharType="end"/>
            </w:r>
          </w:hyperlink>
        </w:p>
        <w:p w14:paraId="5FF3061D" w14:textId="501C9050"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69" w:history="1">
            <w:r w:rsidRPr="009455C4">
              <w:rPr>
                <w:rStyle w:val="Hyperlink"/>
                <w:noProof/>
              </w:rPr>
              <w:t>3.2</w:t>
            </w:r>
            <w:r>
              <w:rPr>
                <w:rFonts w:asciiTheme="minorHAnsi" w:eastAsiaTheme="minorEastAsia" w:hAnsiTheme="minorHAnsi"/>
                <w:noProof/>
                <w:sz w:val="24"/>
                <w:lang w:eastAsia="en-GB"/>
              </w:rPr>
              <w:tab/>
            </w:r>
            <w:r w:rsidRPr="009455C4">
              <w:rPr>
                <w:rStyle w:val="Hyperlink"/>
                <w:noProof/>
              </w:rPr>
              <w:t>Internal Environment - SWOT Analysis</w:t>
            </w:r>
            <w:r>
              <w:rPr>
                <w:noProof/>
                <w:webHidden/>
              </w:rPr>
              <w:tab/>
            </w:r>
            <w:r>
              <w:rPr>
                <w:noProof/>
                <w:webHidden/>
              </w:rPr>
              <w:fldChar w:fldCharType="begin"/>
            </w:r>
            <w:r>
              <w:rPr>
                <w:noProof/>
                <w:webHidden/>
              </w:rPr>
              <w:instrText xml:space="preserve"> PAGEREF _Toc216130269 \h </w:instrText>
            </w:r>
            <w:r>
              <w:rPr>
                <w:noProof/>
                <w:webHidden/>
              </w:rPr>
            </w:r>
            <w:r>
              <w:rPr>
                <w:noProof/>
                <w:webHidden/>
              </w:rPr>
              <w:fldChar w:fldCharType="separate"/>
            </w:r>
            <w:r>
              <w:rPr>
                <w:noProof/>
                <w:webHidden/>
              </w:rPr>
              <w:t>4</w:t>
            </w:r>
            <w:r>
              <w:rPr>
                <w:noProof/>
                <w:webHidden/>
              </w:rPr>
              <w:fldChar w:fldCharType="end"/>
            </w:r>
          </w:hyperlink>
        </w:p>
        <w:p w14:paraId="093E6253" w14:textId="12EF387A"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0" w:history="1">
            <w:r w:rsidRPr="009455C4">
              <w:rPr>
                <w:rStyle w:val="Hyperlink"/>
                <w:noProof/>
              </w:rPr>
              <w:t>3.3</w:t>
            </w:r>
            <w:r>
              <w:rPr>
                <w:rFonts w:asciiTheme="minorHAnsi" w:eastAsiaTheme="minorEastAsia" w:hAnsiTheme="minorHAnsi"/>
                <w:noProof/>
                <w:sz w:val="24"/>
                <w:lang w:eastAsia="en-GB"/>
              </w:rPr>
              <w:tab/>
            </w:r>
            <w:r w:rsidRPr="009455C4">
              <w:rPr>
                <w:rStyle w:val="Hyperlink"/>
                <w:noProof/>
              </w:rPr>
              <w:t>Competitive Position - Porter’s Five Forces</w:t>
            </w:r>
            <w:r>
              <w:rPr>
                <w:noProof/>
                <w:webHidden/>
              </w:rPr>
              <w:tab/>
            </w:r>
            <w:r>
              <w:rPr>
                <w:noProof/>
                <w:webHidden/>
              </w:rPr>
              <w:fldChar w:fldCharType="begin"/>
            </w:r>
            <w:r>
              <w:rPr>
                <w:noProof/>
                <w:webHidden/>
              </w:rPr>
              <w:instrText xml:space="preserve"> PAGEREF _Toc216130270 \h </w:instrText>
            </w:r>
            <w:r>
              <w:rPr>
                <w:noProof/>
                <w:webHidden/>
              </w:rPr>
            </w:r>
            <w:r>
              <w:rPr>
                <w:noProof/>
                <w:webHidden/>
              </w:rPr>
              <w:fldChar w:fldCharType="separate"/>
            </w:r>
            <w:r>
              <w:rPr>
                <w:noProof/>
                <w:webHidden/>
              </w:rPr>
              <w:t>6</w:t>
            </w:r>
            <w:r>
              <w:rPr>
                <w:noProof/>
                <w:webHidden/>
              </w:rPr>
              <w:fldChar w:fldCharType="end"/>
            </w:r>
          </w:hyperlink>
        </w:p>
        <w:p w14:paraId="394ED12F" w14:textId="51C5402D"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1" w:history="1">
            <w:r w:rsidRPr="009455C4">
              <w:rPr>
                <w:rStyle w:val="Hyperlink"/>
                <w:noProof/>
              </w:rPr>
              <w:t>3.4</w:t>
            </w:r>
            <w:r>
              <w:rPr>
                <w:rFonts w:asciiTheme="minorHAnsi" w:eastAsiaTheme="minorEastAsia" w:hAnsiTheme="minorHAnsi"/>
                <w:noProof/>
                <w:sz w:val="24"/>
                <w:lang w:eastAsia="en-GB"/>
              </w:rPr>
              <w:tab/>
            </w:r>
            <w:r w:rsidRPr="009455C4">
              <w:rPr>
                <w:rStyle w:val="Hyperlink"/>
                <w:noProof/>
              </w:rPr>
              <w:t>Value Chain Analysis for SHP</w:t>
            </w:r>
            <w:r>
              <w:rPr>
                <w:noProof/>
                <w:webHidden/>
              </w:rPr>
              <w:tab/>
            </w:r>
            <w:r>
              <w:rPr>
                <w:noProof/>
                <w:webHidden/>
              </w:rPr>
              <w:fldChar w:fldCharType="begin"/>
            </w:r>
            <w:r>
              <w:rPr>
                <w:noProof/>
                <w:webHidden/>
              </w:rPr>
              <w:instrText xml:space="preserve"> PAGEREF _Toc216130271 \h </w:instrText>
            </w:r>
            <w:r>
              <w:rPr>
                <w:noProof/>
                <w:webHidden/>
              </w:rPr>
            </w:r>
            <w:r>
              <w:rPr>
                <w:noProof/>
                <w:webHidden/>
              </w:rPr>
              <w:fldChar w:fldCharType="separate"/>
            </w:r>
            <w:r>
              <w:rPr>
                <w:noProof/>
                <w:webHidden/>
              </w:rPr>
              <w:t>7</w:t>
            </w:r>
            <w:r>
              <w:rPr>
                <w:noProof/>
                <w:webHidden/>
              </w:rPr>
              <w:fldChar w:fldCharType="end"/>
            </w:r>
          </w:hyperlink>
        </w:p>
        <w:p w14:paraId="1FBBD969" w14:textId="6EE9EF35"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2" w:history="1">
            <w:r w:rsidRPr="009455C4">
              <w:rPr>
                <w:rStyle w:val="Hyperlink"/>
                <w:noProof/>
              </w:rPr>
              <w:t>3.5</w:t>
            </w:r>
            <w:r>
              <w:rPr>
                <w:rFonts w:asciiTheme="minorHAnsi" w:eastAsiaTheme="minorEastAsia" w:hAnsiTheme="minorHAnsi"/>
                <w:noProof/>
                <w:sz w:val="24"/>
                <w:lang w:eastAsia="en-GB"/>
              </w:rPr>
              <w:tab/>
            </w:r>
            <w:r w:rsidRPr="009455C4">
              <w:rPr>
                <w:rStyle w:val="Hyperlink"/>
                <w:noProof/>
              </w:rPr>
              <w:t>Overall Synthesis and Strategic Implication</w:t>
            </w:r>
            <w:r>
              <w:rPr>
                <w:noProof/>
                <w:webHidden/>
              </w:rPr>
              <w:tab/>
            </w:r>
            <w:r>
              <w:rPr>
                <w:noProof/>
                <w:webHidden/>
              </w:rPr>
              <w:fldChar w:fldCharType="begin"/>
            </w:r>
            <w:r>
              <w:rPr>
                <w:noProof/>
                <w:webHidden/>
              </w:rPr>
              <w:instrText xml:space="preserve"> PAGEREF _Toc216130272 \h </w:instrText>
            </w:r>
            <w:r>
              <w:rPr>
                <w:noProof/>
                <w:webHidden/>
              </w:rPr>
            </w:r>
            <w:r>
              <w:rPr>
                <w:noProof/>
                <w:webHidden/>
              </w:rPr>
              <w:fldChar w:fldCharType="separate"/>
            </w:r>
            <w:r>
              <w:rPr>
                <w:noProof/>
                <w:webHidden/>
              </w:rPr>
              <w:t>8</w:t>
            </w:r>
            <w:r>
              <w:rPr>
                <w:noProof/>
                <w:webHidden/>
              </w:rPr>
              <w:fldChar w:fldCharType="end"/>
            </w:r>
          </w:hyperlink>
        </w:p>
        <w:p w14:paraId="049042C0" w14:textId="2A3AC745" w:rsidR="004C3B8B" w:rsidRDefault="004C3B8B">
          <w:pPr>
            <w:pStyle w:val="TOC1"/>
            <w:rPr>
              <w:rFonts w:asciiTheme="minorHAnsi" w:eastAsiaTheme="minorEastAsia" w:hAnsiTheme="minorHAnsi"/>
              <w:noProof/>
              <w:sz w:val="24"/>
              <w:lang w:eastAsia="en-GB"/>
            </w:rPr>
          </w:pPr>
          <w:hyperlink w:anchor="_Toc216130273" w:history="1">
            <w:r w:rsidRPr="009455C4">
              <w:rPr>
                <w:rStyle w:val="Hyperlink"/>
                <w:rFonts w:eastAsia="Times New Roman" w:cs="Arial"/>
                <w:noProof/>
                <w:lang w:eastAsia="en-GB"/>
              </w:rPr>
              <w:t>4.</w:t>
            </w:r>
            <w:r>
              <w:rPr>
                <w:rFonts w:asciiTheme="minorHAnsi" w:eastAsiaTheme="minorEastAsia" w:hAnsiTheme="minorHAnsi"/>
                <w:noProof/>
                <w:sz w:val="24"/>
                <w:lang w:eastAsia="en-GB"/>
              </w:rPr>
              <w:tab/>
            </w:r>
            <w:r w:rsidRPr="009455C4">
              <w:rPr>
                <w:rStyle w:val="Hyperlink"/>
                <w:noProof/>
              </w:rPr>
              <w:t>Strategic Growth Choices for SMEs</w:t>
            </w:r>
            <w:r>
              <w:rPr>
                <w:noProof/>
                <w:webHidden/>
              </w:rPr>
              <w:tab/>
            </w:r>
            <w:r>
              <w:rPr>
                <w:noProof/>
                <w:webHidden/>
              </w:rPr>
              <w:fldChar w:fldCharType="begin"/>
            </w:r>
            <w:r>
              <w:rPr>
                <w:noProof/>
                <w:webHidden/>
              </w:rPr>
              <w:instrText xml:space="preserve"> PAGEREF _Toc216130273 \h </w:instrText>
            </w:r>
            <w:r>
              <w:rPr>
                <w:noProof/>
                <w:webHidden/>
              </w:rPr>
            </w:r>
            <w:r>
              <w:rPr>
                <w:noProof/>
                <w:webHidden/>
              </w:rPr>
              <w:fldChar w:fldCharType="separate"/>
            </w:r>
            <w:r>
              <w:rPr>
                <w:noProof/>
                <w:webHidden/>
              </w:rPr>
              <w:t>9</w:t>
            </w:r>
            <w:r>
              <w:rPr>
                <w:noProof/>
                <w:webHidden/>
              </w:rPr>
              <w:fldChar w:fldCharType="end"/>
            </w:r>
          </w:hyperlink>
        </w:p>
        <w:p w14:paraId="2D5D7CAB" w14:textId="662CCEB9"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4" w:history="1">
            <w:r w:rsidRPr="009455C4">
              <w:rPr>
                <w:rStyle w:val="Hyperlink"/>
                <w:noProof/>
              </w:rPr>
              <w:t>4.1</w:t>
            </w:r>
            <w:r>
              <w:rPr>
                <w:rFonts w:asciiTheme="minorHAnsi" w:eastAsiaTheme="minorEastAsia" w:hAnsiTheme="minorHAnsi"/>
                <w:noProof/>
                <w:sz w:val="24"/>
                <w:lang w:eastAsia="en-GB"/>
              </w:rPr>
              <w:tab/>
            </w:r>
            <w:r w:rsidRPr="009455C4">
              <w:rPr>
                <w:rStyle w:val="Hyperlink"/>
                <w:noProof/>
              </w:rPr>
              <w:t>Porter’s Generic Strategies</w:t>
            </w:r>
            <w:r>
              <w:rPr>
                <w:noProof/>
                <w:webHidden/>
              </w:rPr>
              <w:tab/>
            </w:r>
            <w:r>
              <w:rPr>
                <w:noProof/>
                <w:webHidden/>
              </w:rPr>
              <w:fldChar w:fldCharType="begin"/>
            </w:r>
            <w:r>
              <w:rPr>
                <w:noProof/>
                <w:webHidden/>
              </w:rPr>
              <w:instrText xml:space="preserve"> PAGEREF _Toc216130274 \h </w:instrText>
            </w:r>
            <w:r>
              <w:rPr>
                <w:noProof/>
                <w:webHidden/>
              </w:rPr>
            </w:r>
            <w:r>
              <w:rPr>
                <w:noProof/>
                <w:webHidden/>
              </w:rPr>
              <w:fldChar w:fldCharType="separate"/>
            </w:r>
            <w:r>
              <w:rPr>
                <w:noProof/>
                <w:webHidden/>
              </w:rPr>
              <w:t>9</w:t>
            </w:r>
            <w:r>
              <w:rPr>
                <w:noProof/>
                <w:webHidden/>
              </w:rPr>
              <w:fldChar w:fldCharType="end"/>
            </w:r>
          </w:hyperlink>
        </w:p>
        <w:p w14:paraId="76847972" w14:textId="01D2B5A4"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5" w:history="1">
            <w:r w:rsidRPr="009455C4">
              <w:rPr>
                <w:rStyle w:val="Hyperlink"/>
                <w:noProof/>
              </w:rPr>
              <w:t>4.2</w:t>
            </w:r>
            <w:r>
              <w:rPr>
                <w:rFonts w:asciiTheme="minorHAnsi" w:eastAsiaTheme="minorEastAsia" w:hAnsiTheme="minorHAnsi"/>
                <w:noProof/>
                <w:sz w:val="24"/>
                <w:lang w:eastAsia="en-GB"/>
              </w:rPr>
              <w:tab/>
            </w:r>
            <w:r w:rsidRPr="009455C4">
              <w:rPr>
                <w:rStyle w:val="Hyperlink"/>
                <w:noProof/>
              </w:rPr>
              <w:t>Growth Direction - Ansoff Matrix</w:t>
            </w:r>
            <w:r>
              <w:rPr>
                <w:noProof/>
                <w:webHidden/>
              </w:rPr>
              <w:tab/>
            </w:r>
            <w:r>
              <w:rPr>
                <w:noProof/>
                <w:webHidden/>
              </w:rPr>
              <w:fldChar w:fldCharType="begin"/>
            </w:r>
            <w:r>
              <w:rPr>
                <w:noProof/>
                <w:webHidden/>
              </w:rPr>
              <w:instrText xml:space="preserve"> PAGEREF _Toc216130275 \h </w:instrText>
            </w:r>
            <w:r>
              <w:rPr>
                <w:noProof/>
                <w:webHidden/>
              </w:rPr>
            </w:r>
            <w:r>
              <w:rPr>
                <w:noProof/>
                <w:webHidden/>
              </w:rPr>
              <w:fldChar w:fldCharType="separate"/>
            </w:r>
            <w:r>
              <w:rPr>
                <w:noProof/>
                <w:webHidden/>
              </w:rPr>
              <w:t>10</w:t>
            </w:r>
            <w:r>
              <w:rPr>
                <w:noProof/>
                <w:webHidden/>
              </w:rPr>
              <w:fldChar w:fldCharType="end"/>
            </w:r>
          </w:hyperlink>
        </w:p>
        <w:p w14:paraId="5333F5A3" w14:textId="0AD5A003"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6" w:history="1">
            <w:r w:rsidRPr="009455C4">
              <w:rPr>
                <w:rStyle w:val="Hyperlink"/>
                <w:noProof/>
              </w:rPr>
              <w:t>4.3</w:t>
            </w:r>
            <w:r>
              <w:rPr>
                <w:rFonts w:asciiTheme="minorHAnsi" w:eastAsiaTheme="minorEastAsia" w:hAnsiTheme="minorHAnsi"/>
                <w:noProof/>
                <w:sz w:val="24"/>
                <w:lang w:eastAsia="en-GB"/>
              </w:rPr>
              <w:tab/>
            </w:r>
            <w:r w:rsidRPr="009455C4">
              <w:rPr>
                <w:rStyle w:val="Hyperlink"/>
                <w:noProof/>
              </w:rPr>
              <w:t>Bowman’s Strategic Clock</w:t>
            </w:r>
            <w:r>
              <w:rPr>
                <w:noProof/>
                <w:webHidden/>
              </w:rPr>
              <w:tab/>
            </w:r>
            <w:r>
              <w:rPr>
                <w:noProof/>
                <w:webHidden/>
              </w:rPr>
              <w:fldChar w:fldCharType="begin"/>
            </w:r>
            <w:r>
              <w:rPr>
                <w:noProof/>
                <w:webHidden/>
              </w:rPr>
              <w:instrText xml:space="preserve"> PAGEREF _Toc216130276 \h </w:instrText>
            </w:r>
            <w:r>
              <w:rPr>
                <w:noProof/>
                <w:webHidden/>
              </w:rPr>
            </w:r>
            <w:r>
              <w:rPr>
                <w:noProof/>
                <w:webHidden/>
              </w:rPr>
              <w:fldChar w:fldCharType="separate"/>
            </w:r>
            <w:r>
              <w:rPr>
                <w:noProof/>
                <w:webHidden/>
              </w:rPr>
              <w:t>11</w:t>
            </w:r>
            <w:r>
              <w:rPr>
                <w:noProof/>
                <w:webHidden/>
              </w:rPr>
              <w:fldChar w:fldCharType="end"/>
            </w:r>
          </w:hyperlink>
        </w:p>
        <w:p w14:paraId="0B63455C" w14:textId="7B78DD96" w:rsidR="004C3B8B" w:rsidRDefault="004C3B8B">
          <w:pPr>
            <w:pStyle w:val="TOC1"/>
            <w:rPr>
              <w:rFonts w:asciiTheme="minorHAnsi" w:eastAsiaTheme="minorEastAsia" w:hAnsiTheme="minorHAnsi"/>
              <w:noProof/>
              <w:sz w:val="24"/>
              <w:lang w:eastAsia="en-GB"/>
            </w:rPr>
          </w:pPr>
          <w:hyperlink w:anchor="_Toc216130277" w:history="1">
            <w:r w:rsidRPr="009455C4">
              <w:rPr>
                <w:rStyle w:val="Hyperlink"/>
                <w:rFonts w:eastAsia="Times New Roman"/>
                <w:noProof/>
                <w:lang w:eastAsia="en-GB"/>
              </w:rPr>
              <w:t>5.</w:t>
            </w:r>
            <w:r>
              <w:rPr>
                <w:rFonts w:asciiTheme="minorHAnsi" w:eastAsiaTheme="minorEastAsia" w:hAnsiTheme="minorHAnsi"/>
                <w:noProof/>
                <w:sz w:val="24"/>
                <w:lang w:eastAsia="en-GB"/>
              </w:rPr>
              <w:tab/>
            </w:r>
            <w:r w:rsidRPr="009455C4">
              <w:rPr>
                <w:rStyle w:val="Hyperlink"/>
                <w:rFonts w:eastAsia="Times New Roman"/>
                <w:noProof/>
                <w:lang w:eastAsia="en-GB"/>
              </w:rPr>
              <w:t>Proposed Sustainable Strategy:</w:t>
            </w:r>
            <w:r w:rsidRPr="009455C4">
              <w:rPr>
                <w:rStyle w:val="Hyperlink"/>
                <w:noProof/>
              </w:rPr>
              <w:t xml:space="preserve"> “Sustainable Homes and Communities (SHC)”</w:t>
            </w:r>
            <w:r>
              <w:rPr>
                <w:noProof/>
                <w:webHidden/>
              </w:rPr>
              <w:tab/>
            </w:r>
            <w:r>
              <w:rPr>
                <w:noProof/>
                <w:webHidden/>
              </w:rPr>
              <w:fldChar w:fldCharType="begin"/>
            </w:r>
            <w:r>
              <w:rPr>
                <w:noProof/>
                <w:webHidden/>
              </w:rPr>
              <w:instrText xml:space="preserve"> PAGEREF _Toc216130277 \h </w:instrText>
            </w:r>
            <w:r>
              <w:rPr>
                <w:noProof/>
                <w:webHidden/>
              </w:rPr>
            </w:r>
            <w:r>
              <w:rPr>
                <w:noProof/>
                <w:webHidden/>
              </w:rPr>
              <w:fldChar w:fldCharType="separate"/>
            </w:r>
            <w:r>
              <w:rPr>
                <w:noProof/>
                <w:webHidden/>
              </w:rPr>
              <w:t>13</w:t>
            </w:r>
            <w:r>
              <w:rPr>
                <w:noProof/>
                <w:webHidden/>
              </w:rPr>
              <w:fldChar w:fldCharType="end"/>
            </w:r>
          </w:hyperlink>
        </w:p>
        <w:p w14:paraId="7A689769" w14:textId="483B97C2"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8" w:history="1">
            <w:r w:rsidRPr="009455C4">
              <w:rPr>
                <w:rStyle w:val="Hyperlink"/>
                <w:noProof/>
              </w:rPr>
              <w:t>5.1</w:t>
            </w:r>
            <w:r>
              <w:rPr>
                <w:rFonts w:asciiTheme="minorHAnsi" w:eastAsiaTheme="minorEastAsia" w:hAnsiTheme="minorHAnsi"/>
                <w:noProof/>
                <w:sz w:val="24"/>
                <w:lang w:eastAsia="en-GB"/>
              </w:rPr>
              <w:tab/>
            </w:r>
            <w:r w:rsidRPr="009455C4">
              <w:rPr>
                <w:rStyle w:val="Hyperlink"/>
                <w:noProof/>
              </w:rPr>
              <w:t>Pillar 1: Decarbonisation and Asset Sustainability</w:t>
            </w:r>
            <w:r>
              <w:rPr>
                <w:noProof/>
                <w:webHidden/>
              </w:rPr>
              <w:tab/>
            </w:r>
            <w:r>
              <w:rPr>
                <w:noProof/>
                <w:webHidden/>
              </w:rPr>
              <w:fldChar w:fldCharType="begin"/>
            </w:r>
            <w:r>
              <w:rPr>
                <w:noProof/>
                <w:webHidden/>
              </w:rPr>
              <w:instrText xml:space="preserve"> PAGEREF _Toc216130278 \h </w:instrText>
            </w:r>
            <w:r>
              <w:rPr>
                <w:noProof/>
                <w:webHidden/>
              </w:rPr>
            </w:r>
            <w:r>
              <w:rPr>
                <w:noProof/>
                <w:webHidden/>
              </w:rPr>
              <w:fldChar w:fldCharType="separate"/>
            </w:r>
            <w:r>
              <w:rPr>
                <w:noProof/>
                <w:webHidden/>
              </w:rPr>
              <w:t>13</w:t>
            </w:r>
            <w:r>
              <w:rPr>
                <w:noProof/>
                <w:webHidden/>
              </w:rPr>
              <w:fldChar w:fldCharType="end"/>
            </w:r>
          </w:hyperlink>
        </w:p>
        <w:p w14:paraId="198591CE" w14:textId="0F94EC21"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79" w:history="1">
            <w:r w:rsidRPr="009455C4">
              <w:rPr>
                <w:rStyle w:val="Hyperlink"/>
                <w:noProof/>
                <w:lang w:val="fr-FR"/>
              </w:rPr>
              <w:t>5.2</w:t>
            </w:r>
            <w:r>
              <w:rPr>
                <w:rFonts w:asciiTheme="minorHAnsi" w:eastAsiaTheme="minorEastAsia" w:hAnsiTheme="minorHAnsi"/>
                <w:noProof/>
                <w:sz w:val="24"/>
                <w:lang w:eastAsia="en-GB"/>
              </w:rPr>
              <w:tab/>
            </w:r>
            <w:r w:rsidRPr="009455C4">
              <w:rPr>
                <w:rStyle w:val="Hyperlink"/>
                <w:noProof/>
                <w:lang w:val="fr-FR"/>
              </w:rPr>
              <w:t>Pillar 2: Digital Transformation and Service Modernisation</w:t>
            </w:r>
            <w:r>
              <w:rPr>
                <w:noProof/>
                <w:webHidden/>
              </w:rPr>
              <w:tab/>
            </w:r>
            <w:r>
              <w:rPr>
                <w:noProof/>
                <w:webHidden/>
              </w:rPr>
              <w:fldChar w:fldCharType="begin"/>
            </w:r>
            <w:r>
              <w:rPr>
                <w:noProof/>
                <w:webHidden/>
              </w:rPr>
              <w:instrText xml:space="preserve"> PAGEREF _Toc216130279 \h </w:instrText>
            </w:r>
            <w:r>
              <w:rPr>
                <w:noProof/>
                <w:webHidden/>
              </w:rPr>
            </w:r>
            <w:r>
              <w:rPr>
                <w:noProof/>
                <w:webHidden/>
              </w:rPr>
              <w:fldChar w:fldCharType="separate"/>
            </w:r>
            <w:r>
              <w:rPr>
                <w:noProof/>
                <w:webHidden/>
              </w:rPr>
              <w:t>14</w:t>
            </w:r>
            <w:r>
              <w:rPr>
                <w:noProof/>
                <w:webHidden/>
              </w:rPr>
              <w:fldChar w:fldCharType="end"/>
            </w:r>
          </w:hyperlink>
        </w:p>
        <w:p w14:paraId="34374CA6" w14:textId="510F4553"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80" w:history="1">
            <w:r w:rsidRPr="009455C4">
              <w:rPr>
                <w:rStyle w:val="Hyperlink"/>
                <w:noProof/>
              </w:rPr>
              <w:t>5.3</w:t>
            </w:r>
            <w:r>
              <w:rPr>
                <w:rFonts w:asciiTheme="minorHAnsi" w:eastAsiaTheme="minorEastAsia" w:hAnsiTheme="minorHAnsi"/>
                <w:noProof/>
                <w:sz w:val="24"/>
                <w:lang w:eastAsia="en-GB"/>
              </w:rPr>
              <w:tab/>
            </w:r>
            <w:r w:rsidRPr="009455C4">
              <w:rPr>
                <w:rStyle w:val="Hyperlink"/>
                <w:noProof/>
              </w:rPr>
              <w:t>Pillar 3: Resident-Centred Service Differentiation</w:t>
            </w:r>
            <w:r>
              <w:rPr>
                <w:noProof/>
                <w:webHidden/>
              </w:rPr>
              <w:tab/>
            </w:r>
            <w:r>
              <w:rPr>
                <w:noProof/>
                <w:webHidden/>
              </w:rPr>
              <w:fldChar w:fldCharType="begin"/>
            </w:r>
            <w:r>
              <w:rPr>
                <w:noProof/>
                <w:webHidden/>
              </w:rPr>
              <w:instrText xml:space="preserve"> PAGEREF _Toc216130280 \h </w:instrText>
            </w:r>
            <w:r>
              <w:rPr>
                <w:noProof/>
                <w:webHidden/>
              </w:rPr>
            </w:r>
            <w:r>
              <w:rPr>
                <w:noProof/>
                <w:webHidden/>
              </w:rPr>
              <w:fldChar w:fldCharType="separate"/>
            </w:r>
            <w:r>
              <w:rPr>
                <w:noProof/>
                <w:webHidden/>
              </w:rPr>
              <w:t>15</w:t>
            </w:r>
            <w:r>
              <w:rPr>
                <w:noProof/>
                <w:webHidden/>
              </w:rPr>
              <w:fldChar w:fldCharType="end"/>
            </w:r>
          </w:hyperlink>
        </w:p>
        <w:p w14:paraId="48845AB7" w14:textId="1B20A8B2"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81" w:history="1">
            <w:r w:rsidRPr="009455C4">
              <w:rPr>
                <w:rStyle w:val="Hyperlink"/>
                <w:noProof/>
              </w:rPr>
              <w:t>5.4</w:t>
            </w:r>
            <w:r>
              <w:rPr>
                <w:rFonts w:asciiTheme="minorHAnsi" w:eastAsiaTheme="minorEastAsia" w:hAnsiTheme="minorHAnsi"/>
                <w:noProof/>
                <w:sz w:val="24"/>
                <w:lang w:eastAsia="en-GB"/>
              </w:rPr>
              <w:tab/>
            </w:r>
            <w:r w:rsidRPr="009455C4">
              <w:rPr>
                <w:rStyle w:val="Hyperlink"/>
                <w:noProof/>
              </w:rPr>
              <w:t>Phased Implementation and Resource Allocation</w:t>
            </w:r>
            <w:r>
              <w:rPr>
                <w:noProof/>
                <w:webHidden/>
              </w:rPr>
              <w:tab/>
            </w:r>
            <w:r>
              <w:rPr>
                <w:noProof/>
                <w:webHidden/>
              </w:rPr>
              <w:fldChar w:fldCharType="begin"/>
            </w:r>
            <w:r>
              <w:rPr>
                <w:noProof/>
                <w:webHidden/>
              </w:rPr>
              <w:instrText xml:space="preserve"> PAGEREF _Toc216130281 \h </w:instrText>
            </w:r>
            <w:r>
              <w:rPr>
                <w:noProof/>
                <w:webHidden/>
              </w:rPr>
            </w:r>
            <w:r>
              <w:rPr>
                <w:noProof/>
                <w:webHidden/>
              </w:rPr>
              <w:fldChar w:fldCharType="separate"/>
            </w:r>
            <w:r>
              <w:rPr>
                <w:noProof/>
                <w:webHidden/>
              </w:rPr>
              <w:t>16</w:t>
            </w:r>
            <w:r>
              <w:rPr>
                <w:noProof/>
                <w:webHidden/>
              </w:rPr>
              <w:fldChar w:fldCharType="end"/>
            </w:r>
          </w:hyperlink>
        </w:p>
        <w:p w14:paraId="1898F33A" w14:textId="14FDB434"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82" w:history="1">
            <w:r w:rsidRPr="009455C4">
              <w:rPr>
                <w:rStyle w:val="Hyperlink"/>
                <w:noProof/>
              </w:rPr>
              <w:t>5.5</w:t>
            </w:r>
            <w:r>
              <w:rPr>
                <w:rFonts w:asciiTheme="minorHAnsi" w:eastAsiaTheme="minorEastAsia" w:hAnsiTheme="minorHAnsi"/>
                <w:noProof/>
                <w:sz w:val="24"/>
                <w:lang w:eastAsia="en-GB"/>
              </w:rPr>
              <w:tab/>
            </w:r>
            <w:r w:rsidRPr="009455C4">
              <w:rPr>
                <w:rStyle w:val="Hyperlink"/>
                <w:noProof/>
              </w:rPr>
              <w:t>Monitoring and Governance Mechanisms</w:t>
            </w:r>
            <w:r>
              <w:rPr>
                <w:noProof/>
                <w:webHidden/>
              </w:rPr>
              <w:tab/>
            </w:r>
            <w:r>
              <w:rPr>
                <w:noProof/>
                <w:webHidden/>
              </w:rPr>
              <w:fldChar w:fldCharType="begin"/>
            </w:r>
            <w:r>
              <w:rPr>
                <w:noProof/>
                <w:webHidden/>
              </w:rPr>
              <w:instrText xml:space="preserve"> PAGEREF _Toc216130282 \h </w:instrText>
            </w:r>
            <w:r>
              <w:rPr>
                <w:noProof/>
                <w:webHidden/>
              </w:rPr>
            </w:r>
            <w:r>
              <w:rPr>
                <w:noProof/>
                <w:webHidden/>
              </w:rPr>
              <w:fldChar w:fldCharType="separate"/>
            </w:r>
            <w:r>
              <w:rPr>
                <w:noProof/>
                <w:webHidden/>
              </w:rPr>
              <w:t>17</w:t>
            </w:r>
            <w:r>
              <w:rPr>
                <w:noProof/>
                <w:webHidden/>
              </w:rPr>
              <w:fldChar w:fldCharType="end"/>
            </w:r>
          </w:hyperlink>
        </w:p>
        <w:p w14:paraId="3EB7BC41" w14:textId="150E7704" w:rsidR="004C3B8B" w:rsidRDefault="004C3B8B">
          <w:pPr>
            <w:pStyle w:val="TOC1"/>
            <w:rPr>
              <w:rFonts w:asciiTheme="minorHAnsi" w:eastAsiaTheme="minorEastAsia" w:hAnsiTheme="minorHAnsi"/>
              <w:noProof/>
              <w:sz w:val="24"/>
              <w:lang w:eastAsia="en-GB"/>
            </w:rPr>
          </w:pPr>
          <w:hyperlink w:anchor="_Toc216130283" w:history="1">
            <w:r w:rsidRPr="009455C4">
              <w:rPr>
                <w:rStyle w:val="Hyperlink"/>
                <w:rFonts w:eastAsia="Times New Roman"/>
                <w:noProof/>
                <w:lang w:eastAsia="en-GB"/>
              </w:rPr>
              <w:t>6.</w:t>
            </w:r>
            <w:r>
              <w:rPr>
                <w:rFonts w:asciiTheme="minorHAnsi" w:eastAsiaTheme="minorEastAsia" w:hAnsiTheme="minorHAnsi"/>
                <w:noProof/>
                <w:sz w:val="24"/>
                <w:lang w:eastAsia="en-GB"/>
              </w:rPr>
              <w:tab/>
            </w:r>
            <w:r w:rsidRPr="009455C4">
              <w:rPr>
                <w:rStyle w:val="Hyperlink"/>
                <w:rFonts w:eastAsia="Times New Roman"/>
                <w:noProof/>
                <w:lang w:eastAsia="en-GB"/>
              </w:rPr>
              <w:t xml:space="preserve">Stakeholder Analysis and Strategic </w:t>
            </w:r>
            <w:r w:rsidRPr="009455C4">
              <w:rPr>
                <w:rStyle w:val="Hyperlink"/>
                <w:rFonts w:eastAsia="Times New Roman"/>
                <w:iCs/>
                <w:noProof/>
                <w:lang w:eastAsia="en-GB"/>
              </w:rPr>
              <w:t>Implications</w:t>
            </w:r>
            <w:r>
              <w:rPr>
                <w:noProof/>
                <w:webHidden/>
              </w:rPr>
              <w:tab/>
            </w:r>
            <w:r>
              <w:rPr>
                <w:noProof/>
                <w:webHidden/>
              </w:rPr>
              <w:fldChar w:fldCharType="begin"/>
            </w:r>
            <w:r>
              <w:rPr>
                <w:noProof/>
                <w:webHidden/>
              </w:rPr>
              <w:instrText xml:space="preserve"> PAGEREF _Toc216130283 \h </w:instrText>
            </w:r>
            <w:r>
              <w:rPr>
                <w:noProof/>
                <w:webHidden/>
              </w:rPr>
            </w:r>
            <w:r>
              <w:rPr>
                <w:noProof/>
                <w:webHidden/>
              </w:rPr>
              <w:fldChar w:fldCharType="separate"/>
            </w:r>
            <w:r>
              <w:rPr>
                <w:noProof/>
                <w:webHidden/>
              </w:rPr>
              <w:t>17</w:t>
            </w:r>
            <w:r>
              <w:rPr>
                <w:noProof/>
                <w:webHidden/>
              </w:rPr>
              <w:fldChar w:fldCharType="end"/>
            </w:r>
          </w:hyperlink>
        </w:p>
        <w:p w14:paraId="29BDEEB1" w14:textId="69FECA8D"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84" w:history="1">
            <w:r w:rsidRPr="009455C4">
              <w:rPr>
                <w:rStyle w:val="Hyperlink"/>
                <w:noProof/>
              </w:rPr>
              <w:t>6.1</w:t>
            </w:r>
            <w:r>
              <w:rPr>
                <w:rFonts w:asciiTheme="minorHAnsi" w:eastAsiaTheme="minorEastAsia" w:hAnsiTheme="minorHAnsi"/>
                <w:noProof/>
                <w:sz w:val="24"/>
                <w:lang w:eastAsia="en-GB"/>
              </w:rPr>
              <w:tab/>
            </w:r>
            <w:r w:rsidRPr="009455C4">
              <w:rPr>
                <w:rStyle w:val="Hyperlink"/>
                <w:noProof/>
              </w:rPr>
              <w:t>Stakeholder Identification and Interest</w:t>
            </w:r>
            <w:r>
              <w:rPr>
                <w:noProof/>
                <w:webHidden/>
              </w:rPr>
              <w:tab/>
            </w:r>
            <w:r>
              <w:rPr>
                <w:noProof/>
                <w:webHidden/>
              </w:rPr>
              <w:fldChar w:fldCharType="begin"/>
            </w:r>
            <w:r>
              <w:rPr>
                <w:noProof/>
                <w:webHidden/>
              </w:rPr>
              <w:instrText xml:space="preserve"> PAGEREF _Toc216130284 \h </w:instrText>
            </w:r>
            <w:r>
              <w:rPr>
                <w:noProof/>
                <w:webHidden/>
              </w:rPr>
            </w:r>
            <w:r>
              <w:rPr>
                <w:noProof/>
                <w:webHidden/>
              </w:rPr>
              <w:fldChar w:fldCharType="separate"/>
            </w:r>
            <w:r>
              <w:rPr>
                <w:noProof/>
                <w:webHidden/>
              </w:rPr>
              <w:t>17</w:t>
            </w:r>
            <w:r>
              <w:rPr>
                <w:noProof/>
                <w:webHidden/>
              </w:rPr>
              <w:fldChar w:fldCharType="end"/>
            </w:r>
          </w:hyperlink>
        </w:p>
        <w:p w14:paraId="767AD769" w14:textId="0D451010" w:rsidR="004C3B8B" w:rsidRDefault="004C3B8B">
          <w:pPr>
            <w:pStyle w:val="TOC2"/>
            <w:tabs>
              <w:tab w:val="left" w:pos="960"/>
              <w:tab w:val="right" w:leader="dot" w:pos="9016"/>
            </w:tabs>
            <w:rPr>
              <w:rFonts w:asciiTheme="minorHAnsi" w:eastAsiaTheme="minorEastAsia" w:hAnsiTheme="minorHAnsi"/>
              <w:noProof/>
              <w:sz w:val="24"/>
              <w:lang w:eastAsia="en-GB"/>
            </w:rPr>
          </w:pPr>
          <w:hyperlink w:anchor="_Toc216130285" w:history="1">
            <w:r w:rsidRPr="009455C4">
              <w:rPr>
                <w:rStyle w:val="Hyperlink"/>
                <w:noProof/>
              </w:rPr>
              <w:t>6.2</w:t>
            </w:r>
            <w:r>
              <w:rPr>
                <w:rFonts w:asciiTheme="minorHAnsi" w:eastAsiaTheme="minorEastAsia" w:hAnsiTheme="minorHAnsi"/>
                <w:noProof/>
                <w:sz w:val="24"/>
                <w:lang w:eastAsia="en-GB"/>
              </w:rPr>
              <w:tab/>
            </w:r>
            <w:r w:rsidRPr="009455C4">
              <w:rPr>
                <w:rStyle w:val="Hyperlink"/>
                <w:noProof/>
              </w:rPr>
              <w:t>Mendelow’s Power–Interest Matrix</w:t>
            </w:r>
            <w:r>
              <w:rPr>
                <w:noProof/>
                <w:webHidden/>
              </w:rPr>
              <w:tab/>
            </w:r>
            <w:r>
              <w:rPr>
                <w:noProof/>
                <w:webHidden/>
              </w:rPr>
              <w:fldChar w:fldCharType="begin"/>
            </w:r>
            <w:r>
              <w:rPr>
                <w:noProof/>
                <w:webHidden/>
              </w:rPr>
              <w:instrText xml:space="preserve"> PAGEREF _Toc216130285 \h </w:instrText>
            </w:r>
            <w:r>
              <w:rPr>
                <w:noProof/>
                <w:webHidden/>
              </w:rPr>
            </w:r>
            <w:r>
              <w:rPr>
                <w:noProof/>
                <w:webHidden/>
              </w:rPr>
              <w:fldChar w:fldCharType="separate"/>
            </w:r>
            <w:r>
              <w:rPr>
                <w:noProof/>
                <w:webHidden/>
              </w:rPr>
              <w:t>19</w:t>
            </w:r>
            <w:r>
              <w:rPr>
                <w:noProof/>
                <w:webHidden/>
              </w:rPr>
              <w:fldChar w:fldCharType="end"/>
            </w:r>
          </w:hyperlink>
        </w:p>
        <w:p w14:paraId="61A6D28D" w14:textId="0753368A" w:rsidR="004C3B8B" w:rsidRDefault="004C3B8B">
          <w:pPr>
            <w:pStyle w:val="TOC2"/>
            <w:tabs>
              <w:tab w:val="right" w:leader="dot" w:pos="9016"/>
            </w:tabs>
            <w:rPr>
              <w:rFonts w:asciiTheme="minorHAnsi" w:eastAsiaTheme="minorEastAsia" w:hAnsiTheme="minorHAnsi"/>
              <w:noProof/>
              <w:sz w:val="24"/>
              <w:lang w:eastAsia="en-GB"/>
            </w:rPr>
          </w:pPr>
          <w:hyperlink w:anchor="_Toc216130286" w:history="1">
            <w:r w:rsidRPr="009455C4">
              <w:rPr>
                <w:rStyle w:val="Hyperlink"/>
                <w:noProof/>
              </w:rPr>
              <w:t>6.3 RACI Matrix for SHP’s Strategic Programme Delivery</w:t>
            </w:r>
            <w:r>
              <w:rPr>
                <w:noProof/>
                <w:webHidden/>
              </w:rPr>
              <w:tab/>
            </w:r>
            <w:r>
              <w:rPr>
                <w:noProof/>
                <w:webHidden/>
              </w:rPr>
              <w:fldChar w:fldCharType="begin"/>
            </w:r>
            <w:r>
              <w:rPr>
                <w:noProof/>
                <w:webHidden/>
              </w:rPr>
              <w:instrText xml:space="preserve"> PAGEREF _Toc216130286 \h </w:instrText>
            </w:r>
            <w:r>
              <w:rPr>
                <w:noProof/>
                <w:webHidden/>
              </w:rPr>
            </w:r>
            <w:r>
              <w:rPr>
                <w:noProof/>
                <w:webHidden/>
              </w:rPr>
              <w:fldChar w:fldCharType="separate"/>
            </w:r>
            <w:r>
              <w:rPr>
                <w:noProof/>
                <w:webHidden/>
              </w:rPr>
              <w:t>20</w:t>
            </w:r>
            <w:r>
              <w:rPr>
                <w:noProof/>
                <w:webHidden/>
              </w:rPr>
              <w:fldChar w:fldCharType="end"/>
            </w:r>
          </w:hyperlink>
        </w:p>
        <w:p w14:paraId="57E84B5B" w14:textId="631A5E23" w:rsidR="004C3B8B" w:rsidRDefault="004C3B8B">
          <w:pPr>
            <w:pStyle w:val="TOC2"/>
            <w:tabs>
              <w:tab w:val="right" w:leader="dot" w:pos="9016"/>
            </w:tabs>
            <w:rPr>
              <w:rFonts w:asciiTheme="minorHAnsi" w:eastAsiaTheme="minorEastAsia" w:hAnsiTheme="minorHAnsi"/>
              <w:noProof/>
              <w:sz w:val="24"/>
              <w:lang w:eastAsia="en-GB"/>
            </w:rPr>
          </w:pPr>
          <w:hyperlink w:anchor="_Toc216130287" w:history="1">
            <w:r w:rsidRPr="009455C4">
              <w:rPr>
                <w:rStyle w:val="Hyperlink"/>
                <w:noProof/>
              </w:rPr>
              <w:t>6.4 Strategic Implications</w:t>
            </w:r>
            <w:r>
              <w:rPr>
                <w:noProof/>
                <w:webHidden/>
              </w:rPr>
              <w:tab/>
            </w:r>
            <w:r>
              <w:rPr>
                <w:noProof/>
                <w:webHidden/>
              </w:rPr>
              <w:fldChar w:fldCharType="begin"/>
            </w:r>
            <w:r>
              <w:rPr>
                <w:noProof/>
                <w:webHidden/>
              </w:rPr>
              <w:instrText xml:space="preserve"> PAGEREF _Toc216130287 \h </w:instrText>
            </w:r>
            <w:r>
              <w:rPr>
                <w:noProof/>
                <w:webHidden/>
              </w:rPr>
            </w:r>
            <w:r>
              <w:rPr>
                <w:noProof/>
                <w:webHidden/>
              </w:rPr>
              <w:fldChar w:fldCharType="separate"/>
            </w:r>
            <w:r>
              <w:rPr>
                <w:noProof/>
                <w:webHidden/>
              </w:rPr>
              <w:t>21</w:t>
            </w:r>
            <w:r>
              <w:rPr>
                <w:noProof/>
                <w:webHidden/>
              </w:rPr>
              <w:fldChar w:fldCharType="end"/>
            </w:r>
          </w:hyperlink>
        </w:p>
        <w:p w14:paraId="059FBDA0" w14:textId="0B0DCBDD" w:rsidR="004C3B8B" w:rsidRDefault="004C3B8B">
          <w:pPr>
            <w:pStyle w:val="TOC1"/>
            <w:rPr>
              <w:rFonts w:asciiTheme="minorHAnsi" w:eastAsiaTheme="minorEastAsia" w:hAnsiTheme="minorHAnsi"/>
              <w:noProof/>
              <w:sz w:val="24"/>
              <w:lang w:eastAsia="en-GB"/>
            </w:rPr>
          </w:pPr>
          <w:hyperlink w:anchor="_Toc216130288" w:history="1">
            <w:r w:rsidRPr="009455C4">
              <w:rPr>
                <w:rStyle w:val="Hyperlink"/>
                <w:rFonts w:eastAsia="Times New Roman"/>
                <w:noProof/>
                <w:lang w:eastAsia="en-GB"/>
              </w:rPr>
              <w:t>7.</w:t>
            </w:r>
            <w:r>
              <w:rPr>
                <w:rFonts w:asciiTheme="minorHAnsi" w:eastAsiaTheme="minorEastAsia" w:hAnsiTheme="minorHAnsi"/>
                <w:noProof/>
                <w:sz w:val="24"/>
                <w:lang w:eastAsia="en-GB"/>
              </w:rPr>
              <w:tab/>
            </w:r>
            <w:r w:rsidRPr="009455C4">
              <w:rPr>
                <w:rStyle w:val="Hyperlink"/>
                <w:noProof/>
              </w:rPr>
              <w:t>Strategic Recommendations</w:t>
            </w:r>
            <w:r>
              <w:rPr>
                <w:noProof/>
                <w:webHidden/>
              </w:rPr>
              <w:tab/>
            </w:r>
            <w:r>
              <w:rPr>
                <w:noProof/>
                <w:webHidden/>
              </w:rPr>
              <w:fldChar w:fldCharType="begin"/>
            </w:r>
            <w:r>
              <w:rPr>
                <w:noProof/>
                <w:webHidden/>
              </w:rPr>
              <w:instrText xml:space="preserve"> PAGEREF _Toc216130288 \h </w:instrText>
            </w:r>
            <w:r>
              <w:rPr>
                <w:noProof/>
                <w:webHidden/>
              </w:rPr>
            </w:r>
            <w:r>
              <w:rPr>
                <w:noProof/>
                <w:webHidden/>
              </w:rPr>
              <w:fldChar w:fldCharType="separate"/>
            </w:r>
            <w:r>
              <w:rPr>
                <w:noProof/>
                <w:webHidden/>
              </w:rPr>
              <w:t>23</w:t>
            </w:r>
            <w:r>
              <w:rPr>
                <w:noProof/>
                <w:webHidden/>
              </w:rPr>
              <w:fldChar w:fldCharType="end"/>
            </w:r>
          </w:hyperlink>
        </w:p>
        <w:p w14:paraId="5C3A5540" w14:textId="18D062CB" w:rsidR="004C3B8B" w:rsidRDefault="004C3B8B">
          <w:pPr>
            <w:pStyle w:val="TOC1"/>
            <w:rPr>
              <w:rFonts w:asciiTheme="minorHAnsi" w:eastAsiaTheme="minorEastAsia" w:hAnsiTheme="minorHAnsi"/>
              <w:noProof/>
              <w:sz w:val="24"/>
              <w:lang w:eastAsia="en-GB"/>
            </w:rPr>
          </w:pPr>
          <w:hyperlink w:anchor="_Toc216130289" w:history="1">
            <w:r w:rsidRPr="009455C4">
              <w:rPr>
                <w:rStyle w:val="Hyperlink"/>
                <w:rFonts w:eastAsia="Times New Roman"/>
                <w:noProof/>
                <w:lang w:eastAsia="en-GB"/>
              </w:rPr>
              <w:t>8.</w:t>
            </w:r>
            <w:r>
              <w:rPr>
                <w:rFonts w:asciiTheme="minorHAnsi" w:eastAsiaTheme="minorEastAsia" w:hAnsiTheme="minorHAnsi"/>
                <w:noProof/>
                <w:sz w:val="24"/>
                <w:lang w:eastAsia="en-GB"/>
              </w:rPr>
              <w:tab/>
            </w:r>
            <w:r w:rsidRPr="009455C4">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_Toc216130289 \h </w:instrText>
            </w:r>
            <w:r>
              <w:rPr>
                <w:noProof/>
                <w:webHidden/>
              </w:rPr>
            </w:r>
            <w:r>
              <w:rPr>
                <w:noProof/>
                <w:webHidden/>
              </w:rPr>
              <w:fldChar w:fldCharType="separate"/>
            </w:r>
            <w:r>
              <w:rPr>
                <w:noProof/>
                <w:webHidden/>
              </w:rPr>
              <w:t>24</w:t>
            </w:r>
            <w:r>
              <w:rPr>
                <w:noProof/>
                <w:webHidden/>
              </w:rPr>
              <w:fldChar w:fldCharType="end"/>
            </w:r>
          </w:hyperlink>
        </w:p>
        <w:p w14:paraId="44E565F2" w14:textId="51875A6E" w:rsidR="004C3B8B" w:rsidRDefault="004C3B8B">
          <w:pPr>
            <w:pStyle w:val="TOC1"/>
            <w:rPr>
              <w:rFonts w:asciiTheme="minorHAnsi" w:eastAsiaTheme="minorEastAsia" w:hAnsiTheme="minorHAnsi"/>
              <w:noProof/>
              <w:sz w:val="24"/>
              <w:lang w:eastAsia="en-GB"/>
            </w:rPr>
          </w:pPr>
          <w:hyperlink w:anchor="_Toc216130290" w:history="1">
            <w:r w:rsidRPr="009455C4">
              <w:rPr>
                <w:rStyle w:val="Hyperlink"/>
                <w:noProof/>
              </w:rPr>
              <w:t>9.</w:t>
            </w:r>
            <w:r>
              <w:rPr>
                <w:rFonts w:asciiTheme="minorHAnsi" w:eastAsiaTheme="minorEastAsia" w:hAnsiTheme="minorHAnsi"/>
                <w:noProof/>
                <w:sz w:val="24"/>
                <w:lang w:eastAsia="en-GB"/>
              </w:rPr>
              <w:tab/>
            </w:r>
            <w:r w:rsidRPr="009455C4">
              <w:rPr>
                <w:rStyle w:val="Hyperlink"/>
                <w:noProof/>
              </w:rPr>
              <w:t>References</w:t>
            </w:r>
            <w:r>
              <w:rPr>
                <w:noProof/>
                <w:webHidden/>
              </w:rPr>
              <w:tab/>
            </w:r>
            <w:r>
              <w:rPr>
                <w:noProof/>
                <w:webHidden/>
              </w:rPr>
              <w:fldChar w:fldCharType="begin"/>
            </w:r>
            <w:r>
              <w:rPr>
                <w:noProof/>
                <w:webHidden/>
              </w:rPr>
              <w:instrText xml:space="preserve"> PAGEREF _Toc216130290 \h </w:instrText>
            </w:r>
            <w:r>
              <w:rPr>
                <w:noProof/>
                <w:webHidden/>
              </w:rPr>
            </w:r>
            <w:r>
              <w:rPr>
                <w:noProof/>
                <w:webHidden/>
              </w:rPr>
              <w:fldChar w:fldCharType="separate"/>
            </w:r>
            <w:r>
              <w:rPr>
                <w:noProof/>
                <w:webHidden/>
              </w:rPr>
              <w:t>25</w:t>
            </w:r>
            <w:r>
              <w:rPr>
                <w:noProof/>
                <w:webHidden/>
              </w:rPr>
              <w:fldChar w:fldCharType="end"/>
            </w:r>
          </w:hyperlink>
        </w:p>
        <w:p w14:paraId="7959E6CD" w14:textId="2F84CBC2" w:rsidR="00D64FAF" w:rsidRDefault="00D64FAF" w:rsidP="00810896">
          <w:pPr>
            <w:jc w:val="left"/>
          </w:pPr>
          <w:r w:rsidRPr="00E2115E">
            <w:rPr>
              <w:rFonts w:cs="Arial"/>
              <w:b/>
              <w:bCs/>
              <w:noProof/>
              <w:szCs w:val="22"/>
            </w:rPr>
            <w:fldChar w:fldCharType="end"/>
          </w:r>
        </w:p>
      </w:sdtContent>
    </w:sdt>
    <w:p w14:paraId="0DD3EFFB" w14:textId="77777777" w:rsidR="005C0B34" w:rsidRDefault="005C0B34" w:rsidP="002B3C11"/>
    <w:p w14:paraId="748225D2" w14:textId="77777777" w:rsidR="00D64FAF" w:rsidRDefault="00D64FAF" w:rsidP="002B3C11"/>
    <w:p w14:paraId="3AA26E88" w14:textId="77777777" w:rsidR="00D64FAF" w:rsidRDefault="00D64FAF" w:rsidP="002B3C11"/>
    <w:p w14:paraId="3C00ECE1" w14:textId="77777777" w:rsidR="00D64FAF" w:rsidRDefault="00D64FAF" w:rsidP="002B3C11"/>
    <w:p w14:paraId="1DFD336E" w14:textId="77777777" w:rsidR="00D64FAF" w:rsidRDefault="00D64FAF" w:rsidP="002B3C11"/>
    <w:p w14:paraId="540F2D21" w14:textId="77777777" w:rsidR="00D64FAF" w:rsidRDefault="00D64FAF" w:rsidP="002B3C11"/>
    <w:p w14:paraId="1103BD91" w14:textId="77777777" w:rsidR="00D64FAF" w:rsidRDefault="00D64FAF" w:rsidP="002B3C11"/>
    <w:p w14:paraId="52295B49" w14:textId="77777777" w:rsidR="00D64FAF" w:rsidRDefault="00D64FAF" w:rsidP="002B3C11"/>
    <w:p w14:paraId="14E171BD" w14:textId="77777777" w:rsidR="00D64FAF" w:rsidRDefault="00D64FAF" w:rsidP="002B3C11"/>
    <w:p w14:paraId="5D401446" w14:textId="77777777" w:rsidR="00D64FAF" w:rsidRDefault="00D64FAF" w:rsidP="002B3C11"/>
    <w:p w14:paraId="5E388717" w14:textId="77777777" w:rsidR="005F24C7" w:rsidRDefault="005F24C7" w:rsidP="002B3C11"/>
    <w:p w14:paraId="39E0DA16" w14:textId="77777777" w:rsidR="005F24C7" w:rsidRDefault="005F24C7" w:rsidP="002B3C11"/>
    <w:p w14:paraId="2EC42006" w14:textId="69D3C150" w:rsidR="00D64FAF" w:rsidRPr="00CB3350" w:rsidRDefault="00CB3350" w:rsidP="002B3C11">
      <w:pPr>
        <w:rPr>
          <w:color w:val="0F4761" w:themeColor="accent1" w:themeShade="BF"/>
          <w:sz w:val="40"/>
          <w:szCs w:val="40"/>
        </w:rPr>
      </w:pPr>
      <w:r w:rsidRPr="00CB3350">
        <w:rPr>
          <w:color w:val="0F4761" w:themeColor="accent1" w:themeShade="BF"/>
          <w:sz w:val="40"/>
          <w:szCs w:val="40"/>
        </w:rPr>
        <w:t>List of Tables</w:t>
      </w:r>
    </w:p>
    <w:p w14:paraId="31C1CED2" w14:textId="4B0AC44F" w:rsidR="001D08E5" w:rsidRDefault="001833A4">
      <w:pPr>
        <w:pStyle w:val="TableofFigures"/>
        <w:tabs>
          <w:tab w:val="right" w:leader="dot" w:pos="9016"/>
        </w:tabs>
        <w:rPr>
          <w:rFonts w:asciiTheme="minorHAnsi" w:eastAsiaTheme="minorEastAsia" w:hAnsiTheme="minorHAnsi"/>
          <w:noProof/>
          <w:sz w:val="24"/>
          <w:lang w:eastAsia="en-GB"/>
        </w:rPr>
      </w:pPr>
      <w:r>
        <w:fldChar w:fldCharType="begin"/>
      </w:r>
      <w:r>
        <w:instrText xml:space="preserve"> TOC \h \z \c "Table" </w:instrText>
      </w:r>
      <w:r>
        <w:fldChar w:fldCharType="separate"/>
      </w:r>
      <w:hyperlink w:anchor="_Toc215910532" w:history="1">
        <w:r w:rsidR="001D08E5" w:rsidRPr="000C5927">
          <w:rPr>
            <w:rStyle w:val="Hyperlink"/>
            <w:noProof/>
          </w:rPr>
          <w:t>Table 1 Overview of PESTEL Factors for SHP</w:t>
        </w:r>
        <w:r w:rsidR="001D08E5">
          <w:rPr>
            <w:noProof/>
            <w:webHidden/>
          </w:rPr>
          <w:tab/>
        </w:r>
        <w:r w:rsidR="001D08E5">
          <w:rPr>
            <w:noProof/>
            <w:webHidden/>
          </w:rPr>
          <w:fldChar w:fldCharType="begin"/>
        </w:r>
        <w:r w:rsidR="001D08E5">
          <w:rPr>
            <w:noProof/>
            <w:webHidden/>
          </w:rPr>
          <w:instrText xml:space="preserve"> PAGEREF _Toc215910532 \h </w:instrText>
        </w:r>
        <w:r w:rsidR="001D08E5">
          <w:rPr>
            <w:noProof/>
            <w:webHidden/>
          </w:rPr>
        </w:r>
        <w:r w:rsidR="001D08E5">
          <w:rPr>
            <w:noProof/>
            <w:webHidden/>
          </w:rPr>
          <w:fldChar w:fldCharType="separate"/>
        </w:r>
        <w:r w:rsidR="007A44A2">
          <w:rPr>
            <w:noProof/>
            <w:webHidden/>
          </w:rPr>
          <w:t>3</w:t>
        </w:r>
        <w:r w:rsidR="001D08E5">
          <w:rPr>
            <w:noProof/>
            <w:webHidden/>
          </w:rPr>
          <w:fldChar w:fldCharType="end"/>
        </w:r>
      </w:hyperlink>
    </w:p>
    <w:p w14:paraId="73281338" w14:textId="76C1CE6C"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3" w:history="1">
        <w:r w:rsidRPr="000C5927">
          <w:rPr>
            <w:rStyle w:val="Hyperlink"/>
            <w:noProof/>
          </w:rPr>
          <w:t>Table 2 SWOT Analysis for SHP</w:t>
        </w:r>
        <w:r>
          <w:rPr>
            <w:noProof/>
            <w:webHidden/>
          </w:rPr>
          <w:tab/>
        </w:r>
        <w:r>
          <w:rPr>
            <w:noProof/>
            <w:webHidden/>
          </w:rPr>
          <w:fldChar w:fldCharType="begin"/>
        </w:r>
        <w:r>
          <w:rPr>
            <w:noProof/>
            <w:webHidden/>
          </w:rPr>
          <w:instrText xml:space="preserve"> PAGEREF _Toc215910533 \h </w:instrText>
        </w:r>
        <w:r>
          <w:rPr>
            <w:noProof/>
            <w:webHidden/>
          </w:rPr>
        </w:r>
        <w:r>
          <w:rPr>
            <w:noProof/>
            <w:webHidden/>
          </w:rPr>
          <w:fldChar w:fldCharType="separate"/>
        </w:r>
        <w:r w:rsidR="007A44A2">
          <w:rPr>
            <w:noProof/>
            <w:webHidden/>
          </w:rPr>
          <w:t>5</w:t>
        </w:r>
        <w:r>
          <w:rPr>
            <w:noProof/>
            <w:webHidden/>
          </w:rPr>
          <w:fldChar w:fldCharType="end"/>
        </w:r>
      </w:hyperlink>
    </w:p>
    <w:p w14:paraId="63764FBD" w14:textId="34755A8F"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4" w:history="1">
        <w:r w:rsidRPr="000C5927">
          <w:rPr>
            <w:rStyle w:val="Hyperlink"/>
            <w:noProof/>
          </w:rPr>
          <w:t>Table 3 Porter's Five Forces Analysis for SHP</w:t>
        </w:r>
        <w:r>
          <w:rPr>
            <w:noProof/>
            <w:webHidden/>
          </w:rPr>
          <w:tab/>
        </w:r>
        <w:r>
          <w:rPr>
            <w:noProof/>
            <w:webHidden/>
          </w:rPr>
          <w:fldChar w:fldCharType="begin"/>
        </w:r>
        <w:r>
          <w:rPr>
            <w:noProof/>
            <w:webHidden/>
          </w:rPr>
          <w:instrText xml:space="preserve"> PAGEREF _Toc215910534 \h </w:instrText>
        </w:r>
        <w:r>
          <w:rPr>
            <w:noProof/>
            <w:webHidden/>
          </w:rPr>
        </w:r>
        <w:r>
          <w:rPr>
            <w:noProof/>
            <w:webHidden/>
          </w:rPr>
          <w:fldChar w:fldCharType="separate"/>
        </w:r>
        <w:r w:rsidR="007A44A2">
          <w:rPr>
            <w:noProof/>
            <w:webHidden/>
          </w:rPr>
          <w:t>6</w:t>
        </w:r>
        <w:r>
          <w:rPr>
            <w:noProof/>
            <w:webHidden/>
          </w:rPr>
          <w:fldChar w:fldCharType="end"/>
        </w:r>
      </w:hyperlink>
    </w:p>
    <w:p w14:paraId="4CDE045D" w14:textId="6C3CF234"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5" w:history="1">
        <w:r w:rsidRPr="000C5927">
          <w:rPr>
            <w:rStyle w:val="Hyperlink"/>
            <w:noProof/>
          </w:rPr>
          <w:t>Table 4 Porter's Value Chain – Core Functions</w:t>
        </w:r>
        <w:r>
          <w:rPr>
            <w:noProof/>
            <w:webHidden/>
          </w:rPr>
          <w:tab/>
        </w:r>
        <w:r>
          <w:rPr>
            <w:noProof/>
            <w:webHidden/>
          </w:rPr>
          <w:fldChar w:fldCharType="begin"/>
        </w:r>
        <w:r>
          <w:rPr>
            <w:noProof/>
            <w:webHidden/>
          </w:rPr>
          <w:instrText xml:space="preserve"> PAGEREF _Toc215910535 \h </w:instrText>
        </w:r>
        <w:r>
          <w:rPr>
            <w:noProof/>
            <w:webHidden/>
          </w:rPr>
        </w:r>
        <w:r>
          <w:rPr>
            <w:noProof/>
            <w:webHidden/>
          </w:rPr>
          <w:fldChar w:fldCharType="separate"/>
        </w:r>
        <w:r w:rsidR="007A44A2">
          <w:rPr>
            <w:noProof/>
            <w:webHidden/>
          </w:rPr>
          <w:t>7</w:t>
        </w:r>
        <w:r>
          <w:rPr>
            <w:noProof/>
            <w:webHidden/>
          </w:rPr>
          <w:fldChar w:fldCharType="end"/>
        </w:r>
      </w:hyperlink>
    </w:p>
    <w:p w14:paraId="7C5A438A" w14:textId="3E886DC5"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6" w:history="1">
        <w:r w:rsidRPr="000C5927">
          <w:rPr>
            <w:rStyle w:val="Hyperlink"/>
            <w:noProof/>
          </w:rPr>
          <w:t>Table 5 Porter's Value Chain - Support Activities</w:t>
        </w:r>
        <w:r>
          <w:rPr>
            <w:noProof/>
            <w:webHidden/>
          </w:rPr>
          <w:tab/>
        </w:r>
        <w:r>
          <w:rPr>
            <w:noProof/>
            <w:webHidden/>
          </w:rPr>
          <w:fldChar w:fldCharType="begin"/>
        </w:r>
        <w:r>
          <w:rPr>
            <w:noProof/>
            <w:webHidden/>
          </w:rPr>
          <w:instrText xml:space="preserve"> PAGEREF _Toc215910536 \h </w:instrText>
        </w:r>
        <w:r>
          <w:rPr>
            <w:noProof/>
            <w:webHidden/>
          </w:rPr>
        </w:r>
        <w:r>
          <w:rPr>
            <w:noProof/>
            <w:webHidden/>
          </w:rPr>
          <w:fldChar w:fldCharType="separate"/>
        </w:r>
        <w:r w:rsidR="007A44A2">
          <w:rPr>
            <w:noProof/>
            <w:webHidden/>
          </w:rPr>
          <w:t>8</w:t>
        </w:r>
        <w:r>
          <w:rPr>
            <w:noProof/>
            <w:webHidden/>
          </w:rPr>
          <w:fldChar w:fldCharType="end"/>
        </w:r>
      </w:hyperlink>
    </w:p>
    <w:p w14:paraId="2DDE0A95" w14:textId="66563BAD"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7" w:history="1">
        <w:r w:rsidRPr="000C5927">
          <w:rPr>
            <w:rStyle w:val="Hyperlink"/>
            <w:noProof/>
          </w:rPr>
          <w:t>Table 6 Porter's Generic Strategies</w:t>
        </w:r>
        <w:r>
          <w:rPr>
            <w:noProof/>
            <w:webHidden/>
          </w:rPr>
          <w:tab/>
        </w:r>
        <w:r>
          <w:rPr>
            <w:noProof/>
            <w:webHidden/>
          </w:rPr>
          <w:fldChar w:fldCharType="begin"/>
        </w:r>
        <w:r>
          <w:rPr>
            <w:noProof/>
            <w:webHidden/>
          </w:rPr>
          <w:instrText xml:space="preserve"> PAGEREF _Toc215910537 \h </w:instrText>
        </w:r>
        <w:r>
          <w:rPr>
            <w:noProof/>
            <w:webHidden/>
          </w:rPr>
        </w:r>
        <w:r>
          <w:rPr>
            <w:noProof/>
            <w:webHidden/>
          </w:rPr>
          <w:fldChar w:fldCharType="separate"/>
        </w:r>
        <w:r w:rsidR="007A44A2">
          <w:rPr>
            <w:noProof/>
            <w:webHidden/>
          </w:rPr>
          <w:t>9</w:t>
        </w:r>
        <w:r>
          <w:rPr>
            <w:noProof/>
            <w:webHidden/>
          </w:rPr>
          <w:fldChar w:fldCharType="end"/>
        </w:r>
      </w:hyperlink>
    </w:p>
    <w:p w14:paraId="3A48BCF0" w14:textId="50C92FC7"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8" w:history="1">
        <w:r w:rsidRPr="000C5927">
          <w:rPr>
            <w:rStyle w:val="Hyperlink"/>
            <w:noProof/>
          </w:rPr>
          <w:t>Table 7 Ansoff Matrix Adaptation for SHP</w:t>
        </w:r>
        <w:r>
          <w:rPr>
            <w:noProof/>
            <w:webHidden/>
          </w:rPr>
          <w:tab/>
        </w:r>
        <w:r>
          <w:rPr>
            <w:noProof/>
            <w:webHidden/>
          </w:rPr>
          <w:fldChar w:fldCharType="begin"/>
        </w:r>
        <w:r>
          <w:rPr>
            <w:noProof/>
            <w:webHidden/>
          </w:rPr>
          <w:instrText xml:space="preserve"> PAGEREF _Toc215910538 \h </w:instrText>
        </w:r>
        <w:r>
          <w:rPr>
            <w:noProof/>
            <w:webHidden/>
          </w:rPr>
        </w:r>
        <w:r>
          <w:rPr>
            <w:noProof/>
            <w:webHidden/>
          </w:rPr>
          <w:fldChar w:fldCharType="separate"/>
        </w:r>
        <w:r w:rsidR="007A44A2">
          <w:rPr>
            <w:noProof/>
            <w:webHidden/>
          </w:rPr>
          <w:t>10</w:t>
        </w:r>
        <w:r>
          <w:rPr>
            <w:noProof/>
            <w:webHidden/>
          </w:rPr>
          <w:fldChar w:fldCharType="end"/>
        </w:r>
      </w:hyperlink>
    </w:p>
    <w:p w14:paraId="13850F9E" w14:textId="2C7249C6"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39" w:history="1">
        <w:r w:rsidRPr="000C5927">
          <w:rPr>
            <w:rStyle w:val="Hyperlink"/>
            <w:noProof/>
          </w:rPr>
          <w:t>Table 8 Bowman's Strategic Clock Adaptation for SHP</w:t>
        </w:r>
        <w:r>
          <w:rPr>
            <w:noProof/>
            <w:webHidden/>
          </w:rPr>
          <w:tab/>
        </w:r>
        <w:r>
          <w:rPr>
            <w:noProof/>
            <w:webHidden/>
          </w:rPr>
          <w:fldChar w:fldCharType="begin"/>
        </w:r>
        <w:r>
          <w:rPr>
            <w:noProof/>
            <w:webHidden/>
          </w:rPr>
          <w:instrText xml:space="preserve"> PAGEREF _Toc215910539 \h </w:instrText>
        </w:r>
        <w:r>
          <w:rPr>
            <w:noProof/>
            <w:webHidden/>
          </w:rPr>
        </w:r>
        <w:r>
          <w:rPr>
            <w:noProof/>
            <w:webHidden/>
          </w:rPr>
          <w:fldChar w:fldCharType="separate"/>
        </w:r>
        <w:r w:rsidR="007A44A2">
          <w:rPr>
            <w:noProof/>
            <w:webHidden/>
          </w:rPr>
          <w:t>12</w:t>
        </w:r>
        <w:r>
          <w:rPr>
            <w:noProof/>
            <w:webHidden/>
          </w:rPr>
          <w:fldChar w:fldCharType="end"/>
        </w:r>
      </w:hyperlink>
    </w:p>
    <w:p w14:paraId="72B4DE5D" w14:textId="53D2E7F9"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40" w:history="1">
        <w:r w:rsidRPr="000C5927">
          <w:rPr>
            <w:rStyle w:val="Hyperlink"/>
            <w:noProof/>
          </w:rPr>
          <w:t xml:space="preserve">Table 9 Key Initiatives, KPIs, Resource Considerations, and Risks – </w:t>
        </w:r>
        <w:r w:rsidRPr="000C5927">
          <w:rPr>
            <w:rStyle w:val="Hyperlink"/>
            <w:b/>
            <w:bCs/>
            <w:noProof/>
          </w:rPr>
          <w:t>Decarbonisation &amp; Asset Sustainability</w:t>
        </w:r>
        <w:r>
          <w:rPr>
            <w:noProof/>
            <w:webHidden/>
          </w:rPr>
          <w:tab/>
        </w:r>
        <w:r>
          <w:rPr>
            <w:noProof/>
            <w:webHidden/>
          </w:rPr>
          <w:fldChar w:fldCharType="begin"/>
        </w:r>
        <w:r>
          <w:rPr>
            <w:noProof/>
            <w:webHidden/>
          </w:rPr>
          <w:instrText xml:space="preserve"> PAGEREF _Toc215910540 \h </w:instrText>
        </w:r>
        <w:r>
          <w:rPr>
            <w:noProof/>
            <w:webHidden/>
          </w:rPr>
        </w:r>
        <w:r>
          <w:rPr>
            <w:noProof/>
            <w:webHidden/>
          </w:rPr>
          <w:fldChar w:fldCharType="separate"/>
        </w:r>
        <w:r w:rsidR="007A44A2">
          <w:rPr>
            <w:noProof/>
            <w:webHidden/>
          </w:rPr>
          <w:t>14</w:t>
        </w:r>
        <w:r>
          <w:rPr>
            <w:noProof/>
            <w:webHidden/>
          </w:rPr>
          <w:fldChar w:fldCharType="end"/>
        </w:r>
      </w:hyperlink>
    </w:p>
    <w:p w14:paraId="1FC377F2" w14:textId="528C87C8"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41" w:history="1">
        <w:r w:rsidRPr="000C5927">
          <w:rPr>
            <w:rStyle w:val="Hyperlink"/>
            <w:noProof/>
          </w:rPr>
          <w:t xml:space="preserve">Table 10 Key Initiatives, KPIs, Resource Considerations, and Risks – </w:t>
        </w:r>
        <w:r w:rsidRPr="000C5927">
          <w:rPr>
            <w:rStyle w:val="Hyperlink"/>
            <w:b/>
            <w:bCs/>
            <w:noProof/>
          </w:rPr>
          <w:t>Digital Transformation &amp; Service Modernisation</w:t>
        </w:r>
        <w:r>
          <w:rPr>
            <w:noProof/>
            <w:webHidden/>
          </w:rPr>
          <w:tab/>
        </w:r>
        <w:r>
          <w:rPr>
            <w:noProof/>
            <w:webHidden/>
          </w:rPr>
          <w:fldChar w:fldCharType="begin"/>
        </w:r>
        <w:r>
          <w:rPr>
            <w:noProof/>
            <w:webHidden/>
          </w:rPr>
          <w:instrText xml:space="preserve"> PAGEREF _Toc215910541 \h </w:instrText>
        </w:r>
        <w:r>
          <w:rPr>
            <w:noProof/>
            <w:webHidden/>
          </w:rPr>
        </w:r>
        <w:r>
          <w:rPr>
            <w:noProof/>
            <w:webHidden/>
          </w:rPr>
          <w:fldChar w:fldCharType="separate"/>
        </w:r>
        <w:r w:rsidR="007A44A2">
          <w:rPr>
            <w:noProof/>
            <w:webHidden/>
          </w:rPr>
          <w:t>15</w:t>
        </w:r>
        <w:r>
          <w:rPr>
            <w:noProof/>
            <w:webHidden/>
          </w:rPr>
          <w:fldChar w:fldCharType="end"/>
        </w:r>
      </w:hyperlink>
    </w:p>
    <w:p w14:paraId="28DD3098" w14:textId="5B82FB77"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42" w:history="1">
        <w:r w:rsidRPr="000C5927">
          <w:rPr>
            <w:rStyle w:val="Hyperlink"/>
            <w:noProof/>
          </w:rPr>
          <w:t xml:space="preserve">Table 11 Key Initiatives, KPIs, Resource Considerations, and Risks - </w:t>
        </w:r>
        <w:r w:rsidRPr="000C5927">
          <w:rPr>
            <w:rStyle w:val="Hyperlink"/>
            <w:b/>
            <w:bCs/>
            <w:noProof/>
          </w:rPr>
          <w:t>Resident-Centred Service Differentiation</w:t>
        </w:r>
        <w:r>
          <w:rPr>
            <w:noProof/>
            <w:webHidden/>
          </w:rPr>
          <w:tab/>
        </w:r>
        <w:r>
          <w:rPr>
            <w:noProof/>
            <w:webHidden/>
          </w:rPr>
          <w:fldChar w:fldCharType="begin"/>
        </w:r>
        <w:r>
          <w:rPr>
            <w:noProof/>
            <w:webHidden/>
          </w:rPr>
          <w:instrText xml:space="preserve"> PAGEREF _Toc215910542 \h </w:instrText>
        </w:r>
        <w:r>
          <w:rPr>
            <w:noProof/>
            <w:webHidden/>
          </w:rPr>
        </w:r>
        <w:r>
          <w:rPr>
            <w:noProof/>
            <w:webHidden/>
          </w:rPr>
          <w:fldChar w:fldCharType="separate"/>
        </w:r>
        <w:r w:rsidR="007A44A2">
          <w:rPr>
            <w:noProof/>
            <w:webHidden/>
          </w:rPr>
          <w:t>16</w:t>
        </w:r>
        <w:r>
          <w:rPr>
            <w:noProof/>
            <w:webHidden/>
          </w:rPr>
          <w:fldChar w:fldCharType="end"/>
        </w:r>
      </w:hyperlink>
    </w:p>
    <w:p w14:paraId="489DFB1B" w14:textId="72903BF1"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43" w:history="1">
        <w:r w:rsidRPr="000C5927">
          <w:rPr>
            <w:rStyle w:val="Hyperlink"/>
            <w:noProof/>
          </w:rPr>
          <w:t>Table 12 Integrated Stakeholder Analysis</w:t>
        </w:r>
        <w:r>
          <w:rPr>
            <w:noProof/>
            <w:webHidden/>
          </w:rPr>
          <w:tab/>
        </w:r>
        <w:r>
          <w:rPr>
            <w:noProof/>
            <w:webHidden/>
          </w:rPr>
          <w:fldChar w:fldCharType="begin"/>
        </w:r>
        <w:r>
          <w:rPr>
            <w:noProof/>
            <w:webHidden/>
          </w:rPr>
          <w:instrText xml:space="preserve"> PAGEREF _Toc215910543 \h </w:instrText>
        </w:r>
        <w:r>
          <w:rPr>
            <w:noProof/>
            <w:webHidden/>
          </w:rPr>
        </w:r>
        <w:r>
          <w:rPr>
            <w:noProof/>
            <w:webHidden/>
          </w:rPr>
          <w:fldChar w:fldCharType="separate"/>
        </w:r>
        <w:r w:rsidR="007A44A2">
          <w:rPr>
            <w:noProof/>
            <w:webHidden/>
          </w:rPr>
          <w:t>18</w:t>
        </w:r>
        <w:r>
          <w:rPr>
            <w:noProof/>
            <w:webHidden/>
          </w:rPr>
          <w:fldChar w:fldCharType="end"/>
        </w:r>
      </w:hyperlink>
    </w:p>
    <w:p w14:paraId="6FB70403" w14:textId="1B052D30" w:rsidR="001D08E5" w:rsidRDefault="001D08E5">
      <w:pPr>
        <w:pStyle w:val="TableofFigures"/>
        <w:tabs>
          <w:tab w:val="right" w:leader="dot" w:pos="9016"/>
        </w:tabs>
        <w:rPr>
          <w:rFonts w:asciiTheme="minorHAnsi" w:eastAsiaTheme="minorEastAsia" w:hAnsiTheme="minorHAnsi"/>
          <w:noProof/>
          <w:sz w:val="24"/>
          <w:lang w:eastAsia="en-GB"/>
        </w:rPr>
      </w:pPr>
      <w:hyperlink w:anchor="_Toc215910544" w:history="1">
        <w:r w:rsidRPr="000C5927">
          <w:rPr>
            <w:rStyle w:val="Hyperlink"/>
            <w:noProof/>
          </w:rPr>
          <w:t>Table 13 RACI Matrix for SHP Strategic Activities</w:t>
        </w:r>
        <w:r>
          <w:rPr>
            <w:noProof/>
            <w:webHidden/>
          </w:rPr>
          <w:tab/>
        </w:r>
        <w:r>
          <w:rPr>
            <w:noProof/>
            <w:webHidden/>
          </w:rPr>
          <w:fldChar w:fldCharType="begin"/>
        </w:r>
        <w:r>
          <w:rPr>
            <w:noProof/>
            <w:webHidden/>
          </w:rPr>
          <w:instrText xml:space="preserve"> PAGEREF _Toc215910544 \h </w:instrText>
        </w:r>
        <w:r>
          <w:rPr>
            <w:noProof/>
            <w:webHidden/>
          </w:rPr>
        </w:r>
        <w:r>
          <w:rPr>
            <w:noProof/>
            <w:webHidden/>
          </w:rPr>
          <w:fldChar w:fldCharType="separate"/>
        </w:r>
        <w:r w:rsidR="007A44A2">
          <w:rPr>
            <w:noProof/>
            <w:webHidden/>
          </w:rPr>
          <w:t>21</w:t>
        </w:r>
        <w:r>
          <w:rPr>
            <w:noProof/>
            <w:webHidden/>
          </w:rPr>
          <w:fldChar w:fldCharType="end"/>
        </w:r>
      </w:hyperlink>
    </w:p>
    <w:p w14:paraId="7B5DDFA9" w14:textId="5B21D2AF" w:rsidR="00D64FAF" w:rsidRDefault="001833A4" w:rsidP="002B3C11">
      <w:r>
        <w:fldChar w:fldCharType="end"/>
      </w:r>
    </w:p>
    <w:p w14:paraId="7DB59546" w14:textId="77777777" w:rsidR="00CB3350" w:rsidRDefault="00CB3350" w:rsidP="002B3C11"/>
    <w:p w14:paraId="5A7E593D" w14:textId="77777777" w:rsidR="00CB3350" w:rsidRDefault="00CB3350" w:rsidP="002B3C11"/>
    <w:p w14:paraId="3B4E0461" w14:textId="77777777" w:rsidR="00CB3350" w:rsidRDefault="00CB3350" w:rsidP="002B3C11"/>
    <w:p w14:paraId="6EEEFFE4" w14:textId="77777777" w:rsidR="00CB3350" w:rsidRDefault="00CB3350" w:rsidP="002B3C11"/>
    <w:p w14:paraId="4161B0AB" w14:textId="7B585330" w:rsidR="00CB3350" w:rsidRDefault="00CB3350" w:rsidP="00CB3350">
      <w:pPr>
        <w:rPr>
          <w:color w:val="0F4761" w:themeColor="accent1" w:themeShade="BF"/>
          <w:sz w:val="40"/>
          <w:szCs w:val="40"/>
        </w:rPr>
      </w:pPr>
      <w:r w:rsidRPr="00CB3350">
        <w:rPr>
          <w:color w:val="0F4761" w:themeColor="accent1" w:themeShade="BF"/>
          <w:sz w:val="40"/>
          <w:szCs w:val="40"/>
        </w:rPr>
        <w:t>List of Figures</w:t>
      </w:r>
    </w:p>
    <w:p w14:paraId="731EF5D1" w14:textId="1BDE94B2" w:rsidR="00BD3145" w:rsidRPr="00BD3145" w:rsidRDefault="00BD3145">
      <w:pPr>
        <w:pStyle w:val="TableofFigures"/>
        <w:tabs>
          <w:tab w:val="right" w:leader="dot" w:pos="9016"/>
        </w:tabs>
        <w:rPr>
          <w:rFonts w:asciiTheme="minorHAnsi" w:eastAsiaTheme="minorEastAsia" w:hAnsiTheme="minorHAnsi"/>
          <w:noProof/>
          <w:sz w:val="24"/>
          <w:lang w:eastAsia="en-GB"/>
        </w:rPr>
      </w:pPr>
      <w:r>
        <w:rPr>
          <w:color w:val="0F4761" w:themeColor="accent1" w:themeShade="BF"/>
        </w:rPr>
        <w:fldChar w:fldCharType="begin"/>
      </w:r>
      <w:r>
        <w:rPr>
          <w:color w:val="0F4761" w:themeColor="accent1" w:themeShade="BF"/>
        </w:rPr>
        <w:instrText xml:space="preserve"> TOC \h \z \c "Figure" </w:instrText>
      </w:r>
      <w:r>
        <w:rPr>
          <w:color w:val="0F4761" w:themeColor="accent1" w:themeShade="BF"/>
        </w:rPr>
        <w:fldChar w:fldCharType="separate"/>
      </w:r>
      <w:hyperlink w:anchor="_Toc215910385" w:history="1">
        <w:r w:rsidRPr="00BD3145">
          <w:rPr>
            <w:rStyle w:val="Hyperlink"/>
            <w:noProof/>
            <w:color w:val="auto"/>
          </w:rPr>
          <w:t>Figure A Bowman's Strategic Clock - SHP Adaptation</w:t>
        </w:r>
        <w:r w:rsidRPr="00BD3145">
          <w:rPr>
            <w:noProof/>
            <w:webHidden/>
          </w:rPr>
          <w:tab/>
        </w:r>
        <w:r w:rsidRPr="00BD3145">
          <w:rPr>
            <w:noProof/>
            <w:webHidden/>
          </w:rPr>
          <w:fldChar w:fldCharType="begin"/>
        </w:r>
        <w:r w:rsidRPr="00BD3145">
          <w:rPr>
            <w:noProof/>
            <w:webHidden/>
          </w:rPr>
          <w:instrText xml:space="preserve"> PAGEREF _Toc215910385 \h </w:instrText>
        </w:r>
        <w:r w:rsidRPr="00BD3145">
          <w:rPr>
            <w:noProof/>
            <w:webHidden/>
          </w:rPr>
        </w:r>
        <w:r w:rsidRPr="00BD3145">
          <w:rPr>
            <w:noProof/>
            <w:webHidden/>
          </w:rPr>
          <w:fldChar w:fldCharType="separate"/>
        </w:r>
        <w:r w:rsidR="007A44A2">
          <w:rPr>
            <w:noProof/>
            <w:webHidden/>
          </w:rPr>
          <w:t>12</w:t>
        </w:r>
        <w:r w:rsidRPr="00BD3145">
          <w:rPr>
            <w:noProof/>
            <w:webHidden/>
          </w:rPr>
          <w:fldChar w:fldCharType="end"/>
        </w:r>
      </w:hyperlink>
    </w:p>
    <w:p w14:paraId="05C95202" w14:textId="49D36725" w:rsidR="00BD3145" w:rsidRDefault="00BD3145">
      <w:pPr>
        <w:pStyle w:val="TableofFigures"/>
        <w:tabs>
          <w:tab w:val="right" w:leader="dot" w:pos="9016"/>
        </w:tabs>
        <w:rPr>
          <w:rFonts w:asciiTheme="minorHAnsi" w:eastAsiaTheme="minorEastAsia" w:hAnsiTheme="minorHAnsi"/>
          <w:noProof/>
          <w:sz w:val="24"/>
          <w:lang w:eastAsia="en-GB"/>
        </w:rPr>
      </w:pPr>
      <w:hyperlink w:anchor="_Toc215910386" w:history="1">
        <w:r w:rsidRPr="00BD3145">
          <w:rPr>
            <w:rStyle w:val="Hyperlink"/>
            <w:noProof/>
            <w:color w:val="auto"/>
          </w:rPr>
          <w:t>Figure B Mendelow’s Power-Interest Matrix-SHP</w:t>
        </w:r>
        <w:r w:rsidRPr="00BD3145">
          <w:rPr>
            <w:noProof/>
            <w:webHidden/>
          </w:rPr>
          <w:tab/>
        </w:r>
        <w:r w:rsidRPr="00BD3145">
          <w:rPr>
            <w:noProof/>
            <w:webHidden/>
          </w:rPr>
          <w:fldChar w:fldCharType="begin"/>
        </w:r>
        <w:r w:rsidRPr="00BD3145">
          <w:rPr>
            <w:noProof/>
            <w:webHidden/>
          </w:rPr>
          <w:instrText xml:space="preserve"> PAGEREF _Toc215910386 \h </w:instrText>
        </w:r>
        <w:r w:rsidRPr="00BD3145">
          <w:rPr>
            <w:noProof/>
            <w:webHidden/>
          </w:rPr>
        </w:r>
        <w:r w:rsidRPr="00BD3145">
          <w:rPr>
            <w:noProof/>
            <w:webHidden/>
          </w:rPr>
          <w:fldChar w:fldCharType="separate"/>
        </w:r>
        <w:r w:rsidR="007A44A2">
          <w:rPr>
            <w:noProof/>
            <w:webHidden/>
          </w:rPr>
          <w:t>20</w:t>
        </w:r>
        <w:r w:rsidRPr="00BD3145">
          <w:rPr>
            <w:noProof/>
            <w:webHidden/>
          </w:rPr>
          <w:fldChar w:fldCharType="end"/>
        </w:r>
      </w:hyperlink>
    </w:p>
    <w:p w14:paraId="68755BC4" w14:textId="175BCC9A" w:rsidR="00BD3145" w:rsidRDefault="00BD3145" w:rsidP="00CB3350">
      <w:pPr>
        <w:rPr>
          <w:color w:val="0F4761" w:themeColor="accent1" w:themeShade="BF"/>
        </w:rPr>
      </w:pPr>
      <w:r>
        <w:rPr>
          <w:color w:val="0F4761" w:themeColor="accent1" w:themeShade="BF"/>
        </w:rPr>
        <w:fldChar w:fldCharType="end"/>
      </w:r>
    </w:p>
    <w:p w14:paraId="61BC8C90" w14:textId="77777777" w:rsidR="00BD3145" w:rsidRDefault="00BD3145" w:rsidP="00CB3350">
      <w:pPr>
        <w:rPr>
          <w:color w:val="0F4761" w:themeColor="accent1" w:themeShade="BF"/>
        </w:rPr>
      </w:pPr>
    </w:p>
    <w:p w14:paraId="7848A096" w14:textId="77777777" w:rsidR="00BD3145" w:rsidRDefault="00BD3145" w:rsidP="007D41A1">
      <w:pPr>
        <w:rPr>
          <w:color w:val="0F4761" w:themeColor="accent1" w:themeShade="BF"/>
        </w:rPr>
      </w:pPr>
    </w:p>
    <w:p w14:paraId="283E6801" w14:textId="77777777" w:rsidR="00BD3145" w:rsidRDefault="00BD3145" w:rsidP="00CB3350">
      <w:pPr>
        <w:rPr>
          <w:color w:val="0F4761" w:themeColor="accent1" w:themeShade="BF"/>
        </w:rPr>
      </w:pPr>
    </w:p>
    <w:p w14:paraId="1E8CFBF9" w14:textId="77777777" w:rsidR="00BD3145" w:rsidRDefault="00BD3145" w:rsidP="00CB3350">
      <w:pPr>
        <w:rPr>
          <w:color w:val="0F4761" w:themeColor="accent1" w:themeShade="BF"/>
        </w:rPr>
      </w:pPr>
    </w:p>
    <w:p w14:paraId="424BEFC9" w14:textId="77777777" w:rsidR="00BD3145" w:rsidRDefault="00BD3145" w:rsidP="00CB3350">
      <w:pPr>
        <w:rPr>
          <w:color w:val="0F4761" w:themeColor="accent1" w:themeShade="BF"/>
        </w:rPr>
      </w:pPr>
    </w:p>
    <w:p w14:paraId="497A7F48" w14:textId="77777777" w:rsidR="00BD3145" w:rsidRDefault="00BD3145" w:rsidP="00CB3350">
      <w:pPr>
        <w:rPr>
          <w:color w:val="0F4761" w:themeColor="accent1" w:themeShade="BF"/>
        </w:rPr>
      </w:pPr>
    </w:p>
    <w:p w14:paraId="32C5A6AE" w14:textId="0DB71D41" w:rsidR="00480A1E" w:rsidRDefault="00035302" w:rsidP="00035302">
      <w:pPr>
        <w:tabs>
          <w:tab w:val="center" w:pos="4513"/>
          <w:tab w:val="left" w:pos="9036"/>
        </w:tabs>
        <w:rPr>
          <w:color w:val="0F4761" w:themeColor="accent1" w:themeShade="BF"/>
        </w:rPr>
      </w:pPr>
      <w:r>
        <w:rPr>
          <w:color w:val="0F4761" w:themeColor="accent1" w:themeShade="BF"/>
        </w:rPr>
        <w:tab/>
      </w:r>
    </w:p>
    <w:p w14:paraId="44EA0062" w14:textId="2B4ABE08" w:rsidR="00480A1E" w:rsidRDefault="00480A1E" w:rsidP="0005507D">
      <w:pPr>
        <w:rPr>
          <w:color w:val="0F4761" w:themeColor="accent1" w:themeShade="BF"/>
        </w:rPr>
      </w:pPr>
    </w:p>
    <w:p w14:paraId="71015815" w14:textId="77777777" w:rsidR="0045330C" w:rsidRDefault="0045330C" w:rsidP="0005507D">
      <w:pPr>
        <w:rPr>
          <w:color w:val="0F4761" w:themeColor="accent1" w:themeShade="BF"/>
        </w:rPr>
      </w:pPr>
    </w:p>
    <w:p w14:paraId="315576C1" w14:textId="77777777" w:rsidR="0045330C" w:rsidRDefault="0045330C" w:rsidP="0005507D">
      <w:pPr>
        <w:rPr>
          <w:color w:val="0F4761" w:themeColor="accent1" w:themeShade="BF"/>
        </w:rPr>
      </w:pPr>
    </w:p>
    <w:p w14:paraId="35FBF0B9" w14:textId="77777777" w:rsidR="0045330C" w:rsidRDefault="0045330C" w:rsidP="0005507D">
      <w:pPr>
        <w:rPr>
          <w:color w:val="0F4761" w:themeColor="accent1" w:themeShade="BF"/>
        </w:rPr>
      </w:pPr>
    </w:p>
    <w:p w14:paraId="52EFD6EE" w14:textId="77777777" w:rsidR="0045330C" w:rsidRDefault="0045330C" w:rsidP="0005507D">
      <w:pPr>
        <w:rPr>
          <w:color w:val="0F4761" w:themeColor="accent1" w:themeShade="BF"/>
        </w:rPr>
      </w:pPr>
    </w:p>
    <w:p w14:paraId="3D0B5A69" w14:textId="77777777" w:rsidR="00B47647" w:rsidRDefault="00B47647" w:rsidP="003E66CE">
      <w:pPr>
        <w:rPr>
          <w:color w:val="0F4761" w:themeColor="accent1" w:themeShade="BF"/>
        </w:rPr>
        <w:sectPr w:rsidR="00B47647" w:rsidSect="005F1429">
          <w:footerReference w:type="first" r:id="rId11"/>
          <w:pgSz w:w="11906" w:h="16838"/>
          <w:pgMar w:top="1440" w:right="1440" w:bottom="1440" w:left="1440" w:header="708" w:footer="708" w:gutter="0"/>
          <w:pgNumType w:start="1"/>
          <w:cols w:space="708"/>
          <w:docGrid w:linePitch="360"/>
        </w:sectPr>
      </w:pPr>
    </w:p>
    <w:p w14:paraId="6219D09C" w14:textId="5B90F71A" w:rsidR="003046C4" w:rsidRPr="004E6030" w:rsidRDefault="003046C4" w:rsidP="00DE7263">
      <w:pPr>
        <w:pStyle w:val="Heading1"/>
        <w:numPr>
          <w:ilvl w:val="0"/>
          <w:numId w:val="16"/>
        </w:numPr>
        <w:rPr>
          <w:rFonts w:eastAsia="Times New Roman"/>
          <w:lang w:eastAsia="en-GB"/>
        </w:rPr>
      </w:pPr>
      <w:bookmarkStart w:id="0" w:name="_Toc216130263"/>
      <w:r w:rsidRPr="004E6030">
        <w:rPr>
          <w:rFonts w:eastAsia="Times New Roman"/>
          <w:lang w:eastAsia="en-GB"/>
        </w:rPr>
        <w:t>Introduction to Sutton Housing Partnership</w:t>
      </w:r>
      <w:bookmarkEnd w:id="0"/>
    </w:p>
    <w:p w14:paraId="6E179B57" w14:textId="6C6B1CFD" w:rsidR="002353E0" w:rsidRPr="002353E0" w:rsidRDefault="002353E0" w:rsidP="002353E0">
      <w:pPr>
        <w:pStyle w:val="NormalWeb"/>
        <w:spacing w:line="360" w:lineRule="auto"/>
        <w:jc w:val="both"/>
        <w:rPr>
          <w:rFonts w:ascii="Arial" w:hAnsi="Arial" w:cs="Arial"/>
          <w:i w:val="0"/>
          <w:iCs w:val="0"/>
          <w:sz w:val="22"/>
          <w:szCs w:val="22"/>
        </w:rPr>
      </w:pPr>
      <w:r w:rsidRPr="002353E0">
        <w:rPr>
          <w:rFonts w:ascii="Arial" w:hAnsi="Arial" w:cs="Arial"/>
          <w:b/>
          <w:bCs/>
          <w:i w:val="0"/>
          <w:iCs w:val="0"/>
          <w:sz w:val="22"/>
          <w:szCs w:val="22"/>
        </w:rPr>
        <w:t>Sutton Housing Partnership (SHP)</w:t>
      </w:r>
      <w:r w:rsidRPr="002353E0">
        <w:rPr>
          <w:rFonts w:ascii="Arial" w:hAnsi="Arial" w:cs="Arial"/>
          <w:i w:val="0"/>
          <w:iCs w:val="0"/>
          <w:sz w:val="22"/>
          <w:szCs w:val="22"/>
        </w:rPr>
        <w:t xml:space="preserve"> is an Arm’s-Length Management Organisation (ALMO) managing approximately 6,000 council-owned homes on behalf of the London Borough of Sutton </w:t>
      </w:r>
      <w:sdt>
        <w:sdtPr>
          <w:rPr>
            <w:rFonts w:ascii="Arial" w:hAnsi="Arial"/>
            <w:i w:val="0"/>
            <w:iCs w:val="0"/>
            <w:sz w:val="22"/>
          </w:rPr>
          <w:id w:val="-884417080"/>
          <w:citation/>
        </w:sdtPr>
        <w:sdtEndPr/>
        <w:sdtContent>
          <w:r w:rsidR="00E83B95" w:rsidRPr="001535AB">
            <w:rPr>
              <w:rFonts w:ascii="Arial" w:hAnsi="Arial"/>
              <w:i w:val="0"/>
              <w:iCs w:val="0"/>
              <w:sz w:val="22"/>
            </w:rPr>
            <w:fldChar w:fldCharType="begin"/>
          </w:r>
          <w:r w:rsidR="00E83B95" w:rsidRPr="001535AB">
            <w:rPr>
              <w:rFonts w:ascii="Arial" w:hAnsi="Arial"/>
              <w:i w:val="0"/>
              <w:iCs w:val="0"/>
              <w:sz w:val="22"/>
              <w:lang w:val="en-US"/>
            </w:rPr>
            <w:instrText xml:space="preserve"> CITATION SHP251 \l 1033 </w:instrText>
          </w:r>
          <w:r w:rsidR="00E83B95" w:rsidRPr="001535AB">
            <w:rPr>
              <w:rFonts w:ascii="Arial" w:hAnsi="Arial"/>
              <w:i w:val="0"/>
              <w:iCs w:val="0"/>
              <w:sz w:val="22"/>
            </w:rPr>
            <w:fldChar w:fldCharType="separate"/>
          </w:r>
          <w:r w:rsidR="002E53A1" w:rsidRPr="001535AB">
            <w:rPr>
              <w:rFonts w:ascii="Arial" w:hAnsi="Arial"/>
              <w:i w:val="0"/>
              <w:iCs w:val="0"/>
              <w:noProof/>
              <w:sz w:val="22"/>
              <w:lang w:val="en-US"/>
            </w:rPr>
            <w:t>(SHP, 2025)</w:t>
          </w:r>
          <w:r w:rsidR="00E83B95" w:rsidRPr="001535AB">
            <w:rPr>
              <w:rFonts w:ascii="Arial" w:hAnsi="Arial"/>
              <w:i w:val="0"/>
              <w:iCs w:val="0"/>
              <w:sz w:val="22"/>
            </w:rPr>
            <w:fldChar w:fldCharType="end"/>
          </w:r>
        </w:sdtContent>
      </w:sdt>
      <w:r w:rsidRPr="002353E0">
        <w:rPr>
          <w:rFonts w:ascii="Arial" w:hAnsi="Arial" w:cs="Arial"/>
          <w:i w:val="0"/>
          <w:iCs w:val="0"/>
          <w:sz w:val="22"/>
          <w:szCs w:val="22"/>
        </w:rPr>
        <w:t xml:space="preserve">. Operating as a </w:t>
      </w:r>
      <w:r w:rsidRPr="002353E0">
        <w:rPr>
          <w:rFonts w:ascii="Arial" w:hAnsi="Arial" w:cs="Arial"/>
          <w:b/>
          <w:bCs/>
          <w:i w:val="0"/>
          <w:iCs w:val="0"/>
          <w:sz w:val="22"/>
          <w:szCs w:val="22"/>
        </w:rPr>
        <w:t>hybrid public</w:t>
      </w:r>
      <w:r w:rsidR="00D879DA">
        <w:rPr>
          <w:rFonts w:ascii="Arial" w:hAnsi="Arial" w:cs="Arial"/>
          <w:b/>
          <w:bCs/>
          <w:i w:val="0"/>
          <w:iCs w:val="0"/>
          <w:sz w:val="22"/>
          <w:szCs w:val="22"/>
        </w:rPr>
        <w:t>-</w:t>
      </w:r>
      <w:r w:rsidRPr="002353E0">
        <w:rPr>
          <w:rFonts w:ascii="Arial" w:hAnsi="Arial" w:cs="Arial"/>
          <w:b/>
          <w:bCs/>
          <w:i w:val="0"/>
          <w:iCs w:val="0"/>
          <w:sz w:val="22"/>
          <w:szCs w:val="22"/>
        </w:rPr>
        <w:t>SME model</w:t>
      </w:r>
      <w:r w:rsidRPr="002353E0">
        <w:rPr>
          <w:rFonts w:ascii="Arial" w:hAnsi="Arial" w:cs="Arial"/>
          <w:i w:val="0"/>
          <w:iCs w:val="0"/>
          <w:sz w:val="22"/>
          <w:szCs w:val="22"/>
        </w:rPr>
        <w:t xml:space="preserve">, SHP delivers </w:t>
      </w:r>
      <w:r w:rsidRPr="002353E0">
        <w:rPr>
          <w:rFonts w:ascii="Arial" w:hAnsi="Arial" w:cs="Arial"/>
          <w:b/>
          <w:bCs/>
          <w:i w:val="0"/>
          <w:iCs w:val="0"/>
          <w:sz w:val="22"/>
          <w:szCs w:val="22"/>
        </w:rPr>
        <w:t>statutory housing services</w:t>
      </w:r>
      <w:r w:rsidRPr="002353E0">
        <w:rPr>
          <w:rFonts w:ascii="Arial" w:hAnsi="Arial" w:cs="Arial"/>
          <w:i w:val="0"/>
          <w:iCs w:val="0"/>
          <w:sz w:val="22"/>
          <w:szCs w:val="22"/>
        </w:rPr>
        <w:t xml:space="preserve"> rather than commercial products, combining social value creation with operational efficiency </w:t>
      </w:r>
      <w:sdt>
        <w:sdtPr>
          <w:rPr>
            <w:rFonts w:ascii="Arial" w:hAnsi="Arial"/>
            <w:i w:val="0"/>
            <w:iCs w:val="0"/>
            <w:sz w:val="22"/>
          </w:rPr>
          <w:id w:val="-1325582604"/>
          <w:citation/>
        </w:sdtPr>
        <w:sdtEndPr/>
        <w:sdtContent>
          <w:r w:rsidRPr="001535AB">
            <w:rPr>
              <w:rFonts w:ascii="Arial" w:hAnsi="Arial"/>
              <w:i w:val="0"/>
              <w:iCs w:val="0"/>
              <w:sz w:val="22"/>
            </w:rPr>
            <w:fldChar w:fldCharType="begin"/>
          </w:r>
          <w:r w:rsidRPr="001535AB">
            <w:rPr>
              <w:rFonts w:ascii="Arial" w:hAnsi="Arial"/>
              <w:i w:val="0"/>
              <w:iCs w:val="0"/>
              <w:sz w:val="22"/>
              <w:lang w:val="en-US"/>
            </w:rPr>
            <w:instrText xml:space="preserve"> CITATION Per25 \l 1033 </w:instrText>
          </w:r>
          <w:r w:rsidRPr="001535AB">
            <w:rPr>
              <w:rFonts w:ascii="Arial" w:hAnsi="Arial"/>
              <w:i w:val="0"/>
              <w:iCs w:val="0"/>
              <w:sz w:val="22"/>
            </w:rPr>
            <w:fldChar w:fldCharType="separate"/>
          </w:r>
          <w:r w:rsidR="002E53A1" w:rsidRPr="001535AB">
            <w:rPr>
              <w:rFonts w:ascii="Arial" w:hAnsi="Arial"/>
              <w:i w:val="0"/>
              <w:iCs w:val="0"/>
              <w:noProof/>
              <w:sz w:val="22"/>
              <w:lang w:val="en-US"/>
            </w:rPr>
            <w:t>(Perobelli, et al., 2025)</w:t>
          </w:r>
          <w:r w:rsidRPr="001535AB">
            <w:rPr>
              <w:rFonts w:ascii="Arial" w:hAnsi="Arial"/>
              <w:i w:val="0"/>
              <w:iCs w:val="0"/>
              <w:sz w:val="22"/>
            </w:rPr>
            <w:fldChar w:fldCharType="end"/>
          </w:r>
        </w:sdtContent>
      </w:sdt>
      <w:r w:rsidRPr="002353E0">
        <w:rPr>
          <w:rFonts w:ascii="Arial" w:hAnsi="Arial" w:cs="Arial"/>
          <w:i w:val="0"/>
          <w:iCs w:val="0"/>
          <w:sz w:val="22"/>
          <w:szCs w:val="22"/>
        </w:rPr>
        <w:t xml:space="preserve">. Its value proposition centres on </w:t>
      </w:r>
      <w:r w:rsidRPr="002353E0">
        <w:rPr>
          <w:rFonts w:ascii="Arial" w:hAnsi="Arial" w:cs="Arial"/>
          <w:b/>
          <w:bCs/>
          <w:i w:val="0"/>
          <w:iCs w:val="0"/>
          <w:sz w:val="22"/>
          <w:szCs w:val="22"/>
        </w:rPr>
        <w:t>safe, compliant homes, responsive repairs, resident engagement, and community wellbeing</w:t>
      </w:r>
      <w:r>
        <w:rPr>
          <w:rFonts w:ascii="Arial" w:hAnsi="Arial"/>
          <w:i w:val="0"/>
          <w:iCs w:val="0"/>
          <w:sz w:val="22"/>
        </w:rPr>
        <w:t>-</w:t>
      </w:r>
      <w:r w:rsidRPr="002353E0">
        <w:rPr>
          <w:rFonts w:ascii="Arial" w:hAnsi="Arial" w:cs="Arial"/>
          <w:i w:val="0"/>
          <w:iCs w:val="0"/>
          <w:sz w:val="22"/>
          <w:szCs w:val="22"/>
        </w:rPr>
        <w:t xml:space="preserve">reflecting sector-wide governance trends where affordability, partnership working, and value-based delivery increasingly underpin housing provision </w:t>
      </w:r>
      <w:sdt>
        <w:sdtPr>
          <w:rPr>
            <w:rFonts w:ascii="Arial" w:hAnsi="Arial"/>
            <w:i w:val="0"/>
            <w:iCs w:val="0"/>
            <w:sz w:val="22"/>
          </w:rPr>
          <w:id w:val="-1476517074"/>
          <w:citation/>
        </w:sdtPr>
        <w:sdtEndPr/>
        <w:sdtContent>
          <w:r w:rsidRPr="00755B67">
            <w:rPr>
              <w:rFonts w:ascii="Arial" w:hAnsi="Arial"/>
              <w:i w:val="0"/>
              <w:iCs w:val="0"/>
              <w:sz w:val="22"/>
            </w:rPr>
            <w:fldChar w:fldCharType="begin"/>
          </w:r>
          <w:r w:rsidRPr="00755B67">
            <w:rPr>
              <w:rFonts w:ascii="Arial" w:hAnsi="Arial"/>
              <w:i w:val="0"/>
              <w:iCs w:val="0"/>
              <w:sz w:val="22"/>
              <w:lang w:val="en-US"/>
            </w:rPr>
            <w:instrText xml:space="preserve"> CITATION Mil19 \l 1033 </w:instrText>
          </w:r>
          <w:r w:rsidRPr="00755B67">
            <w:rPr>
              <w:rFonts w:ascii="Arial" w:hAnsi="Arial"/>
              <w:i w:val="0"/>
              <w:iCs w:val="0"/>
              <w:sz w:val="22"/>
            </w:rPr>
            <w:fldChar w:fldCharType="separate"/>
          </w:r>
          <w:r w:rsidR="002E53A1" w:rsidRPr="00755B67">
            <w:rPr>
              <w:rFonts w:ascii="Arial" w:hAnsi="Arial"/>
              <w:i w:val="0"/>
              <w:iCs w:val="0"/>
              <w:noProof/>
              <w:sz w:val="22"/>
              <w:lang w:val="en-US"/>
            </w:rPr>
            <w:t>(Milligan, 2019)</w:t>
          </w:r>
          <w:r w:rsidRPr="00755B67">
            <w:rPr>
              <w:rFonts w:ascii="Arial" w:hAnsi="Arial"/>
              <w:i w:val="0"/>
              <w:iCs w:val="0"/>
              <w:sz w:val="22"/>
            </w:rPr>
            <w:fldChar w:fldCharType="end"/>
          </w:r>
        </w:sdtContent>
      </w:sdt>
      <w:r w:rsidRPr="002353E0">
        <w:rPr>
          <w:rFonts w:ascii="Arial" w:hAnsi="Arial" w:cs="Arial"/>
          <w:i w:val="0"/>
          <w:iCs w:val="0"/>
          <w:sz w:val="22"/>
          <w:szCs w:val="22"/>
        </w:rPr>
        <w:t>. While aligned with New Public Management principles</w:t>
      </w:r>
      <w:r>
        <w:rPr>
          <w:rFonts w:ascii="Arial" w:hAnsi="Arial"/>
          <w:i w:val="0"/>
          <w:iCs w:val="0"/>
          <w:sz w:val="22"/>
        </w:rPr>
        <w:t>-</w:t>
      </w:r>
      <w:r w:rsidRPr="002353E0">
        <w:rPr>
          <w:rFonts w:ascii="Arial" w:hAnsi="Arial" w:cs="Arial"/>
          <w:i w:val="0"/>
          <w:iCs w:val="0"/>
          <w:sz w:val="22"/>
          <w:szCs w:val="22"/>
        </w:rPr>
        <w:t xml:space="preserve">performance measurement, </w:t>
      </w:r>
      <w:r w:rsidRPr="00986084">
        <w:rPr>
          <w:rFonts w:ascii="Arial" w:hAnsi="Arial" w:cs="Arial"/>
          <w:b/>
          <w:bCs/>
          <w:i w:val="0"/>
          <w:iCs w:val="0"/>
          <w:sz w:val="22"/>
          <w:szCs w:val="22"/>
        </w:rPr>
        <w:t>cost efficiency, and customer-centred delivery</w:t>
      </w:r>
      <w:r w:rsidR="00EA0E03">
        <w:rPr>
          <w:rFonts w:ascii="Arial" w:hAnsi="Arial"/>
          <w:i w:val="0"/>
          <w:iCs w:val="0"/>
          <w:sz w:val="22"/>
        </w:rPr>
        <w:t>-</w:t>
      </w:r>
      <w:r w:rsidRPr="002353E0">
        <w:rPr>
          <w:rFonts w:ascii="Arial" w:hAnsi="Arial" w:cs="Arial"/>
          <w:i w:val="0"/>
          <w:iCs w:val="0"/>
          <w:sz w:val="22"/>
          <w:szCs w:val="22"/>
        </w:rPr>
        <w:t xml:space="preserve">SHP faces SME-like constraints including small scale, ageing stock, limited workforce capacity, and restricted access to capital </w:t>
      </w:r>
      <w:sdt>
        <w:sdtPr>
          <w:rPr>
            <w:rFonts w:ascii="Arial" w:hAnsi="Arial"/>
            <w:i w:val="0"/>
            <w:iCs w:val="0"/>
            <w:sz w:val="22"/>
          </w:rPr>
          <w:id w:val="959844736"/>
          <w:citation/>
        </w:sdtPr>
        <w:sdtEndPr/>
        <w:sdtContent>
          <w:r w:rsidRPr="00755B67">
            <w:rPr>
              <w:rFonts w:ascii="Arial" w:hAnsi="Arial"/>
              <w:i w:val="0"/>
              <w:iCs w:val="0"/>
              <w:sz w:val="22"/>
            </w:rPr>
            <w:fldChar w:fldCharType="begin"/>
          </w:r>
          <w:r w:rsidRPr="00755B67">
            <w:rPr>
              <w:rFonts w:ascii="Arial" w:hAnsi="Arial"/>
              <w:i w:val="0"/>
              <w:iCs w:val="0"/>
              <w:sz w:val="22"/>
              <w:lang w:val="en-US"/>
            </w:rPr>
            <w:instrText xml:space="preserve"> CITATION Hui23 \l 1033 </w:instrText>
          </w:r>
          <w:r w:rsidRPr="00755B67">
            <w:rPr>
              <w:rFonts w:ascii="Arial" w:hAnsi="Arial"/>
              <w:i w:val="0"/>
              <w:iCs w:val="0"/>
              <w:sz w:val="22"/>
            </w:rPr>
            <w:fldChar w:fldCharType="separate"/>
          </w:r>
          <w:r w:rsidR="002E53A1" w:rsidRPr="00755B67">
            <w:rPr>
              <w:rFonts w:ascii="Arial" w:hAnsi="Arial"/>
              <w:i w:val="0"/>
              <w:iCs w:val="0"/>
              <w:noProof/>
              <w:sz w:val="22"/>
              <w:lang w:val="en-US"/>
            </w:rPr>
            <w:t>(Huisman &amp; Czischke, 2023)</w:t>
          </w:r>
          <w:r w:rsidRPr="00755B67">
            <w:rPr>
              <w:rFonts w:ascii="Arial" w:hAnsi="Arial"/>
              <w:i w:val="0"/>
              <w:iCs w:val="0"/>
              <w:sz w:val="22"/>
            </w:rPr>
            <w:fldChar w:fldCharType="end"/>
          </w:r>
        </w:sdtContent>
      </w:sdt>
      <w:r w:rsidRPr="002353E0">
        <w:rPr>
          <w:rFonts w:ascii="Arial" w:hAnsi="Arial" w:cs="Arial"/>
          <w:i w:val="0"/>
          <w:iCs w:val="0"/>
          <w:sz w:val="22"/>
          <w:szCs w:val="22"/>
        </w:rPr>
        <w:t>.</w:t>
      </w:r>
    </w:p>
    <w:p w14:paraId="651ECD04" w14:textId="21FD34B3" w:rsidR="00D55652" w:rsidRPr="00D55652" w:rsidRDefault="002353E0" w:rsidP="00D55652">
      <w:pPr>
        <w:rPr>
          <w:rFonts w:eastAsia="Times New Roman" w:cs="Arial"/>
          <w:szCs w:val="22"/>
          <w:lang w:eastAsia="en-GB"/>
        </w:rPr>
      </w:pPr>
      <w:r w:rsidRPr="002353E0">
        <w:rPr>
          <w:rFonts w:eastAsia="Times New Roman" w:cs="Arial"/>
          <w:szCs w:val="22"/>
          <w:lang w:eastAsia="en-GB"/>
        </w:rPr>
        <w:t xml:space="preserve">SHP’s </w:t>
      </w:r>
      <w:r w:rsidRPr="002353E0">
        <w:rPr>
          <w:rFonts w:eastAsia="Times New Roman" w:cs="Arial"/>
          <w:b/>
          <w:bCs/>
          <w:szCs w:val="22"/>
          <w:lang w:eastAsia="en-GB"/>
        </w:rPr>
        <w:t>uniqueness</w:t>
      </w:r>
      <w:r w:rsidRPr="002353E0">
        <w:rPr>
          <w:rFonts w:eastAsia="Times New Roman" w:cs="Arial"/>
          <w:szCs w:val="22"/>
          <w:lang w:eastAsia="en-GB"/>
        </w:rPr>
        <w:t xml:space="preserve"> stems from its </w:t>
      </w:r>
      <w:r w:rsidRPr="002353E0">
        <w:rPr>
          <w:rFonts w:eastAsia="Times New Roman" w:cs="Arial"/>
          <w:b/>
          <w:bCs/>
          <w:szCs w:val="22"/>
          <w:lang w:eastAsia="en-GB"/>
        </w:rPr>
        <w:t>dual mandate</w:t>
      </w:r>
      <w:r w:rsidRPr="002353E0">
        <w:rPr>
          <w:rFonts w:eastAsia="Times New Roman" w:cs="Arial"/>
          <w:szCs w:val="22"/>
          <w:lang w:eastAsia="en-GB"/>
        </w:rPr>
        <w:t xml:space="preserve"> as both a </w:t>
      </w:r>
      <w:r w:rsidRPr="002353E0">
        <w:rPr>
          <w:rFonts w:eastAsia="Times New Roman" w:cs="Arial"/>
          <w:b/>
          <w:bCs/>
          <w:szCs w:val="22"/>
          <w:lang w:eastAsia="en-GB"/>
        </w:rPr>
        <w:t>public service provider</w:t>
      </w:r>
      <w:r w:rsidRPr="002353E0">
        <w:rPr>
          <w:rFonts w:eastAsia="Times New Roman" w:cs="Arial"/>
          <w:szCs w:val="22"/>
          <w:lang w:eastAsia="en-GB"/>
        </w:rPr>
        <w:t xml:space="preserve"> and a </w:t>
      </w:r>
      <w:r w:rsidRPr="002353E0">
        <w:rPr>
          <w:rFonts w:eastAsia="Times New Roman" w:cs="Arial"/>
          <w:b/>
          <w:bCs/>
          <w:szCs w:val="22"/>
          <w:lang w:eastAsia="en-GB"/>
        </w:rPr>
        <w:t>strategic partner</w:t>
      </w:r>
      <w:r w:rsidRPr="002353E0">
        <w:rPr>
          <w:rFonts w:eastAsia="Times New Roman" w:cs="Arial"/>
          <w:szCs w:val="22"/>
          <w:lang w:eastAsia="en-GB"/>
        </w:rPr>
        <w:t xml:space="preserve"> to LBS. It manages some of London’s oldest housing stock, requiring large-scale decarbonisation, retrofit investment, and strengthened compliance, while navigating heightened post</w:t>
      </w:r>
      <w:r w:rsidR="00EA0E03">
        <w:rPr>
          <w:rFonts w:eastAsia="Times New Roman" w:cs="Arial"/>
          <w:szCs w:val="22"/>
          <w:lang w:eastAsia="en-GB"/>
        </w:rPr>
        <w:t>-</w:t>
      </w:r>
      <w:r w:rsidRPr="002353E0">
        <w:rPr>
          <w:rFonts w:eastAsia="Times New Roman" w:cs="Arial"/>
          <w:szCs w:val="22"/>
          <w:lang w:eastAsia="en-GB"/>
        </w:rPr>
        <w:t xml:space="preserve">Grenfell expectations for safety, transparency, and tenant voice </w:t>
      </w:r>
      <w:sdt>
        <w:sdtPr>
          <w:rPr>
            <w:rFonts w:eastAsia="Times New Roman"/>
            <w:lang w:eastAsia="en-GB"/>
          </w:rPr>
          <w:id w:val="-2062393225"/>
          <w:citation/>
        </w:sdtPr>
        <w:sdtEndPr/>
        <w:sdtContent>
          <w:r>
            <w:rPr>
              <w:rFonts w:eastAsia="Times New Roman"/>
              <w:lang w:eastAsia="en-GB"/>
            </w:rPr>
            <w:fldChar w:fldCharType="begin"/>
          </w:r>
          <w:r>
            <w:rPr>
              <w:rFonts w:eastAsia="Times New Roman"/>
              <w:lang w:val="en-US" w:eastAsia="en-GB"/>
            </w:rPr>
            <w:instrText xml:space="preserve"> CITATION Bry181 \l 1033  \m Car22</w:instrText>
          </w:r>
          <w:r>
            <w:rPr>
              <w:rFonts w:eastAsia="Times New Roman"/>
              <w:lang w:eastAsia="en-GB"/>
            </w:rPr>
            <w:fldChar w:fldCharType="separate"/>
          </w:r>
          <w:r w:rsidR="002E53A1" w:rsidRPr="002E53A1">
            <w:rPr>
              <w:rFonts w:eastAsia="Times New Roman"/>
              <w:noProof/>
              <w:lang w:val="en-US" w:eastAsia="en-GB"/>
            </w:rPr>
            <w:t>(Bryson, 2018; Carr, et al., 2022)</w:t>
          </w:r>
          <w:r>
            <w:rPr>
              <w:rFonts w:eastAsia="Times New Roman"/>
              <w:lang w:eastAsia="en-GB"/>
            </w:rPr>
            <w:fldChar w:fldCharType="end"/>
          </w:r>
        </w:sdtContent>
      </w:sdt>
      <w:r w:rsidRPr="002353E0">
        <w:rPr>
          <w:rFonts w:eastAsia="Times New Roman" w:cs="Arial"/>
          <w:szCs w:val="22"/>
          <w:lang w:eastAsia="en-GB"/>
        </w:rPr>
        <w:t xml:space="preserve">. Operational autonomy combined with financial dependency on external funding mirrors wider SME challenges, shaping strategic priorities around asset sustainability, service quality, and community outcomes </w:t>
      </w:r>
      <w:sdt>
        <w:sdtPr>
          <w:rPr>
            <w:rFonts w:eastAsia="Times New Roman"/>
            <w:lang w:eastAsia="en-GB"/>
          </w:rPr>
          <w:id w:val="-904372564"/>
          <w:citation/>
        </w:sdtPr>
        <w:sdtEndPr/>
        <w:sdtContent>
          <w:r w:rsidR="00CB4064">
            <w:rPr>
              <w:rFonts w:eastAsia="Times New Roman"/>
              <w:lang w:eastAsia="en-GB"/>
            </w:rPr>
            <w:fldChar w:fldCharType="begin"/>
          </w:r>
          <w:r w:rsidR="00CB4064">
            <w:rPr>
              <w:rFonts w:eastAsia="Times New Roman"/>
              <w:lang w:val="en-US" w:eastAsia="en-GB"/>
            </w:rPr>
            <w:instrText xml:space="preserve"> CITATION Hui23 \l 1033 </w:instrText>
          </w:r>
          <w:r w:rsidR="00CB4064">
            <w:rPr>
              <w:rFonts w:eastAsia="Times New Roman"/>
              <w:lang w:eastAsia="en-GB"/>
            </w:rPr>
            <w:fldChar w:fldCharType="separate"/>
          </w:r>
          <w:r w:rsidR="002E53A1" w:rsidRPr="002E53A1">
            <w:rPr>
              <w:rFonts w:eastAsia="Times New Roman"/>
              <w:noProof/>
              <w:lang w:val="en-US" w:eastAsia="en-GB"/>
            </w:rPr>
            <w:t>(Huisman &amp; Czischke, 2023)</w:t>
          </w:r>
          <w:r w:rsidR="00CB4064">
            <w:rPr>
              <w:rFonts w:eastAsia="Times New Roman"/>
              <w:lang w:eastAsia="en-GB"/>
            </w:rPr>
            <w:fldChar w:fldCharType="end"/>
          </w:r>
        </w:sdtContent>
      </w:sdt>
      <w:r w:rsidR="00D55652" w:rsidRPr="00D55652">
        <w:rPr>
          <w:rFonts w:eastAsia="Times New Roman" w:cs="Arial"/>
          <w:szCs w:val="22"/>
          <w:lang w:eastAsia="en-GB"/>
        </w:rPr>
        <w:t>.</w:t>
      </w:r>
    </w:p>
    <w:p w14:paraId="26B72047" w14:textId="69ABFBE0" w:rsidR="00D55652" w:rsidRDefault="00D55652" w:rsidP="00D55652">
      <w:pPr>
        <w:pStyle w:val="NormalWeb"/>
        <w:spacing w:line="360" w:lineRule="auto"/>
        <w:jc w:val="both"/>
        <w:rPr>
          <w:rFonts w:ascii="Arial" w:hAnsi="Arial"/>
          <w:i w:val="0"/>
          <w:iCs w:val="0"/>
          <w:sz w:val="22"/>
        </w:rPr>
      </w:pPr>
    </w:p>
    <w:p w14:paraId="5B08254E" w14:textId="77777777" w:rsidR="00321105" w:rsidRPr="00CB4064" w:rsidRDefault="00321105" w:rsidP="00D55652">
      <w:pPr>
        <w:pStyle w:val="NormalWeb"/>
        <w:spacing w:line="360" w:lineRule="auto"/>
        <w:jc w:val="both"/>
        <w:rPr>
          <w:rFonts w:ascii="Arial" w:hAnsi="Arial" w:cs="Arial"/>
          <w:i w:val="0"/>
          <w:iCs w:val="0"/>
          <w:sz w:val="22"/>
          <w:szCs w:val="22"/>
        </w:rPr>
      </w:pPr>
    </w:p>
    <w:p w14:paraId="5CC1FF2D" w14:textId="77777777" w:rsidR="00AE6E14" w:rsidRDefault="00AE6E14" w:rsidP="0059017A">
      <w:pPr>
        <w:rPr>
          <w:rFonts w:eastAsia="Times New Roman"/>
          <w:lang w:eastAsia="en-GB"/>
        </w:rPr>
      </w:pPr>
    </w:p>
    <w:p w14:paraId="2A2AFD08" w14:textId="77777777" w:rsidR="00AE6E14" w:rsidRDefault="00AE6E14" w:rsidP="0059017A">
      <w:pPr>
        <w:rPr>
          <w:rFonts w:eastAsia="Times New Roman"/>
          <w:lang w:eastAsia="en-GB"/>
        </w:rPr>
      </w:pPr>
    </w:p>
    <w:p w14:paraId="1D95F497" w14:textId="77777777" w:rsidR="00AE6E14" w:rsidRDefault="00AE6E14" w:rsidP="0059017A">
      <w:pPr>
        <w:rPr>
          <w:rFonts w:eastAsia="Times New Roman"/>
          <w:lang w:eastAsia="en-GB"/>
        </w:rPr>
      </w:pPr>
    </w:p>
    <w:p w14:paraId="35219A31" w14:textId="77777777" w:rsidR="00AE6E14" w:rsidRDefault="00AE6E14" w:rsidP="0059017A">
      <w:pPr>
        <w:rPr>
          <w:rFonts w:eastAsia="Times New Roman"/>
          <w:lang w:eastAsia="en-GB"/>
        </w:rPr>
      </w:pPr>
    </w:p>
    <w:p w14:paraId="5DA6F2CF" w14:textId="77777777" w:rsidR="00AE6E14" w:rsidRDefault="00AE6E14" w:rsidP="0059017A">
      <w:pPr>
        <w:rPr>
          <w:rFonts w:eastAsia="Times New Roman"/>
          <w:lang w:eastAsia="en-GB"/>
        </w:rPr>
      </w:pPr>
    </w:p>
    <w:p w14:paraId="4BAA8524" w14:textId="77777777" w:rsidR="00AE6E14" w:rsidRPr="0059017A" w:rsidRDefault="00AE6E14" w:rsidP="00DE7263">
      <w:pPr>
        <w:rPr>
          <w:rFonts w:eastAsia="Times New Roman"/>
          <w:lang w:eastAsia="en-GB"/>
        </w:rPr>
      </w:pPr>
    </w:p>
    <w:p w14:paraId="741D0E53" w14:textId="77777777" w:rsidR="0022709E" w:rsidRPr="0022709E" w:rsidRDefault="0022709E" w:rsidP="00975C21">
      <w:pPr>
        <w:pStyle w:val="Heading1"/>
        <w:numPr>
          <w:ilvl w:val="0"/>
          <w:numId w:val="16"/>
        </w:numPr>
        <w:spacing w:before="100" w:after="100"/>
        <w:rPr>
          <w:rFonts w:eastAsia="Times New Roman"/>
          <w:lang w:eastAsia="en-GB"/>
        </w:rPr>
      </w:pPr>
      <w:bookmarkStart w:id="1" w:name="_Toc216130264"/>
      <w:r w:rsidRPr="0022709E">
        <w:rPr>
          <w:rFonts w:eastAsia="Times New Roman"/>
          <w:lang w:eastAsia="en-GB"/>
        </w:rPr>
        <w:t>Appraisal of SHP’s Current Strategic Direction and Goals</w:t>
      </w:r>
      <w:bookmarkEnd w:id="1"/>
    </w:p>
    <w:p w14:paraId="19BB8D7A" w14:textId="200D506C" w:rsidR="0022709E" w:rsidRPr="00577B2A" w:rsidRDefault="00BF7970" w:rsidP="00577B2A">
      <w:pPr>
        <w:rPr>
          <w:rFonts w:eastAsia="Times New Roman" w:cs="Arial"/>
          <w:szCs w:val="22"/>
          <w:lang w:eastAsia="en-GB"/>
        </w:rPr>
      </w:pPr>
      <w:r w:rsidRPr="00577B2A">
        <w:rPr>
          <w:rFonts w:cs="Arial"/>
          <w:szCs w:val="22"/>
        </w:rPr>
        <w:t xml:space="preserve">SHP’s strategy focuses on safe homes, quality services, and thriving communities, fulfilling its statutory role for the London Borough of Sutton </w:t>
      </w:r>
      <w:sdt>
        <w:sdtPr>
          <w:rPr>
            <w:rFonts w:cs="Arial"/>
            <w:szCs w:val="22"/>
          </w:rPr>
          <w:id w:val="1068685108"/>
          <w:citation/>
        </w:sdtPr>
        <w:sdtEndPr/>
        <w:sdtContent>
          <w:r w:rsidRPr="00577B2A">
            <w:rPr>
              <w:rFonts w:cs="Arial"/>
              <w:szCs w:val="22"/>
            </w:rPr>
            <w:fldChar w:fldCharType="begin"/>
          </w:r>
          <w:r w:rsidRPr="00577B2A">
            <w:rPr>
              <w:rFonts w:cs="Arial"/>
              <w:szCs w:val="22"/>
              <w:lang w:val="en-US"/>
            </w:rPr>
            <w:instrText xml:space="preserve"> CITATION SHP253 \l 1033 </w:instrText>
          </w:r>
          <w:r w:rsidRPr="00577B2A">
            <w:rPr>
              <w:rFonts w:cs="Arial"/>
              <w:szCs w:val="22"/>
            </w:rPr>
            <w:fldChar w:fldCharType="separate"/>
          </w:r>
          <w:r w:rsidR="002E53A1" w:rsidRPr="002E53A1">
            <w:rPr>
              <w:noProof/>
              <w:lang w:val="en-US"/>
            </w:rPr>
            <w:t>(SHP, 2025)</w:t>
          </w:r>
          <w:r w:rsidRPr="00577B2A">
            <w:rPr>
              <w:rFonts w:cs="Arial"/>
              <w:szCs w:val="22"/>
            </w:rPr>
            <w:fldChar w:fldCharType="end"/>
          </w:r>
        </w:sdtContent>
      </w:sdt>
      <w:r w:rsidRPr="00577B2A">
        <w:rPr>
          <w:rFonts w:cs="Arial"/>
          <w:szCs w:val="22"/>
        </w:rPr>
        <w:t>. While socially and legally aligned, tensions exist between ambition, regulatory demands, and SME-like constraints.</w:t>
      </w:r>
    </w:p>
    <w:p w14:paraId="573A3DBB" w14:textId="4C659C83" w:rsidR="00577B2A" w:rsidRPr="00772EC6" w:rsidRDefault="00577B2A" w:rsidP="00DD3989">
      <w:pPr>
        <w:pStyle w:val="Heading2"/>
        <w:numPr>
          <w:ilvl w:val="0"/>
          <w:numId w:val="24"/>
        </w:numPr>
      </w:pPr>
      <w:bookmarkStart w:id="2" w:name="_Toc216130265"/>
      <w:r w:rsidRPr="00772EC6">
        <w:t>Vision, Mission, and Objectives</w:t>
      </w:r>
      <w:bookmarkEnd w:id="2"/>
    </w:p>
    <w:p w14:paraId="705F06AC" w14:textId="4376635B" w:rsidR="00577B2A" w:rsidRPr="00577B2A" w:rsidRDefault="00577B2A" w:rsidP="00577B2A">
      <w:pPr>
        <w:rPr>
          <w:rFonts w:eastAsia="Times New Roman" w:cs="Arial"/>
          <w:szCs w:val="22"/>
          <w:lang w:eastAsia="en-GB"/>
        </w:rPr>
      </w:pPr>
      <w:r w:rsidRPr="00577B2A">
        <w:rPr>
          <w:rFonts w:eastAsia="Times New Roman" w:cs="Arial"/>
          <w:szCs w:val="22"/>
          <w:lang w:eastAsia="en-GB"/>
        </w:rPr>
        <w:t xml:space="preserve">The vision and mission </w:t>
      </w:r>
      <w:r w:rsidRPr="00577B2A">
        <w:rPr>
          <w:rFonts w:eastAsia="Times New Roman" w:cs="Arial"/>
          <w:b/>
          <w:bCs/>
          <w:szCs w:val="22"/>
          <w:lang w:eastAsia="en-GB"/>
        </w:rPr>
        <w:t>emphasise compliance, tenant engagement, and sustainability, reflecting public-value principles</w:t>
      </w:r>
      <w:r w:rsidRPr="00577B2A">
        <w:rPr>
          <w:rFonts w:eastAsia="Times New Roman" w:cs="Arial"/>
          <w:szCs w:val="22"/>
          <w:lang w:eastAsia="en-GB"/>
        </w:rPr>
        <w:t xml:space="preserve"> </w:t>
      </w:r>
      <w:sdt>
        <w:sdtPr>
          <w:rPr>
            <w:rFonts w:eastAsia="Times New Roman"/>
            <w:lang w:eastAsia="en-GB"/>
          </w:rPr>
          <w:id w:val="1080024048"/>
          <w:citation/>
        </w:sdtPr>
        <w:sdtEndPr/>
        <w:sdtContent>
          <w:r w:rsidR="00885B31">
            <w:rPr>
              <w:rFonts w:eastAsia="Times New Roman"/>
              <w:lang w:eastAsia="en-GB"/>
            </w:rPr>
            <w:fldChar w:fldCharType="begin"/>
          </w:r>
          <w:r w:rsidR="00885B31">
            <w:rPr>
              <w:rFonts w:eastAsia="Times New Roman"/>
              <w:lang w:val="en-US" w:eastAsia="en-GB"/>
            </w:rPr>
            <w:instrText xml:space="preserve"> CITATION Mul18 \l 1033 </w:instrText>
          </w:r>
          <w:r w:rsidR="00885B31">
            <w:rPr>
              <w:rFonts w:eastAsia="Times New Roman"/>
              <w:lang w:eastAsia="en-GB"/>
            </w:rPr>
            <w:fldChar w:fldCharType="separate"/>
          </w:r>
          <w:r w:rsidR="002E53A1" w:rsidRPr="002E53A1">
            <w:rPr>
              <w:rFonts w:eastAsia="Times New Roman"/>
              <w:noProof/>
              <w:lang w:val="en-US" w:eastAsia="en-GB"/>
            </w:rPr>
            <w:t>(Mullins &amp; Moore, 2018)</w:t>
          </w:r>
          <w:r w:rsidR="00885B31">
            <w:rPr>
              <w:rFonts w:eastAsia="Times New Roman"/>
              <w:lang w:eastAsia="en-GB"/>
            </w:rPr>
            <w:fldChar w:fldCharType="end"/>
          </w:r>
        </w:sdtContent>
      </w:sdt>
      <w:r w:rsidRPr="00577B2A">
        <w:rPr>
          <w:rFonts w:eastAsia="Times New Roman" w:cs="Arial"/>
          <w:szCs w:val="22"/>
          <w:lang w:eastAsia="en-GB"/>
        </w:rPr>
        <w:t xml:space="preserve">. </w:t>
      </w:r>
      <w:r w:rsidRPr="00577B2A">
        <w:rPr>
          <w:rFonts w:eastAsia="Times New Roman" w:cs="Arial"/>
          <w:b/>
          <w:bCs/>
          <w:szCs w:val="22"/>
          <w:lang w:eastAsia="en-GB"/>
        </w:rPr>
        <w:t>Objectives</w:t>
      </w:r>
      <w:r w:rsidRPr="00577B2A">
        <w:rPr>
          <w:rFonts w:eastAsia="Times New Roman" w:cs="Arial"/>
          <w:szCs w:val="22"/>
          <w:lang w:eastAsia="en-GB"/>
        </w:rPr>
        <w:t xml:space="preserve"> span </w:t>
      </w:r>
      <w:r w:rsidRPr="00577B2A">
        <w:rPr>
          <w:rFonts w:eastAsia="Times New Roman" w:cs="Arial"/>
          <w:b/>
          <w:bCs/>
          <w:szCs w:val="22"/>
          <w:lang w:eastAsia="en-GB"/>
        </w:rPr>
        <w:t>safety, repairs, digital transformation, and decarbonisation</w:t>
      </w:r>
      <w:r w:rsidRPr="00577B2A">
        <w:rPr>
          <w:rFonts w:eastAsia="Times New Roman" w:cs="Arial"/>
          <w:szCs w:val="22"/>
          <w:lang w:eastAsia="en-GB"/>
        </w:rPr>
        <w:t xml:space="preserve">. However, limited workforce, funding, and digital capacity reduce feasibility </w:t>
      </w:r>
      <w:sdt>
        <w:sdtPr>
          <w:rPr>
            <w:rFonts w:eastAsia="Times New Roman"/>
            <w:lang w:eastAsia="en-GB"/>
          </w:rPr>
          <w:id w:val="-1866196227"/>
          <w:citation/>
        </w:sdtPr>
        <w:sdtEndPr/>
        <w:sdtContent>
          <w:r w:rsidR="00885B31">
            <w:rPr>
              <w:rFonts w:eastAsia="Times New Roman"/>
              <w:lang w:eastAsia="en-GB"/>
            </w:rPr>
            <w:fldChar w:fldCharType="begin"/>
          </w:r>
          <w:r w:rsidR="00885B31">
            <w:rPr>
              <w:rFonts w:eastAsia="Times New Roman"/>
              <w:lang w:val="en-US" w:eastAsia="en-GB"/>
            </w:rPr>
            <w:instrText xml:space="preserve"> CITATION Bry181 \l 1033  \m Hui23</w:instrText>
          </w:r>
          <w:r w:rsidR="00885B31">
            <w:rPr>
              <w:rFonts w:eastAsia="Times New Roman"/>
              <w:lang w:eastAsia="en-GB"/>
            </w:rPr>
            <w:fldChar w:fldCharType="separate"/>
          </w:r>
          <w:r w:rsidR="002E53A1" w:rsidRPr="002E53A1">
            <w:rPr>
              <w:rFonts w:eastAsia="Times New Roman"/>
              <w:noProof/>
              <w:lang w:val="en-US" w:eastAsia="en-GB"/>
            </w:rPr>
            <w:t>(Bryson, 2018; Huisman &amp; Czischke, 2023)</w:t>
          </w:r>
          <w:r w:rsidR="00885B31">
            <w:rPr>
              <w:rFonts w:eastAsia="Times New Roman"/>
              <w:lang w:eastAsia="en-GB"/>
            </w:rPr>
            <w:fldChar w:fldCharType="end"/>
          </w:r>
        </w:sdtContent>
      </w:sdt>
      <w:r w:rsidRPr="00577B2A">
        <w:rPr>
          <w:rFonts w:eastAsia="Times New Roman" w:cs="Arial"/>
          <w:szCs w:val="22"/>
          <w:lang w:eastAsia="en-GB"/>
        </w:rPr>
        <w:t>.</w:t>
      </w:r>
    </w:p>
    <w:p w14:paraId="088FE93A" w14:textId="011A3326" w:rsidR="00577B2A" w:rsidRPr="00772EC6" w:rsidRDefault="00577B2A" w:rsidP="00DD71C9">
      <w:pPr>
        <w:pStyle w:val="Heading2"/>
        <w:numPr>
          <w:ilvl w:val="0"/>
          <w:numId w:val="24"/>
        </w:numPr>
      </w:pPr>
      <w:bookmarkStart w:id="3" w:name="_Toc216130266"/>
      <w:r w:rsidRPr="00772EC6">
        <w:t>Strategic Fit and SME Constraints</w:t>
      </w:r>
      <w:bookmarkEnd w:id="3"/>
    </w:p>
    <w:p w14:paraId="6DC21187" w14:textId="603DE0BF" w:rsidR="00577B2A" w:rsidRPr="005F6B50" w:rsidRDefault="00577B2A" w:rsidP="005F6B50">
      <w:pPr>
        <w:rPr>
          <w:rFonts w:eastAsia="Times New Roman"/>
          <w:lang w:eastAsia="en-GB"/>
        </w:rPr>
      </w:pPr>
      <w:r w:rsidRPr="00577B2A">
        <w:rPr>
          <w:rFonts w:eastAsia="Times New Roman" w:cs="Arial"/>
          <w:szCs w:val="22"/>
          <w:lang w:eastAsia="en-GB"/>
        </w:rPr>
        <w:t xml:space="preserve">Operational gaps include ageing assets, fragmented systems, and reliance on LBS and contractors </w:t>
      </w:r>
      <w:sdt>
        <w:sdtPr>
          <w:rPr>
            <w:rFonts w:eastAsia="Times New Roman"/>
            <w:lang w:eastAsia="en-GB"/>
          </w:rPr>
          <w:id w:val="1852826441"/>
          <w:citation/>
        </w:sdtPr>
        <w:sdtEndPr/>
        <w:sdtContent>
          <w:r w:rsidR="00885B31">
            <w:rPr>
              <w:rFonts w:eastAsia="Times New Roman"/>
              <w:lang w:eastAsia="en-GB"/>
            </w:rPr>
            <w:fldChar w:fldCharType="begin"/>
          </w:r>
          <w:r w:rsidR="00885B31">
            <w:rPr>
              <w:rFonts w:eastAsia="Times New Roman"/>
              <w:lang w:val="en-US" w:eastAsia="en-GB"/>
            </w:rPr>
            <w:instrText xml:space="preserve"> CITATION Lev24 \l 1033 </w:instrText>
          </w:r>
          <w:r w:rsidR="00885B31">
            <w:rPr>
              <w:rFonts w:eastAsia="Times New Roman"/>
              <w:lang w:eastAsia="en-GB"/>
            </w:rPr>
            <w:fldChar w:fldCharType="separate"/>
          </w:r>
          <w:r w:rsidR="002E53A1" w:rsidRPr="002E53A1">
            <w:rPr>
              <w:rFonts w:eastAsia="Times New Roman"/>
              <w:noProof/>
              <w:lang w:val="en-US" w:eastAsia="en-GB"/>
            </w:rPr>
            <w:t>(Levelling UP, Housing and Communities Committee, 2024)</w:t>
          </w:r>
          <w:r w:rsidR="00885B31">
            <w:rPr>
              <w:rFonts w:eastAsia="Times New Roman"/>
              <w:lang w:eastAsia="en-GB"/>
            </w:rPr>
            <w:fldChar w:fldCharType="end"/>
          </w:r>
        </w:sdtContent>
      </w:sdt>
      <w:r w:rsidRPr="00577B2A">
        <w:rPr>
          <w:rFonts w:eastAsia="Times New Roman" w:cs="Arial"/>
          <w:szCs w:val="22"/>
          <w:lang w:eastAsia="en-GB"/>
        </w:rPr>
        <w:t>. From a Resource-Based View, SHP lacks key</w:t>
      </w:r>
      <w:r w:rsidR="00AB7879">
        <w:rPr>
          <w:rFonts w:eastAsia="Times New Roman" w:cs="Arial"/>
          <w:szCs w:val="22"/>
          <w:lang w:eastAsia="en-GB"/>
        </w:rPr>
        <w:t xml:space="preserve"> VR</w:t>
      </w:r>
      <w:r w:rsidR="00DB4BFC">
        <w:rPr>
          <w:rFonts w:eastAsia="Times New Roman" w:cs="Arial"/>
          <w:szCs w:val="22"/>
          <w:lang w:eastAsia="en-GB"/>
        </w:rPr>
        <w:t>IN</w:t>
      </w:r>
      <w:r w:rsidRPr="00577B2A">
        <w:rPr>
          <w:rFonts w:eastAsia="Times New Roman" w:cs="Arial"/>
          <w:szCs w:val="22"/>
          <w:lang w:eastAsia="en-GB"/>
        </w:rPr>
        <w:t xml:space="preserve"> </w:t>
      </w:r>
      <w:r w:rsidR="00DB4BFC">
        <w:rPr>
          <w:rFonts w:eastAsia="Times New Roman" w:cs="Arial"/>
          <w:szCs w:val="22"/>
          <w:lang w:eastAsia="en-GB"/>
        </w:rPr>
        <w:t>(</w:t>
      </w:r>
      <w:r w:rsidR="00EF4B6C">
        <w:t>Valuable, Rare, Inimitable, and Non-substitutable</w:t>
      </w:r>
      <w:r w:rsidR="00DB4BFC">
        <w:t>)</w:t>
      </w:r>
      <w:r w:rsidRPr="00577B2A">
        <w:rPr>
          <w:rFonts w:eastAsia="Times New Roman" w:cs="Arial"/>
          <w:szCs w:val="22"/>
          <w:lang w:eastAsia="en-GB"/>
        </w:rPr>
        <w:t xml:space="preserve"> capabilities</w:t>
      </w:r>
      <w:r w:rsidR="00885B31">
        <w:rPr>
          <w:rFonts w:eastAsia="Times New Roman"/>
          <w:lang w:eastAsia="en-GB"/>
        </w:rPr>
        <w:t>-</w:t>
      </w:r>
      <w:r w:rsidRPr="00577B2A">
        <w:rPr>
          <w:rFonts w:eastAsia="Times New Roman" w:cs="Arial"/>
          <w:szCs w:val="22"/>
          <w:lang w:eastAsia="en-GB"/>
        </w:rPr>
        <w:t>digital expertise, technical skills, and asset investment capacity</w:t>
      </w:r>
      <w:r w:rsidR="00885B31">
        <w:rPr>
          <w:rFonts w:eastAsia="Times New Roman"/>
          <w:lang w:eastAsia="en-GB"/>
        </w:rPr>
        <w:t>-</w:t>
      </w:r>
      <w:r w:rsidRPr="00577B2A">
        <w:rPr>
          <w:rFonts w:eastAsia="Times New Roman" w:cs="Arial"/>
          <w:szCs w:val="22"/>
          <w:lang w:eastAsia="en-GB"/>
        </w:rPr>
        <w:t xml:space="preserve">limiting sustainable differentiation </w:t>
      </w:r>
      <w:sdt>
        <w:sdtPr>
          <w:rPr>
            <w:rFonts w:eastAsia="Times New Roman"/>
            <w:lang w:eastAsia="en-GB"/>
          </w:rPr>
          <w:id w:val="-1357122609"/>
          <w:citation/>
        </w:sdtPr>
        <w:sdtEndPr/>
        <w:sdtContent>
          <w:r w:rsidR="005F6B50">
            <w:rPr>
              <w:rFonts w:eastAsia="Times New Roman"/>
              <w:lang w:eastAsia="en-GB"/>
            </w:rPr>
            <w:fldChar w:fldCharType="begin"/>
          </w:r>
          <w:r w:rsidR="005F6B50">
            <w:rPr>
              <w:rFonts w:eastAsia="Times New Roman"/>
              <w:lang w:val="en-US" w:eastAsia="en-GB"/>
            </w:rPr>
            <w:instrText xml:space="preserve"> CITATION Bar19 \l 1033 </w:instrText>
          </w:r>
          <w:r w:rsidR="005F6B50">
            <w:rPr>
              <w:rFonts w:eastAsia="Times New Roman"/>
              <w:lang w:eastAsia="en-GB"/>
            </w:rPr>
            <w:fldChar w:fldCharType="separate"/>
          </w:r>
          <w:r w:rsidR="002E53A1" w:rsidRPr="002E53A1">
            <w:rPr>
              <w:rFonts w:eastAsia="Times New Roman"/>
              <w:noProof/>
              <w:lang w:val="en-US" w:eastAsia="en-GB"/>
            </w:rPr>
            <w:t>(Barney &amp; Hesterly, 2019)</w:t>
          </w:r>
          <w:r w:rsidR="005F6B50">
            <w:rPr>
              <w:rFonts w:eastAsia="Times New Roman"/>
              <w:lang w:eastAsia="en-GB"/>
            </w:rPr>
            <w:fldChar w:fldCharType="end"/>
          </w:r>
        </w:sdtContent>
      </w:sdt>
      <w:r w:rsidRPr="00577B2A">
        <w:rPr>
          <w:rFonts w:eastAsia="Times New Roman" w:cs="Arial"/>
          <w:szCs w:val="22"/>
          <w:lang w:eastAsia="en-GB"/>
        </w:rPr>
        <w:t xml:space="preserve">. SME-like constraints (cashflow, small workforce, limited change capacity) further restrict strategy delivery, supporting incremental, capability-focused pathways over transformational change </w:t>
      </w:r>
      <w:sdt>
        <w:sdtPr>
          <w:rPr>
            <w:rFonts w:eastAsia="Times New Roman"/>
            <w:lang w:eastAsia="en-GB"/>
          </w:rPr>
          <w:id w:val="-1948687854"/>
          <w:citation/>
        </w:sdtPr>
        <w:sdtEndPr/>
        <w:sdtContent>
          <w:r w:rsidR="005F6B50">
            <w:rPr>
              <w:rFonts w:eastAsia="Times New Roman"/>
              <w:lang w:eastAsia="en-GB"/>
            </w:rPr>
            <w:fldChar w:fldCharType="begin"/>
          </w:r>
          <w:r w:rsidR="00325C53">
            <w:rPr>
              <w:rFonts w:eastAsia="Times New Roman"/>
              <w:lang w:val="en-US" w:eastAsia="en-GB"/>
            </w:rPr>
            <w:instrText xml:space="preserve">CITATION Bur22 \l 1033 </w:instrText>
          </w:r>
          <w:r w:rsidR="005F6B50">
            <w:rPr>
              <w:rFonts w:eastAsia="Times New Roman"/>
              <w:lang w:eastAsia="en-GB"/>
            </w:rPr>
            <w:fldChar w:fldCharType="separate"/>
          </w:r>
          <w:r w:rsidR="002E53A1" w:rsidRPr="002E53A1">
            <w:rPr>
              <w:rFonts w:eastAsia="Times New Roman"/>
              <w:noProof/>
              <w:lang w:val="en-US" w:eastAsia="en-GB"/>
            </w:rPr>
            <w:t>(Burns, 2022)</w:t>
          </w:r>
          <w:r w:rsidR="005F6B50">
            <w:rPr>
              <w:rFonts w:eastAsia="Times New Roman"/>
              <w:lang w:eastAsia="en-GB"/>
            </w:rPr>
            <w:fldChar w:fldCharType="end"/>
          </w:r>
        </w:sdtContent>
      </w:sdt>
      <w:r w:rsidRPr="00577B2A">
        <w:rPr>
          <w:rFonts w:eastAsia="Times New Roman" w:cs="Arial"/>
          <w:szCs w:val="22"/>
          <w:lang w:eastAsia="en-GB"/>
        </w:rPr>
        <w:t>.</w:t>
      </w:r>
    </w:p>
    <w:p w14:paraId="6B58FEB1" w14:textId="678E800F" w:rsidR="00531006" w:rsidRPr="00577B2A" w:rsidRDefault="00577B2A" w:rsidP="00577B2A">
      <w:pPr>
        <w:rPr>
          <w:rFonts w:eastAsia="Times New Roman" w:cs="Arial"/>
          <w:szCs w:val="22"/>
          <w:lang w:eastAsia="en-GB"/>
        </w:rPr>
      </w:pPr>
      <w:r w:rsidRPr="00577B2A">
        <w:rPr>
          <w:rFonts w:eastAsia="Times New Roman" w:cs="Arial"/>
          <w:b/>
          <w:bCs/>
          <w:szCs w:val="22"/>
          <w:lang w:eastAsia="en-GB"/>
        </w:rPr>
        <w:t>SHP’s strategy</w:t>
      </w:r>
      <w:r w:rsidRPr="00577B2A">
        <w:rPr>
          <w:rFonts w:eastAsia="Times New Roman" w:cs="Arial"/>
          <w:szCs w:val="22"/>
          <w:lang w:eastAsia="en-GB"/>
        </w:rPr>
        <w:t xml:space="preserve"> is purposefully </w:t>
      </w:r>
      <w:r w:rsidRPr="00577B2A">
        <w:rPr>
          <w:rFonts w:eastAsia="Times New Roman" w:cs="Arial"/>
          <w:b/>
          <w:bCs/>
          <w:szCs w:val="22"/>
          <w:lang w:eastAsia="en-GB"/>
        </w:rPr>
        <w:t>aligned with statutory duties but misaligned with internal capacity</w:t>
      </w:r>
      <w:r w:rsidRPr="00577B2A">
        <w:rPr>
          <w:rFonts w:eastAsia="Times New Roman" w:cs="Arial"/>
          <w:szCs w:val="22"/>
          <w:lang w:eastAsia="en-GB"/>
        </w:rPr>
        <w:t xml:space="preserve">. A phased, capability-driven, and partnership-oriented approach is essential, underpinning the rationale for the </w:t>
      </w:r>
      <w:r w:rsidRPr="00577B2A">
        <w:rPr>
          <w:rFonts w:eastAsia="Times New Roman" w:cs="Arial"/>
          <w:b/>
          <w:bCs/>
          <w:szCs w:val="22"/>
          <w:lang w:eastAsia="en-GB"/>
        </w:rPr>
        <w:t xml:space="preserve">Sustainable Homes </w:t>
      </w:r>
      <w:r w:rsidR="00DD71C9">
        <w:rPr>
          <w:rFonts w:eastAsia="Times New Roman" w:cs="Arial"/>
          <w:b/>
          <w:bCs/>
          <w:szCs w:val="22"/>
          <w:lang w:eastAsia="en-GB"/>
        </w:rPr>
        <w:t>and</w:t>
      </w:r>
      <w:r w:rsidRPr="00577B2A">
        <w:rPr>
          <w:rFonts w:eastAsia="Times New Roman" w:cs="Arial"/>
          <w:b/>
          <w:bCs/>
          <w:szCs w:val="22"/>
          <w:lang w:eastAsia="en-GB"/>
        </w:rPr>
        <w:t xml:space="preserve"> Communities Strategy</w:t>
      </w:r>
      <w:r w:rsidRPr="00577B2A">
        <w:rPr>
          <w:rFonts w:eastAsia="Times New Roman" w:cs="Arial"/>
          <w:szCs w:val="22"/>
          <w:lang w:eastAsia="en-GB"/>
        </w:rPr>
        <w:t xml:space="preserve"> in Section 5.</w:t>
      </w:r>
    </w:p>
    <w:p w14:paraId="18C321FA" w14:textId="77777777" w:rsidR="002A06AE" w:rsidRPr="002A06AE" w:rsidRDefault="002A06AE" w:rsidP="00240CAD">
      <w:pPr>
        <w:pStyle w:val="Heading1"/>
        <w:numPr>
          <w:ilvl w:val="0"/>
          <w:numId w:val="16"/>
        </w:numPr>
        <w:rPr>
          <w:rFonts w:eastAsia="Times New Roman"/>
          <w:lang w:eastAsia="en-GB"/>
        </w:rPr>
      </w:pPr>
      <w:bookmarkStart w:id="4" w:name="_Toc216130267"/>
      <w:r w:rsidRPr="002A06AE">
        <w:rPr>
          <w:rFonts w:eastAsia="Times New Roman"/>
          <w:lang w:eastAsia="en-GB"/>
        </w:rPr>
        <w:t>Environmental Scan and Competitive Positioning</w:t>
      </w:r>
      <w:bookmarkEnd w:id="4"/>
    </w:p>
    <w:p w14:paraId="14764427" w14:textId="48DAFCE6" w:rsidR="00D176FE" w:rsidRPr="00C70513" w:rsidRDefault="00C70513" w:rsidP="00C70513">
      <w:pPr>
        <w:pStyle w:val="NormalWeb"/>
        <w:spacing w:line="360" w:lineRule="auto"/>
        <w:jc w:val="both"/>
        <w:rPr>
          <w:rFonts w:ascii="Arial" w:hAnsi="Arial"/>
          <w:i w:val="0"/>
          <w:iCs w:val="0"/>
          <w:sz w:val="22"/>
        </w:rPr>
      </w:pPr>
      <w:r w:rsidRPr="00C70513">
        <w:rPr>
          <w:rFonts w:ascii="Arial" w:hAnsi="Arial"/>
          <w:i w:val="0"/>
          <w:iCs w:val="0"/>
          <w:sz w:val="22"/>
        </w:rPr>
        <w:t xml:space="preserve">A comprehensive environmental scan is crucial for understanding the strategic pressures shaping Sutton Housing Partnership’s (SHP) operating context. Although SHP functions within the public sector as an ALMO, its operational scale, financial constraints, and resource dependency mirror the characteristic vulnerabilities of SMEs </w:t>
      </w:r>
      <w:sdt>
        <w:sdtPr>
          <w:rPr>
            <w:rFonts w:ascii="Arial" w:hAnsi="Arial"/>
            <w:i w:val="0"/>
            <w:iCs w:val="0"/>
            <w:sz w:val="22"/>
          </w:rPr>
          <w:id w:val="2037303994"/>
          <w:citation/>
        </w:sdtPr>
        <w:sdtEndPr/>
        <w:sdtContent>
          <w:r w:rsidR="00EF7B16" w:rsidRPr="00B75C42">
            <w:rPr>
              <w:rFonts w:ascii="Arial" w:hAnsi="Arial"/>
              <w:i w:val="0"/>
              <w:iCs w:val="0"/>
              <w:sz w:val="22"/>
            </w:rPr>
            <w:fldChar w:fldCharType="begin"/>
          </w:r>
          <w:r w:rsidR="00EF7B16" w:rsidRPr="00B75C42">
            <w:rPr>
              <w:rFonts w:ascii="Arial" w:hAnsi="Arial"/>
              <w:i w:val="0"/>
              <w:iCs w:val="0"/>
              <w:sz w:val="22"/>
              <w:lang w:val="en-US"/>
            </w:rPr>
            <w:instrText xml:space="preserve"> CITATION Bar19 \l 1033 </w:instrText>
          </w:r>
          <w:r w:rsidR="00EF7B16" w:rsidRPr="00B75C42">
            <w:rPr>
              <w:rFonts w:ascii="Arial" w:hAnsi="Arial"/>
              <w:i w:val="0"/>
              <w:iCs w:val="0"/>
              <w:sz w:val="22"/>
            </w:rPr>
            <w:fldChar w:fldCharType="separate"/>
          </w:r>
          <w:r w:rsidR="002E53A1" w:rsidRPr="00B75C42">
            <w:rPr>
              <w:rFonts w:ascii="Arial" w:hAnsi="Arial"/>
              <w:i w:val="0"/>
              <w:iCs w:val="0"/>
              <w:noProof/>
              <w:sz w:val="22"/>
              <w:lang w:val="en-US"/>
            </w:rPr>
            <w:t>(Barney &amp; Hesterly, 2019)</w:t>
          </w:r>
          <w:r w:rsidR="00EF7B16" w:rsidRPr="00B75C42">
            <w:rPr>
              <w:rFonts w:ascii="Arial" w:hAnsi="Arial"/>
              <w:i w:val="0"/>
              <w:iCs w:val="0"/>
              <w:sz w:val="22"/>
            </w:rPr>
            <w:fldChar w:fldCharType="end"/>
          </w:r>
        </w:sdtContent>
      </w:sdt>
      <w:r w:rsidRPr="00C70513">
        <w:rPr>
          <w:rFonts w:ascii="Arial" w:hAnsi="Arial"/>
          <w:i w:val="0"/>
          <w:iCs w:val="0"/>
          <w:sz w:val="22"/>
        </w:rPr>
        <w:t xml:space="preserve">. This section critically analyses SHP’s position by applying </w:t>
      </w:r>
      <w:r w:rsidRPr="00C70513">
        <w:rPr>
          <w:rStyle w:val="Strong"/>
          <w:rFonts w:ascii="Arial" w:hAnsi="Arial"/>
          <w:i w:val="0"/>
          <w:iCs w:val="0"/>
          <w:sz w:val="22"/>
        </w:rPr>
        <w:t>PESTEL, SWOT, Porter’s Five Forces, and Value Chain</w:t>
      </w:r>
      <w:r w:rsidRPr="00C70513">
        <w:rPr>
          <w:rFonts w:ascii="Arial" w:hAnsi="Arial"/>
          <w:i w:val="0"/>
          <w:iCs w:val="0"/>
          <w:sz w:val="22"/>
        </w:rPr>
        <w:t xml:space="preserve"> frameworks to evaluate how internal capabilities and external pressures influence strategic direction. The analysis demonstrates that SHP operates within a tightening regulatory environment that demands enhanced governance, modernised services, and investment in digital and asset sustainability.</w:t>
      </w:r>
    </w:p>
    <w:p w14:paraId="43A9C491" w14:textId="25A64FBD" w:rsidR="00BB036C" w:rsidRPr="00DE10B7" w:rsidRDefault="00BB036C" w:rsidP="00444ECA">
      <w:pPr>
        <w:pStyle w:val="Heading2"/>
        <w:numPr>
          <w:ilvl w:val="0"/>
          <w:numId w:val="21"/>
        </w:numPr>
      </w:pPr>
      <w:bookmarkStart w:id="5" w:name="_Toc216130268"/>
      <w:r>
        <w:t xml:space="preserve">External </w:t>
      </w:r>
      <w:r w:rsidR="002A30E6">
        <w:t xml:space="preserve">Environment </w:t>
      </w:r>
      <w:r w:rsidR="0033102B">
        <w:t>-</w:t>
      </w:r>
      <w:r w:rsidR="001D57D7">
        <w:t xml:space="preserve"> </w:t>
      </w:r>
      <w:r w:rsidR="0033102B">
        <w:t>PESTEL Analysis</w:t>
      </w:r>
      <w:bookmarkEnd w:id="5"/>
    </w:p>
    <w:p w14:paraId="4539267B" w14:textId="482A19EA" w:rsidR="00A5746B" w:rsidRPr="00216AA9" w:rsidRDefault="00216AA9" w:rsidP="00216AA9">
      <w:pPr>
        <w:pStyle w:val="NormalWeb"/>
        <w:spacing w:line="360" w:lineRule="auto"/>
        <w:jc w:val="both"/>
        <w:rPr>
          <w:rFonts w:ascii="Arial" w:hAnsi="Arial" w:cs="Arial"/>
          <w:i w:val="0"/>
          <w:iCs w:val="0"/>
          <w:kern w:val="0"/>
          <w:sz w:val="22"/>
          <w:szCs w:val="22"/>
          <w14:ligatures w14:val="none"/>
        </w:rPr>
      </w:pPr>
      <w:r w:rsidRPr="00216AA9">
        <w:rPr>
          <w:rFonts w:ascii="Arial" w:hAnsi="Arial" w:cs="Arial"/>
          <w:i w:val="0"/>
          <w:iCs w:val="0"/>
          <w:kern w:val="0"/>
          <w:sz w:val="22"/>
          <w:szCs w:val="22"/>
          <w14:ligatures w14:val="none"/>
        </w:rPr>
        <w:t xml:space="preserve">SHP operates in a highly regulated and resource-constrained environment shaped by reform, rising expectations, and decarbonisation demands. </w:t>
      </w:r>
      <w:r w:rsidRPr="00216AA9">
        <w:rPr>
          <w:rFonts w:ascii="Arial" w:hAnsi="Arial" w:cs="Arial"/>
          <w:b/>
          <w:bCs/>
          <w:i w:val="0"/>
          <w:iCs w:val="0"/>
          <w:kern w:val="0"/>
          <w:sz w:val="22"/>
          <w:szCs w:val="22"/>
          <w14:ligatures w14:val="none"/>
        </w:rPr>
        <w:t>Table 1</w:t>
      </w:r>
      <w:r w:rsidRPr="00216AA9">
        <w:rPr>
          <w:rFonts w:ascii="Arial" w:hAnsi="Arial" w:cs="Arial"/>
          <w:i w:val="0"/>
          <w:iCs w:val="0"/>
          <w:kern w:val="0"/>
          <w:sz w:val="22"/>
          <w:szCs w:val="22"/>
          <w14:ligatures w14:val="none"/>
        </w:rPr>
        <w:t xml:space="preserve"> summarises the key </w:t>
      </w:r>
      <w:r w:rsidRPr="00C714DD">
        <w:rPr>
          <w:rFonts w:ascii="Arial" w:hAnsi="Arial" w:cs="Arial"/>
          <w:b/>
          <w:bCs/>
          <w:i w:val="0"/>
          <w:iCs w:val="0"/>
          <w:kern w:val="0"/>
          <w:sz w:val="22"/>
          <w:szCs w:val="22"/>
          <w14:ligatures w14:val="none"/>
        </w:rPr>
        <w:t>PESTEL factors</w:t>
      </w:r>
      <w:r w:rsidRPr="00216AA9">
        <w:rPr>
          <w:rFonts w:ascii="Arial" w:hAnsi="Arial" w:cs="Arial"/>
          <w:i w:val="0"/>
          <w:iCs w:val="0"/>
          <w:kern w:val="0"/>
          <w:sz w:val="22"/>
          <w:szCs w:val="22"/>
          <w14:ligatures w14:val="none"/>
        </w:rPr>
        <w:t xml:space="preserve"> influencing the organisation. Recent regulation</w:t>
      </w:r>
      <w:r w:rsidR="00C714DD">
        <w:rPr>
          <w:rFonts w:ascii="Arial" w:hAnsi="Arial" w:cs="Arial"/>
          <w:i w:val="0"/>
          <w:iCs w:val="0"/>
          <w:kern w:val="0"/>
          <w:sz w:val="22"/>
          <w:szCs w:val="22"/>
          <w14:ligatures w14:val="none"/>
        </w:rPr>
        <w:t xml:space="preserve">, </w:t>
      </w:r>
      <w:r w:rsidRPr="00216AA9">
        <w:rPr>
          <w:rFonts w:ascii="Arial" w:hAnsi="Arial" w:cs="Arial"/>
          <w:i w:val="0"/>
          <w:iCs w:val="0"/>
          <w:kern w:val="0"/>
          <w:sz w:val="22"/>
          <w:szCs w:val="22"/>
          <w14:ligatures w14:val="none"/>
        </w:rPr>
        <w:t>including the 2024 framework and Awaab’s Law</w:t>
      </w:r>
      <w:r w:rsidR="00C714DD">
        <w:rPr>
          <w:rFonts w:ascii="Arial" w:hAnsi="Arial" w:cs="Arial"/>
          <w:i w:val="0"/>
          <w:iCs w:val="0"/>
          <w:kern w:val="0"/>
          <w:sz w:val="22"/>
          <w:szCs w:val="22"/>
          <w14:ligatures w14:val="none"/>
        </w:rPr>
        <w:t xml:space="preserve">, </w:t>
      </w:r>
      <w:r w:rsidRPr="00216AA9">
        <w:rPr>
          <w:rFonts w:ascii="Arial" w:hAnsi="Arial" w:cs="Arial"/>
          <w:i w:val="0"/>
          <w:iCs w:val="0"/>
          <w:kern w:val="0"/>
          <w:sz w:val="22"/>
          <w:szCs w:val="22"/>
          <w14:ligatures w14:val="none"/>
        </w:rPr>
        <w:t xml:space="preserve">has intensified requirements for safety, responsiveness, and accountability </w:t>
      </w:r>
      <w:sdt>
        <w:sdtPr>
          <w:rPr>
            <w:rFonts w:ascii="Arial" w:hAnsi="Arial" w:cs="Arial"/>
            <w:i w:val="0"/>
            <w:iCs w:val="0"/>
            <w:kern w:val="0"/>
            <w:sz w:val="22"/>
            <w:szCs w:val="22"/>
            <w14:ligatures w14:val="none"/>
          </w:rPr>
          <w:id w:val="1192117486"/>
          <w:citation/>
        </w:sdtPr>
        <w:sdtEndPr/>
        <w:sdtContent>
          <w:r w:rsidR="00C714DD" w:rsidRPr="00C714DD">
            <w:rPr>
              <w:rFonts w:ascii="Arial" w:hAnsi="Arial" w:cs="Arial"/>
              <w:i w:val="0"/>
              <w:iCs w:val="0"/>
              <w:kern w:val="0"/>
              <w:sz w:val="22"/>
              <w:szCs w:val="22"/>
              <w14:ligatures w14:val="none"/>
            </w:rPr>
            <w:fldChar w:fldCharType="begin"/>
          </w:r>
          <w:r w:rsidR="00C714DD" w:rsidRPr="00C714DD">
            <w:rPr>
              <w:rFonts w:ascii="Arial" w:hAnsi="Arial" w:cs="Arial"/>
              <w:i w:val="0"/>
              <w:iCs w:val="0"/>
              <w:kern w:val="0"/>
              <w:sz w:val="22"/>
              <w:szCs w:val="22"/>
              <w:lang w:val="en-US"/>
              <w14:ligatures w14:val="none"/>
            </w:rPr>
            <w:instrText xml:space="preserve"> CITATION Min251 \l 1033 </w:instrText>
          </w:r>
          <w:r w:rsidR="00C714DD" w:rsidRPr="00C714DD">
            <w:rPr>
              <w:rFonts w:ascii="Arial" w:hAnsi="Arial" w:cs="Arial"/>
              <w:i w:val="0"/>
              <w:iCs w:val="0"/>
              <w:kern w:val="0"/>
              <w:sz w:val="22"/>
              <w:szCs w:val="22"/>
              <w14:ligatures w14:val="none"/>
            </w:rPr>
            <w:fldChar w:fldCharType="separate"/>
          </w:r>
          <w:r w:rsidR="00C714DD" w:rsidRPr="00C714DD">
            <w:rPr>
              <w:rFonts w:ascii="Arial" w:hAnsi="Arial" w:cs="Arial"/>
              <w:i w:val="0"/>
              <w:iCs w:val="0"/>
              <w:noProof/>
              <w:kern w:val="0"/>
              <w:sz w:val="22"/>
              <w:szCs w:val="22"/>
              <w:lang w:val="en-US"/>
              <w14:ligatures w14:val="none"/>
            </w:rPr>
            <w:t>(MHCLG, 2025)</w:t>
          </w:r>
          <w:r w:rsidR="00C714DD" w:rsidRPr="00C714DD">
            <w:rPr>
              <w:rFonts w:ascii="Arial" w:hAnsi="Arial" w:cs="Arial"/>
              <w:i w:val="0"/>
              <w:iCs w:val="0"/>
              <w:kern w:val="0"/>
              <w:sz w:val="22"/>
              <w:szCs w:val="22"/>
              <w14:ligatures w14:val="none"/>
            </w:rPr>
            <w:fldChar w:fldCharType="end"/>
          </w:r>
        </w:sdtContent>
      </w:sdt>
      <w:r w:rsidRPr="00216AA9">
        <w:rPr>
          <w:rFonts w:ascii="Arial" w:hAnsi="Arial" w:cs="Arial"/>
          <w:i w:val="0"/>
          <w:iCs w:val="0"/>
          <w:kern w:val="0"/>
          <w:sz w:val="22"/>
          <w:szCs w:val="22"/>
          <w14:ligatures w14:val="none"/>
        </w:rPr>
        <w:t xml:space="preserve">. Financial pressures, including rising repair costs, restrict flexibility for ALMOs </w:t>
      </w:r>
      <w:sdt>
        <w:sdtPr>
          <w:rPr>
            <w:rFonts w:ascii="Arial" w:hAnsi="Arial" w:cs="Arial"/>
            <w:i w:val="0"/>
            <w:iCs w:val="0"/>
            <w:kern w:val="0"/>
            <w:sz w:val="22"/>
            <w:szCs w:val="22"/>
            <w14:ligatures w14:val="none"/>
          </w:rPr>
          <w:id w:val="-568426205"/>
          <w:citation/>
        </w:sdtPr>
        <w:sdtEndPr/>
        <w:sdtContent>
          <w:r w:rsidR="00C714DD" w:rsidRPr="00C714DD">
            <w:rPr>
              <w:rFonts w:ascii="Arial" w:hAnsi="Arial" w:cs="Arial"/>
              <w:i w:val="0"/>
              <w:iCs w:val="0"/>
              <w:kern w:val="0"/>
              <w:sz w:val="22"/>
              <w:szCs w:val="22"/>
              <w14:ligatures w14:val="none"/>
            </w:rPr>
            <w:fldChar w:fldCharType="begin"/>
          </w:r>
          <w:r w:rsidR="00C714DD" w:rsidRPr="00C714DD">
            <w:rPr>
              <w:rFonts w:ascii="Arial" w:hAnsi="Arial" w:cs="Arial"/>
              <w:i w:val="0"/>
              <w:iCs w:val="0"/>
              <w:kern w:val="0"/>
              <w:sz w:val="22"/>
              <w:szCs w:val="22"/>
              <w:lang w:val="en-US"/>
              <w14:ligatures w14:val="none"/>
            </w:rPr>
            <w:instrText xml:space="preserve"> CITATION Reg25 \l 1033 </w:instrText>
          </w:r>
          <w:r w:rsidR="00C714DD" w:rsidRPr="00C714DD">
            <w:rPr>
              <w:rFonts w:ascii="Arial" w:hAnsi="Arial" w:cs="Arial"/>
              <w:i w:val="0"/>
              <w:iCs w:val="0"/>
              <w:kern w:val="0"/>
              <w:sz w:val="22"/>
              <w:szCs w:val="22"/>
              <w14:ligatures w14:val="none"/>
            </w:rPr>
            <w:fldChar w:fldCharType="separate"/>
          </w:r>
          <w:r w:rsidR="00C714DD" w:rsidRPr="00C714DD">
            <w:rPr>
              <w:rFonts w:ascii="Arial" w:hAnsi="Arial" w:cs="Arial"/>
              <w:i w:val="0"/>
              <w:iCs w:val="0"/>
              <w:noProof/>
              <w:kern w:val="0"/>
              <w:sz w:val="22"/>
              <w:szCs w:val="22"/>
              <w:lang w:val="en-US"/>
              <w14:ligatures w14:val="none"/>
            </w:rPr>
            <w:t>(RSH, 2025)</w:t>
          </w:r>
          <w:r w:rsidR="00C714DD" w:rsidRPr="00C714DD">
            <w:rPr>
              <w:rFonts w:ascii="Arial" w:hAnsi="Arial" w:cs="Arial"/>
              <w:i w:val="0"/>
              <w:iCs w:val="0"/>
              <w:kern w:val="0"/>
              <w:sz w:val="22"/>
              <w:szCs w:val="22"/>
              <w14:ligatures w14:val="none"/>
            </w:rPr>
            <w:fldChar w:fldCharType="end"/>
          </w:r>
        </w:sdtContent>
      </w:sdt>
      <w:r w:rsidRPr="00216AA9">
        <w:rPr>
          <w:rFonts w:ascii="Arial" w:hAnsi="Arial" w:cs="Arial"/>
          <w:i w:val="0"/>
          <w:iCs w:val="0"/>
          <w:kern w:val="0"/>
          <w:sz w:val="22"/>
          <w:szCs w:val="22"/>
          <w14:ligatures w14:val="none"/>
        </w:rPr>
        <w:t xml:space="preserve">. Digital capability is now essential for compliance and trust, while environmental standards such as </w:t>
      </w:r>
      <w:r w:rsidR="00E76AE3" w:rsidRPr="00E76AE3">
        <w:rPr>
          <w:rFonts w:ascii="Arial" w:hAnsi="Arial" w:cs="Arial"/>
          <w:i w:val="0"/>
          <w:iCs w:val="0"/>
          <w:sz w:val="22"/>
          <w:szCs w:val="22"/>
        </w:rPr>
        <w:t>Minimum Energy Efficiency Standards</w:t>
      </w:r>
      <w:r w:rsidR="00E76AE3">
        <w:rPr>
          <w:rFonts w:ascii="Arial" w:hAnsi="Arial" w:cs="Arial"/>
          <w:i w:val="0"/>
          <w:iCs w:val="0"/>
          <w:sz w:val="22"/>
          <w:szCs w:val="22"/>
        </w:rPr>
        <w:t xml:space="preserve"> (</w:t>
      </w:r>
      <w:r w:rsidRPr="00216AA9">
        <w:rPr>
          <w:rFonts w:ascii="Arial" w:hAnsi="Arial" w:cs="Arial"/>
          <w:i w:val="0"/>
          <w:iCs w:val="0"/>
          <w:kern w:val="0"/>
          <w:sz w:val="22"/>
          <w:szCs w:val="22"/>
          <w14:ligatures w14:val="none"/>
        </w:rPr>
        <w:t>MEES</w:t>
      </w:r>
      <w:r w:rsidR="00E76AE3">
        <w:rPr>
          <w:rFonts w:ascii="Arial" w:hAnsi="Arial" w:cs="Arial"/>
          <w:i w:val="0"/>
          <w:iCs w:val="0"/>
          <w:kern w:val="0"/>
          <w:sz w:val="22"/>
          <w:szCs w:val="22"/>
          <w14:ligatures w14:val="none"/>
        </w:rPr>
        <w:t>)</w:t>
      </w:r>
      <w:r w:rsidRPr="00216AA9">
        <w:rPr>
          <w:rFonts w:ascii="Arial" w:hAnsi="Arial" w:cs="Arial"/>
          <w:i w:val="0"/>
          <w:iCs w:val="0"/>
          <w:kern w:val="0"/>
          <w:sz w:val="22"/>
          <w:szCs w:val="22"/>
          <w14:ligatures w14:val="none"/>
        </w:rPr>
        <w:t xml:space="preserve"> and Net Zero targets present both cost challenges and opportunities for long-term asset improvement.</w:t>
      </w:r>
    </w:p>
    <w:p w14:paraId="20A64E2C" w14:textId="4912F25A" w:rsidR="00B128DD" w:rsidRPr="00B128DD" w:rsidRDefault="00B128DD" w:rsidP="000037BA">
      <w:pPr>
        <w:pStyle w:val="Caption"/>
        <w:keepNext/>
        <w:spacing w:line="360" w:lineRule="auto"/>
        <w:rPr>
          <w:color w:val="0F4761" w:themeColor="accent1" w:themeShade="BF"/>
          <w:sz w:val="22"/>
        </w:rPr>
      </w:pPr>
      <w:bookmarkStart w:id="6" w:name="_Toc215910532"/>
      <w:r w:rsidRPr="00B128DD">
        <w:rPr>
          <w:color w:val="0F4761" w:themeColor="accent1" w:themeShade="BF"/>
          <w:sz w:val="22"/>
        </w:rPr>
        <w:t xml:space="preserve">Table </w:t>
      </w:r>
      <w:r w:rsidRPr="00B128DD">
        <w:rPr>
          <w:color w:val="0F4761" w:themeColor="accent1" w:themeShade="BF"/>
          <w:sz w:val="22"/>
        </w:rPr>
        <w:fldChar w:fldCharType="begin"/>
      </w:r>
      <w:r w:rsidRPr="00B128DD">
        <w:rPr>
          <w:color w:val="0F4761" w:themeColor="accent1" w:themeShade="BF"/>
          <w:sz w:val="22"/>
        </w:rPr>
        <w:instrText xml:space="preserve"> SEQ Table \* ARABIC </w:instrText>
      </w:r>
      <w:r w:rsidRPr="00B128DD">
        <w:rPr>
          <w:color w:val="0F4761" w:themeColor="accent1" w:themeShade="BF"/>
          <w:sz w:val="22"/>
        </w:rPr>
        <w:fldChar w:fldCharType="separate"/>
      </w:r>
      <w:r w:rsidR="00A20D63">
        <w:rPr>
          <w:noProof/>
          <w:color w:val="0F4761" w:themeColor="accent1" w:themeShade="BF"/>
          <w:sz w:val="22"/>
        </w:rPr>
        <w:t>1</w:t>
      </w:r>
      <w:r w:rsidRPr="00B128DD">
        <w:rPr>
          <w:color w:val="0F4761" w:themeColor="accent1" w:themeShade="BF"/>
          <w:sz w:val="22"/>
        </w:rPr>
        <w:fldChar w:fldCharType="end"/>
      </w:r>
      <w:r w:rsidR="00EF4EE4">
        <w:rPr>
          <w:color w:val="0F4761" w:themeColor="accent1" w:themeShade="BF"/>
          <w:sz w:val="22"/>
        </w:rPr>
        <w:t xml:space="preserve"> </w:t>
      </w:r>
      <w:r w:rsidRPr="00B128DD">
        <w:rPr>
          <w:color w:val="0F4761" w:themeColor="accent1" w:themeShade="BF"/>
          <w:sz w:val="22"/>
        </w:rPr>
        <w:t>Overview of</w:t>
      </w:r>
      <w:r w:rsidR="00EF4EE4">
        <w:rPr>
          <w:color w:val="0F4761" w:themeColor="accent1" w:themeShade="BF"/>
          <w:sz w:val="22"/>
        </w:rPr>
        <w:t xml:space="preserve"> PESTEL Factors for</w:t>
      </w:r>
      <w:r w:rsidRPr="00B128DD">
        <w:rPr>
          <w:color w:val="0F4761" w:themeColor="accent1" w:themeShade="BF"/>
          <w:sz w:val="22"/>
        </w:rPr>
        <w:t xml:space="preserve"> SHP</w:t>
      </w:r>
      <w:bookmarkEnd w:id="6"/>
    </w:p>
    <w:tbl>
      <w:tblPr>
        <w:tblStyle w:val="TableGrid"/>
        <w:tblW w:w="9252" w:type="dxa"/>
        <w:tblLook w:val="04A0" w:firstRow="1" w:lastRow="0" w:firstColumn="1" w:lastColumn="0" w:noHBand="0" w:noVBand="1"/>
      </w:tblPr>
      <w:tblGrid>
        <w:gridCol w:w="1745"/>
        <w:gridCol w:w="3643"/>
        <w:gridCol w:w="3864"/>
      </w:tblGrid>
      <w:tr w:rsidR="000C6272" w:rsidRPr="00426E6B" w14:paraId="3632FBB1" w14:textId="77777777" w:rsidTr="00A2237B">
        <w:trPr>
          <w:tblHeader/>
        </w:trPr>
        <w:tc>
          <w:tcPr>
            <w:tcW w:w="1734" w:type="dxa"/>
            <w:shd w:val="clear" w:color="auto" w:fill="DAE9F7" w:themeFill="text2" w:themeFillTint="1A"/>
          </w:tcPr>
          <w:p w14:paraId="161B2447" w14:textId="7391FC85" w:rsidR="00352519" w:rsidRPr="004C0D54" w:rsidRDefault="00DF04B2" w:rsidP="000037BA">
            <w:pPr>
              <w:spacing w:before="240" w:beforeAutospacing="0" w:line="360" w:lineRule="auto"/>
              <w:rPr>
                <w:rFonts w:eastAsia="Times New Roman"/>
                <w:b/>
                <w:bCs/>
                <w:color w:val="0F4761" w:themeColor="accent1" w:themeShade="BF"/>
                <w:lang w:eastAsia="en-GB"/>
              </w:rPr>
            </w:pPr>
            <w:r w:rsidRPr="004C0D54">
              <w:rPr>
                <w:b/>
                <w:bCs/>
                <w:color w:val="0F4761" w:themeColor="accent1" w:themeShade="BF"/>
              </w:rPr>
              <w:t>PESTEL Factor</w:t>
            </w:r>
          </w:p>
        </w:tc>
        <w:tc>
          <w:tcPr>
            <w:tcW w:w="3648" w:type="dxa"/>
            <w:shd w:val="clear" w:color="auto" w:fill="DAE9F7" w:themeFill="text2" w:themeFillTint="1A"/>
          </w:tcPr>
          <w:p w14:paraId="2A4B6EF1" w14:textId="127F8733" w:rsidR="00352519" w:rsidRPr="004C0D54" w:rsidRDefault="00A822C0" w:rsidP="000037BA">
            <w:pPr>
              <w:spacing w:before="240" w:beforeAutospacing="0" w:line="360" w:lineRule="auto"/>
              <w:rPr>
                <w:rFonts w:eastAsia="Times New Roman"/>
                <w:b/>
                <w:bCs/>
                <w:color w:val="0F4761" w:themeColor="accent1" w:themeShade="BF"/>
                <w:lang w:eastAsia="en-GB"/>
              </w:rPr>
            </w:pPr>
            <w:r w:rsidRPr="004C0D54">
              <w:rPr>
                <w:b/>
                <w:bCs/>
                <w:color w:val="0F4761" w:themeColor="accent1" w:themeShade="BF"/>
              </w:rPr>
              <w:t>Factor / Recent Change</w:t>
            </w:r>
          </w:p>
        </w:tc>
        <w:tc>
          <w:tcPr>
            <w:tcW w:w="3870" w:type="dxa"/>
            <w:shd w:val="clear" w:color="auto" w:fill="DAE9F7" w:themeFill="text2" w:themeFillTint="1A"/>
          </w:tcPr>
          <w:p w14:paraId="2AEBE167" w14:textId="6F4C583C" w:rsidR="00352519" w:rsidRPr="004C0D54" w:rsidRDefault="00A822C0" w:rsidP="000037BA">
            <w:pPr>
              <w:spacing w:before="240" w:beforeAutospacing="0" w:line="360" w:lineRule="auto"/>
              <w:rPr>
                <w:rFonts w:eastAsia="Times New Roman"/>
                <w:b/>
                <w:bCs/>
                <w:color w:val="0F4761" w:themeColor="accent1" w:themeShade="BF"/>
                <w:lang w:eastAsia="en-GB"/>
              </w:rPr>
            </w:pPr>
            <w:r w:rsidRPr="004C0D54">
              <w:rPr>
                <w:b/>
                <w:bCs/>
                <w:color w:val="0F4761" w:themeColor="accent1" w:themeShade="BF"/>
              </w:rPr>
              <w:t>Implication / Effect on SHP</w:t>
            </w:r>
          </w:p>
        </w:tc>
      </w:tr>
      <w:tr w:rsidR="000C6272" w:rsidRPr="00426E6B" w14:paraId="5A2A598D" w14:textId="77777777" w:rsidTr="00A2237B">
        <w:tc>
          <w:tcPr>
            <w:tcW w:w="1734" w:type="dxa"/>
            <w:shd w:val="clear" w:color="auto" w:fill="DAE9F7" w:themeFill="text2" w:themeFillTint="1A"/>
          </w:tcPr>
          <w:p w14:paraId="018099C1" w14:textId="77777777" w:rsidR="005811A8" w:rsidRPr="004C0D54" w:rsidRDefault="005811A8" w:rsidP="000037BA">
            <w:pPr>
              <w:spacing w:line="360" w:lineRule="auto"/>
              <w:rPr>
                <w:b/>
                <w:bCs/>
                <w:color w:val="0F4761" w:themeColor="accent1" w:themeShade="BF"/>
              </w:rPr>
            </w:pPr>
          </w:p>
          <w:p w14:paraId="5CEE95E2" w14:textId="3D97344A" w:rsidR="00352519" w:rsidRPr="004C0D54" w:rsidRDefault="00A822C0" w:rsidP="000037BA">
            <w:pPr>
              <w:spacing w:line="360" w:lineRule="auto"/>
              <w:rPr>
                <w:rFonts w:eastAsia="Times New Roman"/>
                <w:b/>
                <w:bCs/>
                <w:color w:val="0F4761" w:themeColor="accent1" w:themeShade="BF"/>
                <w:lang w:eastAsia="en-GB"/>
              </w:rPr>
            </w:pPr>
            <w:r w:rsidRPr="004C0D54">
              <w:rPr>
                <w:b/>
                <w:bCs/>
                <w:color w:val="0F4761" w:themeColor="accent1" w:themeShade="BF"/>
              </w:rPr>
              <w:t>Political</w:t>
            </w:r>
          </w:p>
        </w:tc>
        <w:tc>
          <w:tcPr>
            <w:tcW w:w="3648" w:type="dxa"/>
          </w:tcPr>
          <w:p w14:paraId="47F8DE1C" w14:textId="60099D32" w:rsidR="00352519" w:rsidRPr="00426E6B" w:rsidRDefault="00013D7B" w:rsidP="000037BA">
            <w:pPr>
              <w:spacing w:line="360" w:lineRule="auto"/>
              <w:jc w:val="left"/>
              <w:rPr>
                <w:rFonts w:eastAsia="Times New Roman"/>
                <w:lang w:eastAsia="en-GB"/>
              </w:rPr>
            </w:pPr>
            <w:r w:rsidRPr="00426E6B">
              <w:t>RSH’s new regulatory regime (from 1 April 2024) combining economic and consumer</w:t>
            </w:r>
            <w:r w:rsidR="00A21A57">
              <w:t xml:space="preserve"> standards</w:t>
            </w:r>
            <w:r w:rsidR="00FB5C2B">
              <w:t>.</w:t>
            </w:r>
          </w:p>
        </w:tc>
        <w:tc>
          <w:tcPr>
            <w:tcW w:w="3870" w:type="dxa"/>
          </w:tcPr>
          <w:p w14:paraId="316DBE4D" w14:textId="5F13D6EF" w:rsidR="00352519" w:rsidRPr="00426E6B" w:rsidRDefault="00DE5D54" w:rsidP="000037BA">
            <w:pPr>
              <w:spacing w:line="360" w:lineRule="auto"/>
              <w:jc w:val="left"/>
              <w:rPr>
                <w:rFonts w:eastAsia="Times New Roman"/>
                <w:lang w:eastAsia="en-GB"/>
              </w:rPr>
            </w:pPr>
            <w:r w:rsidRPr="00426E6B">
              <w:t xml:space="preserve">Increased compliance obligations, </w:t>
            </w:r>
            <w:r w:rsidR="00D14F38">
              <w:t>greater</w:t>
            </w:r>
            <w:r w:rsidRPr="00426E6B">
              <w:t xml:space="preserve"> resident accountability, and need for strengthened governance and reporting mechanisms.</w:t>
            </w:r>
          </w:p>
        </w:tc>
      </w:tr>
      <w:tr w:rsidR="000C6272" w:rsidRPr="00426E6B" w14:paraId="5130D283" w14:textId="77777777" w:rsidTr="00A2237B">
        <w:tc>
          <w:tcPr>
            <w:tcW w:w="1734" w:type="dxa"/>
            <w:shd w:val="clear" w:color="auto" w:fill="DAE9F7" w:themeFill="text2" w:themeFillTint="1A"/>
          </w:tcPr>
          <w:p w14:paraId="36283FFA" w14:textId="77777777" w:rsidR="005811A8" w:rsidRPr="004C0D54" w:rsidRDefault="005811A8" w:rsidP="000037BA">
            <w:pPr>
              <w:spacing w:line="360" w:lineRule="auto"/>
              <w:rPr>
                <w:b/>
                <w:bCs/>
                <w:color w:val="0F4761" w:themeColor="accent1" w:themeShade="BF"/>
              </w:rPr>
            </w:pPr>
          </w:p>
          <w:p w14:paraId="25BA5E4D" w14:textId="12E6AA84" w:rsidR="00352519" w:rsidRPr="004C0D54" w:rsidRDefault="007E2D6D" w:rsidP="000037BA">
            <w:pPr>
              <w:spacing w:line="360" w:lineRule="auto"/>
              <w:rPr>
                <w:rFonts w:eastAsia="Times New Roman"/>
                <w:b/>
                <w:bCs/>
                <w:color w:val="0F4761" w:themeColor="accent1" w:themeShade="BF"/>
                <w:lang w:eastAsia="en-GB"/>
              </w:rPr>
            </w:pPr>
            <w:r w:rsidRPr="004C0D54">
              <w:rPr>
                <w:b/>
                <w:bCs/>
                <w:color w:val="0F4761" w:themeColor="accent1" w:themeShade="BF"/>
              </w:rPr>
              <w:t>Economic</w:t>
            </w:r>
          </w:p>
        </w:tc>
        <w:tc>
          <w:tcPr>
            <w:tcW w:w="3648" w:type="dxa"/>
          </w:tcPr>
          <w:p w14:paraId="79C06EE9" w14:textId="207A9D84" w:rsidR="00352519" w:rsidRPr="00426E6B" w:rsidRDefault="00013D7B" w:rsidP="000037BA">
            <w:pPr>
              <w:spacing w:line="360" w:lineRule="auto"/>
              <w:jc w:val="left"/>
              <w:rPr>
                <w:rFonts w:eastAsia="Times New Roman"/>
                <w:lang w:eastAsia="en-GB"/>
              </w:rPr>
            </w:pPr>
            <w:r w:rsidRPr="00426E6B">
              <w:t xml:space="preserve">Record sector spending on repairs: £8.8 bn in 2024, up 13% year-on-year and 55% above pre-pandemic </w:t>
            </w:r>
            <w:r w:rsidR="00D7348B" w:rsidRPr="00426E6B">
              <w:t>levels.</w:t>
            </w:r>
          </w:p>
        </w:tc>
        <w:tc>
          <w:tcPr>
            <w:tcW w:w="3870" w:type="dxa"/>
          </w:tcPr>
          <w:p w14:paraId="666BD0A9" w14:textId="6B7B5159" w:rsidR="00352519" w:rsidRPr="00426E6B" w:rsidRDefault="00DE5D54" w:rsidP="000037BA">
            <w:pPr>
              <w:spacing w:line="360" w:lineRule="auto"/>
              <w:jc w:val="left"/>
              <w:rPr>
                <w:rFonts w:eastAsia="Times New Roman"/>
                <w:lang w:eastAsia="en-GB"/>
              </w:rPr>
            </w:pPr>
            <w:r w:rsidRPr="00426E6B">
              <w:t>Budget pressures constrain investment capacity; SHP may need to prioritise essential repairs over long-term projects.</w:t>
            </w:r>
          </w:p>
        </w:tc>
      </w:tr>
      <w:tr w:rsidR="000C6272" w:rsidRPr="00426E6B" w14:paraId="4530DD7A" w14:textId="77777777" w:rsidTr="00A2237B">
        <w:tc>
          <w:tcPr>
            <w:tcW w:w="1734" w:type="dxa"/>
            <w:shd w:val="clear" w:color="auto" w:fill="DAE9F7" w:themeFill="text2" w:themeFillTint="1A"/>
          </w:tcPr>
          <w:p w14:paraId="31330E86" w14:textId="77777777" w:rsidR="005811A8" w:rsidRPr="004C0D54" w:rsidRDefault="005811A8" w:rsidP="000037BA">
            <w:pPr>
              <w:spacing w:line="360" w:lineRule="auto"/>
              <w:rPr>
                <w:b/>
                <w:bCs/>
                <w:color w:val="0F4761" w:themeColor="accent1" w:themeShade="BF"/>
              </w:rPr>
            </w:pPr>
          </w:p>
          <w:p w14:paraId="5908D3BD" w14:textId="412B323C" w:rsidR="00352519" w:rsidRPr="004C0D54" w:rsidRDefault="007E2D6D" w:rsidP="000037BA">
            <w:pPr>
              <w:spacing w:line="360" w:lineRule="auto"/>
              <w:rPr>
                <w:rFonts w:eastAsia="Times New Roman"/>
                <w:b/>
                <w:bCs/>
                <w:color w:val="0F4761" w:themeColor="accent1" w:themeShade="BF"/>
                <w:lang w:eastAsia="en-GB"/>
              </w:rPr>
            </w:pPr>
            <w:r w:rsidRPr="004C0D54">
              <w:rPr>
                <w:b/>
                <w:bCs/>
                <w:color w:val="0F4761" w:themeColor="accent1" w:themeShade="BF"/>
              </w:rPr>
              <w:t>Social</w:t>
            </w:r>
          </w:p>
        </w:tc>
        <w:tc>
          <w:tcPr>
            <w:tcW w:w="3648" w:type="dxa"/>
          </w:tcPr>
          <w:p w14:paraId="42AFE5EF" w14:textId="3472E3D9" w:rsidR="00352519" w:rsidRPr="00426E6B" w:rsidRDefault="007C7661" w:rsidP="000037BA">
            <w:pPr>
              <w:spacing w:line="360" w:lineRule="auto"/>
              <w:jc w:val="left"/>
              <w:rPr>
                <w:rFonts w:eastAsia="Times New Roman"/>
                <w:lang w:eastAsia="en-GB"/>
              </w:rPr>
            </w:pPr>
            <w:r w:rsidRPr="00426E6B">
              <w:t>Rising tenant expectations and mandatory publication of</w:t>
            </w:r>
            <w:r w:rsidR="000F5D57">
              <w:t xml:space="preserve"> </w:t>
            </w:r>
            <w:r w:rsidRPr="00426E6B">
              <w:t>TSMs</w:t>
            </w:r>
            <w:r w:rsidR="00931D86">
              <w:t>.</w:t>
            </w:r>
          </w:p>
        </w:tc>
        <w:tc>
          <w:tcPr>
            <w:tcW w:w="3870" w:type="dxa"/>
          </w:tcPr>
          <w:p w14:paraId="7114C75B" w14:textId="0E42BD15" w:rsidR="00352519" w:rsidRPr="00426E6B" w:rsidRDefault="00413C67" w:rsidP="000037BA">
            <w:pPr>
              <w:spacing w:line="360" w:lineRule="auto"/>
              <w:jc w:val="left"/>
              <w:rPr>
                <w:rFonts w:eastAsia="Times New Roman"/>
                <w:lang w:eastAsia="en-GB"/>
              </w:rPr>
            </w:pPr>
            <w:r>
              <w:t>Requires improved engagement systems, responsive repairs, transparent communication; poor results risk regulatory scrutiny.</w:t>
            </w:r>
          </w:p>
        </w:tc>
      </w:tr>
      <w:tr w:rsidR="000C6272" w:rsidRPr="00426E6B" w14:paraId="359965B0" w14:textId="77777777" w:rsidTr="00A2237B">
        <w:tc>
          <w:tcPr>
            <w:tcW w:w="1734" w:type="dxa"/>
            <w:shd w:val="clear" w:color="auto" w:fill="DAE9F7" w:themeFill="text2" w:themeFillTint="1A"/>
          </w:tcPr>
          <w:p w14:paraId="1E02520D" w14:textId="77777777" w:rsidR="005811A8" w:rsidRPr="004C0D54" w:rsidRDefault="005811A8" w:rsidP="000037BA">
            <w:pPr>
              <w:spacing w:line="360" w:lineRule="auto"/>
              <w:rPr>
                <w:b/>
                <w:bCs/>
                <w:color w:val="0F4761" w:themeColor="accent1" w:themeShade="BF"/>
              </w:rPr>
            </w:pPr>
          </w:p>
          <w:p w14:paraId="7EAD6F0D" w14:textId="7C7F5C00" w:rsidR="00352519" w:rsidRPr="004C0D54" w:rsidRDefault="007E2D6D" w:rsidP="000037BA">
            <w:pPr>
              <w:spacing w:line="360" w:lineRule="auto"/>
              <w:rPr>
                <w:rFonts w:eastAsia="Times New Roman"/>
                <w:b/>
                <w:bCs/>
                <w:color w:val="0F4761" w:themeColor="accent1" w:themeShade="BF"/>
                <w:lang w:eastAsia="en-GB"/>
              </w:rPr>
            </w:pPr>
            <w:r w:rsidRPr="004C0D54">
              <w:rPr>
                <w:b/>
                <w:bCs/>
                <w:color w:val="0F4761" w:themeColor="accent1" w:themeShade="BF"/>
              </w:rPr>
              <w:t>Technological</w:t>
            </w:r>
          </w:p>
        </w:tc>
        <w:tc>
          <w:tcPr>
            <w:tcW w:w="3648" w:type="dxa"/>
          </w:tcPr>
          <w:p w14:paraId="5E8A4ED7" w14:textId="342389A9" w:rsidR="00352519" w:rsidRPr="00426E6B" w:rsidRDefault="0032047B" w:rsidP="000037BA">
            <w:pPr>
              <w:spacing w:line="360" w:lineRule="auto"/>
              <w:jc w:val="left"/>
              <w:rPr>
                <w:rFonts w:eastAsia="Times New Roman"/>
                <w:lang w:eastAsia="en-GB"/>
              </w:rPr>
            </w:pPr>
            <w:r>
              <w:t>Increased need for digital systems to support compliance, tenancy management, and TSM reporting.</w:t>
            </w:r>
          </w:p>
        </w:tc>
        <w:tc>
          <w:tcPr>
            <w:tcW w:w="3870" w:type="dxa"/>
          </w:tcPr>
          <w:p w14:paraId="7AFF7787" w14:textId="138454EE" w:rsidR="00352519" w:rsidRPr="00426E6B" w:rsidRDefault="00FC5342" w:rsidP="000037BA">
            <w:pPr>
              <w:spacing w:line="360" w:lineRule="auto"/>
              <w:jc w:val="left"/>
              <w:rPr>
                <w:rFonts w:eastAsia="Times New Roman"/>
                <w:lang w:eastAsia="en-GB"/>
              </w:rPr>
            </w:pPr>
            <w:r>
              <w:t>Requires IT upgrades, data integration, and modern communication platforms; improves efficiency but increases short-term cost.</w:t>
            </w:r>
          </w:p>
        </w:tc>
      </w:tr>
      <w:tr w:rsidR="000C6272" w:rsidRPr="00426E6B" w14:paraId="3E4FE510" w14:textId="77777777" w:rsidTr="00A2237B">
        <w:tc>
          <w:tcPr>
            <w:tcW w:w="1734" w:type="dxa"/>
            <w:shd w:val="clear" w:color="auto" w:fill="DAE9F7" w:themeFill="text2" w:themeFillTint="1A"/>
          </w:tcPr>
          <w:p w14:paraId="1291ED3E" w14:textId="77777777" w:rsidR="005811A8" w:rsidRPr="004C0D54" w:rsidRDefault="005811A8" w:rsidP="000037BA">
            <w:pPr>
              <w:spacing w:line="360" w:lineRule="auto"/>
              <w:rPr>
                <w:b/>
                <w:bCs/>
                <w:color w:val="0F4761" w:themeColor="accent1" w:themeShade="BF"/>
              </w:rPr>
            </w:pPr>
          </w:p>
          <w:p w14:paraId="58DEDD4A" w14:textId="3CF95FEA" w:rsidR="00352519" w:rsidRPr="004C0D54" w:rsidRDefault="007E2D6D" w:rsidP="000037BA">
            <w:pPr>
              <w:spacing w:line="360" w:lineRule="auto"/>
              <w:rPr>
                <w:rFonts w:eastAsia="Times New Roman"/>
                <w:b/>
                <w:bCs/>
                <w:color w:val="0F4761" w:themeColor="accent1" w:themeShade="BF"/>
                <w:lang w:eastAsia="en-GB"/>
              </w:rPr>
            </w:pPr>
            <w:r w:rsidRPr="004C0D54">
              <w:rPr>
                <w:b/>
                <w:bCs/>
                <w:color w:val="0F4761" w:themeColor="accent1" w:themeShade="BF"/>
              </w:rPr>
              <w:t>Environmental</w:t>
            </w:r>
          </w:p>
        </w:tc>
        <w:tc>
          <w:tcPr>
            <w:tcW w:w="3648" w:type="dxa"/>
          </w:tcPr>
          <w:p w14:paraId="78DC3D3E" w14:textId="7B6C6562" w:rsidR="00352519" w:rsidRPr="00426E6B" w:rsidRDefault="007C7661" w:rsidP="000037BA">
            <w:pPr>
              <w:spacing w:line="360" w:lineRule="auto"/>
              <w:jc w:val="left"/>
              <w:rPr>
                <w:rFonts w:eastAsia="Times New Roman"/>
                <w:lang w:eastAsia="en-GB"/>
              </w:rPr>
            </w:pPr>
            <w:r w:rsidRPr="00426E6B">
              <w:t xml:space="preserve">Pressure to meet </w:t>
            </w:r>
            <w:r w:rsidR="001D0957">
              <w:t>Minimum Energy Efficiency Standards (</w:t>
            </w:r>
            <w:r w:rsidRPr="00426E6B">
              <w:t>MEES</w:t>
            </w:r>
            <w:r w:rsidR="001D0957">
              <w:t>)</w:t>
            </w:r>
            <w:r w:rsidR="00E52457">
              <w:t>,</w:t>
            </w:r>
            <w:r w:rsidRPr="00426E6B">
              <w:t xml:space="preserve"> broader decarbonisation </w:t>
            </w:r>
            <w:r w:rsidR="00BA4E25" w:rsidRPr="00426E6B">
              <w:t>requirements and</w:t>
            </w:r>
            <w:r w:rsidRPr="00426E6B">
              <w:t xml:space="preserve"> retrofitting older stock</w:t>
            </w:r>
            <w:r w:rsidR="00403D56">
              <w:t>.</w:t>
            </w:r>
          </w:p>
        </w:tc>
        <w:tc>
          <w:tcPr>
            <w:tcW w:w="3870" w:type="dxa"/>
          </w:tcPr>
          <w:p w14:paraId="342659CD" w14:textId="7BED2C59" w:rsidR="00352519" w:rsidRPr="00426E6B" w:rsidRDefault="00FB6440" w:rsidP="000037BA">
            <w:pPr>
              <w:spacing w:line="360" w:lineRule="auto"/>
              <w:jc w:val="left"/>
              <w:rPr>
                <w:rFonts w:eastAsia="Times New Roman"/>
                <w:lang w:eastAsia="en-GB"/>
              </w:rPr>
            </w:pPr>
            <w:r>
              <w:t>Requires significant capital investment to improve EPC ratings; long-term opportunity to reduce energy costs and improve standards.</w:t>
            </w:r>
          </w:p>
        </w:tc>
      </w:tr>
      <w:tr w:rsidR="000C6272" w:rsidRPr="00426E6B" w14:paraId="70C81A16" w14:textId="77777777" w:rsidTr="00A2237B">
        <w:tc>
          <w:tcPr>
            <w:tcW w:w="1734" w:type="dxa"/>
            <w:shd w:val="clear" w:color="auto" w:fill="DAE9F7" w:themeFill="text2" w:themeFillTint="1A"/>
          </w:tcPr>
          <w:p w14:paraId="5AC2BBBB" w14:textId="77777777" w:rsidR="005811A8" w:rsidRPr="004C0D54" w:rsidRDefault="005811A8" w:rsidP="000037BA">
            <w:pPr>
              <w:spacing w:line="360" w:lineRule="auto"/>
              <w:rPr>
                <w:b/>
                <w:bCs/>
                <w:color w:val="0F4761" w:themeColor="accent1" w:themeShade="BF"/>
              </w:rPr>
            </w:pPr>
          </w:p>
          <w:p w14:paraId="1A137D9E" w14:textId="034720D2" w:rsidR="00352519" w:rsidRPr="004C0D54" w:rsidRDefault="00013D7B" w:rsidP="000037BA">
            <w:pPr>
              <w:spacing w:line="360" w:lineRule="auto"/>
              <w:rPr>
                <w:rFonts w:eastAsia="Times New Roman"/>
                <w:b/>
                <w:bCs/>
                <w:color w:val="0F4761" w:themeColor="accent1" w:themeShade="BF"/>
                <w:lang w:eastAsia="en-GB"/>
              </w:rPr>
            </w:pPr>
            <w:r w:rsidRPr="004C0D54">
              <w:rPr>
                <w:b/>
                <w:bCs/>
                <w:color w:val="0F4761" w:themeColor="accent1" w:themeShade="BF"/>
              </w:rPr>
              <w:t>Legal</w:t>
            </w:r>
          </w:p>
        </w:tc>
        <w:tc>
          <w:tcPr>
            <w:tcW w:w="3648" w:type="dxa"/>
          </w:tcPr>
          <w:p w14:paraId="78C6D1F7" w14:textId="182E6AB4" w:rsidR="00352519" w:rsidRPr="00426E6B" w:rsidRDefault="00DE5D54" w:rsidP="000514A0">
            <w:pPr>
              <w:spacing w:before="100" w:after="100" w:line="360" w:lineRule="auto"/>
              <w:jc w:val="left"/>
              <w:rPr>
                <w:rFonts w:eastAsia="Times New Roman"/>
                <w:lang w:eastAsia="en-GB"/>
              </w:rPr>
            </w:pPr>
            <w:r w:rsidRPr="00426E6B">
              <w:t xml:space="preserve">Awaab’s Law and upcoming </w:t>
            </w:r>
            <w:r w:rsidR="00B771A5">
              <w:t>Housing Health and Safety Rating System</w:t>
            </w:r>
            <w:r w:rsidRPr="00426E6B">
              <w:t xml:space="preserve"> changes</w:t>
            </w:r>
            <w:r w:rsidR="000514A0">
              <w:t>.</w:t>
            </w:r>
          </w:p>
        </w:tc>
        <w:tc>
          <w:tcPr>
            <w:tcW w:w="3870" w:type="dxa"/>
          </w:tcPr>
          <w:p w14:paraId="7E71DA14" w14:textId="4CEA64F0" w:rsidR="00352519" w:rsidRPr="00426E6B" w:rsidRDefault="000835AA" w:rsidP="000037BA">
            <w:pPr>
              <w:spacing w:line="360" w:lineRule="auto"/>
              <w:jc w:val="left"/>
              <w:rPr>
                <w:rFonts w:eastAsia="Times New Roman"/>
                <w:lang w:eastAsia="en-GB"/>
              </w:rPr>
            </w:pPr>
            <w:r>
              <w:t>Tighter repair timelines; higher legal risk; requires stronger inspection, compliance, and maintenance processes.</w:t>
            </w:r>
          </w:p>
        </w:tc>
      </w:tr>
    </w:tbl>
    <w:p w14:paraId="53138686" w14:textId="50E635BC" w:rsidR="00BB276E" w:rsidRDefault="00AB0978" w:rsidP="00A269BB">
      <w:pPr>
        <w:rPr>
          <w:rFonts w:eastAsia="Times New Roman"/>
          <w:lang w:eastAsia="en-GB"/>
        </w:rPr>
      </w:pPr>
      <w:r w:rsidRPr="009C6C3F">
        <w:rPr>
          <w:rFonts w:eastAsia="Times New Roman"/>
          <w:b/>
          <w:bCs/>
          <w:lang w:eastAsia="en-GB"/>
        </w:rPr>
        <w:t>Source:</w:t>
      </w:r>
      <w:r w:rsidRPr="00DC65CE">
        <w:rPr>
          <w:rFonts w:eastAsia="Times New Roman"/>
          <w:lang w:eastAsia="en-GB"/>
        </w:rPr>
        <w:t xml:space="preserve"> </w:t>
      </w:r>
      <w:r w:rsidR="00BB50EC">
        <w:rPr>
          <w:rFonts w:eastAsia="Times New Roman"/>
          <w:lang w:eastAsia="en-GB"/>
        </w:rPr>
        <w:t xml:space="preserve">Author, </w:t>
      </w:r>
      <w:r w:rsidR="00556A2E">
        <w:rPr>
          <w:rFonts w:eastAsia="Times New Roman"/>
          <w:lang w:eastAsia="en-GB"/>
        </w:rPr>
        <w:t>a</w:t>
      </w:r>
      <w:r w:rsidR="008B30FF" w:rsidRPr="00DC65CE">
        <w:rPr>
          <w:rFonts w:eastAsia="Times New Roman"/>
          <w:lang w:eastAsia="en-GB"/>
        </w:rPr>
        <w:t>dapted from</w:t>
      </w:r>
      <w:r w:rsidR="0034410B" w:rsidRPr="00DC65CE">
        <w:rPr>
          <w:rFonts w:eastAsia="Times New Roman"/>
          <w:lang w:eastAsia="en-GB"/>
        </w:rPr>
        <w:t xml:space="preserve"> Regulator of Social Housing</w:t>
      </w:r>
      <w:r w:rsidR="008B30FF" w:rsidRPr="00DC65CE">
        <w:rPr>
          <w:rFonts w:eastAsia="Times New Roman"/>
          <w:lang w:eastAsia="en-GB"/>
        </w:rPr>
        <w:t xml:space="preserve"> </w:t>
      </w:r>
      <w:sdt>
        <w:sdtPr>
          <w:rPr>
            <w:rFonts w:eastAsia="Times New Roman"/>
            <w:lang w:eastAsia="en-GB"/>
          </w:rPr>
          <w:id w:val="-1666694938"/>
          <w:citation/>
        </w:sdtPr>
        <w:sdtEndPr/>
        <w:sdtContent>
          <w:r w:rsidR="001F2D67" w:rsidRPr="00DC65CE">
            <w:rPr>
              <w:rFonts w:eastAsia="Times New Roman"/>
              <w:lang w:eastAsia="en-GB"/>
            </w:rPr>
            <w:fldChar w:fldCharType="begin"/>
          </w:r>
          <w:r w:rsidR="00B95758">
            <w:rPr>
              <w:rFonts w:eastAsia="Times New Roman"/>
              <w:lang w:val="en-US" w:eastAsia="en-GB"/>
            </w:rPr>
            <w:instrText xml:space="preserve">CITATION Reg24 \n  \m Reg25 \n  \l 1033 </w:instrText>
          </w:r>
          <w:r w:rsidR="001F2D67" w:rsidRPr="00DC65CE">
            <w:rPr>
              <w:rFonts w:eastAsia="Times New Roman"/>
              <w:lang w:eastAsia="en-GB"/>
            </w:rPr>
            <w:fldChar w:fldCharType="separate"/>
          </w:r>
          <w:r w:rsidR="002E53A1" w:rsidRPr="002E53A1">
            <w:rPr>
              <w:rFonts w:eastAsia="Times New Roman"/>
              <w:noProof/>
              <w:lang w:val="en-US" w:eastAsia="en-GB"/>
            </w:rPr>
            <w:t>(2024; 2025)</w:t>
          </w:r>
          <w:r w:rsidR="001F2D67" w:rsidRPr="00DC65CE">
            <w:rPr>
              <w:rFonts w:eastAsia="Times New Roman"/>
              <w:lang w:eastAsia="en-GB"/>
            </w:rPr>
            <w:fldChar w:fldCharType="end"/>
          </w:r>
        </w:sdtContent>
      </w:sdt>
      <w:r w:rsidR="00CA1FB4" w:rsidRPr="00DC65CE">
        <w:rPr>
          <w:rFonts w:eastAsia="Times New Roman"/>
          <w:lang w:eastAsia="en-GB"/>
        </w:rPr>
        <w:t>, Department for Energy Security and Net Zero</w:t>
      </w:r>
      <w:sdt>
        <w:sdtPr>
          <w:rPr>
            <w:rFonts w:eastAsia="Times New Roman"/>
            <w:lang w:eastAsia="en-GB"/>
          </w:rPr>
          <w:id w:val="901027362"/>
          <w:citation/>
        </w:sdtPr>
        <w:sdtEndPr/>
        <w:sdtContent>
          <w:r w:rsidR="000B694F" w:rsidRPr="00DC65CE">
            <w:rPr>
              <w:rFonts w:eastAsia="Times New Roman"/>
              <w:lang w:eastAsia="en-GB"/>
            </w:rPr>
            <w:fldChar w:fldCharType="begin"/>
          </w:r>
          <w:r w:rsidR="00B95758">
            <w:rPr>
              <w:rFonts w:eastAsia="Times New Roman"/>
              <w:lang w:val="en-US" w:eastAsia="en-GB"/>
            </w:rPr>
            <w:instrText xml:space="preserve">CITATION Dep251 \n  \l 1033 </w:instrText>
          </w:r>
          <w:r w:rsidR="000B694F" w:rsidRPr="00DC65CE">
            <w:rPr>
              <w:rFonts w:eastAsia="Times New Roman"/>
              <w:lang w:eastAsia="en-GB"/>
            </w:rPr>
            <w:fldChar w:fldCharType="separate"/>
          </w:r>
          <w:r w:rsidR="002E53A1">
            <w:rPr>
              <w:rFonts w:eastAsia="Times New Roman"/>
              <w:noProof/>
              <w:lang w:val="en-US" w:eastAsia="en-GB"/>
            </w:rPr>
            <w:t xml:space="preserve"> </w:t>
          </w:r>
          <w:r w:rsidR="002E53A1" w:rsidRPr="002E53A1">
            <w:rPr>
              <w:rFonts w:eastAsia="Times New Roman"/>
              <w:noProof/>
              <w:lang w:val="en-US" w:eastAsia="en-GB"/>
            </w:rPr>
            <w:t>(2025)</w:t>
          </w:r>
          <w:r w:rsidR="000B694F" w:rsidRPr="00DC65CE">
            <w:rPr>
              <w:rFonts w:eastAsia="Times New Roman"/>
              <w:lang w:eastAsia="en-GB"/>
            </w:rPr>
            <w:fldChar w:fldCharType="end"/>
          </w:r>
        </w:sdtContent>
      </w:sdt>
      <w:r w:rsidR="00CA1FB4" w:rsidRPr="00DC65CE">
        <w:rPr>
          <w:rFonts w:eastAsia="Times New Roman"/>
          <w:lang w:eastAsia="en-GB"/>
        </w:rPr>
        <w:t>, M</w:t>
      </w:r>
      <w:r w:rsidR="00EA1F23">
        <w:rPr>
          <w:rFonts w:eastAsia="Times New Roman"/>
          <w:lang w:eastAsia="en-GB"/>
        </w:rPr>
        <w:t>HCLG</w:t>
      </w:r>
      <w:r w:rsidR="00D1220A">
        <w:rPr>
          <w:rFonts w:eastAsia="Times New Roman"/>
          <w:lang w:eastAsia="en-GB"/>
        </w:rPr>
        <w:t xml:space="preserve"> </w:t>
      </w:r>
      <w:sdt>
        <w:sdtPr>
          <w:rPr>
            <w:rFonts w:eastAsia="Times New Roman"/>
            <w:lang w:eastAsia="en-GB"/>
          </w:rPr>
          <w:id w:val="-144129912"/>
          <w:citation/>
        </w:sdtPr>
        <w:sdtEndPr/>
        <w:sdtContent>
          <w:r w:rsidR="00D1220A">
            <w:rPr>
              <w:rFonts w:eastAsia="Times New Roman"/>
              <w:lang w:eastAsia="en-GB"/>
            </w:rPr>
            <w:fldChar w:fldCharType="begin"/>
          </w:r>
          <w:r w:rsidR="00D1220A">
            <w:rPr>
              <w:rFonts w:eastAsia="Times New Roman"/>
              <w:lang w:val="en-US" w:eastAsia="en-GB"/>
            </w:rPr>
            <w:instrText xml:space="preserve">CITATION Min251 \n  \l 1033 </w:instrText>
          </w:r>
          <w:r w:rsidR="00D1220A">
            <w:rPr>
              <w:rFonts w:eastAsia="Times New Roman"/>
              <w:lang w:eastAsia="en-GB"/>
            </w:rPr>
            <w:fldChar w:fldCharType="separate"/>
          </w:r>
          <w:r w:rsidR="002E53A1" w:rsidRPr="002E53A1">
            <w:rPr>
              <w:rFonts w:eastAsia="Times New Roman"/>
              <w:noProof/>
              <w:lang w:val="en-US" w:eastAsia="en-GB"/>
            </w:rPr>
            <w:t>(2025)</w:t>
          </w:r>
          <w:r w:rsidR="00D1220A">
            <w:rPr>
              <w:rFonts w:eastAsia="Times New Roman"/>
              <w:lang w:eastAsia="en-GB"/>
            </w:rPr>
            <w:fldChar w:fldCharType="end"/>
          </w:r>
        </w:sdtContent>
      </w:sdt>
      <w:r w:rsidR="00D1220A">
        <w:rPr>
          <w:rFonts w:eastAsia="Times New Roman"/>
          <w:lang w:eastAsia="en-GB"/>
        </w:rPr>
        <w:t>;</w:t>
      </w:r>
      <w:r w:rsidR="00494442" w:rsidRPr="00DC65CE">
        <w:rPr>
          <w:rFonts w:eastAsia="Times New Roman"/>
          <w:lang w:eastAsia="en-GB"/>
        </w:rPr>
        <w:t xml:space="preserve"> SHP</w:t>
      </w:r>
      <w:sdt>
        <w:sdtPr>
          <w:rPr>
            <w:rFonts w:eastAsia="Times New Roman"/>
            <w:lang w:eastAsia="en-GB"/>
          </w:rPr>
          <w:id w:val="1822848662"/>
          <w:citation/>
        </w:sdtPr>
        <w:sdtEndPr/>
        <w:sdtContent>
          <w:r w:rsidR="0034410B" w:rsidRPr="00DC65CE">
            <w:rPr>
              <w:rFonts w:eastAsia="Times New Roman"/>
              <w:lang w:eastAsia="en-GB"/>
            </w:rPr>
            <w:fldChar w:fldCharType="begin"/>
          </w:r>
          <w:r w:rsidR="00494442" w:rsidRPr="00DC65CE">
            <w:rPr>
              <w:rFonts w:eastAsia="Times New Roman"/>
              <w:lang w:val="en-US" w:eastAsia="en-GB"/>
            </w:rPr>
            <w:instrText xml:space="preserve">CITATION SHP252 \n  \l 1033 </w:instrText>
          </w:r>
          <w:r w:rsidR="0034410B" w:rsidRPr="00DC65CE">
            <w:rPr>
              <w:rFonts w:eastAsia="Times New Roman"/>
              <w:lang w:eastAsia="en-GB"/>
            </w:rPr>
            <w:fldChar w:fldCharType="separate"/>
          </w:r>
          <w:r w:rsidR="002E53A1">
            <w:rPr>
              <w:rFonts w:eastAsia="Times New Roman"/>
              <w:noProof/>
              <w:lang w:val="en-US" w:eastAsia="en-GB"/>
            </w:rPr>
            <w:t xml:space="preserve"> </w:t>
          </w:r>
          <w:r w:rsidR="002E53A1" w:rsidRPr="002E53A1">
            <w:rPr>
              <w:rFonts w:eastAsia="Times New Roman"/>
              <w:noProof/>
              <w:lang w:val="en-US" w:eastAsia="en-GB"/>
            </w:rPr>
            <w:t>(2025)</w:t>
          </w:r>
          <w:r w:rsidR="0034410B" w:rsidRPr="00DC65CE">
            <w:rPr>
              <w:rFonts w:eastAsia="Times New Roman"/>
              <w:lang w:eastAsia="en-GB"/>
            </w:rPr>
            <w:fldChar w:fldCharType="end"/>
          </w:r>
        </w:sdtContent>
      </w:sdt>
      <w:r w:rsidR="00FA6DF1">
        <w:rPr>
          <w:rFonts w:eastAsia="Times New Roman"/>
          <w:lang w:eastAsia="en-GB"/>
        </w:rPr>
        <w:t>.</w:t>
      </w:r>
    </w:p>
    <w:p w14:paraId="759C5BB2" w14:textId="6A59CBF4" w:rsidR="00CE6E3B" w:rsidRDefault="00CE6E3B" w:rsidP="00A269BB">
      <w:pPr>
        <w:rPr>
          <w:rFonts w:eastAsia="Times New Roman"/>
          <w:lang w:eastAsia="en-GB"/>
        </w:rPr>
      </w:pPr>
      <w:r w:rsidRPr="00813DFC">
        <w:rPr>
          <w:rFonts w:eastAsia="Times New Roman" w:cs="Arial"/>
          <w:szCs w:val="22"/>
          <w:lang w:eastAsia="en-GB"/>
        </w:rPr>
        <w:t xml:space="preserve">SHP must prioritise strengthening governance, digital infrastructure, and energy efficiency programmes while managing financial and workforce constraints </w:t>
      </w:r>
      <w:sdt>
        <w:sdtPr>
          <w:rPr>
            <w:rFonts w:eastAsia="Times New Roman"/>
            <w:lang w:eastAsia="en-GB"/>
          </w:rPr>
          <w:id w:val="-532503830"/>
          <w:citation/>
        </w:sdtPr>
        <w:sdtEndPr/>
        <w:sdtContent>
          <w:r>
            <w:rPr>
              <w:rFonts w:eastAsia="Times New Roman"/>
              <w:lang w:eastAsia="en-GB"/>
            </w:rPr>
            <w:fldChar w:fldCharType="begin"/>
          </w:r>
          <w:r>
            <w:rPr>
              <w:rFonts w:eastAsia="Times New Roman"/>
              <w:lang w:val="en-US" w:eastAsia="en-GB"/>
            </w:rPr>
            <w:instrText xml:space="preserve"> CITATION Bry181 \l 1033 </w:instrText>
          </w:r>
          <w:r>
            <w:rPr>
              <w:rFonts w:eastAsia="Times New Roman"/>
              <w:lang w:eastAsia="en-GB"/>
            </w:rPr>
            <w:fldChar w:fldCharType="separate"/>
          </w:r>
          <w:r w:rsidR="002E53A1" w:rsidRPr="002E53A1">
            <w:rPr>
              <w:rFonts w:eastAsia="Times New Roman"/>
              <w:noProof/>
              <w:lang w:val="en-US" w:eastAsia="en-GB"/>
            </w:rPr>
            <w:t>(Bryson, 2018)</w:t>
          </w:r>
          <w:r>
            <w:rPr>
              <w:rFonts w:eastAsia="Times New Roman"/>
              <w:lang w:eastAsia="en-GB"/>
            </w:rPr>
            <w:fldChar w:fldCharType="end"/>
          </w:r>
        </w:sdtContent>
      </w:sdt>
      <w:r w:rsidRPr="00813DFC">
        <w:rPr>
          <w:rFonts w:eastAsia="Times New Roman" w:cs="Arial"/>
          <w:szCs w:val="22"/>
          <w:lang w:eastAsia="en-GB"/>
        </w:rPr>
        <w:t>.</w:t>
      </w:r>
    </w:p>
    <w:p w14:paraId="351C431E" w14:textId="74AE93AC" w:rsidR="00CC3640" w:rsidRPr="0076253A" w:rsidRDefault="00CC3640" w:rsidP="00444ECA">
      <w:pPr>
        <w:pStyle w:val="Heading2"/>
        <w:numPr>
          <w:ilvl w:val="0"/>
          <w:numId w:val="21"/>
        </w:numPr>
      </w:pPr>
      <w:bookmarkStart w:id="7" w:name="_Toc216130269"/>
      <w:r>
        <w:t xml:space="preserve">Internal </w:t>
      </w:r>
      <w:r w:rsidR="00DF4A2E">
        <w:t>Environment</w:t>
      </w:r>
      <w:r>
        <w:t xml:space="preserve"> - SWOT Analysis</w:t>
      </w:r>
      <w:bookmarkEnd w:id="7"/>
    </w:p>
    <w:p w14:paraId="08CD06C2" w14:textId="30B1867B" w:rsidR="00525B00" w:rsidRPr="0041356F" w:rsidRDefault="00525B00" w:rsidP="00525B00">
      <w:pPr>
        <w:pStyle w:val="NormalWeb"/>
        <w:spacing w:line="360" w:lineRule="auto"/>
        <w:jc w:val="both"/>
        <w:rPr>
          <w:rFonts w:ascii="Arial" w:hAnsi="Arial" w:cs="Arial"/>
          <w:i w:val="0"/>
          <w:iCs w:val="0"/>
          <w:kern w:val="0"/>
          <w:sz w:val="22"/>
          <w:szCs w:val="22"/>
          <w14:ligatures w14:val="none"/>
        </w:rPr>
      </w:pPr>
      <w:r w:rsidRPr="00525B00">
        <w:rPr>
          <w:rFonts w:ascii="Arial" w:hAnsi="Arial" w:cs="Arial"/>
          <w:i w:val="0"/>
          <w:iCs w:val="0"/>
          <w:kern w:val="0"/>
          <w:sz w:val="22"/>
          <w:szCs w:val="22"/>
          <w14:ligatures w14:val="none"/>
        </w:rPr>
        <w:t xml:space="preserve">SHP’s </w:t>
      </w:r>
      <w:r w:rsidRPr="0050317D">
        <w:rPr>
          <w:rFonts w:ascii="Arial" w:hAnsi="Arial" w:cs="Arial"/>
          <w:b/>
          <w:bCs/>
          <w:i w:val="0"/>
          <w:iCs w:val="0"/>
          <w:kern w:val="0"/>
          <w:sz w:val="22"/>
          <w:szCs w:val="22"/>
          <w14:ligatures w14:val="none"/>
        </w:rPr>
        <w:t>SWOT</w:t>
      </w:r>
      <w:r w:rsidRPr="00525B00">
        <w:rPr>
          <w:rFonts w:ascii="Arial" w:hAnsi="Arial" w:cs="Arial"/>
          <w:i w:val="0"/>
          <w:iCs w:val="0"/>
          <w:kern w:val="0"/>
          <w:sz w:val="22"/>
          <w:szCs w:val="22"/>
          <w14:ligatures w14:val="none"/>
        </w:rPr>
        <w:t xml:space="preserve"> </w:t>
      </w:r>
      <w:sdt>
        <w:sdtPr>
          <w:rPr>
            <w:rFonts w:ascii="Arial" w:hAnsi="Arial" w:cs="Arial"/>
            <w:i w:val="0"/>
            <w:iCs w:val="0"/>
            <w:kern w:val="0"/>
            <w:sz w:val="22"/>
            <w:szCs w:val="22"/>
            <w14:ligatures w14:val="none"/>
          </w:rPr>
          <w:id w:val="-445774267"/>
          <w:citation/>
        </w:sdtPr>
        <w:sdtEndPr/>
        <w:sdtContent>
          <w:r w:rsidR="0050317D" w:rsidRPr="0050317D">
            <w:rPr>
              <w:rFonts w:ascii="Arial" w:hAnsi="Arial" w:cs="Arial"/>
              <w:i w:val="0"/>
              <w:iCs w:val="0"/>
              <w:kern w:val="0"/>
              <w:sz w:val="22"/>
              <w:szCs w:val="22"/>
              <w14:ligatures w14:val="none"/>
            </w:rPr>
            <w:fldChar w:fldCharType="begin"/>
          </w:r>
          <w:r w:rsidR="0050317D" w:rsidRPr="0050317D">
            <w:rPr>
              <w:rFonts w:ascii="Arial" w:hAnsi="Arial" w:cs="Arial"/>
              <w:i w:val="0"/>
              <w:iCs w:val="0"/>
              <w:kern w:val="0"/>
              <w:sz w:val="22"/>
              <w:szCs w:val="22"/>
              <w:lang w:val="en-US"/>
              <w14:ligatures w14:val="none"/>
            </w:rPr>
            <w:instrText xml:space="preserve"> CITATION Ton18 \l 1033 </w:instrText>
          </w:r>
          <w:r w:rsidR="0050317D" w:rsidRPr="0050317D">
            <w:rPr>
              <w:rFonts w:ascii="Arial" w:hAnsi="Arial" w:cs="Arial"/>
              <w:i w:val="0"/>
              <w:iCs w:val="0"/>
              <w:kern w:val="0"/>
              <w:sz w:val="22"/>
              <w:szCs w:val="22"/>
              <w14:ligatures w14:val="none"/>
            </w:rPr>
            <w:fldChar w:fldCharType="separate"/>
          </w:r>
          <w:r w:rsidR="0050317D" w:rsidRPr="0050317D">
            <w:rPr>
              <w:rFonts w:ascii="Arial" w:hAnsi="Arial" w:cs="Arial"/>
              <w:i w:val="0"/>
              <w:iCs w:val="0"/>
              <w:noProof/>
              <w:kern w:val="0"/>
              <w:sz w:val="22"/>
              <w:szCs w:val="22"/>
              <w:lang w:val="en-US"/>
              <w14:ligatures w14:val="none"/>
            </w:rPr>
            <w:t>(Proctor, 2018)</w:t>
          </w:r>
          <w:r w:rsidR="0050317D" w:rsidRPr="0050317D">
            <w:rPr>
              <w:rFonts w:ascii="Arial" w:hAnsi="Arial" w:cs="Arial"/>
              <w:i w:val="0"/>
              <w:iCs w:val="0"/>
              <w:kern w:val="0"/>
              <w:sz w:val="22"/>
              <w:szCs w:val="22"/>
              <w14:ligatures w14:val="none"/>
            </w:rPr>
            <w:fldChar w:fldCharType="end"/>
          </w:r>
        </w:sdtContent>
      </w:sdt>
      <w:r w:rsidRPr="00525B00">
        <w:rPr>
          <w:rFonts w:ascii="Arial" w:hAnsi="Arial" w:cs="Arial"/>
          <w:i w:val="0"/>
          <w:iCs w:val="0"/>
          <w:kern w:val="0"/>
          <w:sz w:val="22"/>
          <w:szCs w:val="22"/>
          <w14:ligatures w14:val="none"/>
        </w:rPr>
        <w:t xml:space="preserve"> shows strengths in resident focus, digital progress, LBS partnerships, and TSM-driven performance</w:t>
      </w:r>
      <w:r w:rsidR="0041356F">
        <w:rPr>
          <w:rFonts w:ascii="Arial" w:hAnsi="Arial" w:cs="Arial"/>
          <w:i w:val="0"/>
          <w:iCs w:val="0"/>
          <w:kern w:val="0"/>
          <w:sz w:val="22"/>
          <w:szCs w:val="22"/>
          <w14:ligatures w14:val="none"/>
        </w:rPr>
        <w:t xml:space="preserve"> (</w:t>
      </w:r>
      <w:r w:rsidR="0041356F" w:rsidRPr="0041356F">
        <w:rPr>
          <w:rFonts w:ascii="Arial" w:hAnsi="Arial" w:cs="Arial"/>
          <w:b/>
          <w:bCs/>
          <w:i w:val="0"/>
          <w:iCs w:val="0"/>
          <w:kern w:val="0"/>
          <w:sz w:val="22"/>
          <w:szCs w:val="22"/>
          <w14:ligatures w14:val="none"/>
        </w:rPr>
        <w:t>Table 2</w:t>
      </w:r>
      <w:r w:rsidR="0041356F">
        <w:rPr>
          <w:rFonts w:ascii="Arial" w:hAnsi="Arial" w:cs="Arial"/>
          <w:i w:val="0"/>
          <w:iCs w:val="0"/>
          <w:kern w:val="0"/>
          <w:sz w:val="22"/>
          <w:szCs w:val="22"/>
          <w14:ligatures w14:val="none"/>
        </w:rPr>
        <w:t>)</w:t>
      </w:r>
      <w:r w:rsidRPr="00525B00">
        <w:rPr>
          <w:rFonts w:ascii="Arial" w:hAnsi="Arial" w:cs="Arial"/>
          <w:i w:val="0"/>
          <w:iCs w:val="0"/>
          <w:kern w:val="0"/>
          <w:sz w:val="22"/>
          <w:szCs w:val="22"/>
          <w14:ligatures w14:val="none"/>
        </w:rPr>
        <w:t xml:space="preserve">. Weaknesses include ageing stock, limited funds, skill gaps, and repair backlogs </w:t>
      </w:r>
      <w:sdt>
        <w:sdtPr>
          <w:rPr>
            <w:rFonts w:ascii="Arial" w:hAnsi="Arial" w:cs="Arial"/>
            <w:i w:val="0"/>
            <w:iCs w:val="0"/>
            <w:kern w:val="0"/>
            <w:sz w:val="22"/>
            <w:szCs w:val="22"/>
            <w14:ligatures w14:val="none"/>
          </w:rPr>
          <w:id w:val="-744030822"/>
          <w:citation/>
        </w:sdtPr>
        <w:sdtEndPr/>
        <w:sdtContent>
          <w:r w:rsidR="0041356F" w:rsidRPr="0041356F">
            <w:rPr>
              <w:rFonts w:ascii="Arial" w:hAnsi="Arial" w:cs="Arial"/>
              <w:i w:val="0"/>
              <w:iCs w:val="0"/>
              <w:kern w:val="0"/>
              <w:sz w:val="22"/>
              <w:szCs w:val="22"/>
              <w14:ligatures w14:val="none"/>
            </w:rPr>
            <w:fldChar w:fldCharType="begin"/>
          </w:r>
          <w:r w:rsidR="0041356F" w:rsidRPr="0041356F">
            <w:rPr>
              <w:rFonts w:ascii="Arial" w:hAnsi="Arial" w:cs="Arial"/>
              <w:i w:val="0"/>
              <w:iCs w:val="0"/>
              <w:kern w:val="0"/>
              <w:sz w:val="22"/>
              <w:szCs w:val="22"/>
              <w:lang w:val="en-US"/>
              <w14:ligatures w14:val="none"/>
            </w:rPr>
            <w:instrText xml:space="preserve"> CITATION Lev24 \l 1033 </w:instrText>
          </w:r>
          <w:r w:rsidR="0041356F" w:rsidRPr="0041356F">
            <w:rPr>
              <w:rFonts w:ascii="Arial" w:hAnsi="Arial" w:cs="Arial"/>
              <w:i w:val="0"/>
              <w:iCs w:val="0"/>
              <w:kern w:val="0"/>
              <w:sz w:val="22"/>
              <w:szCs w:val="22"/>
              <w14:ligatures w14:val="none"/>
            </w:rPr>
            <w:fldChar w:fldCharType="separate"/>
          </w:r>
          <w:r w:rsidR="0041356F" w:rsidRPr="0041356F">
            <w:rPr>
              <w:rFonts w:ascii="Arial" w:hAnsi="Arial" w:cs="Arial"/>
              <w:i w:val="0"/>
              <w:iCs w:val="0"/>
              <w:noProof/>
              <w:kern w:val="0"/>
              <w:sz w:val="22"/>
              <w:szCs w:val="22"/>
              <w:lang w:val="en-US"/>
              <w14:ligatures w14:val="none"/>
            </w:rPr>
            <w:t>(Levelling UP, Housing and Communities Committee, 2024)</w:t>
          </w:r>
          <w:r w:rsidR="0041356F" w:rsidRPr="0041356F">
            <w:rPr>
              <w:rFonts w:ascii="Arial" w:hAnsi="Arial" w:cs="Arial"/>
              <w:i w:val="0"/>
              <w:iCs w:val="0"/>
              <w:kern w:val="0"/>
              <w:sz w:val="22"/>
              <w:szCs w:val="22"/>
              <w14:ligatures w14:val="none"/>
            </w:rPr>
            <w:fldChar w:fldCharType="end"/>
          </w:r>
        </w:sdtContent>
      </w:sdt>
      <w:r w:rsidRPr="00525B00">
        <w:rPr>
          <w:rFonts w:ascii="Arial" w:hAnsi="Arial" w:cs="Arial"/>
          <w:i w:val="0"/>
          <w:iCs w:val="0"/>
          <w:kern w:val="0"/>
          <w:sz w:val="22"/>
          <w:szCs w:val="22"/>
          <w14:ligatures w14:val="none"/>
        </w:rPr>
        <w:t xml:space="preserve">. Opportunities stem from regulations, retrofit funding, digital modernisation, and partnerships, while threats involve rising costs, labour shortages, climate pressures, and stricter safety laws </w:t>
      </w:r>
      <w:sdt>
        <w:sdtPr>
          <w:rPr>
            <w:rFonts w:ascii="Arial" w:hAnsi="Arial" w:cs="Arial"/>
            <w:i w:val="0"/>
            <w:iCs w:val="0"/>
            <w:kern w:val="0"/>
            <w:sz w:val="22"/>
            <w:szCs w:val="22"/>
            <w14:ligatures w14:val="none"/>
          </w:rPr>
          <w:id w:val="1302649036"/>
          <w:citation/>
        </w:sdtPr>
        <w:sdtEndPr/>
        <w:sdtContent>
          <w:r w:rsidR="0041356F" w:rsidRPr="0041356F">
            <w:rPr>
              <w:rFonts w:ascii="Arial" w:hAnsi="Arial" w:cs="Arial"/>
              <w:i w:val="0"/>
              <w:iCs w:val="0"/>
              <w:kern w:val="0"/>
              <w:sz w:val="22"/>
              <w:szCs w:val="22"/>
              <w14:ligatures w14:val="none"/>
            </w:rPr>
            <w:fldChar w:fldCharType="begin"/>
          </w:r>
          <w:r w:rsidR="0041356F" w:rsidRPr="0041356F">
            <w:rPr>
              <w:rFonts w:ascii="Arial" w:hAnsi="Arial" w:cs="Arial"/>
              <w:i w:val="0"/>
              <w:iCs w:val="0"/>
              <w:kern w:val="0"/>
              <w:sz w:val="22"/>
              <w:szCs w:val="22"/>
              <w:lang w:val="en-US"/>
              <w14:ligatures w14:val="none"/>
            </w:rPr>
            <w:instrText xml:space="preserve"> CITATION Reg24 \l 1033  \m Dep251</w:instrText>
          </w:r>
          <w:r w:rsidR="0041356F" w:rsidRPr="0041356F">
            <w:rPr>
              <w:rFonts w:ascii="Arial" w:hAnsi="Arial" w:cs="Arial"/>
              <w:i w:val="0"/>
              <w:iCs w:val="0"/>
              <w:kern w:val="0"/>
              <w:sz w:val="22"/>
              <w:szCs w:val="22"/>
              <w14:ligatures w14:val="none"/>
            </w:rPr>
            <w:fldChar w:fldCharType="separate"/>
          </w:r>
          <w:r w:rsidR="0041356F" w:rsidRPr="0041356F">
            <w:rPr>
              <w:rFonts w:ascii="Arial" w:hAnsi="Arial" w:cs="Arial"/>
              <w:i w:val="0"/>
              <w:iCs w:val="0"/>
              <w:noProof/>
              <w:kern w:val="0"/>
              <w:sz w:val="22"/>
              <w:szCs w:val="22"/>
              <w:lang w:val="en-US"/>
              <w14:ligatures w14:val="none"/>
            </w:rPr>
            <w:t>(RSH, 2024; DESNZ, 2025)</w:t>
          </w:r>
          <w:r w:rsidR="0041356F" w:rsidRPr="0041356F">
            <w:rPr>
              <w:rFonts w:ascii="Arial" w:hAnsi="Arial" w:cs="Arial"/>
              <w:i w:val="0"/>
              <w:iCs w:val="0"/>
              <w:kern w:val="0"/>
              <w:sz w:val="22"/>
              <w:szCs w:val="22"/>
              <w14:ligatures w14:val="none"/>
            </w:rPr>
            <w:fldChar w:fldCharType="end"/>
          </w:r>
        </w:sdtContent>
      </w:sdt>
      <w:r w:rsidR="0041356F" w:rsidRPr="0041356F">
        <w:rPr>
          <w:rFonts w:ascii="Arial" w:hAnsi="Arial" w:cs="Arial"/>
          <w:i w:val="0"/>
          <w:iCs w:val="0"/>
          <w:kern w:val="0"/>
          <w:sz w:val="22"/>
          <w:szCs w:val="22"/>
          <w14:ligatures w14:val="none"/>
        </w:rPr>
        <w:t>.</w:t>
      </w:r>
    </w:p>
    <w:p w14:paraId="6C229DB0" w14:textId="5D5567BE" w:rsidR="008635A1" w:rsidRDefault="008635A1" w:rsidP="00E862DB">
      <w:pPr>
        <w:rPr>
          <w:rFonts w:eastAsia="Times New Roman"/>
          <w:lang w:eastAsia="en-GB"/>
        </w:rPr>
      </w:pPr>
    </w:p>
    <w:p w14:paraId="72A6EFF9" w14:textId="77777777" w:rsidR="0041356F" w:rsidRDefault="0041356F" w:rsidP="00E862DB">
      <w:pPr>
        <w:rPr>
          <w:rFonts w:eastAsia="Times New Roman"/>
          <w:lang w:eastAsia="en-GB"/>
        </w:rPr>
      </w:pPr>
    </w:p>
    <w:p w14:paraId="09AC5251" w14:textId="77777777" w:rsidR="0041356F" w:rsidRPr="0038685F" w:rsidRDefault="0041356F" w:rsidP="00E862DB">
      <w:pPr>
        <w:rPr>
          <w:rFonts w:eastAsia="Times New Roman"/>
          <w:lang w:eastAsia="en-GB"/>
        </w:rPr>
      </w:pPr>
    </w:p>
    <w:p w14:paraId="2BAEA4F1" w14:textId="77777777" w:rsidR="00131F73" w:rsidRPr="00B9448D" w:rsidRDefault="00131F73" w:rsidP="00131F73">
      <w:pPr>
        <w:pStyle w:val="Caption"/>
        <w:keepNext/>
        <w:spacing w:line="360" w:lineRule="auto"/>
        <w:rPr>
          <w:color w:val="0F4761" w:themeColor="accent1" w:themeShade="BF"/>
          <w:sz w:val="22"/>
        </w:rPr>
      </w:pPr>
      <w:bookmarkStart w:id="8" w:name="_Toc215910533"/>
      <w:r w:rsidRPr="00B9448D">
        <w:rPr>
          <w:color w:val="0F4761" w:themeColor="accent1" w:themeShade="BF"/>
          <w:sz w:val="22"/>
        </w:rPr>
        <w:t xml:space="preserve">Table </w:t>
      </w:r>
      <w:r w:rsidRPr="00B9448D">
        <w:rPr>
          <w:color w:val="0F4761" w:themeColor="accent1" w:themeShade="BF"/>
          <w:sz w:val="22"/>
        </w:rPr>
        <w:fldChar w:fldCharType="begin"/>
      </w:r>
      <w:r w:rsidRPr="00B9448D">
        <w:rPr>
          <w:color w:val="0F4761" w:themeColor="accent1" w:themeShade="BF"/>
          <w:sz w:val="22"/>
        </w:rPr>
        <w:instrText xml:space="preserve"> SEQ Table \* ARABIC </w:instrText>
      </w:r>
      <w:r w:rsidRPr="00B9448D">
        <w:rPr>
          <w:color w:val="0F4761" w:themeColor="accent1" w:themeShade="BF"/>
          <w:sz w:val="22"/>
        </w:rPr>
        <w:fldChar w:fldCharType="separate"/>
      </w:r>
      <w:r>
        <w:rPr>
          <w:noProof/>
          <w:color w:val="0F4761" w:themeColor="accent1" w:themeShade="BF"/>
          <w:sz w:val="22"/>
        </w:rPr>
        <w:t>2</w:t>
      </w:r>
      <w:r w:rsidRPr="00B9448D">
        <w:rPr>
          <w:color w:val="0F4761" w:themeColor="accent1" w:themeShade="BF"/>
          <w:sz w:val="22"/>
        </w:rPr>
        <w:fldChar w:fldCharType="end"/>
      </w:r>
      <w:r w:rsidRPr="00B9448D">
        <w:rPr>
          <w:color w:val="0F4761" w:themeColor="accent1" w:themeShade="BF"/>
          <w:sz w:val="22"/>
        </w:rPr>
        <w:t xml:space="preserve"> SWOT Analysis for SHP</w:t>
      </w:r>
      <w:bookmarkEnd w:id="8"/>
    </w:p>
    <w:tbl>
      <w:tblPr>
        <w:tblStyle w:val="TableGrid"/>
        <w:tblW w:w="0" w:type="auto"/>
        <w:tblLook w:val="04A0" w:firstRow="1" w:lastRow="0" w:firstColumn="1" w:lastColumn="0" w:noHBand="0" w:noVBand="1"/>
      </w:tblPr>
      <w:tblGrid>
        <w:gridCol w:w="4508"/>
        <w:gridCol w:w="4508"/>
      </w:tblGrid>
      <w:tr w:rsidR="00131F73" w14:paraId="17A5D721" w14:textId="77777777" w:rsidTr="003D36A5">
        <w:tc>
          <w:tcPr>
            <w:tcW w:w="4508" w:type="dxa"/>
            <w:shd w:val="clear" w:color="auto" w:fill="DAE9F7" w:themeFill="text2" w:themeFillTint="1A"/>
          </w:tcPr>
          <w:p w14:paraId="65FA7236" w14:textId="77777777" w:rsidR="00131F73" w:rsidRPr="00417C5B" w:rsidRDefault="00131F73" w:rsidP="003D36A5">
            <w:pPr>
              <w:spacing w:before="100" w:after="100" w:line="360" w:lineRule="auto"/>
              <w:rPr>
                <w:b/>
                <w:bCs/>
                <w:color w:val="0F4761" w:themeColor="accent1" w:themeShade="BF"/>
                <w:szCs w:val="22"/>
              </w:rPr>
            </w:pPr>
            <w:r w:rsidRPr="00417C5B">
              <w:rPr>
                <w:b/>
                <w:bCs/>
                <w:color w:val="0F4761" w:themeColor="accent1" w:themeShade="BF"/>
                <w:szCs w:val="22"/>
              </w:rPr>
              <w:t>Strengths</w:t>
            </w:r>
          </w:p>
        </w:tc>
        <w:tc>
          <w:tcPr>
            <w:tcW w:w="4508" w:type="dxa"/>
            <w:shd w:val="clear" w:color="auto" w:fill="DAE9F7" w:themeFill="text2" w:themeFillTint="1A"/>
          </w:tcPr>
          <w:p w14:paraId="53FC7874" w14:textId="77777777" w:rsidR="00131F73" w:rsidRPr="00417C5B" w:rsidRDefault="00131F73" w:rsidP="003D36A5">
            <w:pPr>
              <w:spacing w:before="100" w:after="100" w:line="360" w:lineRule="auto"/>
              <w:rPr>
                <w:b/>
                <w:bCs/>
                <w:color w:val="0F4761" w:themeColor="accent1" w:themeShade="BF"/>
                <w:szCs w:val="22"/>
              </w:rPr>
            </w:pPr>
            <w:r w:rsidRPr="00417C5B">
              <w:rPr>
                <w:b/>
                <w:bCs/>
                <w:color w:val="0F4761" w:themeColor="accent1" w:themeShade="BF"/>
                <w:szCs w:val="22"/>
              </w:rPr>
              <w:t>Weaknesses</w:t>
            </w:r>
          </w:p>
        </w:tc>
      </w:tr>
      <w:tr w:rsidR="00131F73" w14:paraId="606CA004" w14:textId="77777777" w:rsidTr="003D36A5">
        <w:tc>
          <w:tcPr>
            <w:tcW w:w="4508" w:type="dxa"/>
          </w:tcPr>
          <w:p w14:paraId="4EAC0103" w14:textId="77777777" w:rsidR="00B769C3" w:rsidRDefault="00131F73" w:rsidP="003D36A5">
            <w:pPr>
              <w:spacing w:line="360" w:lineRule="auto"/>
              <w:jc w:val="left"/>
            </w:pPr>
            <w:r w:rsidRPr="00E944C2">
              <w:rPr>
                <w:b/>
                <w:bCs/>
              </w:rPr>
              <w:t>Resident-centred culture</w:t>
            </w:r>
            <w:r>
              <w:t xml:space="preserve"> with strong engagement and co-production</w:t>
            </w:r>
            <w:r w:rsidR="00D668D1">
              <w:t>.</w:t>
            </w:r>
            <w:r w:rsidR="00B769C3">
              <w:t xml:space="preserve"> </w:t>
            </w:r>
          </w:p>
          <w:p w14:paraId="7E6C9C98" w14:textId="77777777" w:rsidR="006B7297" w:rsidRDefault="00131F73" w:rsidP="003D36A5">
            <w:pPr>
              <w:spacing w:line="360" w:lineRule="auto"/>
              <w:jc w:val="left"/>
            </w:pPr>
            <w:r w:rsidRPr="00E944C2">
              <w:rPr>
                <w:b/>
                <w:bCs/>
              </w:rPr>
              <w:t>Progress in digital transformation</w:t>
            </w:r>
            <w:r>
              <w:t xml:space="preserve"> enhancing access and efficiency</w:t>
            </w:r>
            <w:r w:rsidR="00D668D1">
              <w:t>.</w:t>
            </w:r>
          </w:p>
          <w:p w14:paraId="5C8A5A61" w14:textId="77777777" w:rsidR="0052471F" w:rsidRDefault="00131F73" w:rsidP="003D36A5">
            <w:pPr>
              <w:spacing w:line="360" w:lineRule="auto"/>
              <w:jc w:val="left"/>
            </w:pPr>
            <w:r w:rsidRPr="00E944C2">
              <w:rPr>
                <w:b/>
                <w:bCs/>
              </w:rPr>
              <w:t>Strong partnership with LBS</w:t>
            </w:r>
            <w:r>
              <w:t xml:space="preserve"> enabling coordinated improvement. </w:t>
            </w:r>
          </w:p>
          <w:p w14:paraId="503AD06C" w14:textId="525330F7" w:rsidR="00131F73" w:rsidRDefault="00131F73" w:rsidP="003D36A5">
            <w:pPr>
              <w:spacing w:line="360" w:lineRule="auto"/>
              <w:jc w:val="left"/>
            </w:pPr>
            <w:r w:rsidRPr="00E944C2">
              <w:rPr>
                <w:b/>
                <w:bCs/>
              </w:rPr>
              <w:t>Growing performance culture</w:t>
            </w:r>
            <w:r>
              <w:t xml:space="preserve"> via TSM focus.</w:t>
            </w:r>
          </w:p>
        </w:tc>
        <w:tc>
          <w:tcPr>
            <w:tcW w:w="4508" w:type="dxa"/>
          </w:tcPr>
          <w:p w14:paraId="53EB0D84" w14:textId="77777777" w:rsidR="00C43967" w:rsidRDefault="00131F73" w:rsidP="003D36A5">
            <w:pPr>
              <w:spacing w:line="360" w:lineRule="auto"/>
              <w:jc w:val="left"/>
            </w:pPr>
            <w:r w:rsidRPr="00E944C2">
              <w:rPr>
                <w:b/>
                <w:bCs/>
              </w:rPr>
              <w:t>Ageing stock</w:t>
            </w:r>
            <w:r>
              <w:t xml:space="preserve"> with high investment needs. </w:t>
            </w:r>
            <w:r w:rsidRPr="00E944C2">
              <w:rPr>
                <w:b/>
                <w:bCs/>
              </w:rPr>
              <w:t>Financial constraints</w:t>
            </w:r>
            <w:r>
              <w:t xml:space="preserve"> limiting major asset improvements. </w:t>
            </w:r>
          </w:p>
          <w:p w14:paraId="71B759E5" w14:textId="77777777" w:rsidR="00C43967" w:rsidRDefault="00131F73" w:rsidP="003D36A5">
            <w:pPr>
              <w:spacing w:line="360" w:lineRule="auto"/>
              <w:jc w:val="left"/>
            </w:pPr>
            <w:r w:rsidRPr="00E944C2">
              <w:rPr>
                <w:b/>
                <w:bCs/>
              </w:rPr>
              <w:t>Repairs delays and legacy backlogs</w:t>
            </w:r>
            <w:r>
              <w:t>.</w:t>
            </w:r>
          </w:p>
          <w:p w14:paraId="7B5AAB5A" w14:textId="38ECDBC1" w:rsidR="00131F73" w:rsidRDefault="00131F73" w:rsidP="003D36A5">
            <w:pPr>
              <w:spacing w:line="360" w:lineRule="auto"/>
              <w:jc w:val="left"/>
            </w:pPr>
            <w:r w:rsidRPr="00E944C2">
              <w:rPr>
                <w:b/>
                <w:bCs/>
              </w:rPr>
              <w:t>Capacity gaps</w:t>
            </w:r>
            <w:r>
              <w:t xml:space="preserve"> in technical and building safety roles; </w:t>
            </w:r>
            <w:r w:rsidRPr="00E944C2">
              <w:rPr>
                <w:b/>
                <w:bCs/>
              </w:rPr>
              <w:t>data quality issues</w:t>
            </w:r>
          </w:p>
        </w:tc>
      </w:tr>
      <w:tr w:rsidR="00131F73" w14:paraId="6A9C0606" w14:textId="77777777" w:rsidTr="003D36A5">
        <w:tc>
          <w:tcPr>
            <w:tcW w:w="4508" w:type="dxa"/>
            <w:shd w:val="clear" w:color="auto" w:fill="DAE9F7" w:themeFill="text2" w:themeFillTint="1A"/>
          </w:tcPr>
          <w:p w14:paraId="4243B143" w14:textId="77777777" w:rsidR="00131F73" w:rsidRPr="00417C5B" w:rsidRDefault="00131F73" w:rsidP="00417C5B">
            <w:pPr>
              <w:spacing w:before="100" w:after="100" w:line="360" w:lineRule="auto"/>
              <w:rPr>
                <w:b/>
                <w:bCs/>
                <w:color w:val="0F4761" w:themeColor="accent1" w:themeShade="BF"/>
                <w:szCs w:val="22"/>
              </w:rPr>
            </w:pPr>
            <w:r w:rsidRPr="00417C5B">
              <w:rPr>
                <w:b/>
                <w:bCs/>
                <w:color w:val="0F4761" w:themeColor="accent1" w:themeShade="BF"/>
                <w:szCs w:val="22"/>
              </w:rPr>
              <w:t>Opportunities</w:t>
            </w:r>
          </w:p>
        </w:tc>
        <w:tc>
          <w:tcPr>
            <w:tcW w:w="4508" w:type="dxa"/>
            <w:shd w:val="clear" w:color="auto" w:fill="DAE9F7" w:themeFill="text2" w:themeFillTint="1A"/>
          </w:tcPr>
          <w:p w14:paraId="39F44230" w14:textId="77777777" w:rsidR="00131F73" w:rsidRPr="00417C5B" w:rsidRDefault="00131F73" w:rsidP="00417C5B">
            <w:pPr>
              <w:spacing w:before="100" w:after="100" w:line="360" w:lineRule="auto"/>
              <w:rPr>
                <w:b/>
                <w:bCs/>
                <w:color w:val="0F4761" w:themeColor="accent1" w:themeShade="BF"/>
                <w:szCs w:val="22"/>
              </w:rPr>
            </w:pPr>
            <w:r w:rsidRPr="00417C5B">
              <w:rPr>
                <w:b/>
                <w:bCs/>
                <w:color w:val="0F4761" w:themeColor="accent1" w:themeShade="BF"/>
                <w:szCs w:val="22"/>
              </w:rPr>
              <w:t>Threats</w:t>
            </w:r>
          </w:p>
        </w:tc>
      </w:tr>
      <w:tr w:rsidR="00131F73" w14:paraId="1DD8F018" w14:textId="77777777" w:rsidTr="003D36A5">
        <w:trPr>
          <w:trHeight w:val="3442"/>
        </w:trPr>
        <w:tc>
          <w:tcPr>
            <w:tcW w:w="4508" w:type="dxa"/>
          </w:tcPr>
          <w:p w14:paraId="5DB34838" w14:textId="77777777" w:rsidR="0052471F" w:rsidRDefault="00131F73" w:rsidP="003D36A5">
            <w:pPr>
              <w:spacing w:line="360" w:lineRule="auto"/>
              <w:jc w:val="left"/>
            </w:pPr>
            <w:r w:rsidRPr="00E944C2">
              <w:rPr>
                <w:b/>
                <w:bCs/>
              </w:rPr>
              <w:t>New consumer regulation</w:t>
            </w:r>
            <w:r>
              <w:t xml:space="preserve"> enabling service improvement. </w:t>
            </w:r>
          </w:p>
          <w:p w14:paraId="1A0BA312" w14:textId="77777777" w:rsidR="000442DA" w:rsidRDefault="00131F73" w:rsidP="003D36A5">
            <w:pPr>
              <w:spacing w:line="360" w:lineRule="auto"/>
              <w:jc w:val="left"/>
            </w:pPr>
            <w:r w:rsidRPr="00E944C2">
              <w:rPr>
                <w:b/>
                <w:bCs/>
              </w:rPr>
              <w:t>Decarbonisation and MEES funding</w:t>
            </w:r>
            <w:r>
              <w:t>.</w:t>
            </w:r>
            <w:r w:rsidR="0052471F">
              <w:t xml:space="preserve"> </w:t>
            </w:r>
          </w:p>
          <w:p w14:paraId="43AEE196" w14:textId="77777777" w:rsidR="000442DA" w:rsidRDefault="00131F73" w:rsidP="003D36A5">
            <w:pPr>
              <w:spacing w:line="360" w:lineRule="auto"/>
              <w:jc w:val="left"/>
            </w:pPr>
            <w:r w:rsidRPr="00C83C88">
              <w:rPr>
                <w:b/>
                <w:bCs/>
              </w:rPr>
              <w:t>Digital transformation</w:t>
            </w:r>
            <w:r>
              <w:t xml:space="preserve"> to cut inefficiencies and strengthen insight.</w:t>
            </w:r>
          </w:p>
          <w:p w14:paraId="0A8397D4" w14:textId="77777777" w:rsidR="000442DA" w:rsidRDefault="00131F73" w:rsidP="003D36A5">
            <w:pPr>
              <w:spacing w:line="360" w:lineRule="auto"/>
              <w:jc w:val="left"/>
              <w:rPr>
                <w:b/>
                <w:bCs/>
              </w:rPr>
            </w:pPr>
            <w:r w:rsidRPr="00C83C88">
              <w:rPr>
                <w:b/>
                <w:bCs/>
              </w:rPr>
              <w:t>Partnerships with Council, health, and voluntary sectors.</w:t>
            </w:r>
            <w:r w:rsidR="000442DA">
              <w:rPr>
                <w:b/>
                <w:bCs/>
              </w:rPr>
              <w:t xml:space="preserve"> </w:t>
            </w:r>
          </w:p>
          <w:p w14:paraId="7EA0052B" w14:textId="3161A855" w:rsidR="00131F73" w:rsidRPr="006C5A0C" w:rsidRDefault="00131F73" w:rsidP="003D36A5">
            <w:pPr>
              <w:spacing w:line="360" w:lineRule="auto"/>
              <w:jc w:val="left"/>
              <w:rPr>
                <w:b/>
                <w:bCs/>
              </w:rPr>
            </w:pPr>
            <w:r w:rsidRPr="00C83C88">
              <w:rPr>
                <w:b/>
                <w:bCs/>
              </w:rPr>
              <w:t>Access to government grants</w:t>
            </w:r>
            <w:r>
              <w:t xml:space="preserve"> for safety, retrofit, regeneration.</w:t>
            </w:r>
          </w:p>
        </w:tc>
        <w:tc>
          <w:tcPr>
            <w:tcW w:w="4508" w:type="dxa"/>
          </w:tcPr>
          <w:p w14:paraId="793265CB" w14:textId="77777777" w:rsidR="000442DA" w:rsidRDefault="00131F73" w:rsidP="003D36A5">
            <w:pPr>
              <w:spacing w:line="360" w:lineRule="auto"/>
              <w:jc w:val="left"/>
            </w:pPr>
            <w:r w:rsidRPr="00C83C88">
              <w:rPr>
                <w:b/>
                <w:bCs/>
              </w:rPr>
              <w:t>Tightened safety legislation</w:t>
            </w:r>
            <w:r>
              <w:t xml:space="preserve"> increases compliance risk.</w:t>
            </w:r>
            <w:r w:rsidR="000442DA">
              <w:t xml:space="preserve"> </w:t>
            </w:r>
          </w:p>
          <w:p w14:paraId="09607C0E" w14:textId="77777777" w:rsidR="000442DA" w:rsidRDefault="00131F73" w:rsidP="003D36A5">
            <w:pPr>
              <w:spacing w:line="360" w:lineRule="auto"/>
              <w:jc w:val="left"/>
              <w:rPr>
                <w:b/>
                <w:bCs/>
              </w:rPr>
            </w:pPr>
            <w:r w:rsidRPr="00C83C88">
              <w:rPr>
                <w:b/>
                <w:bCs/>
              </w:rPr>
              <w:t>Rising construction, labour, and material costs.</w:t>
            </w:r>
            <w:r>
              <w:rPr>
                <w:b/>
                <w:bCs/>
              </w:rPr>
              <w:t xml:space="preserve"> </w:t>
            </w:r>
          </w:p>
          <w:p w14:paraId="3C997A3C" w14:textId="77777777" w:rsidR="000442DA" w:rsidRDefault="00131F73" w:rsidP="003D36A5">
            <w:pPr>
              <w:spacing w:line="360" w:lineRule="auto"/>
              <w:jc w:val="left"/>
              <w:rPr>
                <w:b/>
                <w:bCs/>
              </w:rPr>
            </w:pPr>
            <w:r w:rsidRPr="00C83C88">
              <w:rPr>
                <w:b/>
                <w:bCs/>
              </w:rPr>
              <w:t>Higher tenant expectations and public scrutiny.</w:t>
            </w:r>
            <w:r>
              <w:rPr>
                <w:b/>
                <w:bCs/>
              </w:rPr>
              <w:t xml:space="preserve"> </w:t>
            </w:r>
          </w:p>
          <w:p w14:paraId="7042042C" w14:textId="77777777" w:rsidR="00417C5B" w:rsidRDefault="00131F73" w:rsidP="003D36A5">
            <w:pPr>
              <w:spacing w:line="360" w:lineRule="auto"/>
              <w:jc w:val="left"/>
            </w:pPr>
            <w:r w:rsidRPr="00C83C88">
              <w:rPr>
                <w:b/>
                <w:bCs/>
              </w:rPr>
              <w:t>Climate-related risks</w:t>
            </w:r>
            <w:r>
              <w:t xml:space="preserve"> increasing maintenance demand.</w:t>
            </w:r>
          </w:p>
          <w:p w14:paraId="5BF33F86" w14:textId="2520A40B" w:rsidR="00131F73" w:rsidRPr="00C83C88" w:rsidRDefault="00131F73" w:rsidP="003D36A5">
            <w:pPr>
              <w:spacing w:line="360" w:lineRule="auto"/>
              <w:jc w:val="left"/>
              <w:rPr>
                <w:b/>
                <w:bCs/>
              </w:rPr>
            </w:pPr>
            <w:r w:rsidRPr="00C83C88">
              <w:rPr>
                <w:b/>
                <w:bCs/>
              </w:rPr>
              <w:t>Labour shortages</w:t>
            </w:r>
            <w:r>
              <w:t xml:space="preserve"> in key technical fields.</w:t>
            </w:r>
          </w:p>
        </w:tc>
      </w:tr>
    </w:tbl>
    <w:p w14:paraId="585F5294" w14:textId="05DF1D2C" w:rsidR="00131F73" w:rsidRDefault="00131F73" w:rsidP="00E862DB">
      <w:pPr>
        <w:rPr>
          <w:rFonts w:eastAsia="Times New Roman"/>
          <w:lang w:eastAsia="en-GB"/>
        </w:rPr>
      </w:pPr>
      <w:r w:rsidRPr="00DA3B14">
        <w:rPr>
          <w:rFonts w:eastAsia="Times New Roman"/>
          <w:b/>
          <w:bCs/>
          <w:lang w:eastAsia="en-GB"/>
        </w:rPr>
        <w:t>Source:</w:t>
      </w:r>
      <w:r w:rsidR="00556A2E">
        <w:rPr>
          <w:rFonts w:eastAsia="Times New Roman"/>
          <w:b/>
          <w:bCs/>
          <w:lang w:eastAsia="en-GB"/>
        </w:rPr>
        <w:t xml:space="preserve"> </w:t>
      </w:r>
      <w:r w:rsidR="00556A2E" w:rsidRPr="00556A2E">
        <w:rPr>
          <w:rFonts w:eastAsia="Times New Roman"/>
          <w:lang w:eastAsia="en-GB"/>
        </w:rPr>
        <w:t>Author,</w:t>
      </w:r>
      <w:r w:rsidRPr="004C0D54">
        <w:rPr>
          <w:rFonts w:eastAsia="Times New Roman"/>
          <w:lang w:eastAsia="en-GB"/>
        </w:rPr>
        <w:t xml:space="preserve"> </w:t>
      </w:r>
      <w:r w:rsidR="00556A2E">
        <w:rPr>
          <w:rFonts w:eastAsia="Times New Roman"/>
          <w:lang w:eastAsia="en-GB"/>
        </w:rPr>
        <w:t>a</w:t>
      </w:r>
      <w:r w:rsidR="00346EFB">
        <w:rPr>
          <w:rFonts w:eastAsia="Times New Roman"/>
          <w:lang w:eastAsia="en-GB"/>
        </w:rPr>
        <w:t xml:space="preserve">dapted from </w:t>
      </w:r>
      <w:r w:rsidRPr="004C0D54">
        <w:rPr>
          <w:rFonts w:eastAsia="Times New Roman"/>
          <w:lang w:eastAsia="en-GB"/>
        </w:rPr>
        <w:t xml:space="preserve">Levelling UP, Housing and Communities Committee </w:t>
      </w:r>
      <w:sdt>
        <w:sdtPr>
          <w:rPr>
            <w:rFonts w:eastAsia="Times New Roman"/>
            <w:lang w:eastAsia="en-GB"/>
          </w:rPr>
          <w:id w:val="-1210107277"/>
          <w:citation/>
        </w:sdtPr>
        <w:sdtEndPr/>
        <w:sdtContent>
          <w:r w:rsidRPr="004C0D54">
            <w:rPr>
              <w:rFonts w:eastAsia="Times New Roman"/>
              <w:lang w:eastAsia="en-GB"/>
            </w:rPr>
            <w:fldChar w:fldCharType="begin"/>
          </w:r>
          <w:r w:rsidRPr="004C0D54">
            <w:rPr>
              <w:rFonts w:eastAsia="Times New Roman"/>
              <w:lang w:val="en-US" w:eastAsia="en-GB"/>
            </w:rPr>
            <w:instrText xml:space="preserve">CITATION Lev24 \n  \l 1033 </w:instrText>
          </w:r>
          <w:r w:rsidRPr="004C0D54">
            <w:rPr>
              <w:rFonts w:eastAsia="Times New Roman"/>
              <w:lang w:eastAsia="en-GB"/>
            </w:rPr>
            <w:fldChar w:fldCharType="separate"/>
          </w:r>
          <w:r w:rsidR="002E53A1" w:rsidRPr="002E53A1">
            <w:rPr>
              <w:rFonts w:eastAsia="Times New Roman"/>
              <w:noProof/>
              <w:lang w:val="en-US" w:eastAsia="en-GB"/>
            </w:rPr>
            <w:t>(2024)</w:t>
          </w:r>
          <w:r w:rsidRPr="004C0D54">
            <w:rPr>
              <w:rFonts w:eastAsia="Times New Roman"/>
              <w:lang w:eastAsia="en-GB"/>
            </w:rPr>
            <w:fldChar w:fldCharType="end"/>
          </w:r>
        </w:sdtContent>
      </w:sdt>
      <w:r w:rsidRPr="004C0D54">
        <w:rPr>
          <w:rFonts w:eastAsia="Times New Roman"/>
          <w:lang w:eastAsia="en-GB"/>
        </w:rPr>
        <w:t>, Regulator of Social Housing</w:t>
      </w:r>
      <w:sdt>
        <w:sdtPr>
          <w:rPr>
            <w:rFonts w:eastAsia="Times New Roman"/>
            <w:lang w:eastAsia="en-GB"/>
          </w:rPr>
          <w:id w:val="-1322661648"/>
          <w:citation/>
        </w:sdtPr>
        <w:sdtEndPr/>
        <w:sdtContent>
          <w:r w:rsidRPr="004C0D54">
            <w:rPr>
              <w:rFonts w:eastAsia="Times New Roman"/>
              <w:lang w:eastAsia="en-GB"/>
            </w:rPr>
            <w:fldChar w:fldCharType="begin"/>
          </w:r>
          <w:r>
            <w:rPr>
              <w:rFonts w:eastAsia="Times New Roman"/>
              <w:lang w:val="en-US" w:eastAsia="en-GB"/>
            </w:rPr>
            <w:instrText xml:space="preserve">CITATION Reg24 \n  \m Reg25 \n  \l 1033 </w:instrText>
          </w:r>
          <w:r w:rsidRPr="004C0D54">
            <w:rPr>
              <w:rFonts w:eastAsia="Times New Roman"/>
              <w:lang w:eastAsia="en-GB"/>
            </w:rPr>
            <w:fldChar w:fldCharType="separate"/>
          </w:r>
          <w:r w:rsidR="002E53A1">
            <w:rPr>
              <w:rFonts w:eastAsia="Times New Roman"/>
              <w:noProof/>
              <w:lang w:val="en-US" w:eastAsia="en-GB"/>
            </w:rPr>
            <w:t xml:space="preserve"> </w:t>
          </w:r>
          <w:r w:rsidR="002E53A1" w:rsidRPr="002E53A1">
            <w:rPr>
              <w:rFonts w:eastAsia="Times New Roman"/>
              <w:noProof/>
              <w:lang w:val="en-US" w:eastAsia="en-GB"/>
            </w:rPr>
            <w:t>(2024; 2025)</w:t>
          </w:r>
          <w:r w:rsidRPr="004C0D54">
            <w:rPr>
              <w:rFonts w:eastAsia="Times New Roman"/>
              <w:lang w:eastAsia="en-GB"/>
            </w:rPr>
            <w:fldChar w:fldCharType="end"/>
          </w:r>
        </w:sdtContent>
      </w:sdt>
      <w:r w:rsidRPr="004C0D54">
        <w:rPr>
          <w:rFonts w:eastAsia="Times New Roman"/>
          <w:lang w:eastAsia="en-GB"/>
        </w:rPr>
        <w:t>, Department for Energy Security and Net Zero</w:t>
      </w:r>
      <w:sdt>
        <w:sdtPr>
          <w:rPr>
            <w:rFonts w:eastAsia="Times New Roman"/>
            <w:lang w:eastAsia="en-GB"/>
          </w:rPr>
          <w:id w:val="-69269854"/>
          <w:citation/>
        </w:sdtPr>
        <w:sdtEndPr/>
        <w:sdtContent>
          <w:r w:rsidRPr="004C0D54">
            <w:rPr>
              <w:rFonts w:eastAsia="Times New Roman"/>
              <w:lang w:eastAsia="en-GB"/>
            </w:rPr>
            <w:fldChar w:fldCharType="begin"/>
          </w:r>
          <w:r>
            <w:rPr>
              <w:rFonts w:eastAsia="Times New Roman"/>
              <w:lang w:val="en-US" w:eastAsia="en-GB"/>
            </w:rPr>
            <w:instrText xml:space="preserve">CITATION Dep251 \n  \l 1033 </w:instrText>
          </w:r>
          <w:r w:rsidRPr="004C0D54">
            <w:rPr>
              <w:rFonts w:eastAsia="Times New Roman"/>
              <w:lang w:eastAsia="en-GB"/>
            </w:rPr>
            <w:fldChar w:fldCharType="separate"/>
          </w:r>
          <w:r w:rsidR="002E53A1">
            <w:rPr>
              <w:rFonts w:eastAsia="Times New Roman"/>
              <w:noProof/>
              <w:lang w:val="en-US" w:eastAsia="en-GB"/>
            </w:rPr>
            <w:t xml:space="preserve"> </w:t>
          </w:r>
          <w:r w:rsidR="002E53A1" w:rsidRPr="002E53A1">
            <w:rPr>
              <w:rFonts w:eastAsia="Times New Roman"/>
              <w:noProof/>
              <w:lang w:val="en-US" w:eastAsia="en-GB"/>
            </w:rPr>
            <w:t>(2025)</w:t>
          </w:r>
          <w:r w:rsidRPr="004C0D54">
            <w:rPr>
              <w:rFonts w:eastAsia="Times New Roman"/>
              <w:lang w:eastAsia="en-GB"/>
            </w:rPr>
            <w:fldChar w:fldCharType="end"/>
          </w:r>
        </w:sdtContent>
      </w:sdt>
      <w:r w:rsidRPr="004C0D54">
        <w:rPr>
          <w:rFonts w:eastAsia="Times New Roman"/>
          <w:lang w:eastAsia="en-GB"/>
        </w:rPr>
        <w:t>, Ministry of Housing, Communities and Local Government</w:t>
      </w:r>
      <w:sdt>
        <w:sdtPr>
          <w:rPr>
            <w:rFonts w:eastAsia="Times New Roman"/>
            <w:lang w:eastAsia="en-GB"/>
          </w:rPr>
          <w:id w:val="-1029721685"/>
          <w:citation/>
        </w:sdtPr>
        <w:sdtEndPr/>
        <w:sdtContent>
          <w:r w:rsidRPr="004C0D54">
            <w:rPr>
              <w:rFonts w:eastAsia="Times New Roman"/>
              <w:lang w:eastAsia="en-GB"/>
            </w:rPr>
            <w:fldChar w:fldCharType="begin"/>
          </w:r>
          <w:r>
            <w:rPr>
              <w:rFonts w:eastAsia="Times New Roman"/>
              <w:lang w:val="en-US" w:eastAsia="en-GB"/>
            </w:rPr>
            <w:instrText xml:space="preserve">CITATION Min251 \n  \l 1033 </w:instrText>
          </w:r>
          <w:r w:rsidRPr="004C0D54">
            <w:rPr>
              <w:rFonts w:eastAsia="Times New Roman"/>
              <w:lang w:eastAsia="en-GB"/>
            </w:rPr>
            <w:fldChar w:fldCharType="separate"/>
          </w:r>
          <w:r w:rsidR="002E53A1">
            <w:rPr>
              <w:rFonts w:eastAsia="Times New Roman"/>
              <w:noProof/>
              <w:lang w:val="en-US" w:eastAsia="en-GB"/>
            </w:rPr>
            <w:t xml:space="preserve"> </w:t>
          </w:r>
          <w:r w:rsidR="002E53A1" w:rsidRPr="002E53A1">
            <w:rPr>
              <w:rFonts w:eastAsia="Times New Roman"/>
              <w:noProof/>
              <w:lang w:val="en-US" w:eastAsia="en-GB"/>
            </w:rPr>
            <w:t>(2025)</w:t>
          </w:r>
          <w:r w:rsidRPr="004C0D54">
            <w:rPr>
              <w:rFonts w:eastAsia="Times New Roman"/>
              <w:lang w:eastAsia="en-GB"/>
            </w:rPr>
            <w:fldChar w:fldCharType="end"/>
          </w:r>
        </w:sdtContent>
      </w:sdt>
      <w:r w:rsidRPr="004C0D54">
        <w:rPr>
          <w:rFonts w:eastAsia="Times New Roman"/>
          <w:lang w:eastAsia="en-GB"/>
        </w:rPr>
        <w:t>.</w:t>
      </w:r>
    </w:p>
    <w:p w14:paraId="725B6171" w14:textId="2905569E" w:rsidR="00CE6E3B" w:rsidRPr="00C8684F" w:rsidRDefault="00CE6E3B" w:rsidP="00E862DB">
      <w:pPr>
        <w:rPr>
          <w:rFonts w:eastAsia="Times New Roman"/>
          <w:lang w:eastAsia="en-GB"/>
        </w:rPr>
      </w:pPr>
      <w:r w:rsidRPr="00E775A8">
        <w:rPr>
          <w:rFonts w:eastAsia="Times New Roman" w:cs="Arial"/>
          <w:szCs w:val="22"/>
          <w:lang w:eastAsia="en-GB"/>
        </w:rPr>
        <w:t>SHP’s strengths offer potential for differentiation, but internal weaknesses amplify external threats. Targeted investment in digital systems, workforce development, and asset sustainability is essential to convert strengths into sustainable performance improvements.</w:t>
      </w:r>
    </w:p>
    <w:p w14:paraId="402E9324" w14:textId="5348F1EC" w:rsidR="00B127EB" w:rsidRPr="0076253A" w:rsidRDefault="007B36A9" w:rsidP="00444ECA">
      <w:pPr>
        <w:pStyle w:val="Heading2"/>
        <w:numPr>
          <w:ilvl w:val="0"/>
          <w:numId w:val="21"/>
        </w:numPr>
      </w:pPr>
      <w:bookmarkStart w:id="9" w:name="_Toc216130270"/>
      <w:r>
        <w:t>Competitive Position</w:t>
      </w:r>
      <w:r w:rsidR="006B52CE">
        <w:t xml:space="preserve"> - </w:t>
      </w:r>
      <w:r w:rsidR="00B127EB">
        <w:t>Porter’s Five Forces</w:t>
      </w:r>
      <w:bookmarkEnd w:id="9"/>
    </w:p>
    <w:p w14:paraId="1ACB2996" w14:textId="76EC3B50" w:rsidR="00EB1B42" w:rsidRPr="007B5544" w:rsidRDefault="009C758A" w:rsidP="009C758A">
      <w:pPr>
        <w:pStyle w:val="NormalWeb"/>
        <w:spacing w:line="360" w:lineRule="auto"/>
        <w:jc w:val="both"/>
        <w:rPr>
          <w:rFonts w:ascii="Arial" w:hAnsi="Arial" w:cs="Arial"/>
          <w:i w:val="0"/>
          <w:iCs w:val="0"/>
          <w:sz w:val="22"/>
          <w:szCs w:val="22"/>
        </w:rPr>
      </w:pPr>
      <w:r w:rsidRPr="009C758A">
        <w:rPr>
          <w:rFonts w:ascii="Arial" w:hAnsi="Arial" w:cs="Arial"/>
          <w:i w:val="0"/>
          <w:iCs w:val="0"/>
          <w:sz w:val="22"/>
          <w:szCs w:val="22"/>
        </w:rPr>
        <w:t xml:space="preserve">Although social housing is not a traditional market, Porter’s Five Forces </w:t>
      </w:r>
      <w:sdt>
        <w:sdtPr>
          <w:rPr>
            <w:rFonts w:ascii="Arial" w:hAnsi="Arial" w:cs="Arial"/>
            <w:i w:val="0"/>
            <w:iCs w:val="0"/>
            <w:sz w:val="22"/>
            <w:szCs w:val="22"/>
          </w:rPr>
          <w:id w:val="-1478068610"/>
          <w:citation/>
        </w:sdtPr>
        <w:sdtEndPr/>
        <w:sdtContent>
          <w:r w:rsidR="005C4A9E" w:rsidRPr="005C4A9E">
            <w:rPr>
              <w:rFonts w:ascii="Arial" w:hAnsi="Arial" w:cs="Arial"/>
              <w:i w:val="0"/>
              <w:iCs w:val="0"/>
              <w:sz w:val="22"/>
              <w:szCs w:val="22"/>
            </w:rPr>
            <w:fldChar w:fldCharType="begin"/>
          </w:r>
          <w:r w:rsidR="005C4A9E" w:rsidRPr="005C4A9E">
            <w:rPr>
              <w:rFonts w:ascii="Arial" w:hAnsi="Arial" w:cs="Arial"/>
              <w:i w:val="0"/>
              <w:iCs w:val="0"/>
              <w:sz w:val="22"/>
              <w:szCs w:val="22"/>
              <w:lang w:val="en-US"/>
            </w:rPr>
            <w:instrText xml:space="preserve"> CITATION Por08 \l 1033 </w:instrText>
          </w:r>
          <w:r w:rsidR="005C4A9E" w:rsidRPr="005C4A9E">
            <w:rPr>
              <w:rFonts w:ascii="Arial" w:hAnsi="Arial" w:cs="Arial"/>
              <w:i w:val="0"/>
              <w:iCs w:val="0"/>
              <w:sz w:val="22"/>
              <w:szCs w:val="22"/>
            </w:rPr>
            <w:fldChar w:fldCharType="separate"/>
          </w:r>
          <w:r w:rsidR="005C4A9E" w:rsidRPr="005C4A9E">
            <w:rPr>
              <w:rFonts w:ascii="Arial" w:hAnsi="Arial" w:cs="Arial"/>
              <w:i w:val="0"/>
              <w:iCs w:val="0"/>
              <w:noProof/>
              <w:sz w:val="22"/>
              <w:szCs w:val="22"/>
              <w:lang w:val="en-US"/>
            </w:rPr>
            <w:t>(Porter, 2008)</w:t>
          </w:r>
          <w:r w:rsidR="005C4A9E" w:rsidRPr="005C4A9E">
            <w:rPr>
              <w:rFonts w:ascii="Arial" w:hAnsi="Arial" w:cs="Arial"/>
              <w:i w:val="0"/>
              <w:iCs w:val="0"/>
              <w:sz w:val="22"/>
              <w:szCs w:val="22"/>
            </w:rPr>
            <w:fldChar w:fldCharType="end"/>
          </w:r>
        </w:sdtContent>
      </w:sdt>
      <w:r w:rsidRPr="009C758A">
        <w:rPr>
          <w:rFonts w:ascii="Arial" w:hAnsi="Arial" w:cs="Arial"/>
          <w:i w:val="0"/>
          <w:iCs w:val="0"/>
          <w:sz w:val="22"/>
          <w:szCs w:val="22"/>
        </w:rPr>
        <w:t xml:space="preserve"> highlights strategic pressures shaping SHP. </w:t>
      </w:r>
      <w:r w:rsidRPr="007B5544">
        <w:rPr>
          <w:rFonts w:ascii="Arial" w:hAnsi="Arial" w:cs="Arial"/>
          <w:b/>
          <w:bCs/>
          <w:i w:val="0"/>
          <w:iCs w:val="0"/>
          <w:sz w:val="22"/>
          <w:szCs w:val="22"/>
        </w:rPr>
        <w:t>Table 3</w:t>
      </w:r>
      <w:r w:rsidRPr="009C758A">
        <w:rPr>
          <w:rFonts w:ascii="Arial" w:hAnsi="Arial" w:cs="Arial"/>
          <w:i w:val="0"/>
          <w:iCs w:val="0"/>
          <w:sz w:val="22"/>
          <w:szCs w:val="22"/>
        </w:rPr>
        <w:t xml:space="preserve"> shows moderate barriers for new entrants, high tenant power via TSMs and panels, moderate-to-high supplier influence due to skill scarcity, moderate substitute risk from private rentals, and low-to-moderate rivalry among </w:t>
      </w:r>
      <w:r w:rsidRPr="005C4A9E">
        <w:rPr>
          <w:rFonts w:ascii="Arial" w:hAnsi="Arial" w:cs="Arial"/>
          <w:i w:val="0"/>
          <w:iCs w:val="0"/>
          <w:sz w:val="22"/>
          <w:szCs w:val="22"/>
        </w:rPr>
        <w:t>ALMOs</w:t>
      </w:r>
      <w:r w:rsidR="003570E2" w:rsidRPr="005C4A9E">
        <w:rPr>
          <w:rFonts w:cs="Arial"/>
          <w:i w:val="0"/>
          <w:iCs w:val="0"/>
          <w:szCs w:val="22"/>
        </w:rPr>
        <w:t xml:space="preserve"> </w:t>
      </w:r>
      <w:sdt>
        <w:sdtPr>
          <w:rPr>
            <w:rFonts w:ascii="Arial" w:hAnsi="Arial" w:cs="Arial"/>
            <w:i w:val="0"/>
            <w:iCs w:val="0"/>
            <w:sz w:val="22"/>
            <w:szCs w:val="22"/>
          </w:rPr>
          <w:id w:val="1543089864"/>
          <w:citation/>
        </w:sdtPr>
        <w:sdtEndPr/>
        <w:sdtContent>
          <w:r w:rsidR="00515E17" w:rsidRPr="005C4A9E">
            <w:rPr>
              <w:rFonts w:ascii="Arial" w:hAnsi="Arial" w:cs="Arial"/>
              <w:i w:val="0"/>
              <w:iCs w:val="0"/>
              <w:sz w:val="22"/>
              <w:szCs w:val="22"/>
            </w:rPr>
            <w:fldChar w:fldCharType="begin"/>
          </w:r>
          <w:r w:rsidR="0099213A" w:rsidRPr="005C4A9E">
            <w:rPr>
              <w:rFonts w:ascii="Arial" w:hAnsi="Arial" w:cs="Arial"/>
              <w:i w:val="0"/>
              <w:iCs w:val="0"/>
              <w:sz w:val="22"/>
              <w:szCs w:val="22"/>
              <w:lang w:val="en-US"/>
            </w:rPr>
            <w:instrText xml:space="preserve">CITATION Whi19 \m Reg24 \m Reg25 \n  \l 1033 </w:instrText>
          </w:r>
          <w:r w:rsidR="00515E17" w:rsidRPr="005C4A9E">
            <w:rPr>
              <w:rFonts w:ascii="Arial" w:hAnsi="Arial" w:cs="Arial"/>
              <w:i w:val="0"/>
              <w:iCs w:val="0"/>
              <w:sz w:val="22"/>
              <w:szCs w:val="22"/>
            </w:rPr>
            <w:fldChar w:fldCharType="separate"/>
          </w:r>
          <w:r w:rsidR="002E53A1" w:rsidRPr="005C4A9E">
            <w:rPr>
              <w:rFonts w:ascii="Arial" w:hAnsi="Arial" w:cs="Arial"/>
              <w:i w:val="0"/>
              <w:iCs w:val="0"/>
              <w:noProof/>
              <w:sz w:val="22"/>
              <w:szCs w:val="22"/>
              <w:lang w:val="en-US"/>
            </w:rPr>
            <w:t>(Whittington, et al., 2019; RSH, 2024; 2025)</w:t>
          </w:r>
          <w:r w:rsidR="00515E17" w:rsidRPr="005C4A9E">
            <w:rPr>
              <w:rFonts w:ascii="Arial" w:hAnsi="Arial" w:cs="Arial"/>
              <w:i w:val="0"/>
              <w:iCs w:val="0"/>
              <w:sz w:val="22"/>
              <w:szCs w:val="22"/>
            </w:rPr>
            <w:fldChar w:fldCharType="end"/>
          </w:r>
        </w:sdtContent>
      </w:sdt>
      <w:r w:rsidR="0099213A">
        <w:t>.</w:t>
      </w:r>
    </w:p>
    <w:p w14:paraId="53E6E70D" w14:textId="40403453" w:rsidR="002D3339" w:rsidRPr="00FA3E78" w:rsidRDefault="002D3339" w:rsidP="002D3339">
      <w:pPr>
        <w:pStyle w:val="Caption"/>
        <w:keepNext/>
        <w:spacing w:line="360" w:lineRule="auto"/>
        <w:rPr>
          <w:color w:val="0F4761" w:themeColor="accent1" w:themeShade="BF"/>
          <w:sz w:val="22"/>
        </w:rPr>
      </w:pPr>
      <w:bookmarkStart w:id="10" w:name="_Toc215910534"/>
      <w:r w:rsidRPr="00FA3E78">
        <w:rPr>
          <w:color w:val="0F4761" w:themeColor="accent1" w:themeShade="BF"/>
          <w:sz w:val="22"/>
        </w:rPr>
        <w:t xml:space="preserve">Table </w:t>
      </w:r>
      <w:r w:rsidRPr="00FA3E78">
        <w:rPr>
          <w:color w:val="0F4761" w:themeColor="accent1" w:themeShade="BF"/>
          <w:sz w:val="22"/>
        </w:rPr>
        <w:fldChar w:fldCharType="begin"/>
      </w:r>
      <w:r w:rsidRPr="00FA3E78">
        <w:rPr>
          <w:color w:val="0F4761" w:themeColor="accent1" w:themeShade="BF"/>
          <w:sz w:val="22"/>
        </w:rPr>
        <w:instrText xml:space="preserve"> SEQ Table \* ARABIC </w:instrText>
      </w:r>
      <w:r w:rsidRPr="00FA3E78">
        <w:rPr>
          <w:color w:val="0F4761" w:themeColor="accent1" w:themeShade="BF"/>
          <w:sz w:val="22"/>
        </w:rPr>
        <w:fldChar w:fldCharType="separate"/>
      </w:r>
      <w:r w:rsidR="00A20D63">
        <w:rPr>
          <w:noProof/>
          <w:color w:val="0F4761" w:themeColor="accent1" w:themeShade="BF"/>
          <w:sz w:val="22"/>
        </w:rPr>
        <w:t>3</w:t>
      </w:r>
      <w:r w:rsidRPr="00FA3E78">
        <w:rPr>
          <w:color w:val="0F4761" w:themeColor="accent1" w:themeShade="BF"/>
          <w:sz w:val="22"/>
        </w:rPr>
        <w:fldChar w:fldCharType="end"/>
      </w:r>
      <w:r w:rsidRPr="00FA3E78">
        <w:rPr>
          <w:color w:val="0F4761" w:themeColor="accent1" w:themeShade="BF"/>
          <w:sz w:val="22"/>
        </w:rPr>
        <w:t xml:space="preserve"> Porter's Five Forces Analysis for SHP</w:t>
      </w:r>
      <w:bookmarkEnd w:id="10"/>
    </w:p>
    <w:tbl>
      <w:tblPr>
        <w:tblStyle w:val="TableGrid"/>
        <w:tblW w:w="0" w:type="auto"/>
        <w:tblLook w:val="04A0" w:firstRow="1" w:lastRow="0" w:firstColumn="1" w:lastColumn="0" w:noHBand="0" w:noVBand="1"/>
      </w:tblPr>
      <w:tblGrid>
        <w:gridCol w:w="2122"/>
        <w:gridCol w:w="2551"/>
        <w:gridCol w:w="4343"/>
      </w:tblGrid>
      <w:tr w:rsidR="00B127EB" w14:paraId="46D7984A" w14:textId="77777777" w:rsidTr="00B549ED">
        <w:tc>
          <w:tcPr>
            <w:tcW w:w="2122" w:type="dxa"/>
            <w:shd w:val="clear" w:color="auto" w:fill="DAE9F7" w:themeFill="text2" w:themeFillTint="1A"/>
          </w:tcPr>
          <w:p w14:paraId="4F491041" w14:textId="77777777" w:rsidR="00B127EB" w:rsidRPr="0004199E" w:rsidRDefault="00B127EB" w:rsidP="002048B5">
            <w:pPr>
              <w:spacing w:line="360" w:lineRule="auto"/>
              <w:jc w:val="left"/>
              <w:rPr>
                <w:rStyle w:val="Strong"/>
                <w:b w:val="0"/>
                <w:bCs w:val="0"/>
                <w:color w:val="0F4761" w:themeColor="accent1" w:themeShade="BF"/>
              </w:rPr>
            </w:pPr>
            <w:r w:rsidRPr="0004199E">
              <w:rPr>
                <w:b/>
                <w:bCs/>
                <w:color w:val="0F4761" w:themeColor="accent1" w:themeShade="BF"/>
              </w:rPr>
              <w:t>Force</w:t>
            </w:r>
          </w:p>
        </w:tc>
        <w:tc>
          <w:tcPr>
            <w:tcW w:w="2551" w:type="dxa"/>
            <w:shd w:val="clear" w:color="auto" w:fill="DAE9F7" w:themeFill="text2" w:themeFillTint="1A"/>
          </w:tcPr>
          <w:p w14:paraId="4101759D" w14:textId="46533482" w:rsidR="00B127EB" w:rsidRPr="0004199E" w:rsidRDefault="00B127EB" w:rsidP="002048B5">
            <w:pPr>
              <w:spacing w:line="360" w:lineRule="auto"/>
              <w:jc w:val="left"/>
              <w:rPr>
                <w:rStyle w:val="Strong"/>
                <w:b w:val="0"/>
                <w:bCs w:val="0"/>
                <w:color w:val="0F4761" w:themeColor="accent1" w:themeShade="BF"/>
              </w:rPr>
            </w:pPr>
            <w:r w:rsidRPr="0004199E">
              <w:rPr>
                <w:b/>
                <w:bCs/>
                <w:color w:val="0F4761" w:themeColor="accent1" w:themeShade="BF"/>
              </w:rPr>
              <w:t xml:space="preserve">Context </w:t>
            </w:r>
          </w:p>
        </w:tc>
        <w:tc>
          <w:tcPr>
            <w:tcW w:w="4343" w:type="dxa"/>
            <w:shd w:val="clear" w:color="auto" w:fill="DAE9F7" w:themeFill="text2" w:themeFillTint="1A"/>
          </w:tcPr>
          <w:p w14:paraId="7009E65E" w14:textId="3038B839" w:rsidR="00B127EB" w:rsidRPr="0004199E" w:rsidRDefault="00B127EB" w:rsidP="002048B5">
            <w:pPr>
              <w:spacing w:line="360" w:lineRule="auto"/>
              <w:jc w:val="left"/>
              <w:rPr>
                <w:rStyle w:val="Strong"/>
                <w:b w:val="0"/>
                <w:bCs w:val="0"/>
                <w:color w:val="0F4761" w:themeColor="accent1" w:themeShade="BF"/>
              </w:rPr>
            </w:pPr>
            <w:r w:rsidRPr="0004199E">
              <w:rPr>
                <w:b/>
                <w:bCs/>
                <w:color w:val="0F4761" w:themeColor="accent1" w:themeShade="BF"/>
              </w:rPr>
              <w:t>Implication</w:t>
            </w:r>
          </w:p>
        </w:tc>
      </w:tr>
      <w:tr w:rsidR="00B127EB" w14:paraId="3D32E02C" w14:textId="77777777" w:rsidTr="00B549ED">
        <w:tc>
          <w:tcPr>
            <w:tcW w:w="2122" w:type="dxa"/>
            <w:shd w:val="clear" w:color="auto" w:fill="DAE9F7" w:themeFill="text2" w:themeFillTint="1A"/>
          </w:tcPr>
          <w:p w14:paraId="57FA1756" w14:textId="3C2F157E" w:rsidR="00B127EB" w:rsidRPr="00444A41" w:rsidRDefault="00B127EB" w:rsidP="002048B5">
            <w:pPr>
              <w:spacing w:line="360" w:lineRule="auto"/>
              <w:jc w:val="left"/>
              <w:rPr>
                <w:rStyle w:val="Strong"/>
                <w:b w:val="0"/>
                <w:bCs w:val="0"/>
                <w:color w:val="0F4761" w:themeColor="accent1" w:themeShade="BF"/>
              </w:rPr>
            </w:pPr>
            <w:r w:rsidRPr="00444A41">
              <w:rPr>
                <w:b/>
                <w:bCs/>
                <w:color w:val="0F4761" w:themeColor="accent1" w:themeShade="BF"/>
              </w:rPr>
              <w:t>Threat of New Entrants</w:t>
            </w:r>
          </w:p>
        </w:tc>
        <w:tc>
          <w:tcPr>
            <w:tcW w:w="2551" w:type="dxa"/>
          </w:tcPr>
          <w:p w14:paraId="305E30E2" w14:textId="0F3615E2" w:rsidR="00B127EB" w:rsidRDefault="00022D22" w:rsidP="002048B5">
            <w:pPr>
              <w:spacing w:line="360" w:lineRule="auto"/>
              <w:jc w:val="left"/>
              <w:rPr>
                <w:rStyle w:val="Strong"/>
              </w:rPr>
            </w:pPr>
            <w:r>
              <w:t>Private developers, housing associations, or ALMOs.</w:t>
            </w:r>
          </w:p>
        </w:tc>
        <w:tc>
          <w:tcPr>
            <w:tcW w:w="4343" w:type="dxa"/>
          </w:tcPr>
          <w:p w14:paraId="2886247F" w14:textId="77D6A65C" w:rsidR="00B127EB" w:rsidRDefault="00B127EB" w:rsidP="002048B5">
            <w:pPr>
              <w:spacing w:line="360" w:lineRule="auto"/>
              <w:jc w:val="left"/>
              <w:rPr>
                <w:rStyle w:val="Strong"/>
              </w:rPr>
            </w:pPr>
            <w:r w:rsidRPr="00B345EB">
              <w:rPr>
                <w:b/>
                <w:bCs/>
              </w:rPr>
              <w:t>Moderate</w:t>
            </w:r>
            <w:r w:rsidR="0038785F">
              <w:t>: high barriers due to capital requirements, council approvals, and compliance; SHP must maintain service quality.</w:t>
            </w:r>
          </w:p>
        </w:tc>
      </w:tr>
      <w:tr w:rsidR="00B127EB" w14:paraId="3B51E56C" w14:textId="77777777" w:rsidTr="00B549ED">
        <w:tc>
          <w:tcPr>
            <w:tcW w:w="2122" w:type="dxa"/>
            <w:shd w:val="clear" w:color="auto" w:fill="DAE9F7" w:themeFill="text2" w:themeFillTint="1A"/>
          </w:tcPr>
          <w:p w14:paraId="63CECF20" w14:textId="2936EEB4" w:rsidR="00B127EB" w:rsidRPr="00444A41" w:rsidRDefault="00B127EB" w:rsidP="002048B5">
            <w:pPr>
              <w:spacing w:line="360" w:lineRule="auto"/>
              <w:jc w:val="left"/>
              <w:rPr>
                <w:rStyle w:val="Strong"/>
                <w:b w:val="0"/>
                <w:bCs w:val="0"/>
                <w:color w:val="0F4761" w:themeColor="accent1" w:themeShade="BF"/>
              </w:rPr>
            </w:pPr>
            <w:r w:rsidRPr="00444A41">
              <w:rPr>
                <w:b/>
                <w:bCs/>
                <w:color w:val="0F4761" w:themeColor="accent1" w:themeShade="BF"/>
              </w:rPr>
              <w:t>Bargaining Power of Tenants</w:t>
            </w:r>
          </w:p>
        </w:tc>
        <w:tc>
          <w:tcPr>
            <w:tcW w:w="2551" w:type="dxa"/>
          </w:tcPr>
          <w:p w14:paraId="0FECE1FC" w14:textId="0507E3DF" w:rsidR="00B127EB" w:rsidRDefault="005B1CF6" w:rsidP="002048B5">
            <w:pPr>
              <w:spacing w:line="360" w:lineRule="auto"/>
              <w:jc w:val="left"/>
              <w:rPr>
                <w:rStyle w:val="Strong"/>
              </w:rPr>
            </w:pPr>
            <w:r>
              <w:t>Influence through TSMs, panels, and reporting.</w:t>
            </w:r>
          </w:p>
        </w:tc>
        <w:tc>
          <w:tcPr>
            <w:tcW w:w="4343" w:type="dxa"/>
          </w:tcPr>
          <w:p w14:paraId="0DA62E7B" w14:textId="1491EC57" w:rsidR="00B127EB" w:rsidRDefault="00B127EB" w:rsidP="002048B5">
            <w:pPr>
              <w:spacing w:line="360" w:lineRule="auto"/>
              <w:jc w:val="left"/>
              <w:rPr>
                <w:rStyle w:val="Strong"/>
              </w:rPr>
            </w:pPr>
            <w:r w:rsidRPr="00B345EB">
              <w:rPr>
                <w:b/>
                <w:bCs/>
              </w:rPr>
              <w:t>High</w:t>
            </w:r>
            <w:r>
              <w:t xml:space="preserve">: </w:t>
            </w:r>
            <w:r w:rsidR="00235705">
              <w:t>tenant expectations directly shape policies; poor performance risks reputational damage.</w:t>
            </w:r>
          </w:p>
        </w:tc>
      </w:tr>
      <w:tr w:rsidR="00B127EB" w14:paraId="02F32F7D" w14:textId="77777777" w:rsidTr="00B549ED">
        <w:tc>
          <w:tcPr>
            <w:tcW w:w="2122" w:type="dxa"/>
            <w:shd w:val="clear" w:color="auto" w:fill="DAE9F7" w:themeFill="text2" w:themeFillTint="1A"/>
          </w:tcPr>
          <w:p w14:paraId="4FDB37AD" w14:textId="16933A79" w:rsidR="00B127EB" w:rsidRPr="00444A41" w:rsidRDefault="00B127EB" w:rsidP="002048B5">
            <w:pPr>
              <w:spacing w:line="360" w:lineRule="auto"/>
              <w:jc w:val="left"/>
              <w:rPr>
                <w:rStyle w:val="Strong"/>
                <w:b w:val="0"/>
                <w:bCs w:val="0"/>
                <w:color w:val="0F4761" w:themeColor="accent1" w:themeShade="BF"/>
              </w:rPr>
            </w:pPr>
            <w:r w:rsidRPr="00444A41">
              <w:rPr>
                <w:b/>
                <w:bCs/>
                <w:color w:val="0F4761" w:themeColor="accent1" w:themeShade="BF"/>
              </w:rPr>
              <w:t>Bargaining Power of Suppliers / Contractors</w:t>
            </w:r>
          </w:p>
        </w:tc>
        <w:tc>
          <w:tcPr>
            <w:tcW w:w="2551" w:type="dxa"/>
          </w:tcPr>
          <w:p w14:paraId="27F3C0B7" w14:textId="21FB3ADC" w:rsidR="00B127EB" w:rsidRDefault="00A85B03" w:rsidP="002048B5">
            <w:pPr>
              <w:spacing w:line="360" w:lineRule="auto"/>
              <w:jc w:val="left"/>
              <w:rPr>
                <w:rStyle w:val="Strong"/>
              </w:rPr>
            </w:pPr>
            <w:r>
              <w:t>Repairs contractors, IT providers, retrofit specialists.</w:t>
            </w:r>
          </w:p>
        </w:tc>
        <w:tc>
          <w:tcPr>
            <w:tcW w:w="4343" w:type="dxa"/>
          </w:tcPr>
          <w:p w14:paraId="4D34F04A" w14:textId="3AB2AF47" w:rsidR="00B127EB" w:rsidRDefault="00B127EB" w:rsidP="002048B5">
            <w:pPr>
              <w:spacing w:line="360" w:lineRule="auto"/>
              <w:jc w:val="left"/>
              <w:rPr>
                <w:rStyle w:val="Strong"/>
              </w:rPr>
            </w:pPr>
            <w:r w:rsidRPr="00B345EB">
              <w:rPr>
                <w:b/>
                <w:bCs/>
              </w:rPr>
              <w:t>Moderate to high</w:t>
            </w:r>
            <w:r>
              <w:t xml:space="preserve">: </w:t>
            </w:r>
            <w:r w:rsidR="00235705">
              <w:t>specialist scarcity impacts efficiency; strategic contract management required.</w:t>
            </w:r>
          </w:p>
        </w:tc>
      </w:tr>
      <w:tr w:rsidR="00B127EB" w14:paraId="43D4A8B9" w14:textId="77777777" w:rsidTr="00B549ED">
        <w:tc>
          <w:tcPr>
            <w:tcW w:w="2122" w:type="dxa"/>
            <w:shd w:val="clear" w:color="auto" w:fill="DAE9F7" w:themeFill="text2" w:themeFillTint="1A"/>
          </w:tcPr>
          <w:p w14:paraId="46717167" w14:textId="3D75DC70" w:rsidR="00B127EB" w:rsidRPr="00444A41" w:rsidRDefault="00B127EB" w:rsidP="002048B5">
            <w:pPr>
              <w:spacing w:line="360" w:lineRule="auto"/>
              <w:jc w:val="left"/>
              <w:rPr>
                <w:rStyle w:val="Strong"/>
                <w:b w:val="0"/>
                <w:bCs w:val="0"/>
                <w:color w:val="0F4761" w:themeColor="accent1" w:themeShade="BF"/>
              </w:rPr>
            </w:pPr>
            <w:r w:rsidRPr="00444A41">
              <w:rPr>
                <w:b/>
                <w:bCs/>
                <w:color w:val="0F4761" w:themeColor="accent1" w:themeShade="BF"/>
              </w:rPr>
              <w:t>Threat of Substitutes</w:t>
            </w:r>
          </w:p>
        </w:tc>
        <w:tc>
          <w:tcPr>
            <w:tcW w:w="2551" w:type="dxa"/>
          </w:tcPr>
          <w:p w14:paraId="09184F98" w14:textId="28B3AB23" w:rsidR="00B127EB" w:rsidRDefault="00A85B03" w:rsidP="002048B5">
            <w:pPr>
              <w:spacing w:line="360" w:lineRule="auto"/>
              <w:jc w:val="left"/>
              <w:rPr>
                <w:rStyle w:val="Strong"/>
              </w:rPr>
            </w:pPr>
            <w:r>
              <w:t>Private rentals, shared ownership schemes.</w:t>
            </w:r>
          </w:p>
        </w:tc>
        <w:tc>
          <w:tcPr>
            <w:tcW w:w="4343" w:type="dxa"/>
          </w:tcPr>
          <w:p w14:paraId="04B2362A" w14:textId="33717484" w:rsidR="00B127EB" w:rsidRDefault="00B127EB" w:rsidP="002048B5">
            <w:pPr>
              <w:spacing w:line="360" w:lineRule="auto"/>
              <w:jc w:val="left"/>
              <w:rPr>
                <w:rStyle w:val="Strong"/>
              </w:rPr>
            </w:pPr>
            <w:r w:rsidRPr="00B345EB">
              <w:rPr>
                <w:b/>
                <w:bCs/>
              </w:rPr>
              <w:t>Moderate</w:t>
            </w:r>
            <w:r w:rsidR="00235705">
              <w:t xml:space="preserve">: </w:t>
            </w:r>
            <w:r w:rsidR="008978CA">
              <w:t>tenants may switch if SHP services underperform; drives focus on quality and engagement.</w:t>
            </w:r>
          </w:p>
        </w:tc>
      </w:tr>
      <w:tr w:rsidR="00B127EB" w14:paraId="45FE8339" w14:textId="77777777" w:rsidTr="00B549ED">
        <w:tc>
          <w:tcPr>
            <w:tcW w:w="2122" w:type="dxa"/>
            <w:shd w:val="clear" w:color="auto" w:fill="DAE9F7" w:themeFill="text2" w:themeFillTint="1A"/>
          </w:tcPr>
          <w:p w14:paraId="50599547" w14:textId="21C1A125" w:rsidR="00B127EB" w:rsidRPr="00444A41" w:rsidRDefault="00B127EB" w:rsidP="002048B5">
            <w:pPr>
              <w:spacing w:line="360" w:lineRule="auto"/>
              <w:jc w:val="left"/>
              <w:rPr>
                <w:rStyle w:val="Strong"/>
                <w:b w:val="0"/>
                <w:bCs w:val="0"/>
                <w:color w:val="0F4761" w:themeColor="accent1" w:themeShade="BF"/>
              </w:rPr>
            </w:pPr>
            <w:r w:rsidRPr="00444A41">
              <w:rPr>
                <w:b/>
                <w:bCs/>
                <w:color w:val="0F4761" w:themeColor="accent1" w:themeShade="BF"/>
              </w:rPr>
              <w:t>Competitive Rivalry</w:t>
            </w:r>
          </w:p>
        </w:tc>
        <w:tc>
          <w:tcPr>
            <w:tcW w:w="2551" w:type="dxa"/>
          </w:tcPr>
          <w:p w14:paraId="17C096FE" w14:textId="0C84695A" w:rsidR="00B127EB" w:rsidRDefault="00A85B03" w:rsidP="002048B5">
            <w:pPr>
              <w:spacing w:line="360" w:lineRule="auto"/>
              <w:jc w:val="left"/>
              <w:rPr>
                <w:rStyle w:val="Strong"/>
              </w:rPr>
            </w:pPr>
            <w:r>
              <w:t>Other ALMOs, housing associations, councils.</w:t>
            </w:r>
          </w:p>
        </w:tc>
        <w:tc>
          <w:tcPr>
            <w:tcW w:w="4343" w:type="dxa"/>
          </w:tcPr>
          <w:p w14:paraId="526D4BB7" w14:textId="363713A3" w:rsidR="00B127EB" w:rsidRDefault="00B127EB" w:rsidP="002048B5">
            <w:pPr>
              <w:spacing w:line="360" w:lineRule="auto"/>
              <w:jc w:val="left"/>
              <w:rPr>
                <w:rStyle w:val="Strong"/>
              </w:rPr>
            </w:pPr>
            <w:r w:rsidRPr="00B345EB">
              <w:rPr>
                <w:b/>
                <w:bCs/>
              </w:rPr>
              <w:t>Low to moderate</w:t>
            </w:r>
            <w:r>
              <w:t xml:space="preserve">: </w:t>
            </w:r>
            <w:r w:rsidR="008978CA">
              <w:t>non-price competition; differentiation through service excellence and innovation essential.</w:t>
            </w:r>
          </w:p>
        </w:tc>
      </w:tr>
    </w:tbl>
    <w:p w14:paraId="49868574" w14:textId="70635431" w:rsidR="00424B30" w:rsidRDefault="00B127EB" w:rsidP="00FC4167">
      <w:pPr>
        <w:rPr>
          <w:rFonts w:eastAsia="Times New Roman"/>
          <w:noProof/>
          <w:lang w:val="en-US" w:eastAsia="en-GB"/>
        </w:rPr>
      </w:pPr>
      <w:r w:rsidRPr="00DA3B14">
        <w:rPr>
          <w:rStyle w:val="Strong"/>
        </w:rPr>
        <w:t>Source:</w:t>
      </w:r>
      <w:r>
        <w:rPr>
          <w:rFonts w:eastAsia="Times New Roman"/>
          <w:lang w:eastAsia="en-GB"/>
        </w:rPr>
        <w:t xml:space="preserve"> </w:t>
      </w:r>
      <w:r w:rsidR="00556A2E">
        <w:rPr>
          <w:rFonts w:eastAsia="Times New Roman"/>
          <w:lang w:eastAsia="en-GB"/>
        </w:rPr>
        <w:t>Author, a</w:t>
      </w:r>
      <w:r>
        <w:rPr>
          <w:rFonts w:eastAsia="Times New Roman"/>
          <w:lang w:eastAsia="en-GB"/>
        </w:rPr>
        <w:t>dapted from</w:t>
      </w:r>
      <w:r w:rsidRPr="00FE03B9">
        <w:rPr>
          <w:rFonts w:eastAsia="Times New Roman"/>
          <w:lang w:eastAsia="en-GB"/>
        </w:rPr>
        <w:t xml:space="preserve"> </w:t>
      </w:r>
      <w:r w:rsidRPr="00FE03B9">
        <w:rPr>
          <w:rFonts w:eastAsia="Times New Roman"/>
          <w:noProof/>
          <w:lang w:val="en-US" w:eastAsia="en-GB"/>
        </w:rPr>
        <w:t>Whittington, et al.</w:t>
      </w:r>
      <w:r>
        <w:rPr>
          <w:rFonts w:eastAsia="Times New Roman"/>
          <w:noProof/>
          <w:lang w:val="en-US" w:eastAsia="en-GB"/>
        </w:rPr>
        <w:t xml:space="preserve"> </w:t>
      </w:r>
      <w:sdt>
        <w:sdtPr>
          <w:rPr>
            <w:rFonts w:eastAsia="Times New Roman"/>
            <w:noProof/>
            <w:lang w:val="en-US" w:eastAsia="en-GB"/>
          </w:rPr>
          <w:id w:val="-1531795127"/>
          <w:citation/>
        </w:sdtPr>
        <w:sdtEndPr/>
        <w:sdtContent>
          <w:r>
            <w:rPr>
              <w:rFonts w:eastAsia="Times New Roman"/>
              <w:noProof/>
              <w:lang w:val="en-US" w:eastAsia="en-GB"/>
            </w:rPr>
            <w:fldChar w:fldCharType="begin"/>
          </w:r>
          <w:r>
            <w:rPr>
              <w:rFonts w:eastAsia="Times New Roman"/>
              <w:noProof/>
              <w:lang w:val="en-US" w:eastAsia="en-GB"/>
            </w:rPr>
            <w:instrText xml:space="preserve">CITATION Whi19 \n  \l 1033 </w:instrText>
          </w:r>
          <w:r>
            <w:rPr>
              <w:rFonts w:eastAsia="Times New Roman"/>
              <w:noProof/>
              <w:lang w:val="en-US" w:eastAsia="en-GB"/>
            </w:rPr>
            <w:fldChar w:fldCharType="separate"/>
          </w:r>
          <w:r w:rsidR="002E53A1" w:rsidRPr="002E53A1">
            <w:rPr>
              <w:rFonts w:eastAsia="Times New Roman"/>
              <w:noProof/>
              <w:lang w:val="en-US" w:eastAsia="en-GB"/>
            </w:rPr>
            <w:t>(2019)</w:t>
          </w:r>
          <w:r>
            <w:rPr>
              <w:rFonts w:eastAsia="Times New Roman"/>
              <w:noProof/>
              <w:lang w:val="en-US" w:eastAsia="en-GB"/>
            </w:rPr>
            <w:fldChar w:fldCharType="end"/>
          </w:r>
        </w:sdtContent>
      </w:sdt>
      <w:r>
        <w:rPr>
          <w:rFonts w:eastAsia="Times New Roman"/>
          <w:lang w:eastAsia="en-GB"/>
        </w:rPr>
        <w:t xml:space="preserve">; </w:t>
      </w:r>
      <w:r w:rsidRPr="0041482A">
        <w:rPr>
          <w:rFonts w:eastAsia="Times New Roman"/>
          <w:noProof/>
          <w:lang w:val="en-US" w:eastAsia="en-GB"/>
        </w:rPr>
        <w:t>Regulator of Social Housin</w:t>
      </w:r>
      <w:r>
        <w:rPr>
          <w:rFonts w:eastAsia="Times New Roman"/>
          <w:noProof/>
          <w:lang w:val="en-US" w:eastAsia="en-GB"/>
        </w:rPr>
        <w:t>g</w:t>
      </w:r>
      <w:r w:rsidRPr="00844743">
        <w:rPr>
          <w:rFonts w:eastAsia="Times New Roman"/>
          <w:noProof/>
          <w:lang w:val="en-US" w:eastAsia="en-GB"/>
        </w:rPr>
        <w:t xml:space="preserve"> </w:t>
      </w:r>
      <w:sdt>
        <w:sdtPr>
          <w:rPr>
            <w:rFonts w:eastAsia="Times New Roman"/>
            <w:noProof/>
            <w:lang w:val="en-US" w:eastAsia="en-GB"/>
          </w:rPr>
          <w:id w:val="-1078985644"/>
          <w:citation/>
        </w:sdtPr>
        <w:sdtEndPr/>
        <w:sdtContent>
          <w:r>
            <w:rPr>
              <w:rFonts w:eastAsia="Times New Roman"/>
              <w:noProof/>
              <w:lang w:val="en-US" w:eastAsia="en-GB"/>
            </w:rPr>
            <w:fldChar w:fldCharType="begin"/>
          </w:r>
          <w:r w:rsidR="00B95758">
            <w:rPr>
              <w:rFonts w:eastAsia="Times New Roman"/>
              <w:noProof/>
              <w:lang w:val="en-US" w:eastAsia="en-GB"/>
            </w:rPr>
            <w:instrText xml:space="preserve">CITATION Reg24 \n  \m Reg25 \n  \l 1033 </w:instrText>
          </w:r>
          <w:r>
            <w:rPr>
              <w:rFonts w:eastAsia="Times New Roman"/>
              <w:noProof/>
              <w:lang w:val="en-US" w:eastAsia="en-GB"/>
            </w:rPr>
            <w:fldChar w:fldCharType="separate"/>
          </w:r>
          <w:r w:rsidR="002E53A1" w:rsidRPr="002E53A1">
            <w:rPr>
              <w:rFonts w:eastAsia="Times New Roman"/>
              <w:noProof/>
              <w:lang w:val="en-US" w:eastAsia="en-GB"/>
            </w:rPr>
            <w:t>(2024; 2025)</w:t>
          </w:r>
          <w:r>
            <w:rPr>
              <w:rFonts w:eastAsia="Times New Roman"/>
              <w:noProof/>
              <w:lang w:val="en-US" w:eastAsia="en-GB"/>
            </w:rPr>
            <w:fldChar w:fldCharType="end"/>
          </w:r>
        </w:sdtContent>
      </w:sdt>
      <w:r w:rsidRPr="0041482A">
        <w:rPr>
          <w:rFonts w:eastAsia="Times New Roman"/>
          <w:noProof/>
          <w:lang w:val="en-US" w:eastAsia="en-GB"/>
        </w:rPr>
        <w:t xml:space="preserve"> </w:t>
      </w:r>
    </w:p>
    <w:p w14:paraId="46A10EE0" w14:textId="04B11649" w:rsidR="00CE6E3B" w:rsidRPr="00CE6E3B" w:rsidRDefault="004A2AF3" w:rsidP="00FC4167">
      <w:pPr>
        <w:rPr>
          <w:rFonts w:eastAsia="Times New Roman"/>
          <w:lang w:eastAsia="en-GB"/>
        </w:rPr>
      </w:pPr>
      <w:r>
        <w:t>Critically, the 2024 regulatory regime amplifies tenant influence, shifting competition from cost to service quality and trust. Supplier constraints and rising costs increase operational risk, while substitutes gain relevance if standards slip. SHP’s competitiveness depends on service excellence, strong contractor management, and effective resident engagement.</w:t>
      </w:r>
    </w:p>
    <w:p w14:paraId="3EDD4B54" w14:textId="6731C6E8" w:rsidR="00CC6E66" w:rsidRPr="00AB59C0" w:rsidRDefault="00CC6E66" w:rsidP="00444ECA">
      <w:pPr>
        <w:pStyle w:val="Heading2"/>
        <w:numPr>
          <w:ilvl w:val="0"/>
          <w:numId w:val="21"/>
        </w:numPr>
      </w:pPr>
      <w:bookmarkStart w:id="11" w:name="_Toc216130271"/>
      <w:r w:rsidRPr="00AB59C0">
        <w:t>Value Chain</w:t>
      </w:r>
      <w:r w:rsidR="00141363" w:rsidRPr="00AB59C0">
        <w:t xml:space="preserve"> </w:t>
      </w:r>
      <w:r w:rsidR="00AB59C0" w:rsidRPr="00AB59C0">
        <w:t>Analysis for S</w:t>
      </w:r>
      <w:r w:rsidR="00AB59C0">
        <w:t>HP</w:t>
      </w:r>
      <w:bookmarkEnd w:id="11"/>
      <w:r w:rsidR="00AB59C0">
        <w:t xml:space="preserve"> </w:t>
      </w:r>
    </w:p>
    <w:p w14:paraId="58B50A42" w14:textId="67BD4377" w:rsidR="00017808" w:rsidRPr="0038685F" w:rsidRDefault="001946AE" w:rsidP="00980633">
      <w:pPr>
        <w:rPr>
          <w:rFonts w:eastAsia="Times New Roman"/>
          <w:szCs w:val="22"/>
          <w:lang w:eastAsia="en-GB"/>
        </w:rPr>
      </w:pPr>
      <w:r w:rsidRPr="00B12EC3">
        <w:rPr>
          <w:rFonts w:cs="Arial"/>
          <w:b/>
          <w:bCs/>
          <w:szCs w:val="22"/>
        </w:rPr>
        <w:t>SHP’s</w:t>
      </w:r>
      <w:r w:rsidRPr="00C63475">
        <w:rPr>
          <w:rFonts w:cs="Arial"/>
          <w:szCs w:val="22"/>
        </w:rPr>
        <w:t xml:space="preserve"> value chain combines </w:t>
      </w:r>
      <w:r w:rsidRPr="00B12EC3">
        <w:rPr>
          <w:rFonts w:cs="Arial"/>
          <w:b/>
          <w:bCs/>
          <w:szCs w:val="22"/>
        </w:rPr>
        <w:t>core functions</w:t>
      </w:r>
      <w:r w:rsidR="003860D7">
        <w:t xml:space="preserve"> outlined in </w:t>
      </w:r>
      <w:r w:rsidR="003860D7" w:rsidRPr="00C74882">
        <w:rPr>
          <w:b/>
          <w:bCs/>
        </w:rPr>
        <w:t>Table 4</w:t>
      </w:r>
      <w:r w:rsidRPr="00C63475">
        <w:rPr>
          <w:rFonts w:cs="Arial"/>
          <w:szCs w:val="22"/>
        </w:rPr>
        <w:t xml:space="preserve"> (repairs, maintenance, tenant engagement, compliance) with </w:t>
      </w:r>
      <w:r w:rsidRPr="00B12EC3">
        <w:rPr>
          <w:rFonts w:cs="Arial"/>
          <w:b/>
          <w:bCs/>
          <w:szCs w:val="22"/>
        </w:rPr>
        <w:t xml:space="preserve">support </w:t>
      </w:r>
      <w:r w:rsidR="002822F6" w:rsidRPr="00B12EC3">
        <w:rPr>
          <w:b/>
          <w:bCs/>
        </w:rPr>
        <w:t>activities</w:t>
      </w:r>
      <w:r w:rsidR="002822F6">
        <w:t xml:space="preserve"> highlighted in </w:t>
      </w:r>
      <w:r w:rsidR="002822F6" w:rsidRPr="00C74882">
        <w:rPr>
          <w:b/>
          <w:bCs/>
        </w:rPr>
        <w:t>Table 5</w:t>
      </w:r>
      <w:r w:rsidR="002822F6">
        <w:t xml:space="preserve"> </w:t>
      </w:r>
      <w:r w:rsidR="002822F6" w:rsidRPr="00C63475">
        <w:t>(</w:t>
      </w:r>
      <w:r w:rsidRPr="00C63475">
        <w:rPr>
          <w:rFonts w:cs="Arial"/>
          <w:szCs w:val="22"/>
        </w:rPr>
        <w:t xml:space="preserve">digital systems, workforce development, partnerships). Key constraints include fragmented digital systems, ageing stock, workforce capacity gaps, and reliance on external partners </w:t>
      </w:r>
      <w:sdt>
        <w:sdtPr>
          <w:id w:val="982518500"/>
          <w:citation/>
        </w:sdtPr>
        <w:sdtEndPr/>
        <w:sdtContent>
          <w:r w:rsidR="00C63475">
            <w:fldChar w:fldCharType="begin"/>
          </w:r>
          <w:r w:rsidR="00C63475">
            <w:rPr>
              <w:lang w:val="en-US"/>
            </w:rPr>
            <w:instrText xml:space="preserve"> CITATION Hui23 \l 1033 </w:instrText>
          </w:r>
          <w:r w:rsidR="00C63475">
            <w:fldChar w:fldCharType="separate"/>
          </w:r>
          <w:r w:rsidR="002E53A1" w:rsidRPr="002E53A1">
            <w:rPr>
              <w:noProof/>
              <w:lang w:val="en-US"/>
            </w:rPr>
            <w:t>(Huisman &amp; Czischke, 2023)</w:t>
          </w:r>
          <w:r w:rsidR="00C63475">
            <w:fldChar w:fldCharType="end"/>
          </w:r>
        </w:sdtContent>
      </w:sdt>
      <w:r w:rsidRPr="00C63475">
        <w:rPr>
          <w:rFonts w:cs="Arial"/>
          <w:szCs w:val="22"/>
        </w:rPr>
        <w:t>.</w:t>
      </w:r>
    </w:p>
    <w:p w14:paraId="51B7FBFD" w14:textId="706C7B26" w:rsidR="00D17C1A" w:rsidRPr="00D17C1A" w:rsidRDefault="00D17C1A" w:rsidP="00D17C1A">
      <w:pPr>
        <w:pStyle w:val="Caption"/>
        <w:keepNext/>
        <w:spacing w:line="360" w:lineRule="auto"/>
        <w:rPr>
          <w:color w:val="0F4761" w:themeColor="accent1" w:themeShade="BF"/>
          <w:sz w:val="22"/>
        </w:rPr>
      </w:pPr>
      <w:bookmarkStart w:id="12" w:name="_Toc215910535"/>
      <w:r w:rsidRPr="00D17C1A">
        <w:rPr>
          <w:color w:val="0F4761" w:themeColor="accent1" w:themeShade="BF"/>
          <w:sz w:val="22"/>
        </w:rPr>
        <w:t xml:space="preserve">Table </w:t>
      </w:r>
      <w:r w:rsidRPr="00D17C1A">
        <w:rPr>
          <w:color w:val="0F4761" w:themeColor="accent1" w:themeShade="BF"/>
          <w:sz w:val="22"/>
        </w:rPr>
        <w:fldChar w:fldCharType="begin"/>
      </w:r>
      <w:r w:rsidRPr="00D17C1A">
        <w:rPr>
          <w:color w:val="0F4761" w:themeColor="accent1" w:themeShade="BF"/>
          <w:sz w:val="22"/>
        </w:rPr>
        <w:instrText xml:space="preserve"> SEQ Table \* ARABIC </w:instrText>
      </w:r>
      <w:r w:rsidRPr="00D17C1A">
        <w:rPr>
          <w:color w:val="0F4761" w:themeColor="accent1" w:themeShade="BF"/>
          <w:sz w:val="22"/>
        </w:rPr>
        <w:fldChar w:fldCharType="separate"/>
      </w:r>
      <w:r w:rsidR="00A20D63">
        <w:rPr>
          <w:noProof/>
          <w:color w:val="0F4761" w:themeColor="accent1" w:themeShade="BF"/>
          <w:sz w:val="22"/>
        </w:rPr>
        <w:t>4</w:t>
      </w:r>
      <w:r w:rsidRPr="00D17C1A">
        <w:rPr>
          <w:color w:val="0F4761" w:themeColor="accent1" w:themeShade="BF"/>
          <w:sz w:val="22"/>
        </w:rPr>
        <w:fldChar w:fldCharType="end"/>
      </w:r>
      <w:r w:rsidRPr="00D17C1A">
        <w:rPr>
          <w:color w:val="0F4761" w:themeColor="accent1" w:themeShade="BF"/>
          <w:sz w:val="22"/>
        </w:rPr>
        <w:t xml:space="preserve"> Porter's Value Chain </w:t>
      </w:r>
      <w:r w:rsidR="0069426B">
        <w:rPr>
          <w:color w:val="0F4761" w:themeColor="accent1" w:themeShade="BF"/>
          <w:sz w:val="22"/>
        </w:rPr>
        <w:t>–</w:t>
      </w:r>
      <w:r w:rsidRPr="00D17C1A">
        <w:rPr>
          <w:color w:val="0F4761" w:themeColor="accent1" w:themeShade="BF"/>
          <w:sz w:val="22"/>
        </w:rPr>
        <w:t xml:space="preserve"> </w:t>
      </w:r>
      <w:r w:rsidR="0069426B">
        <w:rPr>
          <w:color w:val="0F4761" w:themeColor="accent1" w:themeShade="BF"/>
          <w:sz w:val="22"/>
        </w:rPr>
        <w:t>Core Functions</w:t>
      </w:r>
      <w:bookmarkEnd w:id="12"/>
    </w:p>
    <w:tbl>
      <w:tblPr>
        <w:tblStyle w:val="TableGrid"/>
        <w:tblW w:w="0" w:type="auto"/>
        <w:tblLook w:val="04A0" w:firstRow="1" w:lastRow="0" w:firstColumn="1" w:lastColumn="0" w:noHBand="0" w:noVBand="1"/>
      </w:tblPr>
      <w:tblGrid>
        <w:gridCol w:w="2122"/>
        <w:gridCol w:w="2268"/>
        <w:gridCol w:w="1984"/>
        <w:gridCol w:w="2552"/>
      </w:tblGrid>
      <w:tr w:rsidR="0063375D" w:rsidRPr="00BB7B15" w14:paraId="04904221" w14:textId="77777777" w:rsidTr="0038685F">
        <w:trPr>
          <w:tblHeader/>
        </w:trPr>
        <w:tc>
          <w:tcPr>
            <w:tcW w:w="2122" w:type="dxa"/>
            <w:shd w:val="clear" w:color="auto" w:fill="DAE9F7" w:themeFill="text2" w:themeFillTint="1A"/>
          </w:tcPr>
          <w:p w14:paraId="254C878F" w14:textId="46B9D151" w:rsidR="0063375D" w:rsidRPr="0054710B" w:rsidRDefault="0054710B" w:rsidP="00BB7B15">
            <w:pPr>
              <w:spacing w:line="360" w:lineRule="auto"/>
              <w:jc w:val="left"/>
              <w:rPr>
                <w:b/>
                <w:bCs/>
                <w:color w:val="0F4761" w:themeColor="accent1" w:themeShade="BF"/>
              </w:rPr>
            </w:pPr>
            <w:r w:rsidRPr="0054710B">
              <w:rPr>
                <w:b/>
                <w:bCs/>
                <w:color w:val="0F4761" w:themeColor="accent1" w:themeShade="BF"/>
              </w:rPr>
              <w:t>Core Functions</w:t>
            </w:r>
          </w:p>
        </w:tc>
        <w:tc>
          <w:tcPr>
            <w:tcW w:w="2268" w:type="dxa"/>
            <w:shd w:val="clear" w:color="auto" w:fill="DAE9F7" w:themeFill="text2" w:themeFillTint="1A"/>
            <w:vAlign w:val="center"/>
          </w:tcPr>
          <w:p w14:paraId="03F948C0" w14:textId="6D5D64F6" w:rsidR="0063375D" w:rsidRPr="00BB16D8" w:rsidRDefault="0063375D" w:rsidP="009007DE">
            <w:pPr>
              <w:spacing w:after="240" w:afterAutospacing="0" w:line="360" w:lineRule="auto"/>
              <w:jc w:val="left"/>
              <w:rPr>
                <w:color w:val="0F4761" w:themeColor="accent1" w:themeShade="BF"/>
              </w:rPr>
            </w:pPr>
            <w:r w:rsidRPr="00BB16D8">
              <w:rPr>
                <w:rFonts w:eastAsia="Times New Roman"/>
                <w:b/>
                <w:bCs/>
                <w:color w:val="0F4761" w:themeColor="accent1" w:themeShade="BF"/>
                <w:lang w:eastAsia="en-GB"/>
              </w:rPr>
              <w:t xml:space="preserve">Description </w:t>
            </w:r>
          </w:p>
        </w:tc>
        <w:tc>
          <w:tcPr>
            <w:tcW w:w="1984" w:type="dxa"/>
            <w:shd w:val="clear" w:color="auto" w:fill="DAE9F7" w:themeFill="text2" w:themeFillTint="1A"/>
          </w:tcPr>
          <w:p w14:paraId="38DB41EE" w14:textId="679FF75A" w:rsidR="0063375D" w:rsidRDefault="008E7552" w:rsidP="00BB7B15">
            <w:pPr>
              <w:jc w:val="left"/>
              <w:rPr>
                <w:rFonts w:eastAsia="Times New Roman"/>
                <w:b/>
                <w:bCs/>
                <w:color w:val="0F4761" w:themeColor="accent1" w:themeShade="BF"/>
                <w:lang w:eastAsia="en-GB"/>
              </w:rPr>
            </w:pPr>
            <w:r>
              <w:rPr>
                <w:rFonts w:eastAsia="Times New Roman"/>
                <w:b/>
                <w:bCs/>
                <w:color w:val="0F4761" w:themeColor="accent1" w:themeShade="BF"/>
                <w:lang w:eastAsia="en-GB"/>
              </w:rPr>
              <w:t>Key</w:t>
            </w:r>
            <w:r w:rsidRPr="00BB16D8">
              <w:rPr>
                <w:rFonts w:eastAsia="Times New Roman"/>
                <w:b/>
                <w:bCs/>
                <w:color w:val="0F4761" w:themeColor="accent1" w:themeShade="BF"/>
                <w:lang w:eastAsia="en-GB"/>
              </w:rPr>
              <w:t xml:space="preserve"> Issues</w:t>
            </w:r>
          </w:p>
        </w:tc>
        <w:tc>
          <w:tcPr>
            <w:tcW w:w="2552" w:type="dxa"/>
            <w:shd w:val="clear" w:color="auto" w:fill="DAE9F7" w:themeFill="text2" w:themeFillTint="1A"/>
          </w:tcPr>
          <w:p w14:paraId="0D68B263" w14:textId="45DF70BB"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Opportunities</w:t>
            </w:r>
          </w:p>
        </w:tc>
      </w:tr>
      <w:tr w:rsidR="0063375D" w:rsidRPr="00BB7B15" w14:paraId="3085A947" w14:textId="77777777" w:rsidTr="0038685F">
        <w:tc>
          <w:tcPr>
            <w:tcW w:w="2122" w:type="dxa"/>
            <w:shd w:val="clear" w:color="auto" w:fill="DAE9F7" w:themeFill="text2" w:themeFillTint="1A"/>
          </w:tcPr>
          <w:p w14:paraId="2D45AE60" w14:textId="66CFD404"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Repairs &amp; Maintenance</w:t>
            </w:r>
          </w:p>
        </w:tc>
        <w:tc>
          <w:tcPr>
            <w:tcW w:w="2268" w:type="dxa"/>
          </w:tcPr>
          <w:p w14:paraId="653F702A" w14:textId="3011BB70" w:rsidR="0063375D" w:rsidRPr="00BB7B15" w:rsidRDefault="0063375D" w:rsidP="003D12C7">
            <w:pPr>
              <w:spacing w:line="360" w:lineRule="auto"/>
              <w:jc w:val="left"/>
            </w:pPr>
            <w:r w:rsidRPr="00FF0AF6">
              <w:rPr>
                <w:rFonts w:eastAsia="Times New Roman"/>
                <w:lang w:eastAsia="en-GB"/>
              </w:rPr>
              <w:t>Responsive repairs, voids work, planned maintenance.</w:t>
            </w:r>
          </w:p>
        </w:tc>
        <w:tc>
          <w:tcPr>
            <w:tcW w:w="1984" w:type="dxa"/>
          </w:tcPr>
          <w:p w14:paraId="5E86DCC2" w14:textId="1DDF3C2C" w:rsidR="0063375D" w:rsidRPr="00FF0AF6" w:rsidRDefault="004C2DCC" w:rsidP="00166605">
            <w:pPr>
              <w:spacing w:line="360" w:lineRule="auto"/>
              <w:jc w:val="left"/>
              <w:rPr>
                <w:rFonts w:eastAsia="Times New Roman"/>
                <w:lang w:eastAsia="en-GB"/>
              </w:rPr>
            </w:pPr>
            <w:r w:rsidRPr="00FF0AF6">
              <w:rPr>
                <w:rFonts w:eastAsia="Times New Roman"/>
                <w:lang w:eastAsia="en-GB"/>
              </w:rPr>
              <w:t>Backlogs, workforce shortages</w:t>
            </w:r>
            <w:r w:rsidR="00D812CE">
              <w:rPr>
                <w:rFonts w:eastAsia="Times New Roman"/>
                <w:lang w:eastAsia="en-GB"/>
              </w:rPr>
              <w:t>.</w:t>
            </w:r>
          </w:p>
        </w:tc>
        <w:tc>
          <w:tcPr>
            <w:tcW w:w="2552" w:type="dxa"/>
          </w:tcPr>
          <w:p w14:paraId="4DBEEC8D" w14:textId="365573D7" w:rsidR="0063375D" w:rsidRPr="00BB7B15" w:rsidRDefault="00D812CE" w:rsidP="00BB7B15">
            <w:pPr>
              <w:spacing w:line="360" w:lineRule="auto"/>
              <w:jc w:val="left"/>
            </w:pPr>
            <w:r>
              <w:t>Improve scheduling, diagnostics, contractor management.</w:t>
            </w:r>
          </w:p>
        </w:tc>
      </w:tr>
      <w:tr w:rsidR="0063375D" w:rsidRPr="00BB7B15" w14:paraId="308B66DE" w14:textId="77777777" w:rsidTr="0038685F">
        <w:tc>
          <w:tcPr>
            <w:tcW w:w="2122" w:type="dxa"/>
            <w:shd w:val="clear" w:color="auto" w:fill="DAE9F7" w:themeFill="text2" w:themeFillTint="1A"/>
          </w:tcPr>
          <w:p w14:paraId="12BBCA49" w14:textId="7D184496"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Asset Management</w:t>
            </w:r>
          </w:p>
        </w:tc>
        <w:tc>
          <w:tcPr>
            <w:tcW w:w="2268" w:type="dxa"/>
          </w:tcPr>
          <w:p w14:paraId="494BFC8E" w14:textId="48E6C973" w:rsidR="0063375D" w:rsidRPr="00BB7B15" w:rsidRDefault="0063375D" w:rsidP="003D12C7">
            <w:pPr>
              <w:spacing w:line="360" w:lineRule="auto"/>
              <w:jc w:val="left"/>
            </w:pPr>
            <w:r w:rsidRPr="00FF0AF6">
              <w:rPr>
                <w:rFonts w:eastAsia="Times New Roman"/>
                <w:lang w:eastAsia="en-GB"/>
              </w:rPr>
              <w:t>Stock condition monitoring, long-term planning</w:t>
            </w:r>
            <w:r w:rsidR="00B45E19">
              <w:rPr>
                <w:rFonts w:eastAsia="Times New Roman"/>
                <w:lang w:eastAsia="en-GB"/>
              </w:rPr>
              <w:t>.</w:t>
            </w:r>
          </w:p>
        </w:tc>
        <w:tc>
          <w:tcPr>
            <w:tcW w:w="1984" w:type="dxa"/>
          </w:tcPr>
          <w:p w14:paraId="5CA29063" w14:textId="312FBAD3" w:rsidR="0063375D" w:rsidRPr="00FF0AF6" w:rsidRDefault="00B45E19" w:rsidP="00166605">
            <w:pPr>
              <w:spacing w:line="360" w:lineRule="auto"/>
              <w:jc w:val="left"/>
              <w:rPr>
                <w:rFonts w:eastAsia="Times New Roman"/>
                <w:lang w:eastAsia="en-GB"/>
              </w:rPr>
            </w:pPr>
            <w:r>
              <w:t>Limited strategic investment.</w:t>
            </w:r>
          </w:p>
        </w:tc>
        <w:tc>
          <w:tcPr>
            <w:tcW w:w="2552" w:type="dxa"/>
          </w:tcPr>
          <w:p w14:paraId="0324A99C" w14:textId="747B5FCA" w:rsidR="0063375D" w:rsidRPr="00BB7B15" w:rsidRDefault="00717198" w:rsidP="00BB7B15">
            <w:pPr>
              <w:spacing w:line="360" w:lineRule="auto"/>
              <w:jc w:val="left"/>
            </w:pPr>
            <w:r>
              <w:t>Prioritise high-impact stock improvement.</w:t>
            </w:r>
          </w:p>
        </w:tc>
      </w:tr>
      <w:tr w:rsidR="0063375D" w:rsidRPr="00BB7B15" w14:paraId="14D43733" w14:textId="77777777" w:rsidTr="0038685F">
        <w:tc>
          <w:tcPr>
            <w:tcW w:w="2122" w:type="dxa"/>
            <w:shd w:val="clear" w:color="auto" w:fill="DAE9F7" w:themeFill="text2" w:themeFillTint="1A"/>
          </w:tcPr>
          <w:p w14:paraId="6EF61808" w14:textId="273E6696"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Tenancy &amp; Estate Management</w:t>
            </w:r>
          </w:p>
        </w:tc>
        <w:tc>
          <w:tcPr>
            <w:tcW w:w="2268" w:type="dxa"/>
          </w:tcPr>
          <w:p w14:paraId="7204E363" w14:textId="44B9A003" w:rsidR="0063375D" w:rsidRPr="00BB7B15" w:rsidRDefault="00A27D4E" w:rsidP="003D12C7">
            <w:pPr>
              <w:spacing w:line="360" w:lineRule="auto"/>
              <w:jc w:val="left"/>
            </w:pPr>
            <w:r>
              <w:t>Lettings, ASB, arrears, inspections.</w:t>
            </w:r>
          </w:p>
        </w:tc>
        <w:tc>
          <w:tcPr>
            <w:tcW w:w="1984" w:type="dxa"/>
          </w:tcPr>
          <w:p w14:paraId="14EB497C" w14:textId="716EF6EE" w:rsidR="0063375D" w:rsidRPr="00FF0AF6" w:rsidRDefault="00717198" w:rsidP="00166605">
            <w:pPr>
              <w:spacing w:line="360" w:lineRule="auto"/>
              <w:jc w:val="left"/>
              <w:rPr>
                <w:rFonts w:eastAsia="Times New Roman"/>
                <w:lang w:eastAsia="en-GB"/>
              </w:rPr>
            </w:pPr>
            <w:r>
              <w:t>Rising estate demand.</w:t>
            </w:r>
          </w:p>
        </w:tc>
        <w:tc>
          <w:tcPr>
            <w:tcW w:w="2552" w:type="dxa"/>
          </w:tcPr>
          <w:p w14:paraId="4094502A" w14:textId="36A9218D" w:rsidR="0063375D" w:rsidRPr="00BB7B15" w:rsidRDefault="00132A04" w:rsidP="00BB7B15">
            <w:pPr>
              <w:spacing w:line="360" w:lineRule="auto"/>
              <w:jc w:val="left"/>
            </w:pPr>
            <w:r>
              <w:rPr>
                <w:rFonts w:eastAsia="Times New Roman"/>
                <w:lang w:eastAsia="en-GB"/>
              </w:rPr>
              <w:t>N</w:t>
            </w:r>
            <w:r w:rsidR="0063375D" w:rsidRPr="00FF0AF6">
              <w:rPr>
                <w:rFonts w:eastAsia="Times New Roman"/>
                <w:lang w:eastAsia="en-GB"/>
              </w:rPr>
              <w:t>eighbourhood-based service hubs.</w:t>
            </w:r>
          </w:p>
        </w:tc>
      </w:tr>
      <w:tr w:rsidR="0063375D" w:rsidRPr="00BB7B15" w14:paraId="44284571" w14:textId="77777777" w:rsidTr="0038685F">
        <w:tc>
          <w:tcPr>
            <w:tcW w:w="2122" w:type="dxa"/>
            <w:shd w:val="clear" w:color="auto" w:fill="DAE9F7" w:themeFill="text2" w:themeFillTint="1A"/>
            <w:vAlign w:val="center"/>
          </w:tcPr>
          <w:p w14:paraId="2C564E22" w14:textId="0622D7F9"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Customer Contact &amp; Engagement</w:t>
            </w:r>
          </w:p>
        </w:tc>
        <w:tc>
          <w:tcPr>
            <w:tcW w:w="2268" w:type="dxa"/>
          </w:tcPr>
          <w:p w14:paraId="06004772" w14:textId="41D7A15C" w:rsidR="0063375D" w:rsidRPr="00BB7B15" w:rsidRDefault="0063375D" w:rsidP="003D12C7">
            <w:pPr>
              <w:spacing w:line="360" w:lineRule="auto"/>
              <w:jc w:val="left"/>
            </w:pPr>
            <w:r w:rsidRPr="00FF0AF6">
              <w:rPr>
                <w:rFonts w:eastAsia="Times New Roman"/>
                <w:lang w:eastAsia="en-GB"/>
              </w:rPr>
              <w:t>Enquiries, complaints, resident panels, TSM reporting.</w:t>
            </w:r>
          </w:p>
        </w:tc>
        <w:tc>
          <w:tcPr>
            <w:tcW w:w="1984" w:type="dxa"/>
          </w:tcPr>
          <w:p w14:paraId="642E2177" w14:textId="4B357F16" w:rsidR="0063375D" w:rsidRPr="00FF0AF6" w:rsidRDefault="00C01040" w:rsidP="00166605">
            <w:pPr>
              <w:spacing w:line="360" w:lineRule="auto"/>
              <w:jc w:val="left"/>
              <w:rPr>
                <w:rFonts w:eastAsia="Times New Roman"/>
                <w:lang w:eastAsia="en-GB"/>
              </w:rPr>
            </w:pPr>
            <w:r>
              <w:t>Long response times.</w:t>
            </w:r>
          </w:p>
        </w:tc>
        <w:tc>
          <w:tcPr>
            <w:tcW w:w="2552" w:type="dxa"/>
          </w:tcPr>
          <w:p w14:paraId="53C192C4" w14:textId="13E10CD2" w:rsidR="0063375D" w:rsidRPr="00BB7B15" w:rsidRDefault="00132A04" w:rsidP="00BB7B15">
            <w:pPr>
              <w:spacing w:line="360" w:lineRule="auto"/>
              <w:jc w:val="left"/>
            </w:pPr>
            <w:r>
              <w:rPr>
                <w:rFonts w:eastAsia="Times New Roman"/>
                <w:lang w:eastAsia="en-GB"/>
              </w:rPr>
              <w:t>D</w:t>
            </w:r>
            <w:r w:rsidR="0063375D" w:rsidRPr="00FF0AF6">
              <w:rPr>
                <w:rFonts w:eastAsia="Times New Roman"/>
                <w:lang w:eastAsia="en-GB"/>
              </w:rPr>
              <w:t>igital engagement tools</w:t>
            </w:r>
            <w:r w:rsidR="00C01040">
              <w:rPr>
                <w:rFonts w:eastAsia="Times New Roman"/>
                <w:lang w:eastAsia="en-GB"/>
              </w:rPr>
              <w:t>.</w:t>
            </w:r>
          </w:p>
        </w:tc>
      </w:tr>
      <w:tr w:rsidR="0063375D" w:rsidRPr="00BB7B15" w14:paraId="3B27637D" w14:textId="77777777" w:rsidTr="0038685F">
        <w:tc>
          <w:tcPr>
            <w:tcW w:w="2122" w:type="dxa"/>
            <w:shd w:val="clear" w:color="auto" w:fill="DAE9F7" w:themeFill="text2" w:themeFillTint="1A"/>
          </w:tcPr>
          <w:p w14:paraId="57FCCA87" w14:textId="31B25B43"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Lettings &amp; Void Management</w:t>
            </w:r>
          </w:p>
        </w:tc>
        <w:tc>
          <w:tcPr>
            <w:tcW w:w="2268" w:type="dxa"/>
          </w:tcPr>
          <w:p w14:paraId="17F28C04" w14:textId="65EF0017" w:rsidR="0063375D" w:rsidRPr="00BB7B15" w:rsidRDefault="00920EBC" w:rsidP="003D12C7">
            <w:pPr>
              <w:spacing w:line="360" w:lineRule="auto"/>
              <w:jc w:val="left"/>
            </w:pPr>
            <w:r>
              <w:t>Property advertising, allocation.</w:t>
            </w:r>
          </w:p>
        </w:tc>
        <w:tc>
          <w:tcPr>
            <w:tcW w:w="1984" w:type="dxa"/>
          </w:tcPr>
          <w:p w14:paraId="65F62E7A" w14:textId="74D26A25" w:rsidR="0063375D" w:rsidRPr="00FF0AF6" w:rsidRDefault="00920EBC" w:rsidP="00166605">
            <w:pPr>
              <w:spacing w:line="360" w:lineRule="auto"/>
              <w:jc w:val="left"/>
              <w:rPr>
                <w:rFonts w:eastAsia="Times New Roman"/>
                <w:lang w:eastAsia="en-GB"/>
              </w:rPr>
            </w:pPr>
            <w:r>
              <w:t>Voids turnaround delays.</w:t>
            </w:r>
          </w:p>
        </w:tc>
        <w:tc>
          <w:tcPr>
            <w:tcW w:w="2552" w:type="dxa"/>
          </w:tcPr>
          <w:p w14:paraId="4EF2294E" w14:textId="04E3B4E9" w:rsidR="0063375D" w:rsidRPr="00BB7B15" w:rsidRDefault="00582585" w:rsidP="00BB7B15">
            <w:pPr>
              <w:spacing w:line="360" w:lineRule="auto"/>
              <w:jc w:val="left"/>
            </w:pPr>
            <w:r>
              <w:t>Pre-void planning, contractor coordination.</w:t>
            </w:r>
          </w:p>
        </w:tc>
      </w:tr>
      <w:tr w:rsidR="0063375D" w:rsidRPr="00BB7B15" w14:paraId="7360CFBE" w14:textId="77777777" w:rsidTr="0038685F">
        <w:trPr>
          <w:trHeight w:val="1192"/>
        </w:trPr>
        <w:tc>
          <w:tcPr>
            <w:tcW w:w="2122" w:type="dxa"/>
            <w:tcBorders>
              <w:bottom w:val="single" w:sz="4" w:space="0" w:color="auto"/>
            </w:tcBorders>
            <w:shd w:val="clear" w:color="auto" w:fill="DAE9F7" w:themeFill="text2" w:themeFillTint="1A"/>
          </w:tcPr>
          <w:p w14:paraId="71207731" w14:textId="79B4BD3F" w:rsidR="0063375D" w:rsidRPr="00BB16D8" w:rsidRDefault="0063375D" w:rsidP="00BB7B15">
            <w:pPr>
              <w:spacing w:line="360" w:lineRule="auto"/>
              <w:jc w:val="left"/>
              <w:rPr>
                <w:color w:val="0F4761" w:themeColor="accent1" w:themeShade="BF"/>
              </w:rPr>
            </w:pPr>
            <w:r w:rsidRPr="00BB16D8">
              <w:rPr>
                <w:rFonts w:eastAsia="Times New Roman"/>
                <w:b/>
                <w:bCs/>
                <w:color w:val="0F4761" w:themeColor="accent1" w:themeShade="BF"/>
                <w:lang w:eastAsia="en-GB"/>
              </w:rPr>
              <w:t>Compliance &amp; Building Safety</w:t>
            </w:r>
          </w:p>
        </w:tc>
        <w:tc>
          <w:tcPr>
            <w:tcW w:w="2268" w:type="dxa"/>
            <w:tcBorders>
              <w:bottom w:val="single" w:sz="4" w:space="0" w:color="auto"/>
            </w:tcBorders>
          </w:tcPr>
          <w:p w14:paraId="05898944" w14:textId="23DB7047" w:rsidR="0063375D" w:rsidRPr="00BB7B15" w:rsidRDefault="00582585" w:rsidP="003D12C7">
            <w:pPr>
              <w:spacing w:line="360" w:lineRule="auto"/>
              <w:jc w:val="left"/>
            </w:pPr>
            <w:r>
              <w:t>Fire, gas, electrical inspections.</w:t>
            </w:r>
          </w:p>
        </w:tc>
        <w:tc>
          <w:tcPr>
            <w:tcW w:w="1984" w:type="dxa"/>
          </w:tcPr>
          <w:p w14:paraId="11F83046" w14:textId="2C81995D" w:rsidR="0063375D" w:rsidRPr="00FF0AF6" w:rsidRDefault="00582585" w:rsidP="00166605">
            <w:pPr>
              <w:spacing w:line="360" w:lineRule="auto"/>
              <w:jc w:val="left"/>
              <w:rPr>
                <w:rFonts w:eastAsia="Times New Roman"/>
                <w:lang w:eastAsia="en-GB"/>
              </w:rPr>
            </w:pPr>
            <w:r>
              <w:t>Regulatory workload.</w:t>
            </w:r>
          </w:p>
        </w:tc>
        <w:tc>
          <w:tcPr>
            <w:tcW w:w="2552" w:type="dxa"/>
            <w:tcBorders>
              <w:bottom w:val="single" w:sz="4" w:space="0" w:color="auto"/>
            </w:tcBorders>
          </w:tcPr>
          <w:p w14:paraId="0863AFED" w14:textId="732D34A4" w:rsidR="0063375D" w:rsidRPr="00BB7B15" w:rsidRDefault="00132A04" w:rsidP="00BB7B15">
            <w:pPr>
              <w:spacing w:line="360" w:lineRule="auto"/>
              <w:jc w:val="left"/>
            </w:pPr>
            <w:r>
              <w:rPr>
                <w:rFonts w:eastAsia="Times New Roman"/>
                <w:lang w:eastAsia="en-GB"/>
              </w:rPr>
              <w:t>R</w:t>
            </w:r>
            <w:r w:rsidR="0063375D" w:rsidRPr="00FF0AF6">
              <w:rPr>
                <w:rFonts w:eastAsia="Times New Roman"/>
                <w:lang w:eastAsia="en-GB"/>
              </w:rPr>
              <w:t>obust inspection and reporting systems.</w:t>
            </w:r>
          </w:p>
        </w:tc>
      </w:tr>
    </w:tbl>
    <w:p w14:paraId="6214A3A7" w14:textId="4BC73808" w:rsidR="00E60D8D" w:rsidRDefault="0057284A" w:rsidP="00FC4167">
      <w:pPr>
        <w:rPr>
          <w:noProof/>
          <w:lang w:val="en-US"/>
        </w:rPr>
      </w:pPr>
      <w:bookmarkStart w:id="13" w:name="_Hlk215427091"/>
      <w:r w:rsidRPr="00DA3B14">
        <w:rPr>
          <w:b/>
          <w:bCs/>
        </w:rPr>
        <w:t>Source:</w:t>
      </w:r>
      <w:r w:rsidRPr="00DA3B14">
        <w:t xml:space="preserve"> </w:t>
      </w:r>
      <w:r w:rsidR="00556A2E">
        <w:t>Author, a</w:t>
      </w:r>
      <w:r w:rsidRPr="00DA3B14">
        <w:t xml:space="preserve">dapted from </w:t>
      </w:r>
      <w:r w:rsidRPr="00DA3B14">
        <w:rPr>
          <w:noProof/>
          <w:lang w:val="en-US"/>
        </w:rPr>
        <w:t xml:space="preserve">Whittington, et al. </w:t>
      </w:r>
      <w:sdt>
        <w:sdtPr>
          <w:rPr>
            <w:noProof/>
            <w:lang w:val="en-US"/>
          </w:rPr>
          <w:id w:val="737214475"/>
          <w:citation/>
        </w:sdtPr>
        <w:sdtEndPr/>
        <w:sdtContent>
          <w:r w:rsidRPr="00DA3B14">
            <w:rPr>
              <w:noProof/>
              <w:lang w:val="en-US"/>
            </w:rPr>
            <w:fldChar w:fldCharType="begin"/>
          </w:r>
          <w:r w:rsidRPr="00DA3B14">
            <w:rPr>
              <w:noProof/>
              <w:lang w:val="en-US"/>
            </w:rPr>
            <w:instrText xml:space="preserve">CITATION Whi19 \n  \l 1033 </w:instrText>
          </w:r>
          <w:r w:rsidRPr="00DA3B14">
            <w:rPr>
              <w:noProof/>
              <w:lang w:val="en-US"/>
            </w:rPr>
            <w:fldChar w:fldCharType="separate"/>
          </w:r>
          <w:r w:rsidR="002E53A1" w:rsidRPr="002E53A1">
            <w:rPr>
              <w:noProof/>
              <w:lang w:val="en-US"/>
            </w:rPr>
            <w:t>(2019)</w:t>
          </w:r>
          <w:r w:rsidRPr="00DA3B14">
            <w:rPr>
              <w:noProof/>
              <w:lang w:val="en-US"/>
            </w:rPr>
            <w:fldChar w:fldCharType="end"/>
          </w:r>
        </w:sdtContent>
      </w:sdt>
      <w:r w:rsidRPr="00DA3B14">
        <w:rPr>
          <w:noProof/>
          <w:lang w:val="en-US"/>
        </w:rPr>
        <w:t xml:space="preserve">; </w:t>
      </w:r>
      <w:r w:rsidR="009D19AC" w:rsidRPr="00DA3B14">
        <w:rPr>
          <w:noProof/>
          <w:lang w:val="en-US"/>
        </w:rPr>
        <w:t xml:space="preserve">Huisman &amp; Czischke </w:t>
      </w:r>
      <w:sdt>
        <w:sdtPr>
          <w:rPr>
            <w:noProof/>
            <w:lang w:val="en-US"/>
          </w:rPr>
          <w:id w:val="-660623913"/>
          <w:citation/>
        </w:sdtPr>
        <w:sdtEndPr/>
        <w:sdtContent>
          <w:r w:rsidR="00745DC9" w:rsidRPr="00DA3B14">
            <w:rPr>
              <w:noProof/>
              <w:lang w:val="en-US"/>
            </w:rPr>
            <w:fldChar w:fldCharType="begin"/>
          </w:r>
          <w:r w:rsidR="00745DC9" w:rsidRPr="00DA3B14">
            <w:rPr>
              <w:noProof/>
              <w:lang w:val="en-US"/>
            </w:rPr>
            <w:instrText xml:space="preserve">CITATION Hui23 \n  \l 1033 </w:instrText>
          </w:r>
          <w:r w:rsidR="00745DC9" w:rsidRPr="00DA3B14">
            <w:rPr>
              <w:noProof/>
              <w:lang w:val="en-US"/>
            </w:rPr>
            <w:fldChar w:fldCharType="separate"/>
          </w:r>
          <w:r w:rsidR="002E53A1" w:rsidRPr="002E53A1">
            <w:rPr>
              <w:noProof/>
              <w:lang w:val="en-US"/>
            </w:rPr>
            <w:t>(2023)</w:t>
          </w:r>
          <w:r w:rsidR="00745DC9" w:rsidRPr="00DA3B14">
            <w:rPr>
              <w:noProof/>
              <w:lang w:val="en-US"/>
            </w:rPr>
            <w:fldChar w:fldCharType="end"/>
          </w:r>
        </w:sdtContent>
      </w:sdt>
      <w:r w:rsidR="00745DC9" w:rsidRPr="00DA3B14">
        <w:rPr>
          <w:noProof/>
          <w:lang w:val="en-US"/>
        </w:rPr>
        <w:t xml:space="preserve">; </w:t>
      </w:r>
      <w:r w:rsidRPr="00DA3B14">
        <w:rPr>
          <w:noProof/>
          <w:lang w:val="en-US"/>
        </w:rPr>
        <w:t xml:space="preserve">Phillips, et al. </w:t>
      </w:r>
      <w:sdt>
        <w:sdtPr>
          <w:rPr>
            <w:noProof/>
            <w:lang w:val="en-US"/>
          </w:rPr>
          <w:id w:val="1074704275"/>
          <w:citation/>
        </w:sdtPr>
        <w:sdtEndPr/>
        <w:sdtContent>
          <w:r w:rsidRPr="00DA3B14">
            <w:rPr>
              <w:noProof/>
              <w:lang w:val="en-US"/>
            </w:rPr>
            <w:fldChar w:fldCharType="begin"/>
          </w:r>
          <w:r w:rsidRPr="00DA3B14">
            <w:rPr>
              <w:noProof/>
              <w:lang w:val="en-US"/>
            </w:rPr>
            <w:instrText xml:space="preserve">CITATION Phi24 \n  \l 1033 </w:instrText>
          </w:r>
          <w:r w:rsidRPr="00DA3B14">
            <w:rPr>
              <w:noProof/>
              <w:lang w:val="en-US"/>
            </w:rPr>
            <w:fldChar w:fldCharType="separate"/>
          </w:r>
          <w:r w:rsidR="002E53A1" w:rsidRPr="002E53A1">
            <w:rPr>
              <w:noProof/>
              <w:lang w:val="en-US"/>
            </w:rPr>
            <w:t>(2024)</w:t>
          </w:r>
          <w:r w:rsidRPr="00DA3B14">
            <w:rPr>
              <w:noProof/>
              <w:lang w:val="en-US"/>
            </w:rPr>
            <w:fldChar w:fldCharType="end"/>
          </w:r>
        </w:sdtContent>
      </w:sdt>
      <w:bookmarkEnd w:id="13"/>
      <w:r w:rsidR="009D3A37">
        <w:rPr>
          <w:noProof/>
          <w:lang w:val="en-US"/>
        </w:rPr>
        <w:t xml:space="preserve">; </w:t>
      </w:r>
      <w:sdt>
        <w:sdtPr>
          <w:rPr>
            <w:noProof/>
            <w:lang w:val="en-US"/>
          </w:rPr>
          <w:id w:val="686639726"/>
          <w:citation/>
        </w:sdtPr>
        <w:sdtEndPr/>
        <w:sdtContent>
          <w:r w:rsidR="009D3A37">
            <w:rPr>
              <w:noProof/>
              <w:lang w:val="en-US"/>
            </w:rPr>
            <w:fldChar w:fldCharType="begin"/>
          </w:r>
          <w:r w:rsidR="009D3A37">
            <w:rPr>
              <w:noProof/>
              <w:lang w:val="en-US"/>
            </w:rPr>
            <w:instrText xml:space="preserve"> CITATION Cha25 \l 1033 </w:instrText>
          </w:r>
          <w:r w:rsidR="009D3A37">
            <w:rPr>
              <w:noProof/>
              <w:lang w:val="en-US"/>
            </w:rPr>
            <w:fldChar w:fldCharType="separate"/>
          </w:r>
          <w:r w:rsidR="002E53A1" w:rsidRPr="002E53A1">
            <w:rPr>
              <w:noProof/>
              <w:lang w:val="en-US"/>
            </w:rPr>
            <w:t>(Charles, 2025)</w:t>
          </w:r>
          <w:r w:rsidR="009D3A37">
            <w:rPr>
              <w:noProof/>
              <w:lang w:val="en-US"/>
            </w:rPr>
            <w:fldChar w:fldCharType="end"/>
          </w:r>
        </w:sdtContent>
      </w:sdt>
      <w:r w:rsidR="00745DC9" w:rsidRPr="00DA3B14">
        <w:rPr>
          <w:noProof/>
          <w:lang w:val="en-US"/>
        </w:rPr>
        <w:t>.</w:t>
      </w:r>
    </w:p>
    <w:p w14:paraId="681D98FA" w14:textId="77777777" w:rsidR="005A3143" w:rsidRDefault="005A3143" w:rsidP="00FC4167">
      <w:pPr>
        <w:rPr>
          <w:noProof/>
          <w:lang w:val="en-US"/>
        </w:rPr>
      </w:pPr>
    </w:p>
    <w:p w14:paraId="3FD7F55F" w14:textId="48809B80" w:rsidR="001804C0" w:rsidRPr="001804C0" w:rsidRDefault="001804C0" w:rsidP="001804C0">
      <w:pPr>
        <w:pStyle w:val="Caption"/>
        <w:keepNext/>
        <w:spacing w:line="360" w:lineRule="auto"/>
        <w:rPr>
          <w:color w:val="0F4761" w:themeColor="accent1" w:themeShade="BF"/>
          <w:sz w:val="22"/>
        </w:rPr>
      </w:pPr>
      <w:bookmarkStart w:id="14" w:name="_Toc215910536"/>
      <w:r w:rsidRPr="001804C0">
        <w:rPr>
          <w:color w:val="0F4761" w:themeColor="accent1" w:themeShade="BF"/>
          <w:sz w:val="22"/>
        </w:rPr>
        <w:t xml:space="preserve">Table </w:t>
      </w:r>
      <w:r w:rsidRPr="001804C0">
        <w:rPr>
          <w:color w:val="0F4761" w:themeColor="accent1" w:themeShade="BF"/>
          <w:sz w:val="22"/>
        </w:rPr>
        <w:fldChar w:fldCharType="begin"/>
      </w:r>
      <w:r w:rsidRPr="001804C0">
        <w:rPr>
          <w:color w:val="0F4761" w:themeColor="accent1" w:themeShade="BF"/>
          <w:sz w:val="22"/>
        </w:rPr>
        <w:instrText xml:space="preserve"> SEQ Table \* ARABIC </w:instrText>
      </w:r>
      <w:r w:rsidRPr="001804C0">
        <w:rPr>
          <w:color w:val="0F4761" w:themeColor="accent1" w:themeShade="BF"/>
          <w:sz w:val="22"/>
        </w:rPr>
        <w:fldChar w:fldCharType="separate"/>
      </w:r>
      <w:r w:rsidR="00A20D63">
        <w:rPr>
          <w:noProof/>
          <w:color w:val="0F4761" w:themeColor="accent1" w:themeShade="BF"/>
          <w:sz w:val="22"/>
        </w:rPr>
        <w:t>5</w:t>
      </w:r>
      <w:r w:rsidRPr="001804C0">
        <w:rPr>
          <w:color w:val="0F4761" w:themeColor="accent1" w:themeShade="BF"/>
          <w:sz w:val="22"/>
        </w:rPr>
        <w:fldChar w:fldCharType="end"/>
      </w:r>
      <w:r w:rsidRPr="001804C0">
        <w:rPr>
          <w:color w:val="0F4761" w:themeColor="accent1" w:themeShade="BF"/>
          <w:sz w:val="22"/>
        </w:rPr>
        <w:t xml:space="preserve"> Porter's Value Chain - Support Activities</w:t>
      </w:r>
      <w:bookmarkEnd w:id="14"/>
    </w:p>
    <w:tbl>
      <w:tblPr>
        <w:tblStyle w:val="TableGrid"/>
        <w:tblW w:w="0" w:type="auto"/>
        <w:tblInd w:w="-5" w:type="dxa"/>
        <w:tblLayout w:type="fixed"/>
        <w:tblLook w:val="04A0" w:firstRow="1" w:lastRow="0" w:firstColumn="1" w:lastColumn="0" w:noHBand="0" w:noVBand="1"/>
      </w:tblPr>
      <w:tblGrid>
        <w:gridCol w:w="2127"/>
        <w:gridCol w:w="2268"/>
        <w:gridCol w:w="1984"/>
        <w:gridCol w:w="2551"/>
      </w:tblGrid>
      <w:tr w:rsidR="00B55F13" w14:paraId="0A8870DC" w14:textId="77777777" w:rsidTr="0038685F">
        <w:tc>
          <w:tcPr>
            <w:tcW w:w="2127" w:type="dxa"/>
            <w:shd w:val="clear" w:color="auto" w:fill="DAE9F7" w:themeFill="text2" w:themeFillTint="1A"/>
          </w:tcPr>
          <w:p w14:paraId="680BDD23" w14:textId="24B1D2CE" w:rsidR="00B55F13" w:rsidRPr="00BE0440" w:rsidRDefault="00B55F13" w:rsidP="00BE0440">
            <w:pPr>
              <w:spacing w:line="360" w:lineRule="auto"/>
              <w:jc w:val="left"/>
              <w:rPr>
                <w:b/>
                <w:bCs/>
                <w:color w:val="0F4761" w:themeColor="accent1" w:themeShade="BF"/>
              </w:rPr>
            </w:pPr>
            <w:r w:rsidRPr="00BE0440">
              <w:rPr>
                <w:rFonts w:eastAsia="Times New Roman"/>
                <w:b/>
                <w:bCs/>
                <w:color w:val="0F4761" w:themeColor="accent1" w:themeShade="BF"/>
                <w:lang w:eastAsia="en-GB"/>
              </w:rPr>
              <w:t>Support Activities</w:t>
            </w:r>
          </w:p>
        </w:tc>
        <w:tc>
          <w:tcPr>
            <w:tcW w:w="2268" w:type="dxa"/>
            <w:shd w:val="clear" w:color="auto" w:fill="DAE9F7" w:themeFill="text2" w:themeFillTint="1A"/>
          </w:tcPr>
          <w:p w14:paraId="2A2F6CDF" w14:textId="70898C08" w:rsidR="00B55F13" w:rsidRPr="00BE0440" w:rsidRDefault="00B55F13" w:rsidP="00BE0440">
            <w:pPr>
              <w:spacing w:line="360" w:lineRule="auto"/>
              <w:jc w:val="left"/>
              <w:rPr>
                <w:b/>
                <w:bCs/>
                <w:color w:val="0F4761" w:themeColor="accent1" w:themeShade="BF"/>
              </w:rPr>
            </w:pPr>
            <w:r w:rsidRPr="00BE0440">
              <w:rPr>
                <w:rFonts w:eastAsia="Times New Roman"/>
                <w:b/>
                <w:bCs/>
                <w:color w:val="0F4761" w:themeColor="accent1" w:themeShade="BF"/>
                <w:lang w:eastAsia="en-GB"/>
              </w:rPr>
              <w:t>Description for SHP</w:t>
            </w:r>
          </w:p>
        </w:tc>
        <w:tc>
          <w:tcPr>
            <w:tcW w:w="1984" w:type="dxa"/>
            <w:shd w:val="clear" w:color="auto" w:fill="DAE9F7" w:themeFill="text2" w:themeFillTint="1A"/>
          </w:tcPr>
          <w:p w14:paraId="20684AA9" w14:textId="731F9AAE" w:rsidR="00B55F13" w:rsidRPr="00BE0440" w:rsidRDefault="00B55F13" w:rsidP="00BE0440">
            <w:pPr>
              <w:jc w:val="left"/>
              <w:rPr>
                <w:rFonts w:eastAsia="Times New Roman"/>
                <w:b/>
                <w:bCs/>
                <w:color w:val="0F4761" w:themeColor="accent1" w:themeShade="BF"/>
                <w:lang w:eastAsia="en-GB"/>
              </w:rPr>
            </w:pPr>
            <w:r w:rsidRPr="00BE0440">
              <w:rPr>
                <w:rFonts w:eastAsia="Times New Roman"/>
                <w:b/>
                <w:bCs/>
                <w:color w:val="0F4761" w:themeColor="accent1" w:themeShade="BF"/>
                <w:lang w:eastAsia="en-GB"/>
              </w:rPr>
              <w:t>Current Issues</w:t>
            </w:r>
          </w:p>
        </w:tc>
        <w:tc>
          <w:tcPr>
            <w:tcW w:w="2551" w:type="dxa"/>
            <w:shd w:val="clear" w:color="auto" w:fill="DAE9F7" w:themeFill="text2" w:themeFillTint="1A"/>
          </w:tcPr>
          <w:p w14:paraId="787062BA" w14:textId="349BA1E1" w:rsidR="00B55F13" w:rsidRPr="00BE0440" w:rsidRDefault="00B55F13" w:rsidP="00BE0440">
            <w:pPr>
              <w:spacing w:line="360" w:lineRule="auto"/>
              <w:jc w:val="left"/>
              <w:rPr>
                <w:b/>
                <w:bCs/>
                <w:color w:val="0F4761" w:themeColor="accent1" w:themeShade="BF"/>
              </w:rPr>
            </w:pPr>
            <w:r w:rsidRPr="00BE0440">
              <w:rPr>
                <w:rFonts w:eastAsia="Times New Roman"/>
                <w:b/>
                <w:bCs/>
                <w:color w:val="0F4761" w:themeColor="accent1" w:themeShade="BF"/>
                <w:lang w:eastAsia="en-GB"/>
              </w:rPr>
              <w:t>Opportunities</w:t>
            </w:r>
          </w:p>
        </w:tc>
      </w:tr>
      <w:tr w:rsidR="00B55F13" w14:paraId="39BA4670" w14:textId="77777777" w:rsidTr="0038685F">
        <w:tc>
          <w:tcPr>
            <w:tcW w:w="2127" w:type="dxa"/>
            <w:shd w:val="clear" w:color="auto" w:fill="DAE9F7" w:themeFill="text2" w:themeFillTint="1A"/>
          </w:tcPr>
          <w:p w14:paraId="2F5E61FE" w14:textId="11E15753"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Governance &amp; Leadership</w:t>
            </w:r>
          </w:p>
        </w:tc>
        <w:tc>
          <w:tcPr>
            <w:tcW w:w="2268" w:type="dxa"/>
          </w:tcPr>
          <w:p w14:paraId="52E21E58" w14:textId="65987778" w:rsidR="00B55F13" w:rsidRDefault="00847C8E" w:rsidP="00833DC4">
            <w:pPr>
              <w:spacing w:line="360" w:lineRule="auto"/>
              <w:jc w:val="left"/>
            </w:pPr>
            <w:r>
              <w:t>Strategic direction, board oversight.</w:t>
            </w:r>
          </w:p>
        </w:tc>
        <w:tc>
          <w:tcPr>
            <w:tcW w:w="1984" w:type="dxa"/>
          </w:tcPr>
          <w:p w14:paraId="0059415A" w14:textId="15DEBDB9" w:rsidR="00B55F13" w:rsidRPr="00FF0AF6" w:rsidRDefault="00D46D59" w:rsidP="00833DC4">
            <w:pPr>
              <w:spacing w:line="360" w:lineRule="auto"/>
              <w:jc w:val="left"/>
              <w:rPr>
                <w:rFonts w:eastAsia="Times New Roman"/>
                <w:lang w:eastAsia="en-GB"/>
              </w:rPr>
            </w:pPr>
            <w:r>
              <w:t>Lack of long-term transformation roadmap.</w:t>
            </w:r>
          </w:p>
        </w:tc>
        <w:tc>
          <w:tcPr>
            <w:tcW w:w="2551" w:type="dxa"/>
          </w:tcPr>
          <w:p w14:paraId="47B30457" w14:textId="427B182A" w:rsidR="00B55F13" w:rsidRDefault="00D46D59" w:rsidP="00833DC4">
            <w:pPr>
              <w:spacing w:line="360" w:lineRule="auto"/>
              <w:jc w:val="left"/>
            </w:pPr>
            <w:r>
              <w:t>Strategic KPIs, board training.</w:t>
            </w:r>
          </w:p>
        </w:tc>
      </w:tr>
      <w:tr w:rsidR="00B55F13" w14:paraId="31459815" w14:textId="77777777" w:rsidTr="0038685F">
        <w:tc>
          <w:tcPr>
            <w:tcW w:w="2127" w:type="dxa"/>
            <w:shd w:val="clear" w:color="auto" w:fill="DAE9F7" w:themeFill="text2" w:themeFillTint="1A"/>
          </w:tcPr>
          <w:p w14:paraId="3A2CFF72" w14:textId="2334B0F8"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ICT / Digital Infrastructure</w:t>
            </w:r>
          </w:p>
        </w:tc>
        <w:tc>
          <w:tcPr>
            <w:tcW w:w="2268" w:type="dxa"/>
          </w:tcPr>
          <w:p w14:paraId="6B507A33" w14:textId="34D686A1" w:rsidR="00B55F13" w:rsidRDefault="00D46D59" w:rsidP="00833DC4">
            <w:pPr>
              <w:spacing w:line="360" w:lineRule="auto"/>
              <w:jc w:val="left"/>
            </w:pPr>
            <w:r>
              <w:t>Housing management systems, portals.</w:t>
            </w:r>
          </w:p>
        </w:tc>
        <w:tc>
          <w:tcPr>
            <w:tcW w:w="1984" w:type="dxa"/>
          </w:tcPr>
          <w:p w14:paraId="07667613" w14:textId="0A109692" w:rsidR="00B55F13" w:rsidRPr="00FF0AF6" w:rsidRDefault="002249A4" w:rsidP="00833DC4">
            <w:pPr>
              <w:spacing w:line="360" w:lineRule="auto"/>
              <w:jc w:val="left"/>
              <w:rPr>
                <w:rFonts w:eastAsia="Times New Roman"/>
                <w:lang w:eastAsia="en-GB"/>
              </w:rPr>
            </w:pPr>
            <w:r w:rsidRPr="00FF0AF6">
              <w:rPr>
                <w:rFonts w:eastAsia="Times New Roman"/>
                <w:lang w:eastAsia="en-GB"/>
              </w:rPr>
              <w:t>Fragmented systems</w:t>
            </w:r>
            <w:r w:rsidR="003A6F1A">
              <w:rPr>
                <w:rFonts w:eastAsia="Times New Roman"/>
                <w:lang w:eastAsia="en-GB"/>
              </w:rPr>
              <w:t>.</w:t>
            </w:r>
          </w:p>
        </w:tc>
        <w:tc>
          <w:tcPr>
            <w:tcW w:w="2551" w:type="dxa"/>
          </w:tcPr>
          <w:p w14:paraId="096CE2CD" w14:textId="2F146D06" w:rsidR="00B55F13" w:rsidRDefault="003A6F1A" w:rsidP="00833DC4">
            <w:pPr>
              <w:spacing w:line="360" w:lineRule="auto"/>
              <w:jc w:val="left"/>
            </w:pPr>
            <w:r>
              <w:t>Integration, predictive maintenance.</w:t>
            </w:r>
          </w:p>
        </w:tc>
      </w:tr>
      <w:tr w:rsidR="00B55F13" w14:paraId="16E70662" w14:textId="77777777" w:rsidTr="0038685F">
        <w:tc>
          <w:tcPr>
            <w:tcW w:w="2127" w:type="dxa"/>
            <w:shd w:val="clear" w:color="auto" w:fill="DAE9F7" w:themeFill="text2" w:themeFillTint="1A"/>
          </w:tcPr>
          <w:p w14:paraId="55E82DA7" w14:textId="67648F21"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Human Resources &amp; Workforce Development</w:t>
            </w:r>
          </w:p>
        </w:tc>
        <w:tc>
          <w:tcPr>
            <w:tcW w:w="2268" w:type="dxa"/>
          </w:tcPr>
          <w:p w14:paraId="472C3935" w14:textId="4CBB191E" w:rsidR="00B55F13" w:rsidRDefault="00B55F13" w:rsidP="00833DC4">
            <w:pPr>
              <w:spacing w:line="360" w:lineRule="auto"/>
              <w:jc w:val="left"/>
            </w:pPr>
            <w:r w:rsidRPr="00FF0AF6">
              <w:rPr>
                <w:rFonts w:eastAsia="Times New Roman"/>
                <w:lang w:eastAsia="en-GB"/>
              </w:rPr>
              <w:t>Recruitment, training, technical competency</w:t>
            </w:r>
            <w:r w:rsidR="003A6F1A">
              <w:rPr>
                <w:rFonts w:eastAsia="Times New Roman"/>
                <w:lang w:eastAsia="en-GB"/>
              </w:rPr>
              <w:t>.</w:t>
            </w:r>
          </w:p>
        </w:tc>
        <w:tc>
          <w:tcPr>
            <w:tcW w:w="1984" w:type="dxa"/>
          </w:tcPr>
          <w:p w14:paraId="62681526" w14:textId="73523838" w:rsidR="00B55F13" w:rsidRPr="00FF0AF6" w:rsidRDefault="00620D55" w:rsidP="00833DC4">
            <w:pPr>
              <w:spacing w:line="360" w:lineRule="auto"/>
              <w:jc w:val="left"/>
              <w:rPr>
                <w:rFonts w:eastAsia="Times New Roman"/>
                <w:lang w:eastAsia="en-GB"/>
              </w:rPr>
            </w:pPr>
            <w:r>
              <w:t>Skills shortages.</w:t>
            </w:r>
          </w:p>
        </w:tc>
        <w:tc>
          <w:tcPr>
            <w:tcW w:w="2551" w:type="dxa"/>
          </w:tcPr>
          <w:p w14:paraId="069B826B" w14:textId="5A9F2D93" w:rsidR="00B55F13" w:rsidRDefault="00620D55" w:rsidP="00833DC4">
            <w:pPr>
              <w:spacing w:line="360" w:lineRule="auto"/>
              <w:jc w:val="left"/>
            </w:pPr>
            <w:r>
              <w:t>Staff upskilling and apprenticeships.</w:t>
            </w:r>
          </w:p>
        </w:tc>
      </w:tr>
      <w:tr w:rsidR="00B55F13" w14:paraId="1A154553" w14:textId="77777777" w:rsidTr="0038685F">
        <w:tc>
          <w:tcPr>
            <w:tcW w:w="2127" w:type="dxa"/>
            <w:shd w:val="clear" w:color="auto" w:fill="DAE9F7" w:themeFill="text2" w:themeFillTint="1A"/>
          </w:tcPr>
          <w:p w14:paraId="37ECAA54" w14:textId="44AAB6A9"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Procurement &amp; Contract Management</w:t>
            </w:r>
          </w:p>
        </w:tc>
        <w:tc>
          <w:tcPr>
            <w:tcW w:w="2268" w:type="dxa"/>
          </w:tcPr>
          <w:p w14:paraId="0D4F325C" w14:textId="5807E0C1" w:rsidR="00B55F13" w:rsidRDefault="00F60259" w:rsidP="00833DC4">
            <w:pPr>
              <w:spacing w:line="360" w:lineRule="auto"/>
              <w:jc w:val="left"/>
            </w:pPr>
            <w:r>
              <w:t>Repairs, consultants, suppliers.</w:t>
            </w:r>
          </w:p>
        </w:tc>
        <w:tc>
          <w:tcPr>
            <w:tcW w:w="1984" w:type="dxa"/>
          </w:tcPr>
          <w:p w14:paraId="15294233" w14:textId="209B5476" w:rsidR="00B55F13" w:rsidRPr="00FF0AF6" w:rsidRDefault="00F60259" w:rsidP="00833DC4">
            <w:pPr>
              <w:spacing w:line="360" w:lineRule="auto"/>
              <w:jc w:val="left"/>
              <w:rPr>
                <w:rFonts w:eastAsia="Times New Roman"/>
                <w:lang w:eastAsia="en-GB"/>
              </w:rPr>
            </w:pPr>
            <w:r>
              <w:t>Rising costs, inconsistent performance.</w:t>
            </w:r>
          </w:p>
        </w:tc>
        <w:tc>
          <w:tcPr>
            <w:tcW w:w="2551" w:type="dxa"/>
          </w:tcPr>
          <w:p w14:paraId="324B9EBB" w14:textId="27CB2BC1" w:rsidR="00B55F13" w:rsidRDefault="00F60259" w:rsidP="00833DC4">
            <w:pPr>
              <w:spacing w:line="360" w:lineRule="auto"/>
              <w:jc w:val="left"/>
            </w:pPr>
            <w:r>
              <w:t>Improved contract oversight.</w:t>
            </w:r>
          </w:p>
        </w:tc>
      </w:tr>
      <w:tr w:rsidR="00B55F13" w14:paraId="7EBFE321" w14:textId="77777777" w:rsidTr="0038685F">
        <w:tc>
          <w:tcPr>
            <w:tcW w:w="2127" w:type="dxa"/>
            <w:shd w:val="clear" w:color="auto" w:fill="DAE9F7" w:themeFill="text2" w:themeFillTint="1A"/>
          </w:tcPr>
          <w:p w14:paraId="3D114F61" w14:textId="5C59FC7D"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Finance &amp; Business Support</w:t>
            </w:r>
          </w:p>
        </w:tc>
        <w:tc>
          <w:tcPr>
            <w:tcW w:w="2268" w:type="dxa"/>
          </w:tcPr>
          <w:p w14:paraId="5C1F07FD" w14:textId="58EB1ABB" w:rsidR="00B55F13" w:rsidRDefault="00C12F8C" w:rsidP="00833DC4">
            <w:pPr>
              <w:spacing w:line="360" w:lineRule="auto"/>
              <w:jc w:val="left"/>
            </w:pPr>
            <w:r>
              <w:t>Budgeting, planning, cost control.</w:t>
            </w:r>
          </w:p>
        </w:tc>
        <w:tc>
          <w:tcPr>
            <w:tcW w:w="1984" w:type="dxa"/>
          </w:tcPr>
          <w:p w14:paraId="62A5F30A" w14:textId="0310643F" w:rsidR="00B55F13" w:rsidRPr="00FF0AF6" w:rsidRDefault="00635755" w:rsidP="00833DC4">
            <w:pPr>
              <w:spacing w:line="360" w:lineRule="auto"/>
              <w:jc w:val="left"/>
              <w:rPr>
                <w:rFonts w:eastAsia="Times New Roman"/>
                <w:lang w:eastAsia="en-GB"/>
              </w:rPr>
            </w:pPr>
            <w:r w:rsidRPr="00FF0AF6">
              <w:rPr>
                <w:rFonts w:eastAsia="Times New Roman"/>
                <w:lang w:eastAsia="en-GB"/>
              </w:rPr>
              <w:t>Budget pressures</w:t>
            </w:r>
            <w:r w:rsidR="00C12F8C">
              <w:rPr>
                <w:rFonts w:eastAsia="Times New Roman"/>
                <w:lang w:eastAsia="en-GB"/>
              </w:rPr>
              <w:t>.</w:t>
            </w:r>
          </w:p>
        </w:tc>
        <w:tc>
          <w:tcPr>
            <w:tcW w:w="2551" w:type="dxa"/>
          </w:tcPr>
          <w:p w14:paraId="2D826741" w14:textId="127B7D9B" w:rsidR="00B55F13" w:rsidRDefault="00C12F8C" w:rsidP="00833DC4">
            <w:pPr>
              <w:spacing w:line="360" w:lineRule="auto"/>
              <w:jc w:val="left"/>
            </w:pPr>
            <w:r>
              <w:t>Forecasting, cost control systems.</w:t>
            </w:r>
          </w:p>
        </w:tc>
      </w:tr>
      <w:tr w:rsidR="00B55F13" w14:paraId="71F35328" w14:textId="77777777" w:rsidTr="0038685F">
        <w:tc>
          <w:tcPr>
            <w:tcW w:w="2127" w:type="dxa"/>
            <w:shd w:val="clear" w:color="auto" w:fill="DAE9F7" w:themeFill="text2" w:themeFillTint="1A"/>
          </w:tcPr>
          <w:p w14:paraId="227963DF" w14:textId="2C5D7AAC" w:rsidR="00B55F13" w:rsidRPr="00BE0440" w:rsidRDefault="00B55F13" w:rsidP="00BE0440">
            <w:pPr>
              <w:spacing w:line="360" w:lineRule="auto"/>
              <w:jc w:val="left"/>
              <w:rPr>
                <w:color w:val="0F4761" w:themeColor="accent1" w:themeShade="BF"/>
              </w:rPr>
            </w:pPr>
            <w:r w:rsidRPr="00BE0440">
              <w:rPr>
                <w:rFonts w:eastAsia="Times New Roman"/>
                <w:b/>
                <w:bCs/>
                <w:color w:val="0F4761" w:themeColor="accent1" w:themeShade="BF"/>
                <w:lang w:eastAsia="en-GB"/>
              </w:rPr>
              <w:t>Partnerships &amp; Collaboration</w:t>
            </w:r>
          </w:p>
        </w:tc>
        <w:tc>
          <w:tcPr>
            <w:tcW w:w="2268" w:type="dxa"/>
          </w:tcPr>
          <w:p w14:paraId="25F937A8" w14:textId="6DA9A4A8" w:rsidR="00B55F13" w:rsidRDefault="00BC7D9F" w:rsidP="00833DC4">
            <w:pPr>
              <w:spacing w:line="360" w:lineRule="auto"/>
              <w:jc w:val="left"/>
            </w:pPr>
            <w:r>
              <w:t>Council, voluntary sector.</w:t>
            </w:r>
          </w:p>
        </w:tc>
        <w:tc>
          <w:tcPr>
            <w:tcW w:w="1984" w:type="dxa"/>
          </w:tcPr>
          <w:p w14:paraId="6E4D2A04" w14:textId="2FE75E5F" w:rsidR="00B55F13" w:rsidRPr="00FF0AF6" w:rsidRDefault="00BC7D9F" w:rsidP="00833DC4">
            <w:pPr>
              <w:spacing w:line="360" w:lineRule="auto"/>
              <w:jc w:val="left"/>
              <w:rPr>
                <w:rFonts w:eastAsia="Times New Roman"/>
                <w:lang w:eastAsia="en-GB"/>
              </w:rPr>
            </w:pPr>
            <w:r>
              <w:t>Underutilised collaboration.</w:t>
            </w:r>
          </w:p>
        </w:tc>
        <w:tc>
          <w:tcPr>
            <w:tcW w:w="2551" w:type="dxa"/>
          </w:tcPr>
          <w:p w14:paraId="64D8F31C" w14:textId="4B10A22C" w:rsidR="00B55F13" w:rsidRDefault="00770B77" w:rsidP="00833DC4">
            <w:pPr>
              <w:spacing w:line="360" w:lineRule="auto"/>
              <w:jc w:val="left"/>
            </w:pPr>
            <w:r>
              <w:t>Joint retrofit, regeneration projects.</w:t>
            </w:r>
          </w:p>
        </w:tc>
      </w:tr>
    </w:tbl>
    <w:p w14:paraId="036737F0" w14:textId="1DF2D5F1" w:rsidR="009F115F" w:rsidRDefault="0054098E" w:rsidP="0054098E">
      <w:pPr>
        <w:rPr>
          <w:noProof/>
          <w:lang w:val="en-US"/>
        </w:rPr>
      </w:pPr>
      <w:r w:rsidRPr="00DA3B14">
        <w:rPr>
          <w:b/>
          <w:bCs/>
        </w:rPr>
        <w:t>Source:</w:t>
      </w:r>
      <w:r w:rsidRPr="00DA3B14">
        <w:t xml:space="preserve"> </w:t>
      </w:r>
      <w:r w:rsidR="00556A2E">
        <w:t>Author, a</w:t>
      </w:r>
      <w:r w:rsidRPr="00DA3B14">
        <w:t xml:space="preserve">dapted from </w:t>
      </w:r>
      <w:r w:rsidRPr="00DA3B14">
        <w:rPr>
          <w:noProof/>
          <w:lang w:val="en-US"/>
        </w:rPr>
        <w:t xml:space="preserve">Whittington, et al. </w:t>
      </w:r>
      <w:sdt>
        <w:sdtPr>
          <w:rPr>
            <w:noProof/>
            <w:lang w:val="en-US"/>
          </w:rPr>
          <w:id w:val="-2124141778"/>
          <w:citation/>
        </w:sdtPr>
        <w:sdtEndPr/>
        <w:sdtContent>
          <w:r w:rsidRPr="00DA3B14">
            <w:rPr>
              <w:noProof/>
              <w:lang w:val="en-US"/>
            </w:rPr>
            <w:fldChar w:fldCharType="begin"/>
          </w:r>
          <w:r w:rsidRPr="00DA3B14">
            <w:rPr>
              <w:noProof/>
              <w:lang w:val="en-US"/>
            </w:rPr>
            <w:instrText xml:space="preserve">CITATION Whi19 \n  \l 1033 </w:instrText>
          </w:r>
          <w:r w:rsidRPr="00DA3B14">
            <w:rPr>
              <w:noProof/>
              <w:lang w:val="en-US"/>
            </w:rPr>
            <w:fldChar w:fldCharType="separate"/>
          </w:r>
          <w:r w:rsidR="002E53A1" w:rsidRPr="002E53A1">
            <w:rPr>
              <w:noProof/>
              <w:lang w:val="en-US"/>
            </w:rPr>
            <w:t>(2019)</w:t>
          </w:r>
          <w:r w:rsidRPr="00DA3B14">
            <w:rPr>
              <w:noProof/>
              <w:lang w:val="en-US"/>
            </w:rPr>
            <w:fldChar w:fldCharType="end"/>
          </w:r>
        </w:sdtContent>
      </w:sdt>
      <w:r w:rsidRPr="00DA3B14">
        <w:rPr>
          <w:noProof/>
          <w:lang w:val="en-US"/>
        </w:rPr>
        <w:t xml:space="preserve">; Huisman &amp; Czischke </w:t>
      </w:r>
      <w:sdt>
        <w:sdtPr>
          <w:rPr>
            <w:noProof/>
            <w:lang w:val="en-US"/>
          </w:rPr>
          <w:id w:val="-598413232"/>
          <w:citation/>
        </w:sdtPr>
        <w:sdtEndPr/>
        <w:sdtContent>
          <w:r w:rsidRPr="00DA3B14">
            <w:rPr>
              <w:noProof/>
              <w:lang w:val="en-US"/>
            </w:rPr>
            <w:fldChar w:fldCharType="begin"/>
          </w:r>
          <w:r w:rsidRPr="00DA3B14">
            <w:rPr>
              <w:noProof/>
              <w:lang w:val="en-US"/>
            </w:rPr>
            <w:instrText xml:space="preserve">CITATION Hui23 \n  \l 1033 </w:instrText>
          </w:r>
          <w:r w:rsidRPr="00DA3B14">
            <w:rPr>
              <w:noProof/>
              <w:lang w:val="en-US"/>
            </w:rPr>
            <w:fldChar w:fldCharType="separate"/>
          </w:r>
          <w:r w:rsidR="002E53A1" w:rsidRPr="002E53A1">
            <w:rPr>
              <w:noProof/>
              <w:lang w:val="en-US"/>
            </w:rPr>
            <w:t>(2023)</w:t>
          </w:r>
          <w:r w:rsidRPr="00DA3B14">
            <w:rPr>
              <w:noProof/>
              <w:lang w:val="en-US"/>
            </w:rPr>
            <w:fldChar w:fldCharType="end"/>
          </w:r>
        </w:sdtContent>
      </w:sdt>
      <w:r w:rsidRPr="00DA3B14">
        <w:rPr>
          <w:noProof/>
          <w:lang w:val="en-US"/>
        </w:rPr>
        <w:t xml:space="preserve">; Phillips, et al. </w:t>
      </w:r>
      <w:sdt>
        <w:sdtPr>
          <w:rPr>
            <w:noProof/>
            <w:lang w:val="en-US"/>
          </w:rPr>
          <w:id w:val="-1778399934"/>
          <w:citation/>
        </w:sdtPr>
        <w:sdtEndPr/>
        <w:sdtContent>
          <w:r w:rsidRPr="00DA3B14">
            <w:rPr>
              <w:noProof/>
              <w:lang w:val="en-US"/>
            </w:rPr>
            <w:fldChar w:fldCharType="begin"/>
          </w:r>
          <w:r w:rsidRPr="00DA3B14">
            <w:rPr>
              <w:noProof/>
              <w:lang w:val="en-US"/>
            </w:rPr>
            <w:instrText xml:space="preserve">CITATION Phi24 \n  \l 1033 </w:instrText>
          </w:r>
          <w:r w:rsidRPr="00DA3B14">
            <w:rPr>
              <w:noProof/>
              <w:lang w:val="en-US"/>
            </w:rPr>
            <w:fldChar w:fldCharType="separate"/>
          </w:r>
          <w:r w:rsidR="002E53A1" w:rsidRPr="002E53A1">
            <w:rPr>
              <w:noProof/>
              <w:lang w:val="en-US"/>
            </w:rPr>
            <w:t>(2024)</w:t>
          </w:r>
          <w:r w:rsidRPr="00DA3B14">
            <w:rPr>
              <w:noProof/>
              <w:lang w:val="en-US"/>
            </w:rPr>
            <w:fldChar w:fldCharType="end"/>
          </w:r>
        </w:sdtContent>
      </w:sdt>
      <w:r w:rsidR="00702646">
        <w:rPr>
          <w:noProof/>
          <w:lang w:val="en-US"/>
        </w:rPr>
        <w:t xml:space="preserve">; SHP </w:t>
      </w:r>
      <w:sdt>
        <w:sdtPr>
          <w:rPr>
            <w:noProof/>
            <w:lang w:val="en-US"/>
          </w:rPr>
          <w:id w:val="608696605"/>
          <w:citation/>
        </w:sdtPr>
        <w:sdtEndPr/>
        <w:sdtContent>
          <w:r w:rsidR="00702646">
            <w:rPr>
              <w:noProof/>
              <w:lang w:val="en-US"/>
            </w:rPr>
            <w:fldChar w:fldCharType="begin"/>
          </w:r>
          <w:r w:rsidR="00702646">
            <w:rPr>
              <w:noProof/>
              <w:lang w:val="en-US"/>
            </w:rPr>
            <w:instrText xml:space="preserve">CITATION SHP253 \n  \l 1033 </w:instrText>
          </w:r>
          <w:r w:rsidR="00702646">
            <w:rPr>
              <w:noProof/>
              <w:lang w:val="en-US"/>
            </w:rPr>
            <w:fldChar w:fldCharType="separate"/>
          </w:r>
          <w:r w:rsidR="002E53A1" w:rsidRPr="002E53A1">
            <w:rPr>
              <w:noProof/>
              <w:lang w:val="en-US"/>
            </w:rPr>
            <w:t>(2025)</w:t>
          </w:r>
          <w:r w:rsidR="00702646">
            <w:rPr>
              <w:noProof/>
              <w:lang w:val="en-US"/>
            </w:rPr>
            <w:fldChar w:fldCharType="end"/>
          </w:r>
        </w:sdtContent>
      </w:sdt>
    </w:p>
    <w:p w14:paraId="5692D299" w14:textId="607A299A" w:rsidR="00F461BD" w:rsidRPr="0038685F" w:rsidRDefault="00F461BD" w:rsidP="0054098E">
      <w:r>
        <w:t xml:space="preserve">Strengthening digital integration, workforce capability, and asset management is essential to convert operational activities into sustainable service differentiation and regulatory compliance </w:t>
      </w:r>
      <w:sdt>
        <w:sdtPr>
          <w:id w:val="-2064397517"/>
          <w:citation/>
        </w:sdtPr>
        <w:sdtEndPr/>
        <w:sdtContent>
          <w:r w:rsidR="00A57A78">
            <w:fldChar w:fldCharType="begin"/>
          </w:r>
          <w:r w:rsidR="00A57A78">
            <w:rPr>
              <w:lang w:val="en-US"/>
            </w:rPr>
            <w:instrText xml:space="preserve"> CITATION Bry181 \l 1033 </w:instrText>
          </w:r>
          <w:r w:rsidR="00A57A78">
            <w:fldChar w:fldCharType="separate"/>
          </w:r>
          <w:r w:rsidR="002E53A1" w:rsidRPr="002E53A1">
            <w:rPr>
              <w:noProof/>
              <w:lang w:val="en-US"/>
            </w:rPr>
            <w:t>(Bryson, 2018)</w:t>
          </w:r>
          <w:r w:rsidR="00A57A78">
            <w:fldChar w:fldCharType="end"/>
          </w:r>
        </w:sdtContent>
      </w:sdt>
      <w:r>
        <w:t>.</w:t>
      </w:r>
    </w:p>
    <w:p w14:paraId="11F7DE87" w14:textId="5DF429E6" w:rsidR="00336B21" w:rsidRPr="00336B21" w:rsidRDefault="00336B21" w:rsidP="00444ECA">
      <w:pPr>
        <w:pStyle w:val="Heading2"/>
        <w:numPr>
          <w:ilvl w:val="0"/>
          <w:numId w:val="21"/>
        </w:numPr>
      </w:pPr>
      <w:bookmarkStart w:id="15" w:name="_Toc216130272"/>
      <w:r w:rsidRPr="00336B21">
        <w:t>Overall Synthesis</w:t>
      </w:r>
      <w:r w:rsidR="00F91CB5">
        <w:t xml:space="preserve"> and Strategic Implication</w:t>
      </w:r>
      <w:bookmarkEnd w:id="15"/>
    </w:p>
    <w:p w14:paraId="147C9C97" w14:textId="248D7149" w:rsidR="004E1108" w:rsidRDefault="00EC1A07" w:rsidP="00FC4167">
      <w:pPr>
        <w:rPr>
          <w:rFonts w:eastAsia="Times New Roman"/>
          <w:lang w:eastAsia="en-GB"/>
        </w:rPr>
      </w:pPr>
      <w:r>
        <w:t xml:space="preserve">SHP operates in a highly </w:t>
      </w:r>
      <w:r w:rsidRPr="0022398D">
        <w:rPr>
          <w:b/>
          <w:bCs/>
        </w:rPr>
        <w:t>regulated, resource-constrained, and quality-sensitive environment</w:t>
      </w:r>
      <w:r>
        <w:t>, where SME-like limitations</w:t>
      </w:r>
      <w:r w:rsidR="00F91CB5">
        <w:t xml:space="preserve">, </w:t>
      </w:r>
      <w:r>
        <w:t>such as ageing assets, limited workforce capacity, and reliance on external partners</w:t>
      </w:r>
      <w:r w:rsidR="00F91CB5">
        <w:t>-</w:t>
      </w:r>
      <w:r>
        <w:t xml:space="preserve">amplify operational risks. Strengths in resident engagement and partnerships provide a foundation for improvement, yet sustainable performance requires organisational transformation. Strategic priorities must therefore focus on </w:t>
      </w:r>
      <w:r w:rsidRPr="00D37D98">
        <w:rPr>
          <w:b/>
          <w:bCs/>
        </w:rPr>
        <w:t>service quality, digital modernisation, energy efficiency, and capability building</w:t>
      </w:r>
      <w:r>
        <w:t xml:space="preserve">, forming the basis for the </w:t>
      </w:r>
      <w:r w:rsidRPr="00D37D98">
        <w:rPr>
          <w:b/>
          <w:bCs/>
        </w:rPr>
        <w:t xml:space="preserve">Sustainable Homes </w:t>
      </w:r>
      <w:r w:rsidR="00D26985">
        <w:rPr>
          <w:b/>
          <w:bCs/>
        </w:rPr>
        <w:t>and</w:t>
      </w:r>
      <w:r w:rsidRPr="00D37D98">
        <w:rPr>
          <w:b/>
          <w:bCs/>
        </w:rPr>
        <w:t xml:space="preserve"> Communities </w:t>
      </w:r>
      <w:r w:rsidR="001C4372" w:rsidRPr="00D37D98">
        <w:rPr>
          <w:b/>
          <w:bCs/>
        </w:rPr>
        <w:t>S</w:t>
      </w:r>
      <w:r w:rsidRPr="00D37D98">
        <w:rPr>
          <w:b/>
          <w:bCs/>
        </w:rPr>
        <w:t>trategy</w:t>
      </w:r>
      <w:r>
        <w:t xml:space="preserve"> outlined in Section 5 </w:t>
      </w:r>
      <w:sdt>
        <w:sdtPr>
          <w:id w:val="-1141574273"/>
          <w:citation/>
        </w:sdtPr>
        <w:sdtEndPr/>
        <w:sdtContent>
          <w:r w:rsidR="001C4372">
            <w:fldChar w:fldCharType="begin"/>
          </w:r>
          <w:r w:rsidR="001C4372">
            <w:rPr>
              <w:lang w:val="en-US"/>
            </w:rPr>
            <w:instrText xml:space="preserve"> CITATION Bry181 \l 1033  \m Din24 \m Lev24</w:instrText>
          </w:r>
          <w:r w:rsidR="001C4372">
            <w:fldChar w:fldCharType="separate"/>
          </w:r>
          <w:r w:rsidR="002E53A1" w:rsidRPr="002E53A1">
            <w:rPr>
              <w:noProof/>
              <w:lang w:val="en-US"/>
            </w:rPr>
            <w:t>(Bryson, 2018; Ding &amp; Sun, 2024; Levelling UP, Housing and Communities Committee, 2024)</w:t>
          </w:r>
          <w:r w:rsidR="001C4372">
            <w:fldChar w:fldCharType="end"/>
          </w:r>
        </w:sdtContent>
      </w:sdt>
      <w:r w:rsidR="001C4372">
        <w:t>.</w:t>
      </w:r>
    </w:p>
    <w:p w14:paraId="32BC1180" w14:textId="372988FE" w:rsidR="00A60C70" w:rsidRPr="0076253A" w:rsidRDefault="00A60C70" w:rsidP="006E02F8">
      <w:pPr>
        <w:pStyle w:val="Heading1"/>
        <w:numPr>
          <w:ilvl w:val="0"/>
          <w:numId w:val="16"/>
        </w:numPr>
        <w:rPr>
          <w:rFonts w:eastAsia="Times New Roman" w:cs="Arial"/>
          <w:szCs w:val="22"/>
          <w:lang w:eastAsia="en-GB"/>
        </w:rPr>
      </w:pPr>
      <w:bookmarkStart w:id="16" w:name="_Toc216130273"/>
      <w:r>
        <w:t>Strategic Growth Choices</w:t>
      </w:r>
      <w:r w:rsidR="00B076D2">
        <w:t xml:space="preserve"> for SM</w:t>
      </w:r>
      <w:r w:rsidR="007A0815">
        <w:t>Es</w:t>
      </w:r>
      <w:bookmarkEnd w:id="16"/>
    </w:p>
    <w:p w14:paraId="57E16474" w14:textId="2B767A9D" w:rsidR="00BD1F02" w:rsidRPr="00D231D4" w:rsidRDefault="00D231D4" w:rsidP="002E097F">
      <w:pPr>
        <w:pStyle w:val="NormalWeb"/>
        <w:spacing w:line="360" w:lineRule="auto"/>
        <w:jc w:val="both"/>
        <w:rPr>
          <w:rFonts w:ascii="Arial" w:hAnsi="Arial" w:cs="Arial"/>
          <w:i w:val="0"/>
          <w:iCs w:val="0"/>
          <w:kern w:val="0"/>
          <w:sz w:val="22"/>
          <w:szCs w:val="22"/>
          <w14:ligatures w14:val="none"/>
        </w:rPr>
      </w:pPr>
      <w:r w:rsidRPr="00D231D4">
        <w:rPr>
          <w:rFonts w:ascii="Arial" w:hAnsi="Arial" w:cs="Arial"/>
          <w:i w:val="0"/>
          <w:iCs w:val="0"/>
          <w:kern w:val="0"/>
          <w:sz w:val="22"/>
          <w:szCs w:val="22"/>
          <w14:ligatures w14:val="none"/>
        </w:rPr>
        <w:t>SMEs face structural constraints</w:t>
      </w:r>
      <w:r>
        <w:rPr>
          <w:rFonts w:ascii="Arial" w:hAnsi="Arial" w:cs="Arial"/>
          <w:i w:val="0"/>
          <w:iCs w:val="0"/>
          <w:kern w:val="0"/>
          <w:sz w:val="22"/>
          <w:szCs w:val="22"/>
          <w14:ligatures w14:val="none"/>
        </w:rPr>
        <w:t>-</w:t>
      </w:r>
      <w:r w:rsidRPr="00D231D4">
        <w:rPr>
          <w:rFonts w:ascii="Arial" w:hAnsi="Arial" w:cs="Arial"/>
          <w:i w:val="0"/>
          <w:iCs w:val="0"/>
          <w:kern w:val="0"/>
          <w:sz w:val="22"/>
          <w:szCs w:val="22"/>
          <w14:ligatures w14:val="none"/>
        </w:rPr>
        <w:t>limited capital, small workforces, and gradual innovation</w:t>
      </w:r>
      <w:r>
        <w:rPr>
          <w:rFonts w:ascii="Arial" w:hAnsi="Arial" w:cs="Arial"/>
          <w:i w:val="0"/>
          <w:iCs w:val="0"/>
          <w:kern w:val="0"/>
          <w:sz w:val="22"/>
          <w:szCs w:val="22"/>
          <w14:ligatures w14:val="none"/>
        </w:rPr>
        <w:t xml:space="preserve">, </w:t>
      </w:r>
      <w:r w:rsidRPr="00D231D4">
        <w:rPr>
          <w:rFonts w:ascii="Arial" w:hAnsi="Arial" w:cs="Arial"/>
          <w:i w:val="0"/>
          <w:iCs w:val="0"/>
          <w:kern w:val="0"/>
          <w:sz w:val="22"/>
          <w:szCs w:val="22"/>
          <w14:ligatures w14:val="none"/>
        </w:rPr>
        <w:t xml:space="preserve">that restrict high-risk growth </w:t>
      </w:r>
      <w:sdt>
        <w:sdtPr>
          <w:rPr>
            <w:rFonts w:ascii="Arial" w:hAnsi="Arial" w:cs="Arial"/>
            <w:i w:val="0"/>
            <w:iCs w:val="0"/>
            <w:kern w:val="0"/>
            <w:sz w:val="22"/>
            <w:szCs w:val="22"/>
            <w14:ligatures w14:val="none"/>
          </w:rPr>
          <w:id w:val="-502285874"/>
          <w:citation/>
        </w:sdtPr>
        <w:sdtEndPr/>
        <w:sdtContent>
          <w:r w:rsidR="00133144" w:rsidRPr="00133144">
            <w:rPr>
              <w:rFonts w:ascii="Arial" w:hAnsi="Arial" w:cs="Arial"/>
              <w:i w:val="0"/>
              <w:iCs w:val="0"/>
              <w:kern w:val="0"/>
              <w:sz w:val="22"/>
              <w:szCs w:val="22"/>
              <w14:ligatures w14:val="none"/>
            </w:rPr>
            <w:fldChar w:fldCharType="begin"/>
          </w:r>
          <w:r w:rsidR="00133144" w:rsidRPr="00133144">
            <w:rPr>
              <w:rFonts w:ascii="Arial" w:hAnsi="Arial" w:cs="Arial"/>
              <w:i w:val="0"/>
              <w:iCs w:val="0"/>
              <w:kern w:val="0"/>
              <w:sz w:val="22"/>
              <w:szCs w:val="22"/>
              <w:lang w:val="en-US"/>
              <w14:ligatures w14:val="none"/>
            </w:rPr>
            <w:instrText xml:space="preserve"> CITATION Bur22 \l 1033 </w:instrText>
          </w:r>
          <w:r w:rsidR="00133144" w:rsidRPr="00133144">
            <w:rPr>
              <w:rFonts w:ascii="Arial" w:hAnsi="Arial" w:cs="Arial"/>
              <w:i w:val="0"/>
              <w:iCs w:val="0"/>
              <w:kern w:val="0"/>
              <w:sz w:val="22"/>
              <w:szCs w:val="22"/>
              <w14:ligatures w14:val="none"/>
            </w:rPr>
            <w:fldChar w:fldCharType="separate"/>
          </w:r>
          <w:r w:rsidR="00133144" w:rsidRPr="00133144">
            <w:rPr>
              <w:rFonts w:ascii="Arial" w:hAnsi="Arial" w:cs="Arial"/>
              <w:i w:val="0"/>
              <w:iCs w:val="0"/>
              <w:noProof/>
              <w:kern w:val="0"/>
              <w:sz w:val="22"/>
              <w:szCs w:val="22"/>
              <w:lang w:val="en-US"/>
              <w14:ligatures w14:val="none"/>
            </w:rPr>
            <w:t>(Burns, 2022)</w:t>
          </w:r>
          <w:r w:rsidR="00133144" w:rsidRPr="00133144">
            <w:rPr>
              <w:rFonts w:ascii="Arial" w:hAnsi="Arial" w:cs="Arial"/>
              <w:i w:val="0"/>
              <w:iCs w:val="0"/>
              <w:kern w:val="0"/>
              <w:sz w:val="22"/>
              <w:szCs w:val="22"/>
              <w14:ligatures w14:val="none"/>
            </w:rPr>
            <w:fldChar w:fldCharType="end"/>
          </w:r>
        </w:sdtContent>
      </w:sdt>
      <w:r w:rsidRPr="00D231D4">
        <w:rPr>
          <w:rFonts w:ascii="Arial" w:hAnsi="Arial" w:cs="Arial"/>
          <w:i w:val="0"/>
          <w:iCs w:val="0"/>
          <w:kern w:val="0"/>
          <w:sz w:val="22"/>
          <w:szCs w:val="22"/>
          <w14:ligatures w14:val="none"/>
        </w:rPr>
        <w:t xml:space="preserve">. SHP’s ALMO status, regulatory obligations, and reliance on LBS intensify these limits. Thus, growth strategies must focus on low-risk, capability-building, and partnership-driven options </w:t>
      </w:r>
      <w:sdt>
        <w:sdtPr>
          <w:rPr>
            <w:rFonts w:ascii="Arial" w:hAnsi="Arial" w:cs="Arial"/>
            <w:i w:val="0"/>
            <w:iCs w:val="0"/>
            <w:kern w:val="0"/>
            <w:sz w:val="22"/>
            <w:szCs w:val="22"/>
            <w14:ligatures w14:val="none"/>
          </w:rPr>
          <w:id w:val="-924032337"/>
          <w:citation/>
        </w:sdtPr>
        <w:sdtEndPr/>
        <w:sdtContent>
          <w:r w:rsidR="00133144" w:rsidRPr="00133144">
            <w:rPr>
              <w:rFonts w:ascii="Arial" w:hAnsi="Arial" w:cs="Arial"/>
              <w:i w:val="0"/>
              <w:iCs w:val="0"/>
              <w:kern w:val="0"/>
              <w:sz w:val="22"/>
              <w:szCs w:val="22"/>
              <w14:ligatures w14:val="none"/>
            </w:rPr>
            <w:fldChar w:fldCharType="begin"/>
          </w:r>
          <w:r w:rsidR="00133144" w:rsidRPr="00133144">
            <w:rPr>
              <w:rFonts w:ascii="Arial" w:hAnsi="Arial" w:cs="Arial"/>
              <w:i w:val="0"/>
              <w:iCs w:val="0"/>
              <w:kern w:val="0"/>
              <w:sz w:val="22"/>
              <w:szCs w:val="22"/>
              <w:lang w:val="en-US"/>
              <w14:ligatures w14:val="none"/>
            </w:rPr>
            <w:instrText xml:space="preserve"> CITATION Bry181 \l 1033 </w:instrText>
          </w:r>
          <w:r w:rsidR="00133144" w:rsidRPr="00133144">
            <w:rPr>
              <w:rFonts w:ascii="Arial" w:hAnsi="Arial" w:cs="Arial"/>
              <w:i w:val="0"/>
              <w:iCs w:val="0"/>
              <w:kern w:val="0"/>
              <w:sz w:val="22"/>
              <w:szCs w:val="22"/>
              <w14:ligatures w14:val="none"/>
            </w:rPr>
            <w:fldChar w:fldCharType="separate"/>
          </w:r>
          <w:r w:rsidR="00133144" w:rsidRPr="00133144">
            <w:rPr>
              <w:rFonts w:ascii="Arial" w:hAnsi="Arial" w:cs="Arial"/>
              <w:i w:val="0"/>
              <w:iCs w:val="0"/>
              <w:noProof/>
              <w:kern w:val="0"/>
              <w:sz w:val="22"/>
              <w:szCs w:val="22"/>
              <w:lang w:val="en-US"/>
              <w14:ligatures w14:val="none"/>
            </w:rPr>
            <w:t>(Bryson, 2018)</w:t>
          </w:r>
          <w:r w:rsidR="00133144" w:rsidRPr="00133144">
            <w:rPr>
              <w:rFonts w:ascii="Arial" w:hAnsi="Arial" w:cs="Arial"/>
              <w:i w:val="0"/>
              <w:iCs w:val="0"/>
              <w:kern w:val="0"/>
              <w:sz w:val="22"/>
              <w:szCs w:val="22"/>
              <w14:ligatures w14:val="none"/>
            </w:rPr>
            <w:fldChar w:fldCharType="end"/>
          </w:r>
        </w:sdtContent>
      </w:sdt>
      <w:r w:rsidRPr="00D231D4">
        <w:rPr>
          <w:rFonts w:ascii="Arial" w:hAnsi="Arial" w:cs="Arial"/>
          <w:i w:val="0"/>
          <w:iCs w:val="0"/>
          <w:kern w:val="0"/>
          <w:sz w:val="22"/>
          <w:szCs w:val="22"/>
          <w14:ligatures w14:val="none"/>
        </w:rPr>
        <w:t xml:space="preserve">. </w:t>
      </w:r>
      <w:r w:rsidRPr="00133144">
        <w:rPr>
          <w:rFonts w:ascii="Arial" w:hAnsi="Arial" w:cs="Arial"/>
          <w:b/>
          <w:bCs/>
          <w:i w:val="0"/>
          <w:iCs w:val="0"/>
          <w:kern w:val="0"/>
          <w:sz w:val="22"/>
          <w:szCs w:val="22"/>
          <w14:ligatures w14:val="none"/>
        </w:rPr>
        <w:t>Porter’s Generic Strategies, the Ansoff Matrix, and Bowman’s Strategic Clock</w:t>
      </w:r>
      <w:r w:rsidRPr="00D231D4">
        <w:rPr>
          <w:rFonts w:ascii="Arial" w:hAnsi="Arial" w:cs="Arial"/>
          <w:i w:val="0"/>
          <w:iCs w:val="0"/>
          <w:kern w:val="0"/>
          <w:sz w:val="22"/>
          <w:szCs w:val="22"/>
          <w14:ligatures w14:val="none"/>
        </w:rPr>
        <w:t xml:space="preserve"> are applied to identify SHP’s suitable growth pathways.</w:t>
      </w:r>
    </w:p>
    <w:p w14:paraId="6F9CC277" w14:textId="73B4CDC3" w:rsidR="006B3762" w:rsidRPr="006B3762" w:rsidRDefault="006B3762" w:rsidP="00444ECA">
      <w:pPr>
        <w:pStyle w:val="Heading2"/>
        <w:numPr>
          <w:ilvl w:val="0"/>
          <w:numId w:val="3"/>
        </w:numPr>
      </w:pPr>
      <w:bookmarkStart w:id="17" w:name="_Toc216130274"/>
      <w:r w:rsidRPr="006B3762">
        <w:t>Porter’s Generic Strategies</w:t>
      </w:r>
      <w:bookmarkEnd w:id="17"/>
    </w:p>
    <w:p w14:paraId="7D8F5F54" w14:textId="186CA878" w:rsidR="00441AC9" w:rsidRPr="00FE76CE" w:rsidRDefault="00370DCC" w:rsidP="00FE76CE">
      <w:pPr>
        <w:pStyle w:val="NormalWeb"/>
        <w:spacing w:line="360" w:lineRule="auto"/>
        <w:jc w:val="both"/>
        <w:rPr>
          <w:rFonts w:ascii="Arial" w:hAnsi="Arial" w:cs="Arial"/>
          <w:i w:val="0"/>
          <w:iCs w:val="0"/>
          <w:sz w:val="22"/>
          <w:szCs w:val="22"/>
        </w:rPr>
      </w:pPr>
      <w:r w:rsidRPr="00B07DBC">
        <w:rPr>
          <w:rFonts w:ascii="Arial" w:hAnsi="Arial" w:cs="Arial"/>
          <w:i w:val="0"/>
          <w:iCs w:val="0"/>
          <w:sz w:val="22"/>
          <w:szCs w:val="22"/>
        </w:rPr>
        <w:t xml:space="preserve">Porter </w:t>
      </w:r>
      <w:sdt>
        <w:sdtPr>
          <w:rPr>
            <w:rFonts w:ascii="Arial" w:hAnsi="Arial" w:cs="Arial"/>
            <w:i w:val="0"/>
            <w:iCs w:val="0"/>
            <w:sz w:val="22"/>
            <w:szCs w:val="22"/>
          </w:rPr>
          <w:id w:val="95303073"/>
          <w:citation/>
        </w:sdtPr>
        <w:sdtEndPr/>
        <w:sdtContent>
          <w:r w:rsidR="00F11D52" w:rsidRPr="007731A6">
            <w:rPr>
              <w:rFonts w:ascii="Arial" w:hAnsi="Arial" w:cs="Arial"/>
              <w:i w:val="0"/>
              <w:iCs w:val="0"/>
              <w:sz w:val="22"/>
              <w:szCs w:val="22"/>
            </w:rPr>
            <w:fldChar w:fldCharType="begin"/>
          </w:r>
          <w:r w:rsidR="00F11D52" w:rsidRPr="007731A6">
            <w:rPr>
              <w:rFonts w:ascii="Arial" w:hAnsi="Arial" w:cs="Arial"/>
              <w:i w:val="0"/>
              <w:iCs w:val="0"/>
              <w:sz w:val="22"/>
              <w:szCs w:val="22"/>
              <w:lang w:val="en-US"/>
            </w:rPr>
            <w:instrText xml:space="preserve">CITATION Por08 \n  \l 1033 </w:instrText>
          </w:r>
          <w:r w:rsidR="00F11D52" w:rsidRPr="007731A6">
            <w:rPr>
              <w:rFonts w:ascii="Arial" w:hAnsi="Arial" w:cs="Arial"/>
              <w:i w:val="0"/>
              <w:iCs w:val="0"/>
              <w:sz w:val="22"/>
              <w:szCs w:val="22"/>
            </w:rPr>
            <w:fldChar w:fldCharType="separate"/>
          </w:r>
          <w:r w:rsidR="002E53A1" w:rsidRPr="007731A6">
            <w:rPr>
              <w:rFonts w:ascii="Arial" w:hAnsi="Arial"/>
              <w:i w:val="0"/>
              <w:iCs w:val="0"/>
              <w:noProof/>
              <w:sz w:val="22"/>
              <w:lang w:val="en-US"/>
            </w:rPr>
            <w:t>(2008)</w:t>
          </w:r>
          <w:r w:rsidR="00F11D52" w:rsidRPr="007731A6">
            <w:rPr>
              <w:rFonts w:ascii="Arial" w:hAnsi="Arial" w:cs="Arial"/>
              <w:i w:val="0"/>
              <w:iCs w:val="0"/>
              <w:sz w:val="22"/>
              <w:szCs w:val="22"/>
            </w:rPr>
            <w:fldChar w:fldCharType="end"/>
          </w:r>
        </w:sdtContent>
      </w:sdt>
      <w:r w:rsidRPr="00B07DBC">
        <w:rPr>
          <w:rFonts w:ascii="Arial" w:hAnsi="Arial" w:cs="Arial"/>
          <w:i w:val="0"/>
          <w:iCs w:val="0"/>
          <w:sz w:val="22"/>
          <w:szCs w:val="22"/>
        </w:rPr>
        <w:t xml:space="preserve"> </w:t>
      </w:r>
      <w:r w:rsidR="00FE76CE" w:rsidRPr="00FE76CE">
        <w:rPr>
          <w:rFonts w:ascii="Arial" w:hAnsi="Arial" w:cs="Arial"/>
          <w:i w:val="0"/>
          <w:iCs w:val="0"/>
          <w:sz w:val="22"/>
          <w:szCs w:val="22"/>
        </w:rPr>
        <w:t xml:space="preserve">identifies </w:t>
      </w:r>
      <w:r w:rsidR="00FE76CE" w:rsidRPr="0099168A">
        <w:rPr>
          <w:rFonts w:ascii="Arial" w:hAnsi="Arial" w:cs="Arial"/>
          <w:b/>
          <w:bCs/>
          <w:i w:val="0"/>
          <w:iCs w:val="0"/>
          <w:sz w:val="22"/>
          <w:szCs w:val="22"/>
        </w:rPr>
        <w:t>cost leadership, differentiation, and focus strategies</w:t>
      </w:r>
      <w:r w:rsidR="00FE76CE" w:rsidRPr="00FE76CE">
        <w:rPr>
          <w:rFonts w:ascii="Arial" w:hAnsi="Arial" w:cs="Arial"/>
          <w:i w:val="0"/>
          <w:iCs w:val="0"/>
          <w:sz w:val="22"/>
          <w:szCs w:val="22"/>
        </w:rPr>
        <w:t xml:space="preserve">. Cost leadership is unsuitable for SHP, as statutory obligations and SME-like resource limits prevent meaningful cost reduction without compromising compliance or service quality. Differentiation, through service excellence, digital access, and transparent communication, aligns with tenant expectations and regulatory standards. Focus strategy is also relevant, targeting vulnerable tenants and priority estates. </w:t>
      </w:r>
      <w:r w:rsidR="00FE76CE" w:rsidRPr="007B5544">
        <w:rPr>
          <w:rFonts w:ascii="Arial" w:hAnsi="Arial" w:cs="Arial"/>
          <w:b/>
          <w:bCs/>
          <w:i w:val="0"/>
          <w:iCs w:val="0"/>
          <w:sz w:val="22"/>
          <w:szCs w:val="22"/>
        </w:rPr>
        <w:t>Table 6</w:t>
      </w:r>
      <w:r w:rsidR="00FE76CE" w:rsidRPr="00FE76CE">
        <w:rPr>
          <w:rFonts w:ascii="Arial" w:hAnsi="Arial" w:cs="Arial"/>
          <w:i w:val="0"/>
          <w:iCs w:val="0"/>
          <w:sz w:val="22"/>
          <w:szCs w:val="22"/>
        </w:rPr>
        <w:t xml:space="preserve"> confirms that differentiation and focus are SHP’s only viable strategic options.</w:t>
      </w:r>
    </w:p>
    <w:p w14:paraId="6B500CA1" w14:textId="5B86B3A2" w:rsidR="003B292C" w:rsidRPr="003B292C" w:rsidRDefault="003B292C" w:rsidP="00BB2524">
      <w:pPr>
        <w:pStyle w:val="Caption"/>
        <w:keepNext/>
        <w:spacing w:line="360" w:lineRule="auto"/>
        <w:rPr>
          <w:color w:val="0F4761" w:themeColor="accent1" w:themeShade="BF"/>
          <w:sz w:val="22"/>
        </w:rPr>
      </w:pPr>
      <w:bookmarkStart w:id="18" w:name="_Toc215910537"/>
      <w:r w:rsidRPr="003B292C">
        <w:rPr>
          <w:color w:val="0F4761" w:themeColor="accent1" w:themeShade="BF"/>
          <w:sz w:val="22"/>
        </w:rPr>
        <w:t xml:space="preserve">Table </w:t>
      </w:r>
      <w:r w:rsidRPr="003B292C">
        <w:rPr>
          <w:color w:val="0F4761" w:themeColor="accent1" w:themeShade="BF"/>
          <w:sz w:val="22"/>
        </w:rPr>
        <w:fldChar w:fldCharType="begin"/>
      </w:r>
      <w:r w:rsidRPr="003B292C">
        <w:rPr>
          <w:color w:val="0F4761" w:themeColor="accent1" w:themeShade="BF"/>
          <w:sz w:val="22"/>
        </w:rPr>
        <w:instrText xml:space="preserve"> SEQ Table \* ARABIC </w:instrText>
      </w:r>
      <w:r w:rsidRPr="003B292C">
        <w:rPr>
          <w:color w:val="0F4761" w:themeColor="accent1" w:themeShade="BF"/>
          <w:sz w:val="22"/>
        </w:rPr>
        <w:fldChar w:fldCharType="separate"/>
      </w:r>
      <w:r w:rsidR="00A20D63">
        <w:rPr>
          <w:noProof/>
          <w:color w:val="0F4761" w:themeColor="accent1" w:themeShade="BF"/>
          <w:sz w:val="22"/>
        </w:rPr>
        <w:t>6</w:t>
      </w:r>
      <w:r w:rsidRPr="003B292C">
        <w:rPr>
          <w:color w:val="0F4761" w:themeColor="accent1" w:themeShade="BF"/>
          <w:sz w:val="22"/>
        </w:rPr>
        <w:fldChar w:fldCharType="end"/>
      </w:r>
      <w:r w:rsidRPr="003B292C">
        <w:rPr>
          <w:color w:val="0F4761" w:themeColor="accent1" w:themeShade="BF"/>
          <w:sz w:val="22"/>
        </w:rPr>
        <w:t xml:space="preserve"> Porter's Generic Strategies</w:t>
      </w:r>
      <w:bookmarkEnd w:id="18"/>
    </w:p>
    <w:tbl>
      <w:tblPr>
        <w:tblStyle w:val="TableGrid"/>
        <w:tblW w:w="0" w:type="auto"/>
        <w:tblLook w:val="04A0" w:firstRow="1" w:lastRow="0" w:firstColumn="1" w:lastColumn="0" w:noHBand="0" w:noVBand="1"/>
      </w:tblPr>
      <w:tblGrid>
        <w:gridCol w:w="1708"/>
        <w:gridCol w:w="1973"/>
        <w:gridCol w:w="2268"/>
        <w:gridCol w:w="3067"/>
      </w:tblGrid>
      <w:tr w:rsidR="00A97A25" w:rsidRPr="00ED1DB8" w14:paraId="0E3B61A3" w14:textId="77777777" w:rsidTr="0099168A">
        <w:trPr>
          <w:tblHeader/>
        </w:trPr>
        <w:tc>
          <w:tcPr>
            <w:tcW w:w="1708" w:type="dxa"/>
            <w:shd w:val="clear" w:color="auto" w:fill="DAE9F7" w:themeFill="text2" w:themeFillTint="1A"/>
          </w:tcPr>
          <w:p w14:paraId="0FE3F4E7" w14:textId="6618D474" w:rsidR="00ED1DB8" w:rsidRPr="00BB2524" w:rsidRDefault="00ED1DB8" w:rsidP="00BB2524">
            <w:pPr>
              <w:spacing w:line="360" w:lineRule="auto"/>
              <w:rPr>
                <w:color w:val="0F4761" w:themeColor="accent1" w:themeShade="BF"/>
              </w:rPr>
            </w:pPr>
            <w:r w:rsidRPr="00BB2524">
              <w:rPr>
                <w:rFonts w:eastAsia="Times New Roman"/>
                <w:b/>
                <w:bCs/>
                <w:color w:val="0F4761" w:themeColor="accent1" w:themeShade="BF"/>
                <w:lang w:eastAsia="en-GB"/>
              </w:rPr>
              <w:t>Strategy</w:t>
            </w:r>
          </w:p>
        </w:tc>
        <w:tc>
          <w:tcPr>
            <w:tcW w:w="1973" w:type="dxa"/>
            <w:shd w:val="clear" w:color="auto" w:fill="DAE9F7" w:themeFill="text2" w:themeFillTint="1A"/>
          </w:tcPr>
          <w:p w14:paraId="3736FC70" w14:textId="3AF9EFAF" w:rsidR="00ED1DB8" w:rsidRPr="00BB2524" w:rsidRDefault="00ED1DB8" w:rsidP="00BB2524">
            <w:pPr>
              <w:spacing w:line="360" w:lineRule="auto"/>
              <w:jc w:val="left"/>
              <w:rPr>
                <w:color w:val="0F4761" w:themeColor="accent1" w:themeShade="BF"/>
              </w:rPr>
            </w:pPr>
            <w:r w:rsidRPr="00BB2524">
              <w:rPr>
                <w:rFonts w:eastAsia="Times New Roman"/>
                <w:b/>
                <w:bCs/>
                <w:color w:val="0F4761" w:themeColor="accent1" w:themeShade="BF"/>
                <w:lang w:eastAsia="en-GB"/>
              </w:rPr>
              <w:t xml:space="preserve">Definition </w:t>
            </w:r>
          </w:p>
        </w:tc>
        <w:tc>
          <w:tcPr>
            <w:tcW w:w="2268" w:type="dxa"/>
            <w:shd w:val="clear" w:color="auto" w:fill="DAE9F7" w:themeFill="text2" w:themeFillTint="1A"/>
          </w:tcPr>
          <w:p w14:paraId="537F2935" w14:textId="6BEC8DF0" w:rsidR="00ED1DB8" w:rsidRPr="00BB2524" w:rsidRDefault="00ED1DB8" w:rsidP="00BB2524">
            <w:pPr>
              <w:spacing w:beforeAutospacing="0" w:line="360" w:lineRule="auto"/>
              <w:jc w:val="left"/>
              <w:rPr>
                <w:color w:val="0F4761" w:themeColor="accent1" w:themeShade="BF"/>
              </w:rPr>
            </w:pPr>
            <w:r w:rsidRPr="00BB2524">
              <w:rPr>
                <w:rFonts w:eastAsia="Times New Roman"/>
                <w:b/>
                <w:bCs/>
                <w:color w:val="0F4761" w:themeColor="accent1" w:themeShade="BF"/>
                <w:lang w:eastAsia="en-GB"/>
              </w:rPr>
              <w:t>Relevance to SHP</w:t>
            </w:r>
          </w:p>
        </w:tc>
        <w:tc>
          <w:tcPr>
            <w:tcW w:w="3067" w:type="dxa"/>
            <w:shd w:val="clear" w:color="auto" w:fill="DAE9F7" w:themeFill="text2" w:themeFillTint="1A"/>
          </w:tcPr>
          <w:p w14:paraId="505CABE5" w14:textId="164D9540" w:rsidR="00ED1DB8" w:rsidRPr="00BB2524" w:rsidRDefault="00ED1DB8" w:rsidP="00BB2524">
            <w:pPr>
              <w:spacing w:line="360" w:lineRule="auto"/>
              <w:jc w:val="left"/>
              <w:rPr>
                <w:color w:val="0F4761" w:themeColor="accent1" w:themeShade="BF"/>
              </w:rPr>
            </w:pPr>
            <w:r w:rsidRPr="00BB2524">
              <w:rPr>
                <w:rFonts w:eastAsia="Times New Roman"/>
                <w:b/>
                <w:bCs/>
                <w:color w:val="0F4761" w:themeColor="accent1" w:themeShade="BF"/>
                <w:lang w:eastAsia="en-GB"/>
              </w:rPr>
              <w:t>Implications</w:t>
            </w:r>
          </w:p>
        </w:tc>
      </w:tr>
      <w:tr w:rsidR="00A97A25" w:rsidRPr="00ED1DB8" w14:paraId="03E1B1F2" w14:textId="77777777" w:rsidTr="0098639E">
        <w:tc>
          <w:tcPr>
            <w:tcW w:w="1708" w:type="dxa"/>
            <w:shd w:val="clear" w:color="auto" w:fill="DAE9F7" w:themeFill="text2" w:themeFillTint="1A"/>
          </w:tcPr>
          <w:p w14:paraId="171D5DD8" w14:textId="2774E2DC" w:rsidR="00ED1DB8" w:rsidRPr="00BB2524" w:rsidRDefault="00ED1DB8" w:rsidP="00BB2524">
            <w:pPr>
              <w:spacing w:line="360" w:lineRule="auto"/>
              <w:rPr>
                <w:color w:val="0F4761" w:themeColor="accent1" w:themeShade="BF"/>
              </w:rPr>
            </w:pPr>
            <w:r w:rsidRPr="00BB2524">
              <w:rPr>
                <w:rFonts w:eastAsia="Times New Roman"/>
                <w:b/>
                <w:bCs/>
                <w:color w:val="0F4761" w:themeColor="accent1" w:themeShade="BF"/>
                <w:lang w:eastAsia="en-GB"/>
              </w:rPr>
              <w:t>Cost Leadership</w:t>
            </w:r>
          </w:p>
        </w:tc>
        <w:tc>
          <w:tcPr>
            <w:tcW w:w="1973" w:type="dxa"/>
          </w:tcPr>
          <w:p w14:paraId="5CA5E0B6" w14:textId="53819F60" w:rsidR="00ED1DB8" w:rsidRPr="00ED1DB8" w:rsidRDefault="00B54FCC" w:rsidP="00BB2524">
            <w:pPr>
              <w:spacing w:line="360" w:lineRule="auto"/>
              <w:jc w:val="left"/>
            </w:pPr>
            <w:r>
              <w:t>Delivering services at</w:t>
            </w:r>
            <w:r w:rsidR="004F3BE9">
              <w:t xml:space="preserve"> the</w:t>
            </w:r>
            <w:r>
              <w:t xml:space="preserve"> lowest </w:t>
            </w:r>
            <w:r w:rsidR="004F3BE9">
              <w:t xml:space="preserve">possible </w:t>
            </w:r>
            <w:r>
              <w:t>cost</w:t>
            </w:r>
            <w:r w:rsidR="00DF70B0">
              <w:t>.</w:t>
            </w:r>
          </w:p>
        </w:tc>
        <w:tc>
          <w:tcPr>
            <w:tcW w:w="2268" w:type="dxa"/>
          </w:tcPr>
          <w:p w14:paraId="62AA9DA0" w14:textId="282DA5E3" w:rsidR="00ED1DB8" w:rsidRPr="00ED1DB8" w:rsidRDefault="006C4AD7" w:rsidP="00BB2524">
            <w:pPr>
              <w:spacing w:line="360" w:lineRule="auto"/>
              <w:jc w:val="left"/>
            </w:pPr>
            <w:r w:rsidRPr="00155704">
              <w:rPr>
                <w:b/>
                <w:bCs/>
              </w:rPr>
              <w:t>Low</w:t>
            </w:r>
            <w:r>
              <w:t xml:space="preserve"> feasibility due to statutory housing standards and ageing stock</w:t>
            </w:r>
            <w:r w:rsidR="000B403A">
              <w:t>.</w:t>
            </w:r>
          </w:p>
        </w:tc>
        <w:tc>
          <w:tcPr>
            <w:tcW w:w="3067" w:type="dxa"/>
          </w:tcPr>
          <w:p w14:paraId="466DF876" w14:textId="509967BD" w:rsidR="00ED1DB8" w:rsidRPr="00D5649E" w:rsidRDefault="000B403A" w:rsidP="00BB2524">
            <w:pPr>
              <w:spacing w:line="360" w:lineRule="auto"/>
              <w:jc w:val="left"/>
              <w:rPr>
                <w:rFonts w:eastAsia="Times New Roman"/>
                <w:lang w:eastAsia="en-GB"/>
              </w:rPr>
            </w:pPr>
            <w:r>
              <w:t>Savings achievable through digital efficiencies and procurement reform, but not as primary strategy.</w:t>
            </w:r>
          </w:p>
        </w:tc>
      </w:tr>
      <w:tr w:rsidR="00A97A25" w:rsidRPr="00ED1DB8" w14:paraId="632E84CB" w14:textId="77777777" w:rsidTr="0098639E">
        <w:tc>
          <w:tcPr>
            <w:tcW w:w="1708" w:type="dxa"/>
            <w:shd w:val="clear" w:color="auto" w:fill="DAE9F7" w:themeFill="text2" w:themeFillTint="1A"/>
            <w:vAlign w:val="center"/>
          </w:tcPr>
          <w:p w14:paraId="047433AF" w14:textId="75B4B074" w:rsidR="00ED1DB8" w:rsidRPr="00BB2524" w:rsidRDefault="00ED1DB8" w:rsidP="00BB2524">
            <w:pPr>
              <w:spacing w:line="360" w:lineRule="auto"/>
              <w:rPr>
                <w:color w:val="0F4761" w:themeColor="accent1" w:themeShade="BF"/>
              </w:rPr>
            </w:pPr>
            <w:r w:rsidRPr="00BB2524">
              <w:rPr>
                <w:rFonts w:eastAsia="Times New Roman"/>
                <w:b/>
                <w:bCs/>
                <w:color w:val="0F4761" w:themeColor="accent1" w:themeShade="BF"/>
                <w:lang w:eastAsia="en-GB"/>
              </w:rPr>
              <w:t>Differentiation</w:t>
            </w:r>
          </w:p>
        </w:tc>
        <w:tc>
          <w:tcPr>
            <w:tcW w:w="1973" w:type="dxa"/>
          </w:tcPr>
          <w:p w14:paraId="78EF7ED6" w14:textId="5A1C7C87" w:rsidR="00ED1DB8" w:rsidRPr="00ED1DB8" w:rsidRDefault="000B403A" w:rsidP="00BB2524">
            <w:pPr>
              <w:spacing w:line="360" w:lineRule="auto"/>
              <w:jc w:val="left"/>
            </w:pPr>
            <w:r>
              <w:t xml:space="preserve">Offering high value through quality, </w:t>
            </w:r>
            <w:r w:rsidR="00D64BCB">
              <w:t>trust,</w:t>
            </w:r>
            <w:r>
              <w:t xml:space="preserve"> and service excellence.</w:t>
            </w:r>
          </w:p>
        </w:tc>
        <w:tc>
          <w:tcPr>
            <w:tcW w:w="2268" w:type="dxa"/>
          </w:tcPr>
          <w:p w14:paraId="16E1D5C6" w14:textId="1D0D629C" w:rsidR="00ED1DB8" w:rsidRPr="00ED1DB8" w:rsidRDefault="00411AE1" w:rsidP="00BB2524">
            <w:pPr>
              <w:spacing w:line="360" w:lineRule="auto"/>
              <w:jc w:val="left"/>
            </w:pPr>
            <w:r w:rsidRPr="00411AE1">
              <w:rPr>
                <w:b/>
                <w:bCs/>
              </w:rPr>
              <w:t>Highly relevant</w:t>
            </w:r>
            <w:r>
              <w:t xml:space="preserve">; aligns with safety, resident </w:t>
            </w:r>
            <w:r w:rsidR="00D64BCB">
              <w:t>experience,</w:t>
            </w:r>
            <w:r>
              <w:t xml:space="preserve"> and regulatory expectations.</w:t>
            </w:r>
          </w:p>
        </w:tc>
        <w:tc>
          <w:tcPr>
            <w:tcW w:w="3067" w:type="dxa"/>
          </w:tcPr>
          <w:p w14:paraId="70D2D47C" w14:textId="6B727864" w:rsidR="00ED1DB8" w:rsidRPr="00ED1DB8" w:rsidRDefault="00411AE1" w:rsidP="00BB2524">
            <w:pPr>
              <w:spacing w:line="360" w:lineRule="auto"/>
              <w:jc w:val="left"/>
            </w:pPr>
            <w:r>
              <w:t xml:space="preserve">Strengthens satisfaction, </w:t>
            </w:r>
            <w:r w:rsidR="00D64BCB">
              <w:t>compliance,</w:t>
            </w:r>
            <w:r>
              <w:t xml:space="preserve"> and organisational legitimacy.</w:t>
            </w:r>
          </w:p>
        </w:tc>
      </w:tr>
      <w:tr w:rsidR="00A97A25" w:rsidRPr="00ED1DB8" w14:paraId="29BF2A89" w14:textId="77777777" w:rsidTr="0098639E">
        <w:tc>
          <w:tcPr>
            <w:tcW w:w="1708" w:type="dxa"/>
            <w:shd w:val="clear" w:color="auto" w:fill="DAE9F7" w:themeFill="text2" w:themeFillTint="1A"/>
          </w:tcPr>
          <w:p w14:paraId="0AA94162" w14:textId="752AA6C6" w:rsidR="00ED1DB8" w:rsidRPr="00BB2524" w:rsidRDefault="00ED1DB8" w:rsidP="00BB2524">
            <w:pPr>
              <w:spacing w:line="360" w:lineRule="auto"/>
              <w:rPr>
                <w:color w:val="0F4761" w:themeColor="accent1" w:themeShade="BF"/>
              </w:rPr>
            </w:pPr>
            <w:r w:rsidRPr="00BB2524">
              <w:rPr>
                <w:rFonts w:eastAsia="Times New Roman"/>
                <w:b/>
                <w:bCs/>
                <w:color w:val="0F4761" w:themeColor="accent1" w:themeShade="BF"/>
                <w:lang w:eastAsia="en-GB"/>
              </w:rPr>
              <w:t>Focus Strategy</w:t>
            </w:r>
          </w:p>
        </w:tc>
        <w:tc>
          <w:tcPr>
            <w:tcW w:w="1973" w:type="dxa"/>
          </w:tcPr>
          <w:p w14:paraId="1A3DF3B7" w14:textId="2EB97CEA" w:rsidR="00ED1DB8" w:rsidRPr="00ED1DB8" w:rsidRDefault="00462A5D" w:rsidP="00BB2524">
            <w:pPr>
              <w:spacing w:line="360" w:lineRule="auto"/>
              <w:jc w:val="left"/>
            </w:pPr>
            <w:r>
              <w:t>Tailoring services for specific tenant segments.</w:t>
            </w:r>
          </w:p>
        </w:tc>
        <w:tc>
          <w:tcPr>
            <w:tcW w:w="2268" w:type="dxa"/>
          </w:tcPr>
          <w:p w14:paraId="55BB8646" w14:textId="592D1563" w:rsidR="00ED1DB8" w:rsidRPr="00ED1DB8" w:rsidRDefault="00462A5D" w:rsidP="00BB2524">
            <w:pPr>
              <w:spacing w:line="360" w:lineRule="auto"/>
              <w:jc w:val="left"/>
            </w:pPr>
            <w:r w:rsidRPr="00462A5D">
              <w:rPr>
                <w:b/>
                <w:bCs/>
              </w:rPr>
              <w:t>Relevant</w:t>
            </w:r>
            <w:r>
              <w:t xml:space="preserve"> for vulnerable residents and priority estates.</w:t>
            </w:r>
          </w:p>
        </w:tc>
        <w:tc>
          <w:tcPr>
            <w:tcW w:w="3067" w:type="dxa"/>
          </w:tcPr>
          <w:p w14:paraId="161B209F" w14:textId="0A12CAF4" w:rsidR="00ED1DB8" w:rsidRPr="00ED1DB8" w:rsidRDefault="00DC5B0C" w:rsidP="00BB2524">
            <w:pPr>
              <w:spacing w:line="360" w:lineRule="auto"/>
              <w:jc w:val="left"/>
            </w:pPr>
            <w:r>
              <w:t>Supports social value creation and targeted performance improvement.</w:t>
            </w:r>
          </w:p>
        </w:tc>
      </w:tr>
    </w:tbl>
    <w:p w14:paraId="308B3E28" w14:textId="758B50FA" w:rsidR="00A42787" w:rsidRDefault="00ED1DB8" w:rsidP="00BB2524">
      <w:pPr>
        <w:jc w:val="left"/>
        <w:rPr>
          <w:rFonts w:eastAsia="Times New Roman"/>
          <w:lang w:eastAsia="en-GB"/>
        </w:rPr>
      </w:pPr>
      <w:r w:rsidRPr="00ED1DB8">
        <w:rPr>
          <w:rFonts w:eastAsia="Times New Roman"/>
          <w:b/>
          <w:bCs/>
          <w:lang w:eastAsia="en-GB"/>
        </w:rPr>
        <w:t>Source:</w:t>
      </w:r>
      <w:r w:rsidRPr="00ED1DB8">
        <w:rPr>
          <w:rFonts w:eastAsia="Times New Roman"/>
          <w:lang w:eastAsia="en-GB"/>
        </w:rPr>
        <w:t xml:space="preserve"> </w:t>
      </w:r>
      <w:r w:rsidR="000C0414">
        <w:rPr>
          <w:rFonts w:eastAsia="Times New Roman"/>
          <w:lang w:eastAsia="en-GB"/>
        </w:rPr>
        <w:t>Author, a</w:t>
      </w:r>
      <w:r w:rsidRPr="00ED1DB8">
        <w:rPr>
          <w:rFonts w:eastAsia="Times New Roman"/>
          <w:lang w:eastAsia="en-GB"/>
        </w:rPr>
        <w:t xml:space="preserve">dapted from </w:t>
      </w:r>
      <w:r w:rsidR="00FD4788" w:rsidRPr="00FD4788">
        <w:rPr>
          <w:rFonts w:eastAsia="Times New Roman"/>
          <w:noProof/>
          <w:lang w:val="en-US" w:eastAsia="en-GB"/>
        </w:rPr>
        <w:t>Porter</w:t>
      </w:r>
      <w:r w:rsidR="00FD4788">
        <w:rPr>
          <w:rFonts w:eastAsia="Times New Roman"/>
          <w:noProof/>
          <w:lang w:val="en-US" w:eastAsia="en-GB"/>
        </w:rPr>
        <w:t xml:space="preserve"> </w:t>
      </w:r>
      <w:sdt>
        <w:sdtPr>
          <w:rPr>
            <w:rFonts w:eastAsia="Times New Roman"/>
            <w:noProof/>
            <w:lang w:val="en-US" w:eastAsia="en-GB"/>
          </w:rPr>
          <w:id w:val="1803652194"/>
          <w:citation/>
        </w:sdtPr>
        <w:sdtEndPr/>
        <w:sdtContent>
          <w:r w:rsidR="00FD4788">
            <w:rPr>
              <w:rFonts w:eastAsia="Times New Roman"/>
              <w:noProof/>
              <w:lang w:val="en-US" w:eastAsia="en-GB"/>
            </w:rPr>
            <w:fldChar w:fldCharType="begin"/>
          </w:r>
          <w:r w:rsidR="00FD4788">
            <w:rPr>
              <w:rFonts w:eastAsia="Times New Roman"/>
              <w:noProof/>
              <w:lang w:val="en-US" w:eastAsia="en-GB"/>
            </w:rPr>
            <w:instrText xml:space="preserve">CITATION Por08 \n  \l 1033 </w:instrText>
          </w:r>
          <w:r w:rsidR="00FD4788">
            <w:rPr>
              <w:rFonts w:eastAsia="Times New Roman"/>
              <w:noProof/>
              <w:lang w:val="en-US" w:eastAsia="en-GB"/>
            </w:rPr>
            <w:fldChar w:fldCharType="separate"/>
          </w:r>
          <w:r w:rsidR="002E53A1" w:rsidRPr="002E53A1">
            <w:rPr>
              <w:rFonts w:eastAsia="Times New Roman"/>
              <w:noProof/>
              <w:lang w:val="en-US" w:eastAsia="en-GB"/>
            </w:rPr>
            <w:t>(2008)</w:t>
          </w:r>
          <w:r w:rsidR="00FD4788">
            <w:rPr>
              <w:rFonts w:eastAsia="Times New Roman"/>
              <w:noProof/>
              <w:lang w:val="en-US" w:eastAsia="en-GB"/>
            </w:rPr>
            <w:fldChar w:fldCharType="end"/>
          </w:r>
        </w:sdtContent>
      </w:sdt>
      <w:r w:rsidR="00127476">
        <w:rPr>
          <w:rFonts w:eastAsia="Times New Roman"/>
          <w:noProof/>
          <w:lang w:val="en-US" w:eastAsia="en-GB"/>
        </w:rPr>
        <w:t xml:space="preserve">; SHP </w:t>
      </w:r>
      <w:sdt>
        <w:sdtPr>
          <w:rPr>
            <w:rFonts w:eastAsia="Times New Roman"/>
            <w:noProof/>
            <w:lang w:val="en-US" w:eastAsia="en-GB"/>
          </w:rPr>
          <w:id w:val="-1210253286"/>
          <w:citation/>
        </w:sdtPr>
        <w:sdtEndPr/>
        <w:sdtContent>
          <w:r w:rsidR="00127476">
            <w:rPr>
              <w:rFonts w:eastAsia="Times New Roman"/>
              <w:noProof/>
              <w:lang w:val="en-US" w:eastAsia="en-GB"/>
            </w:rPr>
            <w:fldChar w:fldCharType="begin"/>
          </w:r>
          <w:r w:rsidR="00702646">
            <w:rPr>
              <w:rFonts w:eastAsia="Times New Roman"/>
              <w:noProof/>
              <w:lang w:val="en-US" w:eastAsia="en-GB"/>
            </w:rPr>
            <w:instrText xml:space="preserve">CITATION SHP253 \n  \l 1033 </w:instrText>
          </w:r>
          <w:r w:rsidR="00127476">
            <w:rPr>
              <w:rFonts w:eastAsia="Times New Roman"/>
              <w:noProof/>
              <w:lang w:val="en-US" w:eastAsia="en-GB"/>
            </w:rPr>
            <w:fldChar w:fldCharType="separate"/>
          </w:r>
          <w:r w:rsidR="002E53A1" w:rsidRPr="002E53A1">
            <w:rPr>
              <w:rFonts w:eastAsia="Times New Roman"/>
              <w:noProof/>
              <w:lang w:val="en-US" w:eastAsia="en-GB"/>
            </w:rPr>
            <w:t>(2025)</w:t>
          </w:r>
          <w:r w:rsidR="00127476">
            <w:rPr>
              <w:rFonts w:eastAsia="Times New Roman"/>
              <w:noProof/>
              <w:lang w:val="en-US" w:eastAsia="en-GB"/>
            </w:rPr>
            <w:fldChar w:fldCharType="end"/>
          </w:r>
        </w:sdtContent>
      </w:sdt>
      <w:r w:rsidR="00235F0E">
        <w:rPr>
          <w:rFonts w:eastAsia="Times New Roman"/>
          <w:lang w:eastAsia="en-GB"/>
        </w:rPr>
        <w:t>.</w:t>
      </w:r>
    </w:p>
    <w:p w14:paraId="7340AD2F" w14:textId="490DE468" w:rsidR="006B3762" w:rsidRPr="00432FD7" w:rsidRDefault="005258A5" w:rsidP="00444ECA">
      <w:pPr>
        <w:pStyle w:val="Heading2"/>
        <w:numPr>
          <w:ilvl w:val="0"/>
          <w:numId w:val="3"/>
        </w:numPr>
      </w:pPr>
      <w:bookmarkStart w:id="19" w:name="_Toc216130275"/>
      <w:r>
        <w:t xml:space="preserve">Growth Direction - </w:t>
      </w:r>
      <w:r w:rsidR="006B3762" w:rsidRPr="00432FD7">
        <w:t>Ansoff Matrix</w:t>
      </w:r>
      <w:bookmarkEnd w:id="19"/>
    </w:p>
    <w:p w14:paraId="3A96F126" w14:textId="151028F3" w:rsidR="000C754C" w:rsidRPr="000C754C" w:rsidRDefault="000C754C" w:rsidP="000C754C">
      <w:pPr>
        <w:pStyle w:val="NormalWeb"/>
        <w:spacing w:line="360" w:lineRule="auto"/>
        <w:jc w:val="both"/>
        <w:rPr>
          <w:rFonts w:ascii="Arial" w:hAnsi="Arial" w:cs="Arial"/>
          <w:i w:val="0"/>
          <w:iCs w:val="0"/>
          <w:kern w:val="0"/>
          <w:sz w:val="22"/>
          <w:szCs w:val="22"/>
          <w14:ligatures w14:val="none"/>
        </w:rPr>
      </w:pPr>
      <w:r w:rsidRPr="000C754C">
        <w:rPr>
          <w:rFonts w:ascii="Arial" w:hAnsi="Arial" w:cs="Arial"/>
          <w:i w:val="0"/>
          <w:iCs w:val="0"/>
          <w:kern w:val="0"/>
          <w:sz w:val="22"/>
          <w:szCs w:val="22"/>
          <w14:ligatures w14:val="none"/>
        </w:rPr>
        <w:t xml:space="preserve">The Ansoff Matrix assesses growth via new/existing markets and services </w:t>
      </w:r>
      <w:sdt>
        <w:sdtPr>
          <w:rPr>
            <w:rFonts w:ascii="Arial" w:hAnsi="Arial" w:cs="Arial"/>
            <w:i w:val="0"/>
            <w:iCs w:val="0"/>
            <w:kern w:val="0"/>
            <w:sz w:val="22"/>
            <w:szCs w:val="22"/>
            <w14:ligatures w14:val="none"/>
          </w:rPr>
          <w:id w:val="320242344"/>
          <w:citation/>
        </w:sdtPr>
        <w:sdtEndPr/>
        <w:sdtContent>
          <w:r w:rsidRPr="000C754C">
            <w:rPr>
              <w:rFonts w:ascii="Arial" w:hAnsi="Arial" w:cs="Arial"/>
              <w:i w:val="0"/>
              <w:iCs w:val="0"/>
              <w:kern w:val="0"/>
              <w:sz w:val="22"/>
              <w:szCs w:val="22"/>
              <w14:ligatures w14:val="none"/>
            </w:rPr>
            <w:fldChar w:fldCharType="begin"/>
          </w:r>
          <w:r w:rsidRPr="000C754C">
            <w:rPr>
              <w:rFonts w:ascii="Arial" w:hAnsi="Arial" w:cs="Arial"/>
              <w:i w:val="0"/>
              <w:iCs w:val="0"/>
              <w:kern w:val="0"/>
              <w:sz w:val="22"/>
              <w:szCs w:val="22"/>
              <w:lang w:val="en-US"/>
              <w14:ligatures w14:val="none"/>
            </w:rPr>
            <w:instrText xml:space="preserve"> CITATION Ans57 \l 1033 </w:instrText>
          </w:r>
          <w:r w:rsidRPr="000C754C">
            <w:rPr>
              <w:rFonts w:ascii="Arial" w:hAnsi="Arial" w:cs="Arial"/>
              <w:i w:val="0"/>
              <w:iCs w:val="0"/>
              <w:kern w:val="0"/>
              <w:sz w:val="22"/>
              <w:szCs w:val="22"/>
              <w14:ligatures w14:val="none"/>
            </w:rPr>
            <w:fldChar w:fldCharType="separate"/>
          </w:r>
          <w:r w:rsidRPr="000C754C">
            <w:rPr>
              <w:rFonts w:ascii="Arial" w:hAnsi="Arial" w:cs="Arial"/>
              <w:i w:val="0"/>
              <w:iCs w:val="0"/>
              <w:noProof/>
              <w:kern w:val="0"/>
              <w:sz w:val="22"/>
              <w:szCs w:val="22"/>
              <w:lang w:val="en-US"/>
              <w14:ligatures w14:val="none"/>
            </w:rPr>
            <w:t>(Ansoff, 1957)</w:t>
          </w:r>
          <w:r w:rsidRPr="000C754C">
            <w:rPr>
              <w:rFonts w:ascii="Arial" w:hAnsi="Arial" w:cs="Arial"/>
              <w:i w:val="0"/>
              <w:iCs w:val="0"/>
              <w:kern w:val="0"/>
              <w:sz w:val="22"/>
              <w:szCs w:val="22"/>
              <w14:ligatures w14:val="none"/>
            </w:rPr>
            <w:fldChar w:fldCharType="end"/>
          </w:r>
        </w:sdtContent>
      </w:sdt>
      <w:r w:rsidRPr="000C754C">
        <w:rPr>
          <w:rFonts w:ascii="Arial" w:hAnsi="Arial" w:cs="Arial"/>
          <w:i w:val="0"/>
          <w:iCs w:val="0"/>
          <w:kern w:val="0"/>
          <w:sz w:val="22"/>
          <w:szCs w:val="22"/>
          <w14:ligatures w14:val="none"/>
        </w:rPr>
        <w:t>. SHP operates in a fixed, non-commercial environment, limiting diversification. Two viable options emerge:</w:t>
      </w:r>
    </w:p>
    <w:p w14:paraId="4BAE029D" w14:textId="77777777" w:rsidR="000C754C" w:rsidRPr="000C754C" w:rsidRDefault="000C754C" w:rsidP="000C754C">
      <w:pPr>
        <w:numPr>
          <w:ilvl w:val="0"/>
          <w:numId w:val="22"/>
        </w:numPr>
        <w:rPr>
          <w:rFonts w:eastAsia="Times New Roman" w:cs="Arial"/>
          <w:kern w:val="0"/>
          <w:szCs w:val="22"/>
          <w:lang w:eastAsia="en-GB"/>
          <w14:ligatures w14:val="none"/>
        </w:rPr>
      </w:pPr>
      <w:r w:rsidRPr="000C754C">
        <w:rPr>
          <w:rFonts w:eastAsia="Times New Roman" w:cs="Arial"/>
          <w:b/>
          <w:bCs/>
          <w:kern w:val="0"/>
          <w:szCs w:val="22"/>
          <w:lang w:eastAsia="en-GB"/>
          <w14:ligatures w14:val="none"/>
        </w:rPr>
        <w:t>Market Penetration (low risk):</w:t>
      </w:r>
      <w:r w:rsidRPr="000C754C">
        <w:rPr>
          <w:rFonts w:eastAsia="Times New Roman" w:cs="Arial"/>
          <w:kern w:val="0"/>
          <w:szCs w:val="22"/>
          <w:lang w:eastAsia="en-GB"/>
          <w14:ligatures w14:val="none"/>
        </w:rPr>
        <w:t xml:space="preserve"> Improve repair reliability, safety compliance, and digital communication to strengthen tenant satisfaction. This is highly feasible for SMEs due to operational familiarity.</w:t>
      </w:r>
    </w:p>
    <w:p w14:paraId="6DA729A2" w14:textId="77777777" w:rsidR="000C754C" w:rsidRPr="000C754C" w:rsidRDefault="000C754C" w:rsidP="000C754C">
      <w:pPr>
        <w:numPr>
          <w:ilvl w:val="0"/>
          <w:numId w:val="22"/>
        </w:numPr>
        <w:rPr>
          <w:rFonts w:eastAsia="Times New Roman" w:cs="Arial"/>
          <w:kern w:val="0"/>
          <w:szCs w:val="22"/>
          <w:lang w:eastAsia="en-GB"/>
          <w14:ligatures w14:val="none"/>
        </w:rPr>
      </w:pPr>
      <w:r w:rsidRPr="000C754C">
        <w:rPr>
          <w:rFonts w:eastAsia="Times New Roman" w:cs="Arial"/>
          <w:b/>
          <w:bCs/>
          <w:kern w:val="0"/>
          <w:szCs w:val="22"/>
          <w:lang w:eastAsia="en-GB"/>
          <w14:ligatures w14:val="none"/>
        </w:rPr>
        <w:t>Service Development (moderate risk):</w:t>
      </w:r>
      <w:r w:rsidRPr="000C754C">
        <w:rPr>
          <w:rFonts w:eastAsia="Times New Roman" w:cs="Arial"/>
          <w:kern w:val="0"/>
          <w:szCs w:val="22"/>
          <w:lang w:eastAsia="en-GB"/>
          <w14:ligatures w14:val="none"/>
        </w:rPr>
        <w:t xml:space="preserve"> Introduce digital tenant portals, predictive maintenance, co-production panels, and community wellbeing initiatives. Adds value without exceeding SHP’s operational remit.</w:t>
      </w:r>
    </w:p>
    <w:p w14:paraId="573BCD06" w14:textId="013C1402" w:rsidR="004E1108" w:rsidRPr="00BF0B2D" w:rsidRDefault="000C754C" w:rsidP="00BF0B2D">
      <w:pPr>
        <w:rPr>
          <w:rFonts w:eastAsia="Times New Roman" w:cs="Arial"/>
          <w:kern w:val="0"/>
          <w:szCs w:val="22"/>
          <w:lang w:eastAsia="en-GB"/>
          <w14:ligatures w14:val="none"/>
        </w:rPr>
      </w:pPr>
      <w:r w:rsidRPr="000C754C">
        <w:rPr>
          <w:rFonts w:eastAsia="Times New Roman" w:cs="Arial"/>
          <w:kern w:val="0"/>
          <w:szCs w:val="22"/>
          <w:lang w:eastAsia="en-GB"/>
          <w14:ligatures w14:val="none"/>
        </w:rPr>
        <w:t>High-risk strategies, such as market development or diversification, are unsuitable due to statutory constraints, asset liabilities, and limited resources.</w:t>
      </w:r>
    </w:p>
    <w:p w14:paraId="190069C7" w14:textId="5430F783" w:rsidR="00812548" w:rsidRPr="00812548" w:rsidRDefault="00812548" w:rsidP="00812548">
      <w:pPr>
        <w:pStyle w:val="Caption"/>
        <w:keepNext/>
        <w:rPr>
          <w:color w:val="0F4761" w:themeColor="accent1" w:themeShade="BF"/>
          <w:sz w:val="22"/>
        </w:rPr>
      </w:pPr>
      <w:bookmarkStart w:id="20" w:name="_Toc215910538"/>
      <w:r w:rsidRPr="00812548">
        <w:rPr>
          <w:color w:val="0F4761" w:themeColor="accent1" w:themeShade="BF"/>
          <w:sz w:val="22"/>
        </w:rPr>
        <w:t xml:space="preserve">Table </w:t>
      </w:r>
      <w:r w:rsidRPr="00812548">
        <w:rPr>
          <w:color w:val="0F4761" w:themeColor="accent1" w:themeShade="BF"/>
          <w:sz w:val="22"/>
        </w:rPr>
        <w:fldChar w:fldCharType="begin"/>
      </w:r>
      <w:r w:rsidRPr="00812548">
        <w:rPr>
          <w:color w:val="0F4761" w:themeColor="accent1" w:themeShade="BF"/>
          <w:sz w:val="22"/>
        </w:rPr>
        <w:instrText xml:space="preserve"> SEQ Table \* ARABIC </w:instrText>
      </w:r>
      <w:r w:rsidRPr="00812548">
        <w:rPr>
          <w:color w:val="0F4761" w:themeColor="accent1" w:themeShade="BF"/>
          <w:sz w:val="22"/>
        </w:rPr>
        <w:fldChar w:fldCharType="separate"/>
      </w:r>
      <w:r w:rsidR="00A20D63">
        <w:rPr>
          <w:noProof/>
          <w:color w:val="0F4761" w:themeColor="accent1" w:themeShade="BF"/>
          <w:sz w:val="22"/>
        </w:rPr>
        <w:t>7</w:t>
      </w:r>
      <w:r w:rsidRPr="00812548">
        <w:rPr>
          <w:color w:val="0F4761" w:themeColor="accent1" w:themeShade="BF"/>
          <w:sz w:val="22"/>
        </w:rPr>
        <w:fldChar w:fldCharType="end"/>
      </w:r>
      <w:r w:rsidRPr="00812548">
        <w:rPr>
          <w:color w:val="0F4761" w:themeColor="accent1" w:themeShade="BF"/>
          <w:sz w:val="22"/>
        </w:rPr>
        <w:t xml:space="preserve"> Ansoff Matrix Adaptation for SHP</w:t>
      </w:r>
      <w:bookmarkEnd w:id="20"/>
    </w:p>
    <w:tbl>
      <w:tblPr>
        <w:tblStyle w:val="TableGrid"/>
        <w:tblW w:w="0" w:type="auto"/>
        <w:tblLook w:val="04A0" w:firstRow="1" w:lastRow="0" w:firstColumn="1" w:lastColumn="0" w:noHBand="0" w:noVBand="1"/>
      </w:tblPr>
      <w:tblGrid>
        <w:gridCol w:w="1734"/>
        <w:gridCol w:w="1946"/>
        <w:gridCol w:w="2491"/>
        <w:gridCol w:w="2845"/>
      </w:tblGrid>
      <w:tr w:rsidR="00C55223" w:rsidRPr="00C55223" w14:paraId="387D6FCC" w14:textId="77777777" w:rsidTr="00CD3183">
        <w:trPr>
          <w:tblHeader/>
        </w:trPr>
        <w:tc>
          <w:tcPr>
            <w:tcW w:w="1555" w:type="dxa"/>
            <w:shd w:val="clear" w:color="auto" w:fill="DAE9F7" w:themeFill="text2" w:themeFillTint="1A"/>
          </w:tcPr>
          <w:p w14:paraId="3AEA035E" w14:textId="62DAF2D1"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Growth Strategy</w:t>
            </w:r>
          </w:p>
        </w:tc>
        <w:tc>
          <w:tcPr>
            <w:tcW w:w="1984" w:type="dxa"/>
            <w:shd w:val="clear" w:color="auto" w:fill="DAE9F7" w:themeFill="text2" w:themeFillTint="1A"/>
          </w:tcPr>
          <w:p w14:paraId="3E8FF2C2" w14:textId="5F54F721"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Definition</w:t>
            </w:r>
          </w:p>
        </w:tc>
        <w:tc>
          <w:tcPr>
            <w:tcW w:w="2552" w:type="dxa"/>
            <w:shd w:val="clear" w:color="auto" w:fill="DAE9F7" w:themeFill="text2" w:themeFillTint="1A"/>
          </w:tcPr>
          <w:p w14:paraId="3360CC80" w14:textId="3EE5E7E3"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Application to SHP</w:t>
            </w:r>
          </w:p>
        </w:tc>
        <w:tc>
          <w:tcPr>
            <w:tcW w:w="2925" w:type="dxa"/>
            <w:shd w:val="clear" w:color="auto" w:fill="DAE9F7" w:themeFill="text2" w:themeFillTint="1A"/>
          </w:tcPr>
          <w:p w14:paraId="2392240B" w14:textId="03E4EB5C"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Feasibility</w:t>
            </w:r>
          </w:p>
        </w:tc>
      </w:tr>
      <w:tr w:rsidR="008644FC" w:rsidRPr="0044289F" w14:paraId="2B7F4420" w14:textId="77777777" w:rsidTr="00547C16">
        <w:tc>
          <w:tcPr>
            <w:tcW w:w="1555" w:type="dxa"/>
            <w:shd w:val="clear" w:color="auto" w:fill="DAE9F7" w:themeFill="text2" w:themeFillTint="1A"/>
          </w:tcPr>
          <w:p w14:paraId="3F36A89F" w14:textId="6D49E0AB"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Market Penetration</w:t>
            </w:r>
          </w:p>
        </w:tc>
        <w:tc>
          <w:tcPr>
            <w:tcW w:w="1984" w:type="dxa"/>
          </w:tcPr>
          <w:p w14:paraId="2EEFA87D" w14:textId="0C2EA559" w:rsidR="008644FC" w:rsidRPr="0044289F" w:rsidRDefault="00072AB2" w:rsidP="0044289F">
            <w:pPr>
              <w:spacing w:line="360" w:lineRule="auto"/>
              <w:jc w:val="left"/>
            </w:pPr>
            <w:r>
              <w:t>Improving services within existing tenant base and operational area.</w:t>
            </w:r>
          </w:p>
        </w:tc>
        <w:tc>
          <w:tcPr>
            <w:tcW w:w="2552" w:type="dxa"/>
          </w:tcPr>
          <w:p w14:paraId="3B1F9D40" w14:textId="05A4A6ED" w:rsidR="008644FC" w:rsidRPr="0044289F" w:rsidRDefault="0043325A" w:rsidP="0044289F">
            <w:pPr>
              <w:spacing w:line="360" w:lineRule="auto"/>
              <w:jc w:val="left"/>
            </w:pPr>
            <w:r>
              <w:t>Enhance repair’s reliability, safety compliance, digital communication, and estate presence</w:t>
            </w:r>
            <w:r w:rsidR="00547C16">
              <w:t>.</w:t>
            </w:r>
          </w:p>
        </w:tc>
        <w:tc>
          <w:tcPr>
            <w:tcW w:w="2925" w:type="dxa"/>
          </w:tcPr>
          <w:p w14:paraId="46E071EC" w14:textId="056C80FA" w:rsidR="008644FC" w:rsidRPr="0044289F" w:rsidRDefault="0043325A" w:rsidP="0044289F">
            <w:pPr>
              <w:spacing w:line="360" w:lineRule="auto"/>
              <w:jc w:val="left"/>
            </w:pPr>
            <w:r>
              <w:rPr>
                <w:rStyle w:val="Strong"/>
              </w:rPr>
              <w:t>High (low-risk)</w:t>
            </w:r>
            <w:r>
              <w:t xml:space="preserve"> </w:t>
            </w:r>
            <w:r w:rsidR="00BA3B9E">
              <w:t>-</w:t>
            </w:r>
            <w:r>
              <w:t xml:space="preserve"> directly aligned with statutory duties and regulatory priorities; operationally familiar for SMEs.</w:t>
            </w:r>
          </w:p>
        </w:tc>
      </w:tr>
      <w:tr w:rsidR="008644FC" w:rsidRPr="0044289F" w14:paraId="550ED3BB" w14:textId="77777777" w:rsidTr="00547C16">
        <w:tc>
          <w:tcPr>
            <w:tcW w:w="1555" w:type="dxa"/>
            <w:shd w:val="clear" w:color="auto" w:fill="DAE9F7" w:themeFill="text2" w:themeFillTint="1A"/>
          </w:tcPr>
          <w:p w14:paraId="4C654DDA" w14:textId="113DA557"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Market Development</w:t>
            </w:r>
          </w:p>
        </w:tc>
        <w:tc>
          <w:tcPr>
            <w:tcW w:w="1984" w:type="dxa"/>
          </w:tcPr>
          <w:p w14:paraId="65686FF2" w14:textId="122DB295" w:rsidR="008644FC" w:rsidRPr="0044289F" w:rsidRDefault="001917B2" w:rsidP="0044289F">
            <w:pPr>
              <w:spacing w:line="360" w:lineRule="auto"/>
              <w:jc w:val="left"/>
            </w:pPr>
            <w:r>
              <w:t>Extending services to new markets or partnerships.</w:t>
            </w:r>
          </w:p>
        </w:tc>
        <w:tc>
          <w:tcPr>
            <w:tcW w:w="2552" w:type="dxa"/>
          </w:tcPr>
          <w:p w14:paraId="729B8940" w14:textId="31F1D2EE" w:rsidR="008644FC" w:rsidRPr="0044289F" w:rsidRDefault="001917B2" w:rsidP="0044289F">
            <w:pPr>
              <w:spacing w:line="360" w:lineRule="auto"/>
              <w:jc w:val="left"/>
            </w:pPr>
            <w:r>
              <w:t>Managing homes for partner organisations or expanding tenure types.</w:t>
            </w:r>
          </w:p>
        </w:tc>
        <w:tc>
          <w:tcPr>
            <w:tcW w:w="2925" w:type="dxa"/>
          </w:tcPr>
          <w:p w14:paraId="53ED637F" w14:textId="76C3DE9E" w:rsidR="008644FC" w:rsidRPr="0044289F" w:rsidRDefault="0013084A" w:rsidP="0044289F">
            <w:pPr>
              <w:spacing w:line="360" w:lineRule="auto"/>
              <w:jc w:val="left"/>
            </w:pPr>
            <w:r>
              <w:rPr>
                <w:rStyle w:val="Strong"/>
              </w:rPr>
              <w:t>Low (moderate/high-risk)</w:t>
            </w:r>
            <w:r>
              <w:t xml:space="preserve"> </w:t>
            </w:r>
            <w:r w:rsidR="00547C16">
              <w:t>-</w:t>
            </w:r>
            <w:r>
              <w:t xml:space="preserve"> constrained by statutory limits, capacity, and governance; </w:t>
            </w:r>
            <w:r w:rsidR="0015113E">
              <w:t>not</w:t>
            </w:r>
            <w:r>
              <w:t xml:space="preserve"> feasible for SHP.</w:t>
            </w:r>
          </w:p>
        </w:tc>
      </w:tr>
      <w:tr w:rsidR="008644FC" w:rsidRPr="0044289F" w14:paraId="2B682100" w14:textId="77777777" w:rsidTr="00547C16">
        <w:tc>
          <w:tcPr>
            <w:tcW w:w="1555" w:type="dxa"/>
            <w:shd w:val="clear" w:color="auto" w:fill="DAE9F7" w:themeFill="text2" w:themeFillTint="1A"/>
          </w:tcPr>
          <w:p w14:paraId="34DD898C" w14:textId="10A1960B" w:rsidR="008644FC" w:rsidRPr="00C55223" w:rsidRDefault="008644FC" w:rsidP="0044289F">
            <w:pPr>
              <w:spacing w:line="360" w:lineRule="auto"/>
              <w:jc w:val="left"/>
              <w:rPr>
                <w:color w:val="0F4761" w:themeColor="accent1" w:themeShade="BF"/>
              </w:rPr>
            </w:pPr>
            <w:r w:rsidRPr="00C55223">
              <w:rPr>
                <w:rFonts w:eastAsia="Times New Roman"/>
                <w:b/>
                <w:bCs/>
                <w:color w:val="0F4761" w:themeColor="accent1" w:themeShade="BF"/>
                <w:lang w:eastAsia="en-GB"/>
              </w:rPr>
              <w:t>Service Development</w:t>
            </w:r>
          </w:p>
        </w:tc>
        <w:tc>
          <w:tcPr>
            <w:tcW w:w="1984" w:type="dxa"/>
          </w:tcPr>
          <w:p w14:paraId="31F286D1" w14:textId="2205E423" w:rsidR="008644FC" w:rsidRPr="0044289F" w:rsidRDefault="001864AB" w:rsidP="0044289F">
            <w:pPr>
              <w:spacing w:line="360" w:lineRule="auto"/>
              <w:jc w:val="left"/>
            </w:pPr>
            <w:r>
              <w:t>Introducing new or enhanced services for current tenants.</w:t>
            </w:r>
          </w:p>
        </w:tc>
        <w:tc>
          <w:tcPr>
            <w:tcW w:w="2552" w:type="dxa"/>
          </w:tcPr>
          <w:p w14:paraId="402ADA4A" w14:textId="5E1BD74A" w:rsidR="008644FC" w:rsidRPr="0044289F" w:rsidRDefault="007D4C63" w:rsidP="0044289F">
            <w:pPr>
              <w:spacing w:line="360" w:lineRule="auto"/>
              <w:jc w:val="left"/>
            </w:pPr>
            <w:r>
              <w:t>Digital tenant portals, predictive maintenance tools, co-production panels, community wellbeing initiatives.</w:t>
            </w:r>
          </w:p>
        </w:tc>
        <w:tc>
          <w:tcPr>
            <w:tcW w:w="2925" w:type="dxa"/>
          </w:tcPr>
          <w:p w14:paraId="470524F8" w14:textId="32DD6176" w:rsidR="008644FC" w:rsidRPr="0044289F" w:rsidRDefault="007D4C63" w:rsidP="0044289F">
            <w:pPr>
              <w:spacing w:line="360" w:lineRule="auto"/>
              <w:jc w:val="left"/>
            </w:pPr>
            <w:r>
              <w:rPr>
                <w:rStyle w:val="Strong"/>
              </w:rPr>
              <w:t>Moderate (medium-risk)</w:t>
            </w:r>
            <w:r>
              <w:t xml:space="preserve"> </w:t>
            </w:r>
            <w:r w:rsidR="00BA3B9E">
              <w:t>-</w:t>
            </w:r>
            <w:r>
              <w:t xml:space="preserve"> adds value and improves service quality without exceeding SHP’s operational remit</w:t>
            </w:r>
            <w:r w:rsidR="00547C16">
              <w:t>.</w:t>
            </w:r>
          </w:p>
        </w:tc>
      </w:tr>
      <w:tr w:rsidR="00766785" w:rsidRPr="0044289F" w14:paraId="2A1540F3" w14:textId="77777777" w:rsidTr="00547C16">
        <w:tc>
          <w:tcPr>
            <w:tcW w:w="1555" w:type="dxa"/>
            <w:shd w:val="clear" w:color="auto" w:fill="DAE9F7" w:themeFill="text2" w:themeFillTint="1A"/>
          </w:tcPr>
          <w:p w14:paraId="54C6CDD9" w14:textId="542D6839" w:rsidR="00766785" w:rsidRPr="00C55223" w:rsidRDefault="00766785" w:rsidP="0044289F">
            <w:pPr>
              <w:spacing w:line="360" w:lineRule="auto"/>
              <w:jc w:val="left"/>
              <w:rPr>
                <w:color w:val="0F4761" w:themeColor="accent1" w:themeShade="BF"/>
              </w:rPr>
            </w:pPr>
            <w:r w:rsidRPr="00C55223">
              <w:rPr>
                <w:rFonts w:eastAsia="Times New Roman"/>
                <w:b/>
                <w:bCs/>
                <w:color w:val="0F4761" w:themeColor="accent1" w:themeShade="BF"/>
                <w:lang w:eastAsia="en-GB"/>
              </w:rPr>
              <w:t>Diversification</w:t>
            </w:r>
          </w:p>
        </w:tc>
        <w:tc>
          <w:tcPr>
            <w:tcW w:w="1984" w:type="dxa"/>
          </w:tcPr>
          <w:p w14:paraId="69D3D74B" w14:textId="7CE4DCC3" w:rsidR="00766785" w:rsidRPr="0044289F" w:rsidRDefault="0013084A" w:rsidP="0044289F">
            <w:pPr>
              <w:spacing w:line="360" w:lineRule="auto"/>
              <w:jc w:val="left"/>
            </w:pPr>
            <w:r>
              <w:t>Introducing new services to new markets.</w:t>
            </w:r>
          </w:p>
        </w:tc>
        <w:tc>
          <w:tcPr>
            <w:tcW w:w="2552" w:type="dxa"/>
          </w:tcPr>
          <w:p w14:paraId="7EF753CD" w14:textId="09BAD77F" w:rsidR="00766785" w:rsidRPr="0044289F" w:rsidRDefault="00766785" w:rsidP="0044289F">
            <w:pPr>
              <w:spacing w:line="360" w:lineRule="auto"/>
              <w:jc w:val="left"/>
            </w:pPr>
            <w:r w:rsidRPr="00C4644C">
              <w:rPr>
                <w:rFonts w:eastAsia="Times New Roman"/>
                <w:lang w:eastAsia="en-GB"/>
              </w:rPr>
              <w:t xml:space="preserve">Not suitable </w:t>
            </w:r>
            <w:r w:rsidR="00F00E13">
              <w:rPr>
                <w:rFonts w:eastAsia="Times New Roman"/>
                <w:lang w:eastAsia="en-GB"/>
              </w:rPr>
              <w:t>for an ALMO.</w:t>
            </w:r>
          </w:p>
        </w:tc>
        <w:tc>
          <w:tcPr>
            <w:tcW w:w="2925" w:type="dxa"/>
          </w:tcPr>
          <w:p w14:paraId="7156CD77" w14:textId="52063AA2" w:rsidR="00766785" w:rsidRPr="0044289F" w:rsidRDefault="00BA3B9E" w:rsidP="0044289F">
            <w:pPr>
              <w:spacing w:line="360" w:lineRule="auto"/>
              <w:jc w:val="left"/>
            </w:pPr>
            <w:r>
              <w:rPr>
                <w:rStyle w:val="Strong"/>
              </w:rPr>
              <w:t>Very Low (high-risk)</w:t>
            </w:r>
            <w:r>
              <w:t xml:space="preserve"> – outside statutory purpose and resource constraints; not recommended.</w:t>
            </w:r>
          </w:p>
        </w:tc>
      </w:tr>
    </w:tbl>
    <w:p w14:paraId="31510185" w14:textId="4803FFBB" w:rsidR="00AC65FD" w:rsidRPr="00737CAD" w:rsidRDefault="00812548" w:rsidP="00737CAD">
      <w:pPr>
        <w:jc w:val="left"/>
        <w:rPr>
          <w:rFonts w:eastAsia="Times New Roman"/>
          <w:lang w:eastAsia="en-GB"/>
        </w:rPr>
      </w:pPr>
      <w:r w:rsidRPr="005C322C">
        <w:rPr>
          <w:b/>
          <w:bCs/>
        </w:rPr>
        <w:t>Source:</w:t>
      </w:r>
      <w:r w:rsidRPr="00AF334F">
        <w:t xml:space="preserve"> </w:t>
      </w:r>
      <w:r w:rsidR="000C0414">
        <w:t>Author, a</w:t>
      </w:r>
      <w:r w:rsidR="00AF334F" w:rsidRPr="00AF334F">
        <w:t xml:space="preserve">dapted from </w:t>
      </w:r>
      <w:r w:rsidR="00AF334F" w:rsidRPr="00C4644C">
        <w:rPr>
          <w:rFonts w:eastAsia="Times New Roman"/>
          <w:lang w:eastAsia="en-GB"/>
        </w:rPr>
        <w:t xml:space="preserve">Ansoff </w:t>
      </w:r>
      <w:sdt>
        <w:sdtPr>
          <w:rPr>
            <w:rFonts w:eastAsia="Times New Roman"/>
            <w:lang w:eastAsia="en-GB"/>
          </w:rPr>
          <w:id w:val="74404504"/>
          <w:citation/>
        </w:sdtPr>
        <w:sdtEndPr/>
        <w:sdtContent>
          <w:r w:rsidR="00877C99">
            <w:rPr>
              <w:rFonts w:eastAsia="Times New Roman"/>
              <w:lang w:eastAsia="en-GB"/>
            </w:rPr>
            <w:fldChar w:fldCharType="begin"/>
          </w:r>
          <w:r w:rsidR="00AC6E1B">
            <w:rPr>
              <w:rFonts w:eastAsia="Times New Roman"/>
              <w:lang w:val="en-US" w:eastAsia="en-GB"/>
            </w:rPr>
            <w:instrText xml:space="preserve">CITATION Ans88 \n  \l 1033 </w:instrText>
          </w:r>
          <w:r w:rsidR="00877C99">
            <w:rPr>
              <w:rFonts w:eastAsia="Times New Roman"/>
              <w:lang w:eastAsia="en-GB"/>
            </w:rPr>
            <w:fldChar w:fldCharType="separate"/>
          </w:r>
          <w:r w:rsidR="002E53A1" w:rsidRPr="002E53A1">
            <w:rPr>
              <w:rFonts w:eastAsia="Times New Roman"/>
              <w:noProof/>
              <w:lang w:val="en-US" w:eastAsia="en-GB"/>
            </w:rPr>
            <w:t>(1988)</w:t>
          </w:r>
          <w:r w:rsidR="00877C99">
            <w:rPr>
              <w:rFonts w:eastAsia="Times New Roman"/>
              <w:lang w:eastAsia="en-GB"/>
            </w:rPr>
            <w:fldChar w:fldCharType="end"/>
          </w:r>
        </w:sdtContent>
      </w:sdt>
      <w:r w:rsidR="00127476">
        <w:rPr>
          <w:rFonts w:eastAsia="Times New Roman"/>
          <w:lang w:eastAsia="en-GB"/>
        </w:rPr>
        <w:t xml:space="preserve">; SHP </w:t>
      </w:r>
      <w:sdt>
        <w:sdtPr>
          <w:rPr>
            <w:rFonts w:eastAsia="Times New Roman"/>
            <w:lang w:eastAsia="en-GB"/>
          </w:rPr>
          <w:id w:val="-106901337"/>
          <w:citation/>
        </w:sdtPr>
        <w:sdtEndPr/>
        <w:sdtContent>
          <w:r w:rsidR="00127476">
            <w:rPr>
              <w:rFonts w:eastAsia="Times New Roman"/>
              <w:lang w:eastAsia="en-GB"/>
            </w:rPr>
            <w:fldChar w:fldCharType="begin"/>
          </w:r>
          <w:r w:rsidR="00702646">
            <w:rPr>
              <w:rFonts w:eastAsia="Times New Roman"/>
              <w:lang w:val="en-US" w:eastAsia="en-GB"/>
            </w:rPr>
            <w:instrText xml:space="preserve">CITATION SHP253 \n  \l 1033 </w:instrText>
          </w:r>
          <w:r w:rsidR="00127476">
            <w:rPr>
              <w:rFonts w:eastAsia="Times New Roman"/>
              <w:lang w:eastAsia="en-GB"/>
            </w:rPr>
            <w:fldChar w:fldCharType="separate"/>
          </w:r>
          <w:r w:rsidR="002E53A1" w:rsidRPr="002E53A1">
            <w:rPr>
              <w:rFonts w:eastAsia="Times New Roman"/>
              <w:noProof/>
              <w:lang w:val="en-US" w:eastAsia="en-GB"/>
            </w:rPr>
            <w:t>(2025)</w:t>
          </w:r>
          <w:r w:rsidR="00127476">
            <w:rPr>
              <w:rFonts w:eastAsia="Times New Roman"/>
              <w:lang w:eastAsia="en-GB"/>
            </w:rPr>
            <w:fldChar w:fldCharType="end"/>
          </w:r>
        </w:sdtContent>
      </w:sdt>
      <w:r w:rsidR="00877C99">
        <w:rPr>
          <w:rFonts w:eastAsia="Times New Roman"/>
          <w:lang w:eastAsia="en-GB"/>
        </w:rPr>
        <w:t>.</w:t>
      </w:r>
    </w:p>
    <w:p w14:paraId="76FA97BB" w14:textId="581BA0B9" w:rsidR="00AC21FA" w:rsidRPr="00AC21FA" w:rsidRDefault="00AC21FA" w:rsidP="00444ECA">
      <w:pPr>
        <w:pStyle w:val="Heading2"/>
        <w:numPr>
          <w:ilvl w:val="0"/>
          <w:numId w:val="3"/>
        </w:numPr>
      </w:pPr>
      <w:bookmarkStart w:id="21" w:name="_Toc216130276"/>
      <w:r w:rsidRPr="00AC21FA">
        <w:t>Bowman’s Strategic Clock</w:t>
      </w:r>
      <w:bookmarkEnd w:id="21"/>
      <w:r w:rsidRPr="00AC21FA">
        <w:t xml:space="preserve"> </w:t>
      </w:r>
    </w:p>
    <w:p w14:paraId="63287E53" w14:textId="360AFAC6" w:rsidR="00383B93" w:rsidRPr="00383B93" w:rsidRDefault="00383B93" w:rsidP="00383B93">
      <w:pPr>
        <w:pStyle w:val="NormalWeb"/>
        <w:spacing w:line="360" w:lineRule="auto"/>
        <w:jc w:val="both"/>
        <w:rPr>
          <w:rFonts w:ascii="Arial" w:hAnsi="Arial" w:cs="Arial"/>
          <w:i w:val="0"/>
          <w:iCs w:val="0"/>
          <w:kern w:val="0"/>
          <w:sz w:val="22"/>
          <w:szCs w:val="22"/>
          <w14:ligatures w14:val="none"/>
        </w:rPr>
      </w:pPr>
      <w:r w:rsidRPr="00383B93">
        <w:rPr>
          <w:rFonts w:ascii="Arial" w:hAnsi="Arial" w:cs="Arial"/>
          <w:i w:val="0"/>
          <w:iCs w:val="0"/>
          <w:kern w:val="0"/>
          <w:sz w:val="22"/>
          <w:szCs w:val="22"/>
          <w14:ligatures w14:val="none"/>
        </w:rPr>
        <w:t xml:space="preserve">Bowman’s Strategic Clock assesses competitive positioning based on cost and perceived value </w:t>
      </w:r>
      <w:sdt>
        <w:sdtPr>
          <w:rPr>
            <w:rFonts w:ascii="Arial" w:hAnsi="Arial" w:cs="Arial"/>
            <w:i w:val="0"/>
            <w:iCs w:val="0"/>
            <w:kern w:val="0"/>
            <w:sz w:val="22"/>
            <w:szCs w:val="22"/>
            <w14:ligatures w14:val="none"/>
          </w:rPr>
          <w:id w:val="346447993"/>
          <w:citation/>
        </w:sdtPr>
        <w:sdtEndPr/>
        <w:sdtContent>
          <w:r w:rsidRPr="00383B93">
            <w:rPr>
              <w:rFonts w:ascii="Arial" w:hAnsi="Arial" w:cs="Arial"/>
              <w:i w:val="0"/>
              <w:iCs w:val="0"/>
              <w:kern w:val="0"/>
              <w:sz w:val="22"/>
              <w:szCs w:val="22"/>
              <w14:ligatures w14:val="none"/>
            </w:rPr>
            <w:fldChar w:fldCharType="begin"/>
          </w:r>
          <w:r w:rsidRPr="00383B93">
            <w:rPr>
              <w:rFonts w:ascii="Arial" w:hAnsi="Arial" w:cs="Arial"/>
              <w:i w:val="0"/>
              <w:iCs w:val="0"/>
              <w:kern w:val="0"/>
              <w:sz w:val="22"/>
              <w:szCs w:val="22"/>
              <w:lang w:val="en-US"/>
              <w14:ligatures w14:val="none"/>
            </w:rPr>
            <w:instrText xml:space="preserve"> CITATION Bow97 \l 1033 </w:instrText>
          </w:r>
          <w:r w:rsidRPr="00383B93">
            <w:rPr>
              <w:rFonts w:ascii="Arial" w:hAnsi="Arial" w:cs="Arial"/>
              <w:i w:val="0"/>
              <w:iCs w:val="0"/>
              <w:kern w:val="0"/>
              <w:sz w:val="22"/>
              <w:szCs w:val="22"/>
              <w14:ligatures w14:val="none"/>
            </w:rPr>
            <w:fldChar w:fldCharType="separate"/>
          </w:r>
          <w:r w:rsidRPr="00383B93">
            <w:rPr>
              <w:rFonts w:ascii="Arial" w:hAnsi="Arial" w:cs="Arial"/>
              <w:i w:val="0"/>
              <w:iCs w:val="0"/>
              <w:noProof/>
              <w:kern w:val="0"/>
              <w:sz w:val="22"/>
              <w:szCs w:val="22"/>
              <w:lang w:val="en-US"/>
              <w14:ligatures w14:val="none"/>
            </w:rPr>
            <w:t>(Bowman &amp; Faulkner, 1997)</w:t>
          </w:r>
          <w:r w:rsidRPr="00383B93">
            <w:rPr>
              <w:rFonts w:ascii="Arial" w:hAnsi="Arial" w:cs="Arial"/>
              <w:i w:val="0"/>
              <w:iCs w:val="0"/>
              <w:kern w:val="0"/>
              <w:sz w:val="22"/>
              <w:szCs w:val="22"/>
              <w14:ligatures w14:val="none"/>
            </w:rPr>
            <w:fldChar w:fldCharType="end"/>
          </w:r>
        </w:sdtContent>
      </w:sdt>
      <w:r w:rsidRPr="00383B93">
        <w:rPr>
          <w:rFonts w:ascii="Arial" w:hAnsi="Arial" w:cs="Arial"/>
          <w:i w:val="0"/>
          <w:iCs w:val="0"/>
          <w:kern w:val="0"/>
          <w:sz w:val="22"/>
          <w:szCs w:val="22"/>
          <w14:ligatures w14:val="none"/>
        </w:rPr>
        <w:t>. For SHP, positions must reflect statutory obligations, SME constraints, and tenant-focused service delivery.</w:t>
      </w:r>
    </w:p>
    <w:p w14:paraId="238325F3" w14:textId="77777777" w:rsidR="00383B93" w:rsidRPr="00383B93" w:rsidRDefault="00383B93" w:rsidP="00383B93">
      <w:pPr>
        <w:numPr>
          <w:ilvl w:val="0"/>
          <w:numId w:val="23"/>
        </w:numPr>
        <w:rPr>
          <w:rFonts w:eastAsia="Times New Roman" w:cs="Arial"/>
          <w:kern w:val="0"/>
          <w:szCs w:val="22"/>
          <w:lang w:eastAsia="en-GB"/>
          <w14:ligatures w14:val="none"/>
        </w:rPr>
      </w:pPr>
      <w:r w:rsidRPr="00383B93">
        <w:rPr>
          <w:rFonts w:eastAsia="Times New Roman" w:cs="Arial"/>
          <w:b/>
          <w:bCs/>
          <w:kern w:val="0"/>
          <w:szCs w:val="22"/>
          <w:lang w:eastAsia="en-GB"/>
          <w14:ligatures w14:val="none"/>
        </w:rPr>
        <w:t>Hybrid (Position 3):</w:t>
      </w:r>
      <w:r w:rsidRPr="00383B93">
        <w:rPr>
          <w:rFonts w:eastAsia="Times New Roman" w:cs="Arial"/>
          <w:kern w:val="0"/>
          <w:szCs w:val="22"/>
          <w:lang w:eastAsia="en-GB"/>
          <w14:ligatures w14:val="none"/>
        </w:rPr>
        <w:t xml:space="preserve"> Combines efficiency with enhanced service, improving repairs, compliance, and tenant satisfaction.</w:t>
      </w:r>
    </w:p>
    <w:p w14:paraId="79538F0D" w14:textId="77777777" w:rsidR="00383B93" w:rsidRPr="00383B93" w:rsidRDefault="00383B93" w:rsidP="00383B93">
      <w:pPr>
        <w:numPr>
          <w:ilvl w:val="0"/>
          <w:numId w:val="23"/>
        </w:numPr>
        <w:rPr>
          <w:rFonts w:eastAsia="Times New Roman" w:cs="Arial"/>
          <w:kern w:val="0"/>
          <w:szCs w:val="22"/>
          <w:lang w:eastAsia="en-GB"/>
          <w14:ligatures w14:val="none"/>
        </w:rPr>
      </w:pPr>
      <w:r w:rsidRPr="00383B93">
        <w:rPr>
          <w:rFonts w:eastAsia="Times New Roman" w:cs="Arial"/>
          <w:b/>
          <w:bCs/>
          <w:kern w:val="0"/>
          <w:szCs w:val="22"/>
          <w:lang w:eastAsia="en-GB"/>
          <w14:ligatures w14:val="none"/>
        </w:rPr>
        <w:t>Differentiation (Position 4):</w:t>
      </w:r>
      <w:r w:rsidRPr="00383B93">
        <w:rPr>
          <w:rFonts w:eastAsia="Times New Roman" w:cs="Arial"/>
          <w:kern w:val="0"/>
          <w:szCs w:val="22"/>
          <w:lang w:eastAsia="en-GB"/>
          <w14:ligatures w14:val="none"/>
        </w:rPr>
        <w:t xml:space="preserve"> Prioritises high-quality services and tenant engagement, strengthening trust, regulatory ratings, and community legitimacy.</w:t>
      </w:r>
    </w:p>
    <w:p w14:paraId="15A3D345" w14:textId="77777777" w:rsidR="00383B93" w:rsidRPr="00383B93" w:rsidRDefault="00383B93" w:rsidP="00383B93">
      <w:pPr>
        <w:numPr>
          <w:ilvl w:val="0"/>
          <w:numId w:val="23"/>
        </w:numPr>
        <w:rPr>
          <w:rFonts w:eastAsia="Times New Roman" w:cs="Arial"/>
          <w:kern w:val="0"/>
          <w:szCs w:val="22"/>
          <w:lang w:eastAsia="en-GB"/>
          <w14:ligatures w14:val="none"/>
        </w:rPr>
      </w:pPr>
      <w:r w:rsidRPr="00383B93">
        <w:rPr>
          <w:rFonts w:eastAsia="Times New Roman" w:cs="Arial"/>
          <w:b/>
          <w:bCs/>
          <w:kern w:val="0"/>
          <w:szCs w:val="22"/>
          <w:lang w:eastAsia="en-GB"/>
          <w14:ligatures w14:val="none"/>
        </w:rPr>
        <w:t>Focused Differentiation (Position 5):</w:t>
      </w:r>
      <w:r w:rsidRPr="00383B93">
        <w:rPr>
          <w:rFonts w:eastAsia="Times New Roman" w:cs="Arial"/>
          <w:kern w:val="0"/>
          <w:szCs w:val="22"/>
          <w:lang w:eastAsia="en-GB"/>
          <w14:ligatures w14:val="none"/>
        </w:rPr>
        <w:t xml:space="preserve"> Targets vulnerable tenants or priority estates; feasible with careful resource allocation.</w:t>
      </w:r>
    </w:p>
    <w:p w14:paraId="48ECC71F" w14:textId="6330AAB0" w:rsidR="00383B93" w:rsidRPr="00383B93" w:rsidRDefault="00383B93" w:rsidP="00383B93">
      <w:pPr>
        <w:rPr>
          <w:rFonts w:eastAsia="Times New Roman" w:cs="Arial"/>
          <w:kern w:val="0"/>
          <w:szCs w:val="22"/>
          <w:lang w:eastAsia="en-GB"/>
          <w14:ligatures w14:val="none"/>
        </w:rPr>
      </w:pPr>
      <w:r w:rsidRPr="00383B93">
        <w:rPr>
          <w:rFonts w:eastAsia="Times New Roman" w:cs="Arial"/>
          <w:kern w:val="0"/>
          <w:szCs w:val="22"/>
          <w:lang w:eastAsia="en-GB"/>
          <w14:ligatures w14:val="none"/>
        </w:rPr>
        <w:t>Other positions</w:t>
      </w:r>
      <w:r w:rsidR="00771974">
        <w:rPr>
          <w:rFonts w:eastAsia="Times New Roman" w:cs="Arial"/>
          <w:kern w:val="0"/>
          <w:szCs w:val="22"/>
          <w:lang w:eastAsia="en-GB"/>
          <w14:ligatures w14:val="none"/>
        </w:rPr>
        <w:t xml:space="preserve">: </w:t>
      </w:r>
      <w:r w:rsidRPr="00383B93">
        <w:rPr>
          <w:rFonts w:eastAsia="Times New Roman" w:cs="Arial"/>
          <w:kern w:val="0"/>
          <w:szCs w:val="22"/>
          <w:lang w:eastAsia="en-GB"/>
          <w14:ligatures w14:val="none"/>
        </w:rPr>
        <w:t>low-cost/low-value (1</w:t>
      </w:r>
      <w:r w:rsidR="007B7E6D">
        <w:rPr>
          <w:rFonts w:eastAsia="Times New Roman" w:cs="Arial"/>
          <w:kern w:val="0"/>
          <w:szCs w:val="22"/>
          <w:lang w:eastAsia="en-GB"/>
          <w14:ligatures w14:val="none"/>
        </w:rPr>
        <w:t>-</w:t>
      </w:r>
      <w:r w:rsidRPr="00383B93">
        <w:rPr>
          <w:rFonts w:eastAsia="Times New Roman" w:cs="Arial"/>
          <w:kern w:val="0"/>
          <w:szCs w:val="22"/>
          <w:lang w:eastAsia="en-GB"/>
          <w14:ligatures w14:val="none"/>
        </w:rPr>
        <w:t>2), premium (6), and high-cost/low-value (7</w:t>
      </w:r>
      <w:r w:rsidR="007B7E6D">
        <w:rPr>
          <w:rFonts w:eastAsia="Times New Roman" w:cs="Arial"/>
          <w:kern w:val="0"/>
          <w:szCs w:val="22"/>
          <w:lang w:eastAsia="en-GB"/>
          <w14:ligatures w14:val="none"/>
        </w:rPr>
        <w:t>-</w:t>
      </w:r>
      <w:r w:rsidRPr="00383B93">
        <w:rPr>
          <w:rFonts w:eastAsia="Times New Roman" w:cs="Arial"/>
          <w:kern w:val="0"/>
          <w:szCs w:val="22"/>
          <w:lang w:eastAsia="en-GB"/>
          <w14:ligatures w14:val="none"/>
        </w:rPr>
        <w:t>8)</w:t>
      </w:r>
      <w:r w:rsidR="00771974">
        <w:rPr>
          <w:rFonts w:eastAsia="Times New Roman" w:cs="Arial"/>
          <w:kern w:val="0"/>
          <w:szCs w:val="22"/>
          <w:lang w:eastAsia="en-GB"/>
          <w14:ligatures w14:val="none"/>
        </w:rPr>
        <w:t xml:space="preserve">, </w:t>
      </w:r>
      <w:r w:rsidRPr="00383B93">
        <w:rPr>
          <w:rFonts w:eastAsia="Times New Roman" w:cs="Arial"/>
          <w:kern w:val="0"/>
          <w:szCs w:val="22"/>
          <w:lang w:eastAsia="en-GB"/>
          <w14:ligatures w14:val="none"/>
        </w:rPr>
        <w:t>are unsuitable due to statutory limits, funding constraints, and public accountability. Overall, Positions 3</w:t>
      </w:r>
      <w:r w:rsidR="007B7E6D">
        <w:rPr>
          <w:rFonts w:eastAsia="Times New Roman" w:cs="Arial"/>
          <w:kern w:val="0"/>
          <w:szCs w:val="22"/>
          <w:lang w:eastAsia="en-GB"/>
          <w14:ligatures w14:val="none"/>
        </w:rPr>
        <w:t>-</w:t>
      </w:r>
      <w:r w:rsidRPr="00383B93">
        <w:rPr>
          <w:rFonts w:eastAsia="Times New Roman" w:cs="Arial"/>
          <w:kern w:val="0"/>
          <w:szCs w:val="22"/>
          <w:lang w:eastAsia="en-GB"/>
          <w14:ligatures w14:val="none"/>
        </w:rPr>
        <w:t xml:space="preserve">5 optimally balance service quality, compliance, and operational feasibility, supporting SHP’s Sustainable Homes </w:t>
      </w:r>
      <w:r w:rsidR="00771974">
        <w:rPr>
          <w:rFonts w:eastAsia="Times New Roman" w:cs="Arial"/>
          <w:kern w:val="0"/>
          <w:szCs w:val="22"/>
          <w:lang w:eastAsia="en-GB"/>
          <w14:ligatures w14:val="none"/>
        </w:rPr>
        <w:t>and</w:t>
      </w:r>
      <w:r w:rsidRPr="00383B93">
        <w:rPr>
          <w:rFonts w:eastAsia="Times New Roman" w:cs="Arial"/>
          <w:kern w:val="0"/>
          <w:szCs w:val="22"/>
          <w:lang w:eastAsia="en-GB"/>
          <w14:ligatures w14:val="none"/>
        </w:rPr>
        <w:t xml:space="preserve"> Communities strategy.</w:t>
      </w:r>
    </w:p>
    <w:p w14:paraId="06EB34C8" w14:textId="3E9FCDEC" w:rsidR="00996499" w:rsidRPr="009F5324" w:rsidRDefault="00996499" w:rsidP="009F5324">
      <w:pPr>
        <w:pStyle w:val="NormalWeb"/>
        <w:spacing w:line="360" w:lineRule="auto"/>
        <w:jc w:val="both"/>
        <w:rPr>
          <w:rFonts w:ascii="Arial" w:hAnsi="Arial" w:cs="Arial"/>
          <w:i w:val="0"/>
          <w:iCs w:val="0"/>
          <w:sz w:val="22"/>
          <w:szCs w:val="22"/>
        </w:rPr>
      </w:pPr>
    </w:p>
    <w:p w14:paraId="74644113" w14:textId="77777777" w:rsidR="00601AA6" w:rsidRDefault="0047647D" w:rsidP="00601AA6">
      <w:pPr>
        <w:keepNext/>
      </w:pPr>
      <w:r>
        <w:rPr>
          <w:rFonts w:eastAsia="Times New Roman"/>
          <w:b/>
          <w:bCs/>
          <w:noProof/>
          <w:lang w:eastAsia="en-GB"/>
        </w:rPr>
        <mc:AlternateContent>
          <mc:Choice Requires="wps">
            <w:drawing>
              <wp:anchor distT="0" distB="0" distL="114300" distR="114300" simplePos="0" relativeHeight="251361792" behindDoc="0" locked="0" layoutInCell="1" allowOverlap="1" wp14:anchorId="2C02B1D7" wp14:editId="73D59FD2">
                <wp:simplePos x="0" y="0"/>
                <wp:positionH relativeFrom="margin">
                  <wp:posOffset>2580005</wp:posOffset>
                </wp:positionH>
                <wp:positionV relativeFrom="paragraph">
                  <wp:posOffset>3002280</wp:posOffset>
                </wp:positionV>
                <wp:extent cx="548640" cy="281940"/>
                <wp:effectExtent l="0" t="0" r="22860" b="22860"/>
                <wp:wrapNone/>
                <wp:docPr id="146089802" name="Text Box 6"/>
                <wp:cNvGraphicFramePr/>
                <a:graphic xmlns:a="http://schemas.openxmlformats.org/drawingml/2006/main">
                  <a:graphicData uri="http://schemas.microsoft.com/office/word/2010/wordprocessingShape">
                    <wps:wsp>
                      <wps:cNvSpPr txBox="1"/>
                      <wps:spPr>
                        <a:xfrm>
                          <a:off x="0" y="0"/>
                          <a:ext cx="548640" cy="281940"/>
                        </a:xfrm>
                        <a:prstGeom prst="rect">
                          <a:avLst/>
                        </a:prstGeom>
                        <a:solidFill>
                          <a:schemeClr val="lt1"/>
                        </a:solidFill>
                        <a:ln w="6350">
                          <a:solidFill>
                            <a:schemeClr val="bg1"/>
                          </a:solidFill>
                        </a:ln>
                      </wps:spPr>
                      <wps:txbx>
                        <w:txbxContent>
                          <w:p w14:paraId="410EE78F" w14:textId="16BE962D" w:rsidR="002B2071" w:rsidRPr="006C61E8" w:rsidRDefault="002B2071">
                            <w:pPr>
                              <w:rPr>
                                <w:b/>
                                <w:bCs/>
                                <w:color w:val="156082" w:themeColor="accent1"/>
                                <w:lang w:val="en-US"/>
                              </w:rPr>
                            </w:pPr>
                            <w:r w:rsidRPr="006C61E8">
                              <w:rPr>
                                <w:b/>
                                <w:bCs/>
                                <w:color w:val="156082" w:themeColor="accent1"/>
                                <w:lang w:val="en-US"/>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2B1D7" id="_x0000_t202" coordsize="21600,21600" o:spt="202" path="m,l,21600r21600,l21600,xe">
                <v:stroke joinstyle="miter"/>
                <v:path gradientshapeok="t" o:connecttype="rect"/>
              </v:shapetype>
              <v:shape id="Text Box 6" o:spid="_x0000_s1026" type="#_x0000_t202" style="position:absolute;left:0;text-align:left;margin-left:203.15pt;margin-top:236.4pt;width:43.2pt;height:22.2pt;z-index:25136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DL3MgIAAHsEAAAOAAAAZHJzL2Uyb0RvYy54bWysVN9v2jAQfp+0/8Hy+wgwYBQRKkbFNKlq&#10;K9Gqz8ZxSCTH59kHCfvrd3bCj3Z9mvZi7nyXz3fffcf8tqk0OyjnSzApH/T6nCkjISvNLuUvz+sv&#10;U848CpMJDUal/Kg8v118/jSv7UwNoQCdKccIxPhZbVNeINpZknhZqEr4HlhlKJiDqwSS63ZJ5kRN&#10;6JVOhv3+JKnBZdaBVN7T7V0b5IuIn+dK4mOee4VMp5xqw3i6eG7DmSzmYrZzwhal7MoQ/1BFJUpD&#10;j56h7gQKtnflX1BVKR14yLEnoUogz0upYg/UzaD/rptNIayKvRA53p5p8v8PVj4cNvbJMWy+Q0MD&#10;DITU1s88XYZ+mtxV4ZcqZRQnCo9n2lSDTNLleDSdjCgiKTScDm7IJpTk8rF1Hn8oqFgwUu5oKpEs&#10;cbj32KaeUsJbHnSZrUutoxOUoFbasYOgGWqMJRL4myxtWJ3yyddxPwK/iUUtXRC2uw8QCE8bqvnS&#10;erCw2TYdH1vIjkSTg1ZB3sp1Sc3cC49PwpFkqH9aA3ykI9dAxUBncVaA+/3RfcinSVKUs5okmHL/&#10;ay+c4kz/NDTjm8Eo0IrRGY2/Dclx15HtdcTsqxUQQwNaOCujGfJRn8zcQfVK27IMr1JIGElvpxxP&#10;5grbxaBtk2q5jEmkUivw3mysDNBhImFUz82rcLabJ5IQHuAkVjF7N9Y2N3xpYLlHyMs480Bwy2rH&#10;Oyk8qqbbxrBC137MuvxnLP4AAAD//wMAUEsDBBQABgAIAAAAIQCwRbrN4QAAAAsBAAAPAAAAZHJz&#10;L2Rvd25yZXYueG1sTI/BSsNAEIbvgu+wjODNbprGpsZsSlBEUEGsvfQ2TcYkmJ0N2W2bvr3jSW8z&#10;zMc/35+vJ9urI42+c2xgPotAEVeu7rgxsP18ulmB8gG5xt4xGTiTh3VxeZFjVrsTf9BxExolIewz&#10;NNCGMGRa+6oli37mBmK5fbnRYpB1bHQ94knCba/jKFpqix3LhxYHemip+t4crIGXZIePi/BK58DT&#10;e1k+r4bEvxlzfTWV96ACTeEPhl99UYdCnPbuwLVXvYEkWi4ElSGNpYMQyV2cgtobuJ2nMegi1/87&#10;FD8AAAD//wMAUEsBAi0AFAAGAAgAAAAhALaDOJL+AAAA4QEAABMAAAAAAAAAAAAAAAAAAAAAAFtD&#10;b250ZW50X1R5cGVzXS54bWxQSwECLQAUAAYACAAAACEAOP0h/9YAAACUAQAACwAAAAAAAAAAAAAA&#10;AAAvAQAAX3JlbHMvLnJlbHNQSwECLQAUAAYACAAAACEA0Bgy9zICAAB7BAAADgAAAAAAAAAAAAAA&#10;AAAuAgAAZHJzL2Uyb0RvYy54bWxQSwECLQAUAAYACAAAACEAsEW6zeEAAAALAQAADwAAAAAAAAAA&#10;AAAAAACMBAAAZHJzL2Rvd25yZXYueG1sUEsFBgAAAAAEAAQA8wAAAJoFAAAAAA==&#10;" fillcolor="white [3201]" strokecolor="white [3212]" strokeweight=".5pt">
                <v:textbox>
                  <w:txbxContent>
                    <w:p w14:paraId="410EE78F" w14:textId="16BE962D" w:rsidR="002B2071" w:rsidRPr="006C61E8" w:rsidRDefault="002B2071">
                      <w:pPr>
                        <w:rPr>
                          <w:b/>
                          <w:bCs/>
                          <w:color w:val="156082" w:themeColor="accent1"/>
                          <w:lang w:val="en-US"/>
                        </w:rPr>
                      </w:pPr>
                      <w:r w:rsidRPr="006C61E8">
                        <w:rPr>
                          <w:b/>
                          <w:bCs/>
                          <w:color w:val="156082" w:themeColor="accent1"/>
                          <w:lang w:val="en-US"/>
                        </w:rPr>
                        <w:t>Price</w:t>
                      </w:r>
                    </w:p>
                  </w:txbxContent>
                </v:textbox>
                <w10:wrap anchorx="margin"/>
              </v:shape>
            </w:pict>
          </mc:Fallback>
        </mc:AlternateContent>
      </w:r>
      <w:r>
        <w:rPr>
          <w:rFonts w:eastAsia="Times New Roman"/>
          <w:b/>
          <w:bCs/>
          <w:noProof/>
          <w:lang w:eastAsia="en-GB"/>
        </w:rPr>
        <mc:AlternateContent>
          <mc:Choice Requires="wps">
            <w:drawing>
              <wp:anchor distT="0" distB="0" distL="114300" distR="114300" simplePos="0" relativeHeight="251591168" behindDoc="0" locked="0" layoutInCell="1" allowOverlap="1" wp14:anchorId="575B9EA3" wp14:editId="6CD358B1">
                <wp:simplePos x="0" y="0"/>
                <wp:positionH relativeFrom="margin">
                  <wp:align>left</wp:align>
                </wp:positionH>
                <wp:positionV relativeFrom="paragraph">
                  <wp:posOffset>3001010</wp:posOffset>
                </wp:positionV>
                <wp:extent cx="533400" cy="312420"/>
                <wp:effectExtent l="0" t="0" r="19050" b="11430"/>
                <wp:wrapNone/>
                <wp:docPr id="1500935932" name="Text Box 10"/>
                <wp:cNvGraphicFramePr/>
                <a:graphic xmlns:a="http://schemas.openxmlformats.org/drawingml/2006/main">
                  <a:graphicData uri="http://schemas.microsoft.com/office/word/2010/wordprocessingShape">
                    <wps:wsp>
                      <wps:cNvSpPr txBox="1"/>
                      <wps:spPr>
                        <a:xfrm>
                          <a:off x="0" y="0"/>
                          <a:ext cx="533400" cy="312420"/>
                        </a:xfrm>
                        <a:prstGeom prst="rect">
                          <a:avLst/>
                        </a:prstGeom>
                        <a:solidFill>
                          <a:sysClr val="window" lastClr="FFFFFF"/>
                        </a:solidFill>
                        <a:ln w="6350">
                          <a:solidFill>
                            <a:sysClr val="window" lastClr="FFFFFF"/>
                          </a:solidFill>
                        </a:ln>
                      </wps:spPr>
                      <wps:txbx>
                        <w:txbxContent>
                          <w:p w14:paraId="085FB2C0" w14:textId="64135AAF" w:rsidR="00914CEB" w:rsidRPr="00914CEB" w:rsidRDefault="00914CEB" w:rsidP="00914CEB">
                            <w:pPr>
                              <w:rPr>
                                <w:b/>
                                <w:bCs/>
                                <w:color w:val="156082" w:themeColor="accent1"/>
                                <w:lang w:val="en-US"/>
                              </w:rPr>
                            </w:pPr>
                            <w:r>
                              <w:rPr>
                                <w:b/>
                                <w:bCs/>
                                <w:color w:val="156082" w:themeColor="accent1"/>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B9EA3" id="Text Box 10" o:spid="_x0000_s1027" type="#_x0000_t202" style="position:absolute;left:0;text-align:left;margin-left:0;margin-top:236.3pt;width:42pt;height:24.6pt;z-index:251591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GDIOgIAAKQEAAAOAAAAZHJzL2Uyb0RvYy54bWysVNtuGjEQfa/Uf7D8XpZr2iKWiBJRVYqS&#10;SKTKs/F6YSWvx7UNu/Tre2yuSfsUlQcznhnP5ZyZndy2tWY75XxFJue9TpczZSQVlVnn/Ofz4tMX&#10;znwQphCajMr5Xnl+O/34YdLYserThnShHEMQ48eNzfkmBDvOMi83qha+Q1YZGEtytQi4unVWONEg&#10;eq2zfrd7kzXkCutIKu+hvTsY+TTFL0slw2NZehWYzjlqC+l06VzFM5tOxHjthN1U8liGeEcVtagM&#10;kp5D3Ykg2NZVf4WqK+nIUxk6kuqMyrKSKvWAbnrdN90sN8Kq1AvA8fYMk/9/YeXDbmmfHAvtN2pB&#10;YASksX7soYz9tKWr4z8qZbADwv0ZNtUGJqEcDQbDLiwSpkGvP+wnWLPLY+t8+K6oZlHIuQMrCSyx&#10;u/cBCeF6com5POmqWFRap8vez7VjOwECwXtBDWda+ABlzhfpF2tGiFfPtGFNzm8Go27K9Mrm3xMS&#10;CbRBngs4UQrtqmVVcQXcioo98HR0GDVv5aJC1/co+Uk4zBaAwr6ERxylJhRJR4mzDbnf/9JHf1AO&#10;K2cNZjXn/tdWOAUkfhgMw9fecBiHO12Go88ggLlry+raYrb1nIBmD5tpZRKjf9AnsXRUv2CtZjEr&#10;TMJI5M55OInzcNggrKVUs1lywjhbEe7N0soYOlIXOX1uX4SzR+IDJuaBTlMtxm/4P/jGl4Zm20Bl&#10;lYYj4nxA9Qg/ViERflzbuGvX9+R1+bhM/wAAAP//AwBQSwMEFAAGAAgAAAAhAFG7GIjeAAAABwEA&#10;AA8AAABkcnMvZG93bnJldi54bWxMj8FOwzAQRO9I/IO1SNyo01BKlMapIiQqhARSC4cet7FxIuJ1&#10;ZG/b8PeYEz3uzGjmbbWe3CBOJsTek4L5LANhqPW6J6vg8+P5rgARGUnj4Mko+DER1vX1VYWl9mfa&#10;mtOOrUglFEtU0DGPpZSx7YzDOPOjoeR9+eCQ0xms1AHPqdwNMs+ypXTYU1rocDRPnWm/d0en4HW7&#10;wdxuXrK3+z0375bbJoZWqdubqVmBYDPxfxj+8BM61Inp4I+koxgUpEdYweIxX4JIdrFIwkHBQz4v&#10;QNaVvOSvfwEAAP//AwBQSwECLQAUAAYACAAAACEAtoM4kv4AAADhAQAAEwAAAAAAAAAAAAAAAAAA&#10;AAAAW0NvbnRlbnRfVHlwZXNdLnhtbFBLAQItABQABgAIAAAAIQA4/SH/1gAAAJQBAAALAAAAAAAA&#10;AAAAAAAAAC8BAABfcmVscy8ucmVsc1BLAQItABQABgAIAAAAIQDZfGDIOgIAAKQEAAAOAAAAAAAA&#10;AAAAAAAAAC4CAABkcnMvZTJvRG9jLnhtbFBLAQItABQABgAIAAAAIQBRuxiI3gAAAAcBAAAPAAAA&#10;AAAAAAAAAAAAAJQEAABkcnMvZG93bnJldi54bWxQSwUGAAAAAAQABADzAAAAnwUAAAAA&#10;" fillcolor="window" strokecolor="window" strokeweight=".5pt">
                <v:textbox>
                  <w:txbxContent>
                    <w:p w14:paraId="085FB2C0" w14:textId="64135AAF" w:rsidR="00914CEB" w:rsidRPr="00914CEB" w:rsidRDefault="00914CEB" w:rsidP="00914CEB">
                      <w:pPr>
                        <w:rPr>
                          <w:b/>
                          <w:bCs/>
                          <w:color w:val="156082" w:themeColor="accent1"/>
                          <w:lang w:val="en-US"/>
                        </w:rPr>
                      </w:pPr>
                      <w:r>
                        <w:rPr>
                          <w:b/>
                          <w:bCs/>
                          <w:color w:val="156082" w:themeColor="accent1"/>
                          <w:lang w:val="en-US"/>
                        </w:rPr>
                        <w:t>Low</w:t>
                      </w:r>
                    </w:p>
                  </w:txbxContent>
                </v:textbox>
                <w10:wrap anchorx="margin"/>
              </v:shape>
            </w:pict>
          </mc:Fallback>
        </mc:AlternateContent>
      </w:r>
      <w:r w:rsidR="00914CEB">
        <w:rPr>
          <w:rFonts w:eastAsia="Times New Roman"/>
          <w:b/>
          <w:bCs/>
          <w:noProof/>
          <w:lang w:eastAsia="en-GB"/>
        </w:rPr>
        <mc:AlternateContent>
          <mc:Choice Requires="wps">
            <w:drawing>
              <wp:anchor distT="0" distB="0" distL="114300" distR="114300" simplePos="0" relativeHeight="251476480" behindDoc="0" locked="0" layoutInCell="1" allowOverlap="1" wp14:anchorId="00A39A96" wp14:editId="2E89141A">
                <wp:simplePos x="0" y="0"/>
                <wp:positionH relativeFrom="margin">
                  <wp:posOffset>4998720</wp:posOffset>
                </wp:positionH>
                <wp:positionV relativeFrom="paragraph">
                  <wp:posOffset>2788920</wp:posOffset>
                </wp:positionV>
                <wp:extent cx="533400" cy="312420"/>
                <wp:effectExtent l="0" t="0" r="19050" b="11430"/>
                <wp:wrapNone/>
                <wp:docPr id="339805645" name="Text Box 10"/>
                <wp:cNvGraphicFramePr/>
                <a:graphic xmlns:a="http://schemas.openxmlformats.org/drawingml/2006/main">
                  <a:graphicData uri="http://schemas.microsoft.com/office/word/2010/wordprocessingShape">
                    <wps:wsp>
                      <wps:cNvSpPr txBox="1"/>
                      <wps:spPr>
                        <a:xfrm>
                          <a:off x="0" y="0"/>
                          <a:ext cx="533400" cy="312420"/>
                        </a:xfrm>
                        <a:prstGeom prst="rect">
                          <a:avLst/>
                        </a:prstGeom>
                        <a:solidFill>
                          <a:schemeClr val="lt1"/>
                        </a:solidFill>
                        <a:ln w="6350">
                          <a:solidFill>
                            <a:schemeClr val="bg1"/>
                          </a:solidFill>
                        </a:ln>
                      </wps:spPr>
                      <wps:txbx>
                        <w:txbxContent>
                          <w:p w14:paraId="7CFAE3AF" w14:textId="3CD8BEE5" w:rsidR="00914CEB" w:rsidRPr="00914CEB" w:rsidRDefault="00914CEB" w:rsidP="00914CEB">
                            <w:pPr>
                              <w:rPr>
                                <w:b/>
                                <w:bCs/>
                                <w:color w:val="156082" w:themeColor="accent1"/>
                                <w:lang w:val="en-US"/>
                              </w:rPr>
                            </w:pPr>
                            <w:r w:rsidRPr="00914CEB">
                              <w:rPr>
                                <w:b/>
                                <w:bCs/>
                                <w:color w:val="156082" w:themeColor="accent1"/>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39A96" id="_x0000_s1028" type="#_x0000_t202" style="position:absolute;left:0;text-align:left;margin-left:393.6pt;margin-top:219.6pt;width:42pt;height:24.6pt;z-index:251476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7gzNwIAAIIEAAAOAAAAZHJzL2Uyb0RvYy54bWysVE1v2zAMvQ/YfxB0X+x8dZsRp8hSZBgQ&#10;tAXSoWdFlmIBsqhJSuzs149SPtv1VPQiUyL1RD4+enLbNZrshPMKTEn7vZwSYThUymxK+vtp8eUb&#10;JT4wUzENRpR0Lzy9nX7+NGltIQZQg66EIwhifNHaktYh2CLLPK9Fw3wPrDDolOAaFnDrNlnlWIvo&#10;jc4GeX6TteAq64AL7/H07uCk04QvpeDhQUovAtElxdxCWl1a13HNphNWbByzteLHNNg7smiYMvjo&#10;GeqOBUa2Tv0H1SjuwIMMPQ5NBlIqLlINWE0/f1XNqmZWpFqQHG/PNPmPg+X3u5V9dCR0P6DDBkZC&#10;WusLj4exnk66Jn4xU4J+pHB/pk10gXA8HA+Hoxw9HF3D/mA0SLRml8vW+fBTQEOiUVKHXUlksd3S&#10;B3wQQ08h8S0PWlULpXXaRCWIuXZkx7CHOqQU8caLKG1IW9Kb4ThPwC98SUsXhPXmDQTE0wYTuZQe&#10;rdCtO6Kqkg5OtKyh2iNbDg5C8pYvFNa0ZD48MofKQRpwGsIDLlID5gRHi5Ia3N+3zmM8NhS9lLSo&#10;xJL6P1vmBCX6l8FWf++PRlG6aTMaf0V6ibv2rK89ZtvMAYnq49xZnswYH/TJlA6aZxyaWXwVXcxw&#10;fLuk4WTOw2E+cOi4mM1SEIrVsrA0K8sjdGxM7NhT98ycPbY1oB7u4aRZVrzq7iE23jQw2waQKrU+&#10;8nxg9Ug/Cj0p4jiUcZKu9ynq8uuY/gMAAP//AwBQSwMEFAAGAAgAAAAhAGTTO6nfAAAACwEAAA8A&#10;AABkcnMvZG93bnJldi54bWxMj0FLw0AQhe+C/2EZwZvdtA1mjdmUoIiggli9eJsmYxLMzobstk3/&#10;veNJb2/mPd58U2xmN6gDTaH3bGG5SEAR177pubXw8f5wZUCFiNzg4JksnCjApjw/KzBv/JHf6LCN&#10;rZISDjla6GIcc61D3ZHDsPAjsXhffnIYZZxa3Ux4lHI36FWSXGuHPcuFDke666j+3u6dhaf0E+/X&#10;8ZlOkefXqno0YxperL28mKtbUJHm+BeGX3xBh1KYdn7PTVCDhcxkK4laSNc3IiRhsqWInWyMSUGX&#10;hf7/Q/kDAAD//wMAUEsBAi0AFAAGAAgAAAAhALaDOJL+AAAA4QEAABMAAAAAAAAAAAAAAAAAAAAA&#10;AFtDb250ZW50X1R5cGVzXS54bWxQSwECLQAUAAYACAAAACEAOP0h/9YAAACUAQAACwAAAAAAAAAA&#10;AAAAAAAvAQAAX3JlbHMvLnJlbHNQSwECLQAUAAYACAAAACEAptu4MzcCAACCBAAADgAAAAAAAAAA&#10;AAAAAAAuAgAAZHJzL2Uyb0RvYy54bWxQSwECLQAUAAYACAAAACEAZNM7qd8AAAALAQAADwAAAAAA&#10;AAAAAAAAAACRBAAAZHJzL2Rvd25yZXYueG1sUEsFBgAAAAAEAAQA8wAAAJ0FAAAAAA==&#10;" fillcolor="white [3201]" strokecolor="white [3212]" strokeweight=".5pt">
                <v:textbox>
                  <w:txbxContent>
                    <w:p w14:paraId="7CFAE3AF" w14:textId="3CD8BEE5" w:rsidR="00914CEB" w:rsidRPr="00914CEB" w:rsidRDefault="00914CEB" w:rsidP="00914CEB">
                      <w:pPr>
                        <w:rPr>
                          <w:b/>
                          <w:bCs/>
                          <w:color w:val="156082" w:themeColor="accent1"/>
                          <w:lang w:val="en-US"/>
                        </w:rPr>
                      </w:pPr>
                      <w:r w:rsidRPr="00914CEB">
                        <w:rPr>
                          <w:b/>
                          <w:bCs/>
                          <w:color w:val="156082" w:themeColor="accent1"/>
                          <w:lang w:val="en-US"/>
                        </w:rPr>
                        <w:t>High</w:t>
                      </w:r>
                    </w:p>
                  </w:txbxContent>
                </v:textbox>
                <w10:wrap anchorx="margin"/>
              </v:shape>
            </w:pict>
          </mc:Fallback>
        </mc:AlternateContent>
      </w:r>
      <w:r w:rsidR="00914CEB">
        <w:rPr>
          <w:rFonts w:eastAsia="Times New Roman"/>
          <w:b/>
          <w:bCs/>
          <w:noProof/>
          <w:lang w:eastAsia="en-GB"/>
        </w:rPr>
        <mc:AlternateContent>
          <mc:Choice Requires="wps">
            <w:drawing>
              <wp:anchor distT="0" distB="0" distL="114300" distR="114300" simplePos="0" relativeHeight="251533824" behindDoc="0" locked="0" layoutInCell="1" allowOverlap="1" wp14:anchorId="557DE7C5" wp14:editId="0DC34804">
                <wp:simplePos x="0" y="0"/>
                <wp:positionH relativeFrom="margin">
                  <wp:posOffset>152400</wp:posOffset>
                </wp:positionH>
                <wp:positionV relativeFrom="paragraph">
                  <wp:posOffset>152400</wp:posOffset>
                </wp:positionV>
                <wp:extent cx="533400" cy="312420"/>
                <wp:effectExtent l="0" t="0" r="19050" b="11430"/>
                <wp:wrapNone/>
                <wp:docPr id="384009332" name="Text Box 10"/>
                <wp:cNvGraphicFramePr/>
                <a:graphic xmlns:a="http://schemas.openxmlformats.org/drawingml/2006/main">
                  <a:graphicData uri="http://schemas.microsoft.com/office/word/2010/wordprocessingShape">
                    <wps:wsp>
                      <wps:cNvSpPr txBox="1"/>
                      <wps:spPr>
                        <a:xfrm>
                          <a:off x="0" y="0"/>
                          <a:ext cx="533400" cy="312420"/>
                        </a:xfrm>
                        <a:prstGeom prst="rect">
                          <a:avLst/>
                        </a:prstGeom>
                        <a:solidFill>
                          <a:sysClr val="window" lastClr="FFFFFF"/>
                        </a:solidFill>
                        <a:ln w="6350">
                          <a:solidFill>
                            <a:sysClr val="window" lastClr="FFFFFF"/>
                          </a:solidFill>
                        </a:ln>
                      </wps:spPr>
                      <wps:txbx>
                        <w:txbxContent>
                          <w:p w14:paraId="7CD4737D" w14:textId="77777777" w:rsidR="00914CEB" w:rsidRPr="00914CEB" w:rsidRDefault="00914CEB" w:rsidP="00914CEB">
                            <w:pPr>
                              <w:rPr>
                                <w:b/>
                                <w:bCs/>
                                <w:color w:val="156082" w:themeColor="accent1"/>
                                <w:lang w:val="en-US"/>
                              </w:rPr>
                            </w:pPr>
                            <w:r w:rsidRPr="00914CEB">
                              <w:rPr>
                                <w:b/>
                                <w:bCs/>
                                <w:color w:val="156082" w:themeColor="accent1"/>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DE7C5" id="_x0000_s1029" type="#_x0000_t202" style="position:absolute;left:0;text-align:left;margin-left:12pt;margin-top:12pt;width:42pt;height:24.6pt;z-index:251533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o65PAIAAKQEAAAOAAAAZHJzL2Uyb0RvYy54bWysVNtuGjEQfa/Uf7D8XpZr2iKWiBJRVYqS&#10;SKTKs/F6YSWvx7UNu/Tre2yuSfsUlQcznhnP5ZyZndy2tWY75XxFJue9TpczZSQVlVnn/Ofz4tMX&#10;znwQphCajMr5Xnl+O/34YdLYserThnShHEMQ48eNzfkmBDvOMi83qha+Q1YZGEtytQi4unVWONEg&#10;eq2zfrd7kzXkCutIKu+hvTsY+TTFL0slw2NZehWYzjlqC+l06VzFM5tOxHjthN1U8liGeEcVtagM&#10;kp5D3Ykg2NZVf4WqK+nIUxk6kuqMyrKSKvWAbnrdN90sN8Kq1AvA8fYMk/9/YeXDbmmfHAvtN2pB&#10;YASksX7soYz9tKWr4z8qZbADwv0ZNtUGJqEcDQbDLiwSpkGvP+wnWLPLY+t8+K6oZlHIuQMrCSyx&#10;u/cBCeF6com5POmqWFRap8vez7VjOwECwXtBDWda+ABlzhfpF2tGiFfPtGFNzm8Go27K9Mrm3xMS&#10;CbRBngs4UQrtqmVVgb5PwK2o2ANPR4dR81YuKnR9j5KfhMNsASjsS3jEUWpCkXSUONuQ+/0vffQH&#10;5bBy1mBWc+5/bYVTQOKHwTB87Q2HcbjTZTj6DAKYu7asri1mW88JaPawmVYmMfoHfRJLR/UL1moW&#10;s8IkjETunIeTOA+HDcJaSjWbJSeMsxXh3iytjKEjdZHT5/ZFOHskPmBiHug01WL8hv+Db3xpaLYN&#10;VFZpOCLOB1SP8GMVEuHHtY27dn1PXpePy/QPAAAA//8DAFBLAwQUAAYACAAAACEAcXncZNwAAAAI&#10;AQAADwAAAGRycy9kb3ducmV2LnhtbEyPQUsDMRCF74L/IYzgzSZuRct2s2URLCIotHroMU3G7OJm&#10;smym7frvTUHQ0zDzHm++V62m0IsjjqmLpOF2pkAg2eg68ho+3p9uFiASG3Kmj4QavjHBqr68qEzp&#10;4ok2eNyyFzmEUmk0tMxDKWWyLQaTZnFAytpnHIPhvI5eutGccnjoZaHUvQymo/yhNQM+tmi/toeg&#10;4WWzNoVfP6vX+Y6bN8+2SaPV+vpqapYgGCf+M8MZP6NDnZn28UAuiV5DcZer8O8862qRD3sND/MC&#10;ZF3J/wXqHwAAAP//AwBQSwECLQAUAAYACAAAACEAtoM4kv4AAADhAQAAEwAAAAAAAAAAAAAAAAAA&#10;AAAAW0NvbnRlbnRfVHlwZXNdLnhtbFBLAQItABQABgAIAAAAIQA4/SH/1gAAAJQBAAALAAAAAAAA&#10;AAAAAAAAAC8BAABfcmVscy8ucmVsc1BLAQItABQABgAIAAAAIQBmHo65PAIAAKQEAAAOAAAAAAAA&#10;AAAAAAAAAC4CAABkcnMvZTJvRG9jLnhtbFBLAQItABQABgAIAAAAIQBxedxk3AAAAAgBAAAPAAAA&#10;AAAAAAAAAAAAAJYEAABkcnMvZG93bnJldi54bWxQSwUGAAAAAAQABADzAAAAnwUAAAAA&#10;" fillcolor="window" strokecolor="window" strokeweight=".5pt">
                <v:textbox>
                  <w:txbxContent>
                    <w:p w14:paraId="7CD4737D" w14:textId="77777777" w:rsidR="00914CEB" w:rsidRPr="00914CEB" w:rsidRDefault="00914CEB" w:rsidP="00914CEB">
                      <w:pPr>
                        <w:rPr>
                          <w:b/>
                          <w:bCs/>
                          <w:color w:val="156082" w:themeColor="accent1"/>
                          <w:lang w:val="en-US"/>
                        </w:rPr>
                      </w:pPr>
                      <w:r w:rsidRPr="00914CEB">
                        <w:rPr>
                          <w:b/>
                          <w:bCs/>
                          <w:color w:val="156082" w:themeColor="accent1"/>
                          <w:lang w:val="en-US"/>
                        </w:rPr>
                        <w:t>High</w:t>
                      </w:r>
                    </w:p>
                  </w:txbxContent>
                </v:textbox>
                <w10:wrap anchorx="margin"/>
              </v:shape>
            </w:pict>
          </mc:Fallback>
        </mc:AlternateContent>
      </w:r>
      <w:r w:rsidR="00914CEB">
        <w:rPr>
          <w:rFonts w:eastAsia="Times New Roman"/>
          <w:b/>
          <w:bCs/>
          <w:noProof/>
          <w:lang w:eastAsia="en-GB"/>
        </w:rPr>
        <mc:AlternateContent>
          <mc:Choice Requires="wps">
            <w:drawing>
              <wp:anchor distT="0" distB="0" distL="114300" distR="114300" simplePos="0" relativeHeight="251419136" behindDoc="0" locked="0" layoutInCell="1" allowOverlap="1" wp14:anchorId="4A7CEA0F" wp14:editId="1B48546E">
                <wp:simplePos x="0" y="0"/>
                <wp:positionH relativeFrom="margin">
                  <wp:align>left</wp:align>
                </wp:positionH>
                <wp:positionV relativeFrom="paragraph">
                  <wp:posOffset>1356360</wp:posOffset>
                </wp:positionV>
                <wp:extent cx="1577340" cy="259080"/>
                <wp:effectExtent l="0" t="7620" r="15240" b="15240"/>
                <wp:wrapNone/>
                <wp:docPr id="1140337150" name="Text Box 9"/>
                <wp:cNvGraphicFramePr/>
                <a:graphic xmlns:a="http://schemas.openxmlformats.org/drawingml/2006/main">
                  <a:graphicData uri="http://schemas.microsoft.com/office/word/2010/wordprocessingShape">
                    <wps:wsp>
                      <wps:cNvSpPr txBox="1"/>
                      <wps:spPr>
                        <a:xfrm rot="16200000">
                          <a:off x="0" y="0"/>
                          <a:ext cx="1577340" cy="259080"/>
                        </a:xfrm>
                        <a:prstGeom prst="rect">
                          <a:avLst/>
                        </a:prstGeom>
                        <a:solidFill>
                          <a:schemeClr val="lt1"/>
                        </a:solidFill>
                        <a:ln w="6350">
                          <a:solidFill>
                            <a:schemeClr val="bg1"/>
                          </a:solidFill>
                        </a:ln>
                      </wps:spPr>
                      <wps:txbx>
                        <w:txbxContent>
                          <w:p w14:paraId="765F4BBA" w14:textId="04DEEBC6" w:rsidR="001E2ADE" w:rsidRPr="00914CEB" w:rsidRDefault="00914CEB">
                            <w:pPr>
                              <w:rPr>
                                <w:b/>
                                <w:bCs/>
                                <w:color w:val="156082" w:themeColor="accent1"/>
                                <w:lang w:val="en-US"/>
                              </w:rPr>
                            </w:pPr>
                            <w:r w:rsidRPr="00914CEB">
                              <w:rPr>
                                <w:b/>
                                <w:bCs/>
                                <w:color w:val="156082" w:themeColor="accent1"/>
                                <w:lang w:val="en-US"/>
                              </w:rPr>
                              <w:t>Service 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CEA0F" id="Text Box 9" o:spid="_x0000_s1030" type="#_x0000_t202" style="position:absolute;left:0;text-align:left;margin-left:0;margin-top:106.8pt;width:124.2pt;height:20.4pt;rotation:-90;z-index:2514191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EPOPwIAAJIEAAAOAAAAZHJzL2Uyb0RvYy54bWysVN9v2jAQfp+0/8Hy+whQfrQRoWJUTJNQ&#10;W4lWfTaOTSI5Ps82JOyv39khQLs+TePBuvN9+Xz33R2z+6ZS5CCsK0FndNDrUyI0h7zUu4y+vqy+&#10;3VLiPNM5U6BFRo/C0fv51y+z2qRiCAWoXFiCJNqltclo4b1Jk8TxQlTM9cAIjUEJtmIeXbtLcstq&#10;ZK9UMuz3J0kNNjcWuHAObx/aIJ1HfikF909SOuGJyijm5uNp47kNZzKfsXRnmSlKfkqD/UMWFSs1&#10;PnqmemCekb0t/6KqSm7BgfQ9DlUCUpZcxBqwmkH/QzWbghkRa0FxnDnL5P4fLX88bMyzJb75Dg02&#10;MAhSG5c6vAz1NNJWxALqNpig3viLZWLiBOGo6PGsomg84YFjPJ3ejDDEMTYc3/Vvo8xJSxZIjXX+&#10;h4CKBCOjFrsUWdlh7TwmgNAOEuAOVJmvSqWiEyZDLJUlB4Y9VT6mjF+8QylN6oxObsZtuu9icbYu&#10;DNvdJwzIpzQmcpEiWL7ZNqTMMzrqZNpCfkT1okBYsTN8VWJNa+b8M7M4SXiJ2+Gf8JAKMCc4WZQU&#10;YH9/dh/w2GCMUlLjZGbU/dozKyhRPzW2/m4wCur66IzG0yE69jqyvY7ofbUEFGoQs4tmwHvVmdJC&#10;9YZLtAivYohpjm9n1Hfm0rf7gkvIxWIRQTi8hvm13hgeqLumvjRvzJpTWz0OxCN0M8zSD91tseFL&#10;DYu9B1nG1gedW1VP8uPgx4k4LWnYrGs/oi5/JfM/AAAA//8DAFBLAwQUAAYACAAAACEA93ckGuAA&#10;AAALAQAADwAAAGRycy9kb3ducmV2LnhtbEyPwU7DMBBE70j8g7VI3KhDG6oS4lSoUIkLiKY9wM2N&#10;lyRgr6PYbQNfz+YEtxntaPZNvhycFUfsQ+tJwfUkAYFUedNSrWC3XV8tQISoyWjrCRV8Y4BlcX6W&#10;68z4E23wWMZacAmFTCtoYuwyKUPVoNNh4jskvn343unItq+l6fWJy52V0ySZS6db4g+N7nDVYPVV&#10;HpyCp8f168/z2+fDy7tsq9Ruqq5cBaUuL4b7OxARh/gXhhGf0aFgpr0/kAnCsk9mjB5HcctiTKTp&#10;HMRewexmMQVZ5PL/huIXAAD//wMAUEsBAi0AFAAGAAgAAAAhALaDOJL+AAAA4QEAABMAAAAAAAAA&#10;AAAAAAAAAAAAAFtDb250ZW50X1R5cGVzXS54bWxQSwECLQAUAAYACAAAACEAOP0h/9YAAACUAQAA&#10;CwAAAAAAAAAAAAAAAAAvAQAAX3JlbHMvLnJlbHNQSwECLQAUAAYACAAAACEA0QxDzj8CAACSBAAA&#10;DgAAAAAAAAAAAAAAAAAuAgAAZHJzL2Uyb0RvYy54bWxQSwECLQAUAAYACAAAACEA93ckGuAAAAAL&#10;AQAADwAAAAAAAAAAAAAAAACZBAAAZHJzL2Rvd25yZXYueG1sUEsFBgAAAAAEAAQA8wAAAKYFAAAA&#10;AA==&#10;" fillcolor="white [3201]" strokecolor="white [3212]" strokeweight=".5pt">
                <v:textbox>
                  <w:txbxContent>
                    <w:p w14:paraId="765F4BBA" w14:textId="04DEEBC6" w:rsidR="001E2ADE" w:rsidRPr="00914CEB" w:rsidRDefault="00914CEB">
                      <w:pPr>
                        <w:rPr>
                          <w:b/>
                          <w:bCs/>
                          <w:color w:val="156082" w:themeColor="accent1"/>
                          <w:lang w:val="en-US"/>
                        </w:rPr>
                      </w:pPr>
                      <w:r w:rsidRPr="00914CEB">
                        <w:rPr>
                          <w:b/>
                          <w:bCs/>
                          <w:color w:val="156082" w:themeColor="accent1"/>
                          <w:lang w:val="en-US"/>
                        </w:rPr>
                        <w:t>Service Benefits</w:t>
                      </w:r>
                    </w:p>
                  </w:txbxContent>
                </v:textbox>
                <w10:wrap anchorx="margin"/>
              </v:shape>
            </w:pict>
          </mc:Fallback>
        </mc:AlternateContent>
      </w:r>
      <w:r w:rsidR="00704FBC" w:rsidRPr="00C20148">
        <w:rPr>
          <w:rFonts w:eastAsia="Times New Roman"/>
          <w:b/>
          <w:bCs/>
          <w:noProof/>
          <w:shd w:val="clear" w:color="auto" w:fill="0F4761" w:themeFill="accent1" w:themeFillShade="BF"/>
          <w:lang w:eastAsia="en-GB"/>
        </w:rPr>
        <w:drawing>
          <wp:inline distT="0" distB="0" distL="0" distR="0" wp14:anchorId="068E1981" wp14:editId="61014275">
            <wp:extent cx="5486400" cy="3200400"/>
            <wp:effectExtent l="0" t="0" r="0" b="0"/>
            <wp:docPr id="148116167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F3DE98F" w14:textId="0E1DCE63" w:rsidR="00861228" w:rsidRPr="00601AA6" w:rsidRDefault="00601AA6" w:rsidP="00601AA6">
      <w:pPr>
        <w:pStyle w:val="Caption"/>
        <w:spacing w:line="360" w:lineRule="auto"/>
        <w:jc w:val="left"/>
        <w:rPr>
          <w:color w:val="0F4761" w:themeColor="accent1" w:themeShade="BF"/>
          <w:sz w:val="22"/>
          <w:szCs w:val="22"/>
        </w:rPr>
      </w:pPr>
      <w:bookmarkStart w:id="22" w:name="_Toc215910385"/>
      <w:r w:rsidRPr="00601AA6">
        <w:rPr>
          <w:color w:val="0F4761" w:themeColor="accent1" w:themeShade="BF"/>
          <w:sz w:val="22"/>
          <w:szCs w:val="22"/>
        </w:rPr>
        <w:t xml:space="preserve">Figure </w:t>
      </w:r>
      <w:r w:rsidRPr="00601AA6">
        <w:rPr>
          <w:color w:val="0F4761" w:themeColor="accent1" w:themeShade="BF"/>
          <w:sz w:val="22"/>
          <w:szCs w:val="22"/>
        </w:rPr>
        <w:fldChar w:fldCharType="begin"/>
      </w:r>
      <w:r w:rsidRPr="00601AA6">
        <w:rPr>
          <w:color w:val="0F4761" w:themeColor="accent1" w:themeShade="BF"/>
          <w:sz w:val="22"/>
          <w:szCs w:val="22"/>
        </w:rPr>
        <w:instrText xml:space="preserve"> SEQ Figure \* ALPHABETIC </w:instrText>
      </w:r>
      <w:r w:rsidRPr="00601AA6">
        <w:rPr>
          <w:color w:val="0F4761" w:themeColor="accent1" w:themeShade="BF"/>
          <w:sz w:val="22"/>
          <w:szCs w:val="22"/>
        </w:rPr>
        <w:fldChar w:fldCharType="separate"/>
      </w:r>
      <w:r>
        <w:rPr>
          <w:noProof/>
          <w:color w:val="0F4761" w:themeColor="accent1" w:themeShade="BF"/>
          <w:sz w:val="22"/>
        </w:rPr>
        <w:t>A</w:t>
      </w:r>
      <w:r w:rsidRPr="00601AA6">
        <w:rPr>
          <w:color w:val="0F4761" w:themeColor="accent1" w:themeShade="BF"/>
          <w:sz w:val="22"/>
          <w:szCs w:val="22"/>
        </w:rPr>
        <w:fldChar w:fldCharType="end"/>
      </w:r>
      <w:r w:rsidRPr="00601AA6">
        <w:rPr>
          <w:color w:val="0F4761" w:themeColor="accent1" w:themeShade="BF"/>
          <w:sz w:val="22"/>
          <w:szCs w:val="22"/>
        </w:rPr>
        <w:t xml:space="preserve"> Bowman's Strategic Clock - SHP Adaptation</w:t>
      </w:r>
      <w:bookmarkEnd w:id="22"/>
    </w:p>
    <w:p w14:paraId="2BC7E846" w14:textId="38DA5EB8" w:rsidR="00A25ACA" w:rsidRPr="008D4A71" w:rsidRDefault="00466D63" w:rsidP="00AC21FA">
      <w:r w:rsidRPr="00466D63">
        <w:rPr>
          <w:b/>
          <w:bCs/>
        </w:rPr>
        <w:t>Source:</w:t>
      </w:r>
      <w:r>
        <w:t xml:space="preserve"> </w:t>
      </w:r>
      <w:r w:rsidR="000C0414">
        <w:t>Author, a</w:t>
      </w:r>
      <w:r>
        <w:t xml:space="preserve">dapted from </w:t>
      </w:r>
      <w:r w:rsidRPr="00466D63">
        <w:rPr>
          <w:noProof/>
          <w:lang w:val="en-US"/>
        </w:rPr>
        <w:t>Bowman &amp; Faulkner</w:t>
      </w:r>
      <w:r>
        <w:rPr>
          <w:noProof/>
          <w:lang w:val="en-US"/>
        </w:rPr>
        <w:t xml:space="preserve"> </w:t>
      </w:r>
      <w:sdt>
        <w:sdtPr>
          <w:rPr>
            <w:noProof/>
            <w:lang w:val="en-US"/>
          </w:rPr>
          <w:id w:val="1949968299"/>
          <w:citation/>
        </w:sdtPr>
        <w:sdtEndPr/>
        <w:sdtContent>
          <w:r>
            <w:rPr>
              <w:noProof/>
              <w:lang w:val="en-US"/>
            </w:rPr>
            <w:fldChar w:fldCharType="begin"/>
          </w:r>
          <w:r w:rsidR="00EC65CE">
            <w:rPr>
              <w:noProof/>
              <w:lang w:val="en-US"/>
            </w:rPr>
            <w:instrText xml:space="preserve">CITATION Bow97 \n  \l 1033 </w:instrText>
          </w:r>
          <w:r>
            <w:rPr>
              <w:noProof/>
              <w:lang w:val="en-US"/>
            </w:rPr>
            <w:fldChar w:fldCharType="separate"/>
          </w:r>
          <w:r w:rsidR="002E53A1" w:rsidRPr="002E53A1">
            <w:rPr>
              <w:noProof/>
              <w:lang w:val="en-US"/>
            </w:rPr>
            <w:t>(1997)</w:t>
          </w:r>
          <w:r>
            <w:rPr>
              <w:noProof/>
              <w:lang w:val="en-US"/>
            </w:rPr>
            <w:fldChar w:fldCharType="end"/>
          </w:r>
        </w:sdtContent>
      </w:sdt>
      <w:r>
        <w:rPr>
          <w:noProof/>
          <w:lang w:val="en-US"/>
        </w:rPr>
        <w:t xml:space="preserve">; SHP </w:t>
      </w:r>
      <w:sdt>
        <w:sdtPr>
          <w:rPr>
            <w:noProof/>
            <w:lang w:val="en-US"/>
          </w:rPr>
          <w:id w:val="1195510233"/>
          <w:citation/>
        </w:sdtPr>
        <w:sdtEndPr/>
        <w:sdtContent>
          <w:r>
            <w:rPr>
              <w:noProof/>
              <w:lang w:val="en-US"/>
            </w:rPr>
            <w:fldChar w:fldCharType="begin"/>
          </w:r>
          <w:r>
            <w:rPr>
              <w:noProof/>
              <w:lang w:val="en-US"/>
            </w:rPr>
            <w:instrText xml:space="preserve">CITATION SHP253 \n  \l 1033 </w:instrText>
          </w:r>
          <w:r>
            <w:rPr>
              <w:noProof/>
              <w:lang w:val="en-US"/>
            </w:rPr>
            <w:fldChar w:fldCharType="separate"/>
          </w:r>
          <w:r w:rsidR="002E53A1" w:rsidRPr="002E53A1">
            <w:rPr>
              <w:noProof/>
              <w:lang w:val="en-US"/>
            </w:rPr>
            <w:t>(2025)</w:t>
          </w:r>
          <w:r>
            <w:rPr>
              <w:noProof/>
              <w:lang w:val="en-US"/>
            </w:rPr>
            <w:fldChar w:fldCharType="end"/>
          </w:r>
        </w:sdtContent>
      </w:sdt>
      <w:r>
        <w:rPr>
          <w:noProof/>
          <w:lang w:val="en-US"/>
        </w:rPr>
        <w:t>.</w:t>
      </w:r>
    </w:p>
    <w:p w14:paraId="3BFBBBAC" w14:textId="2DB5168D" w:rsidR="00037ED3" w:rsidRPr="00037ED3" w:rsidRDefault="00037ED3" w:rsidP="00037ED3">
      <w:pPr>
        <w:pStyle w:val="Caption"/>
        <w:keepNext/>
        <w:spacing w:line="360" w:lineRule="auto"/>
        <w:rPr>
          <w:color w:val="0F4761" w:themeColor="accent1" w:themeShade="BF"/>
          <w:sz w:val="22"/>
        </w:rPr>
      </w:pPr>
      <w:bookmarkStart w:id="23" w:name="_Toc215910539"/>
      <w:r w:rsidRPr="00037ED3">
        <w:rPr>
          <w:color w:val="0F4761" w:themeColor="accent1" w:themeShade="BF"/>
          <w:sz w:val="22"/>
        </w:rPr>
        <w:t xml:space="preserve">Table </w:t>
      </w:r>
      <w:r w:rsidRPr="00037ED3">
        <w:rPr>
          <w:color w:val="0F4761" w:themeColor="accent1" w:themeShade="BF"/>
          <w:sz w:val="22"/>
        </w:rPr>
        <w:fldChar w:fldCharType="begin"/>
      </w:r>
      <w:r w:rsidRPr="00037ED3">
        <w:rPr>
          <w:color w:val="0F4761" w:themeColor="accent1" w:themeShade="BF"/>
          <w:sz w:val="22"/>
        </w:rPr>
        <w:instrText xml:space="preserve"> SEQ Table \* ARABIC </w:instrText>
      </w:r>
      <w:r w:rsidRPr="00037ED3">
        <w:rPr>
          <w:color w:val="0F4761" w:themeColor="accent1" w:themeShade="BF"/>
          <w:sz w:val="22"/>
        </w:rPr>
        <w:fldChar w:fldCharType="separate"/>
      </w:r>
      <w:r w:rsidR="00A20D63">
        <w:rPr>
          <w:noProof/>
          <w:color w:val="0F4761" w:themeColor="accent1" w:themeShade="BF"/>
          <w:sz w:val="22"/>
        </w:rPr>
        <w:t>8</w:t>
      </w:r>
      <w:r w:rsidRPr="00037ED3">
        <w:rPr>
          <w:color w:val="0F4761" w:themeColor="accent1" w:themeShade="BF"/>
          <w:sz w:val="22"/>
        </w:rPr>
        <w:fldChar w:fldCharType="end"/>
      </w:r>
      <w:r w:rsidRPr="00037ED3">
        <w:rPr>
          <w:color w:val="0F4761" w:themeColor="accent1" w:themeShade="BF"/>
          <w:sz w:val="22"/>
        </w:rPr>
        <w:t xml:space="preserve"> Bowman's Strategic Clock Adaptation for SHP</w:t>
      </w:r>
      <w:bookmarkEnd w:id="23"/>
    </w:p>
    <w:tbl>
      <w:tblPr>
        <w:tblStyle w:val="TableGrid"/>
        <w:tblW w:w="0" w:type="auto"/>
        <w:tblLook w:val="04A0" w:firstRow="1" w:lastRow="0" w:firstColumn="1" w:lastColumn="0" w:noHBand="0" w:noVBand="1"/>
      </w:tblPr>
      <w:tblGrid>
        <w:gridCol w:w="1980"/>
        <w:gridCol w:w="1843"/>
        <w:gridCol w:w="1417"/>
        <w:gridCol w:w="3776"/>
      </w:tblGrid>
      <w:tr w:rsidR="00AD6F74" w:rsidRPr="00E7791A" w14:paraId="727867A1" w14:textId="77777777" w:rsidTr="00E97238">
        <w:trPr>
          <w:tblHeader/>
        </w:trPr>
        <w:tc>
          <w:tcPr>
            <w:tcW w:w="1980" w:type="dxa"/>
            <w:shd w:val="clear" w:color="auto" w:fill="DAE9F7" w:themeFill="text2" w:themeFillTint="1A"/>
          </w:tcPr>
          <w:p w14:paraId="544B88F2" w14:textId="33896E3D" w:rsidR="00E7791A" w:rsidRPr="009F26AA" w:rsidRDefault="00E7791A" w:rsidP="00E8642B">
            <w:pPr>
              <w:spacing w:line="360" w:lineRule="auto"/>
              <w:jc w:val="left"/>
              <w:rPr>
                <w:rFonts w:eastAsia="Times New Roman"/>
                <w:b/>
                <w:bCs/>
                <w:color w:val="156082" w:themeColor="accent1"/>
                <w:lang w:eastAsia="en-GB"/>
              </w:rPr>
            </w:pPr>
            <w:r w:rsidRPr="009F26AA">
              <w:rPr>
                <w:rFonts w:eastAsia="Times New Roman"/>
                <w:b/>
                <w:bCs/>
                <w:color w:val="156082" w:themeColor="accent1"/>
                <w:lang w:eastAsia="en-GB"/>
              </w:rPr>
              <w:t>Position</w:t>
            </w:r>
          </w:p>
        </w:tc>
        <w:tc>
          <w:tcPr>
            <w:tcW w:w="1843" w:type="dxa"/>
            <w:shd w:val="clear" w:color="auto" w:fill="DAE9F7" w:themeFill="text2" w:themeFillTint="1A"/>
          </w:tcPr>
          <w:p w14:paraId="70D17C9C" w14:textId="4E7E8998" w:rsidR="00E7791A" w:rsidRPr="009F26AA" w:rsidRDefault="00E7791A" w:rsidP="00E8642B">
            <w:pPr>
              <w:spacing w:line="360" w:lineRule="auto"/>
              <w:jc w:val="left"/>
              <w:rPr>
                <w:rFonts w:eastAsia="Times New Roman"/>
                <w:b/>
                <w:bCs/>
                <w:color w:val="156082" w:themeColor="accent1"/>
                <w:lang w:eastAsia="en-GB"/>
              </w:rPr>
            </w:pPr>
            <w:r w:rsidRPr="009F26AA">
              <w:rPr>
                <w:rFonts w:eastAsia="Times New Roman"/>
                <w:b/>
                <w:bCs/>
                <w:color w:val="156082" w:themeColor="accent1"/>
                <w:lang w:eastAsia="en-GB"/>
              </w:rPr>
              <w:t>Description</w:t>
            </w:r>
          </w:p>
        </w:tc>
        <w:tc>
          <w:tcPr>
            <w:tcW w:w="1417" w:type="dxa"/>
            <w:shd w:val="clear" w:color="auto" w:fill="DAE9F7" w:themeFill="text2" w:themeFillTint="1A"/>
          </w:tcPr>
          <w:p w14:paraId="2FA65E90" w14:textId="0F07B033" w:rsidR="00E7791A" w:rsidRPr="009F26AA" w:rsidRDefault="00E7791A" w:rsidP="00E8642B">
            <w:pPr>
              <w:spacing w:line="360" w:lineRule="auto"/>
              <w:jc w:val="left"/>
              <w:rPr>
                <w:rFonts w:eastAsia="Times New Roman"/>
                <w:b/>
                <w:bCs/>
                <w:color w:val="156082" w:themeColor="accent1"/>
                <w:lang w:eastAsia="en-GB"/>
              </w:rPr>
            </w:pPr>
            <w:r w:rsidRPr="009F26AA">
              <w:rPr>
                <w:rFonts w:eastAsia="Times New Roman"/>
                <w:b/>
                <w:bCs/>
                <w:color w:val="156082" w:themeColor="accent1"/>
                <w:lang w:eastAsia="en-GB"/>
              </w:rPr>
              <w:t>Relevance to SHP</w:t>
            </w:r>
          </w:p>
        </w:tc>
        <w:tc>
          <w:tcPr>
            <w:tcW w:w="3776" w:type="dxa"/>
            <w:shd w:val="clear" w:color="auto" w:fill="DAE9F7" w:themeFill="text2" w:themeFillTint="1A"/>
          </w:tcPr>
          <w:p w14:paraId="1C8697C0" w14:textId="2B7D265C" w:rsidR="00E7791A" w:rsidRPr="009F26AA" w:rsidRDefault="00E7791A" w:rsidP="00E8642B">
            <w:pPr>
              <w:spacing w:line="360" w:lineRule="auto"/>
              <w:jc w:val="left"/>
              <w:rPr>
                <w:rFonts w:eastAsia="Times New Roman"/>
                <w:b/>
                <w:bCs/>
                <w:color w:val="156082" w:themeColor="accent1"/>
                <w:lang w:eastAsia="en-GB"/>
              </w:rPr>
            </w:pPr>
            <w:r w:rsidRPr="009F26AA">
              <w:rPr>
                <w:rFonts w:eastAsia="Times New Roman"/>
                <w:b/>
                <w:bCs/>
                <w:color w:val="156082" w:themeColor="accent1"/>
                <w:lang w:eastAsia="en-GB"/>
              </w:rPr>
              <w:t>Implications</w:t>
            </w:r>
          </w:p>
        </w:tc>
      </w:tr>
      <w:tr w:rsidR="00AD6F74" w:rsidRPr="00E7791A" w14:paraId="44FD34DB" w14:textId="77777777" w:rsidTr="00E97238">
        <w:tc>
          <w:tcPr>
            <w:tcW w:w="1980" w:type="dxa"/>
            <w:shd w:val="clear" w:color="auto" w:fill="DAE9F7" w:themeFill="text2" w:themeFillTint="1A"/>
          </w:tcPr>
          <w:p w14:paraId="24C3A149" w14:textId="14F057B2" w:rsidR="00E7791A" w:rsidRPr="00602BEA" w:rsidRDefault="00602BEA" w:rsidP="00602BEA">
            <w:pPr>
              <w:jc w:val="left"/>
              <w:rPr>
                <w:rFonts w:eastAsia="Times New Roman"/>
                <w:b/>
                <w:bCs/>
                <w:color w:val="156082" w:themeColor="accent1"/>
                <w:lang w:eastAsia="en-GB"/>
              </w:rPr>
            </w:pPr>
            <w:r w:rsidRPr="00602BEA">
              <w:rPr>
                <w:b/>
                <w:bCs/>
                <w:color w:val="156082" w:themeColor="accent1"/>
              </w:rPr>
              <w:t xml:space="preserve">1-2 </w:t>
            </w:r>
            <w:r w:rsidR="0001732A" w:rsidRPr="00602BEA">
              <w:rPr>
                <w:b/>
                <w:bCs/>
                <w:color w:val="156082" w:themeColor="accent1"/>
              </w:rPr>
              <w:t>Low Price</w:t>
            </w:r>
            <w:r w:rsidRPr="00602BEA">
              <w:rPr>
                <w:b/>
                <w:bCs/>
                <w:color w:val="156082" w:themeColor="accent1"/>
              </w:rPr>
              <w:t xml:space="preserve"> Options</w:t>
            </w:r>
          </w:p>
        </w:tc>
        <w:tc>
          <w:tcPr>
            <w:tcW w:w="1843" w:type="dxa"/>
          </w:tcPr>
          <w:p w14:paraId="000F323C" w14:textId="11623BEA" w:rsidR="00E7791A" w:rsidRPr="00E7791A" w:rsidRDefault="00F70277" w:rsidP="00E8642B">
            <w:pPr>
              <w:spacing w:line="360" w:lineRule="auto"/>
              <w:jc w:val="left"/>
              <w:rPr>
                <w:rFonts w:eastAsia="Times New Roman"/>
                <w:b/>
                <w:bCs/>
                <w:lang w:eastAsia="en-GB"/>
              </w:rPr>
            </w:pPr>
            <w:r>
              <w:t>Low cost/low value approaches.</w:t>
            </w:r>
          </w:p>
        </w:tc>
        <w:tc>
          <w:tcPr>
            <w:tcW w:w="1417" w:type="dxa"/>
          </w:tcPr>
          <w:p w14:paraId="6206CA90" w14:textId="22AE5777" w:rsidR="00E7791A" w:rsidRPr="00E7791A" w:rsidRDefault="004C30BD" w:rsidP="00E8642B">
            <w:pPr>
              <w:spacing w:line="360" w:lineRule="auto"/>
              <w:jc w:val="left"/>
              <w:rPr>
                <w:rFonts w:eastAsia="Times New Roman"/>
                <w:b/>
                <w:bCs/>
                <w:lang w:eastAsia="en-GB"/>
              </w:rPr>
            </w:pPr>
            <w:r>
              <w:rPr>
                <w:rFonts w:eastAsia="Times New Roman"/>
                <w:b/>
                <w:bCs/>
                <w:lang w:eastAsia="en-GB"/>
              </w:rPr>
              <w:t>Not relevant</w:t>
            </w:r>
          </w:p>
        </w:tc>
        <w:tc>
          <w:tcPr>
            <w:tcW w:w="3776" w:type="dxa"/>
          </w:tcPr>
          <w:p w14:paraId="3995DAF1" w14:textId="32007F0D" w:rsidR="00E7791A" w:rsidRPr="00E7791A" w:rsidRDefault="002C785F" w:rsidP="00E8642B">
            <w:pPr>
              <w:spacing w:line="360" w:lineRule="auto"/>
              <w:jc w:val="left"/>
              <w:rPr>
                <w:rFonts w:eastAsia="Times New Roman"/>
                <w:b/>
                <w:bCs/>
                <w:lang w:eastAsia="en-GB"/>
              </w:rPr>
            </w:pPr>
            <w:r>
              <w:t>Incompatible with statutory housing standards; would compromise service quality and compliance.</w:t>
            </w:r>
          </w:p>
        </w:tc>
      </w:tr>
      <w:tr w:rsidR="00AD6F74" w:rsidRPr="00E7791A" w14:paraId="7136B344" w14:textId="77777777" w:rsidTr="00E97238">
        <w:tc>
          <w:tcPr>
            <w:tcW w:w="1980" w:type="dxa"/>
            <w:shd w:val="clear" w:color="auto" w:fill="DAE9F7" w:themeFill="text2" w:themeFillTint="1A"/>
          </w:tcPr>
          <w:p w14:paraId="40E17F37" w14:textId="3C489CC8" w:rsidR="00E7791A" w:rsidRPr="00F71FD4" w:rsidRDefault="00F71FD4" w:rsidP="00F71FD4">
            <w:pPr>
              <w:jc w:val="left"/>
              <w:rPr>
                <w:rFonts w:eastAsia="Times New Roman"/>
                <w:b/>
                <w:bCs/>
                <w:color w:val="156082" w:themeColor="accent1"/>
                <w:lang w:eastAsia="en-GB"/>
              </w:rPr>
            </w:pPr>
            <w:r>
              <w:rPr>
                <w:b/>
                <w:bCs/>
                <w:color w:val="156082" w:themeColor="accent1"/>
              </w:rPr>
              <w:t xml:space="preserve">3. </w:t>
            </w:r>
            <w:r w:rsidR="0001732A" w:rsidRPr="00F71FD4">
              <w:rPr>
                <w:b/>
                <w:bCs/>
                <w:color w:val="156082" w:themeColor="accent1"/>
              </w:rPr>
              <w:t>Hybrid</w:t>
            </w:r>
          </w:p>
        </w:tc>
        <w:tc>
          <w:tcPr>
            <w:tcW w:w="1843" w:type="dxa"/>
          </w:tcPr>
          <w:p w14:paraId="25DA29AA" w14:textId="57E6B584" w:rsidR="00E7791A" w:rsidRPr="00E7791A" w:rsidRDefault="00F71FD4" w:rsidP="00E8642B">
            <w:pPr>
              <w:spacing w:line="360" w:lineRule="auto"/>
              <w:jc w:val="left"/>
              <w:rPr>
                <w:rFonts w:eastAsia="Times New Roman"/>
                <w:b/>
                <w:bCs/>
                <w:lang w:eastAsia="en-GB"/>
              </w:rPr>
            </w:pPr>
            <w:r>
              <w:t>Efficiency + enhanced value.</w:t>
            </w:r>
          </w:p>
        </w:tc>
        <w:tc>
          <w:tcPr>
            <w:tcW w:w="1417" w:type="dxa"/>
          </w:tcPr>
          <w:p w14:paraId="3D7D1994" w14:textId="25C2E228" w:rsidR="00E7791A" w:rsidRPr="00E7791A" w:rsidRDefault="00F13664" w:rsidP="00E8642B">
            <w:pPr>
              <w:spacing w:line="360" w:lineRule="auto"/>
              <w:jc w:val="left"/>
              <w:rPr>
                <w:rFonts w:eastAsia="Times New Roman"/>
                <w:b/>
                <w:bCs/>
                <w:lang w:eastAsia="en-GB"/>
              </w:rPr>
            </w:pPr>
            <w:r>
              <w:rPr>
                <w:rFonts w:eastAsia="Times New Roman"/>
                <w:b/>
                <w:bCs/>
                <w:lang w:eastAsia="en-GB"/>
              </w:rPr>
              <w:t>High</w:t>
            </w:r>
          </w:p>
        </w:tc>
        <w:tc>
          <w:tcPr>
            <w:tcW w:w="3776" w:type="dxa"/>
          </w:tcPr>
          <w:p w14:paraId="034B0CCC" w14:textId="2C6FAB73" w:rsidR="00E7791A" w:rsidRPr="00E7791A" w:rsidRDefault="00775EE3" w:rsidP="00E8642B">
            <w:pPr>
              <w:spacing w:line="360" w:lineRule="auto"/>
              <w:jc w:val="left"/>
              <w:rPr>
                <w:rFonts w:eastAsia="Times New Roman"/>
                <w:b/>
                <w:bCs/>
                <w:lang w:eastAsia="en-GB"/>
              </w:rPr>
            </w:pPr>
            <w:r>
              <w:t xml:space="preserve">Supports improved </w:t>
            </w:r>
            <w:r w:rsidR="003B4796">
              <w:t>repair’s</w:t>
            </w:r>
            <w:r>
              <w:t xml:space="preserve"> reliability, regulatory compliance, and tenant satisfaction; feasible within SME constraints.</w:t>
            </w:r>
          </w:p>
        </w:tc>
      </w:tr>
      <w:tr w:rsidR="00AD6F74" w:rsidRPr="00E7791A" w14:paraId="6BA3E151" w14:textId="77777777" w:rsidTr="00E97238">
        <w:tc>
          <w:tcPr>
            <w:tcW w:w="1980" w:type="dxa"/>
            <w:shd w:val="clear" w:color="auto" w:fill="DAE9F7" w:themeFill="text2" w:themeFillTint="1A"/>
          </w:tcPr>
          <w:p w14:paraId="5A882AA5" w14:textId="7598F436" w:rsidR="00E7791A" w:rsidRPr="002F31A8" w:rsidRDefault="002F31A8" w:rsidP="002F31A8">
            <w:pPr>
              <w:jc w:val="left"/>
              <w:rPr>
                <w:rFonts w:eastAsia="Times New Roman"/>
                <w:b/>
                <w:bCs/>
                <w:color w:val="156082" w:themeColor="accent1"/>
                <w:lang w:eastAsia="en-GB"/>
              </w:rPr>
            </w:pPr>
            <w:r>
              <w:rPr>
                <w:b/>
                <w:bCs/>
                <w:color w:val="156082" w:themeColor="accent1"/>
              </w:rPr>
              <w:t xml:space="preserve">4. </w:t>
            </w:r>
            <w:r w:rsidR="006D35C0" w:rsidRPr="002F31A8">
              <w:rPr>
                <w:b/>
                <w:bCs/>
                <w:color w:val="156082" w:themeColor="accent1"/>
              </w:rPr>
              <w:t>Differentiation</w:t>
            </w:r>
          </w:p>
        </w:tc>
        <w:tc>
          <w:tcPr>
            <w:tcW w:w="1843" w:type="dxa"/>
          </w:tcPr>
          <w:p w14:paraId="34D8DEEC" w14:textId="67B35EAA" w:rsidR="00E7791A" w:rsidRPr="00E7791A" w:rsidRDefault="008D3410" w:rsidP="00E8642B">
            <w:pPr>
              <w:spacing w:line="360" w:lineRule="auto"/>
              <w:jc w:val="left"/>
              <w:rPr>
                <w:rFonts w:eastAsia="Times New Roman"/>
                <w:b/>
                <w:bCs/>
                <w:lang w:eastAsia="en-GB"/>
              </w:rPr>
            </w:pPr>
            <w:r>
              <w:t>High quality and strong service focus</w:t>
            </w:r>
            <w:r w:rsidR="00485E67">
              <w:t>.</w:t>
            </w:r>
          </w:p>
        </w:tc>
        <w:tc>
          <w:tcPr>
            <w:tcW w:w="1417" w:type="dxa"/>
          </w:tcPr>
          <w:p w14:paraId="7EECDB8C" w14:textId="057429C8" w:rsidR="00E7791A" w:rsidRPr="00E8642B" w:rsidRDefault="00F13664" w:rsidP="00E8642B">
            <w:pPr>
              <w:spacing w:line="360" w:lineRule="auto"/>
              <w:jc w:val="left"/>
              <w:rPr>
                <w:rFonts w:eastAsia="Times New Roman"/>
                <w:b/>
                <w:bCs/>
                <w:lang w:eastAsia="en-GB"/>
              </w:rPr>
            </w:pPr>
            <w:r w:rsidRPr="00E8642B">
              <w:rPr>
                <w:b/>
                <w:bCs/>
              </w:rPr>
              <w:t>Very High</w:t>
            </w:r>
          </w:p>
        </w:tc>
        <w:tc>
          <w:tcPr>
            <w:tcW w:w="3776" w:type="dxa"/>
          </w:tcPr>
          <w:p w14:paraId="5FAF8590" w14:textId="3CD4BF01" w:rsidR="00E7791A" w:rsidRPr="00E7791A" w:rsidRDefault="00775EE3" w:rsidP="00E8642B">
            <w:pPr>
              <w:spacing w:line="360" w:lineRule="auto"/>
              <w:jc w:val="left"/>
              <w:rPr>
                <w:rFonts w:eastAsia="Times New Roman"/>
                <w:b/>
                <w:bCs/>
                <w:lang w:eastAsia="en-GB"/>
              </w:rPr>
            </w:pPr>
            <w:r>
              <w:t>Strengthens tenant trust, improves regulatory ratings, and enhances community legitimacy; aligns with ALMO purpose.</w:t>
            </w:r>
          </w:p>
        </w:tc>
      </w:tr>
      <w:tr w:rsidR="003A6DEB" w:rsidRPr="00E7791A" w14:paraId="3097B6CB" w14:textId="77777777" w:rsidTr="00E97238">
        <w:tc>
          <w:tcPr>
            <w:tcW w:w="1980" w:type="dxa"/>
            <w:shd w:val="clear" w:color="auto" w:fill="DAE9F7" w:themeFill="text2" w:themeFillTint="1A"/>
          </w:tcPr>
          <w:p w14:paraId="4F866E42" w14:textId="309D81F9" w:rsidR="006D35C0" w:rsidRPr="006030F0" w:rsidRDefault="006030F0" w:rsidP="006030F0">
            <w:pPr>
              <w:jc w:val="left"/>
              <w:rPr>
                <w:rFonts w:eastAsia="Times New Roman"/>
                <w:b/>
                <w:bCs/>
                <w:color w:val="156082" w:themeColor="accent1"/>
                <w:lang w:eastAsia="en-GB"/>
              </w:rPr>
            </w:pPr>
            <w:r>
              <w:rPr>
                <w:b/>
                <w:bCs/>
                <w:color w:val="156082" w:themeColor="accent1"/>
              </w:rPr>
              <w:t xml:space="preserve">5. </w:t>
            </w:r>
            <w:r w:rsidR="00631C69" w:rsidRPr="006030F0">
              <w:rPr>
                <w:b/>
                <w:bCs/>
                <w:color w:val="156082" w:themeColor="accent1"/>
              </w:rPr>
              <w:t>Focused Differentiation</w:t>
            </w:r>
          </w:p>
        </w:tc>
        <w:tc>
          <w:tcPr>
            <w:tcW w:w="1843" w:type="dxa"/>
          </w:tcPr>
          <w:p w14:paraId="7340BFBA" w14:textId="33C9A6D3" w:rsidR="006D35C0" w:rsidRPr="00AC21FA" w:rsidRDefault="00D64BCB" w:rsidP="00E8642B">
            <w:pPr>
              <w:spacing w:line="360" w:lineRule="auto"/>
              <w:jc w:val="left"/>
              <w:rPr>
                <w:rFonts w:eastAsia="Times New Roman"/>
                <w:lang w:eastAsia="en-GB"/>
              </w:rPr>
            </w:pPr>
            <w:r>
              <w:t>Extremely high</w:t>
            </w:r>
            <w:r w:rsidR="008D632A">
              <w:t xml:space="preserve"> value targeted to specific groups</w:t>
            </w:r>
            <w:r w:rsidR="00D128C2">
              <w:t>.</w:t>
            </w:r>
          </w:p>
        </w:tc>
        <w:tc>
          <w:tcPr>
            <w:tcW w:w="1417" w:type="dxa"/>
          </w:tcPr>
          <w:p w14:paraId="1608360A" w14:textId="523D8B5F" w:rsidR="006D35C0" w:rsidRPr="00E8642B" w:rsidRDefault="00F13664" w:rsidP="00E8642B">
            <w:pPr>
              <w:spacing w:line="360" w:lineRule="auto"/>
              <w:jc w:val="left"/>
              <w:rPr>
                <w:rFonts w:eastAsia="Times New Roman"/>
                <w:b/>
                <w:bCs/>
                <w:lang w:eastAsia="en-GB"/>
              </w:rPr>
            </w:pPr>
            <w:r w:rsidRPr="00E8642B">
              <w:rPr>
                <w:b/>
                <w:bCs/>
              </w:rPr>
              <w:t>Moderate</w:t>
            </w:r>
            <w:r w:rsidR="009613FD">
              <w:rPr>
                <w:b/>
                <w:bCs/>
              </w:rPr>
              <w:t xml:space="preserve"> /</w:t>
            </w:r>
            <w:r w:rsidR="00814DC1">
              <w:rPr>
                <w:b/>
                <w:bCs/>
              </w:rPr>
              <w:t xml:space="preserve"> </w:t>
            </w:r>
            <w:r w:rsidRPr="00E8642B">
              <w:rPr>
                <w:b/>
                <w:bCs/>
              </w:rPr>
              <w:t>High</w:t>
            </w:r>
          </w:p>
        </w:tc>
        <w:tc>
          <w:tcPr>
            <w:tcW w:w="3776" w:type="dxa"/>
          </w:tcPr>
          <w:p w14:paraId="540DCDA9" w14:textId="2DC07028" w:rsidR="006D35C0" w:rsidRPr="00AC21FA" w:rsidRDefault="00496DFB" w:rsidP="00E8642B">
            <w:pPr>
              <w:spacing w:line="360" w:lineRule="auto"/>
              <w:jc w:val="left"/>
              <w:rPr>
                <w:rFonts w:eastAsia="Times New Roman"/>
                <w:lang w:eastAsia="en-GB"/>
              </w:rPr>
            </w:pPr>
            <w:r>
              <w:t>Effective for vulnerable tenants or priority estates; supports social value creation and equity</w:t>
            </w:r>
            <w:r w:rsidR="00C7439D">
              <w:t>.</w:t>
            </w:r>
          </w:p>
        </w:tc>
      </w:tr>
      <w:tr w:rsidR="003A6DEB" w:rsidRPr="00E7791A" w14:paraId="71BE78D1" w14:textId="77777777" w:rsidTr="00E97238">
        <w:tc>
          <w:tcPr>
            <w:tcW w:w="1980" w:type="dxa"/>
            <w:shd w:val="clear" w:color="auto" w:fill="DAE9F7" w:themeFill="text2" w:themeFillTint="1A"/>
          </w:tcPr>
          <w:p w14:paraId="70E4ACDF" w14:textId="029595F4" w:rsidR="006D35C0" w:rsidRPr="00B0306A" w:rsidRDefault="00B0306A" w:rsidP="00B0306A">
            <w:pPr>
              <w:jc w:val="left"/>
              <w:rPr>
                <w:rFonts w:eastAsia="Times New Roman"/>
                <w:b/>
                <w:bCs/>
                <w:color w:val="156082" w:themeColor="accent1"/>
                <w:lang w:eastAsia="en-GB"/>
              </w:rPr>
            </w:pPr>
            <w:r>
              <w:rPr>
                <w:b/>
                <w:bCs/>
                <w:color w:val="156082" w:themeColor="accent1"/>
              </w:rPr>
              <w:t xml:space="preserve">6. </w:t>
            </w:r>
            <w:r w:rsidR="00F3456B" w:rsidRPr="00B0306A">
              <w:rPr>
                <w:b/>
                <w:bCs/>
                <w:color w:val="156082" w:themeColor="accent1"/>
              </w:rPr>
              <w:t>High Value / High Cost (Premium)</w:t>
            </w:r>
          </w:p>
        </w:tc>
        <w:tc>
          <w:tcPr>
            <w:tcW w:w="1843" w:type="dxa"/>
          </w:tcPr>
          <w:p w14:paraId="0FC8E63E" w14:textId="4836DB36" w:rsidR="006D35C0" w:rsidRPr="00AC21FA" w:rsidRDefault="0042513F" w:rsidP="00E8642B">
            <w:pPr>
              <w:spacing w:line="360" w:lineRule="auto"/>
              <w:jc w:val="left"/>
              <w:rPr>
                <w:rFonts w:eastAsia="Times New Roman"/>
                <w:lang w:eastAsia="en-GB"/>
              </w:rPr>
            </w:pPr>
            <w:r>
              <w:t>Premium value with higher investment.</w:t>
            </w:r>
          </w:p>
        </w:tc>
        <w:tc>
          <w:tcPr>
            <w:tcW w:w="1417" w:type="dxa"/>
          </w:tcPr>
          <w:p w14:paraId="29359C7C" w14:textId="3C946732" w:rsidR="006D35C0" w:rsidRPr="00E8642B" w:rsidRDefault="00A475DB" w:rsidP="00E8642B">
            <w:pPr>
              <w:spacing w:line="360" w:lineRule="auto"/>
              <w:jc w:val="left"/>
              <w:rPr>
                <w:rFonts w:eastAsia="Times New Roman"/>
                <w:b/>
                <w:bCs/>
                <w:lang w:eastAsia="en-GB"/>
              </w:rPr>
            </w:pPr>
            <w:r>
              <w:rPr>
                <w:b/>
                <w:bCs/>
              </w:rPr>
              <w:t>Not</w:t>
            </w:r>
            <w:r w:rsidR="00E8642B" w:rsidRPr="00E8642B">
              <w:rPr>
                <w:b/>
                <w:bCs/>
              </w:rPr>
              <w:t xml:space="preserve"> relevant</w:t>
            </w:r>
          </w:p>
        </w:tc>
        <w:tc>
          <w:tcPr>
            <w:tcW w:w="3776" w:type="dxa"/>
          </w:tcPr>
          <w:p w14:paraId="08C11139" w14:textId="04923ADA" w:rsidR="006D35C0" w:rsidRPr="00AC21FA" w:rsidRDefault="00496DFB" w:rsidP="00E8642B">
            <w:pPr>
              <w:spacing w:line="360" w:lineRule="auto"/>
              <w:jc w:val="left"/>
              <w:rPr>
                <w:rFonts w:eastAsia="Times New Roman"/>
                <w:lang w:eastAsia="en-GB"/>
              </w:rPr>
            </w:pPr>
            <w:r>
              <w:t>Enhances niche services but constrained by public funding and statutory remit.</w:t>
            </w:r>
          </w:p>
        </w:tc>
      </w:tr>
      <w:tr w:rsidR="003A6DEB" w:rsidRPr="00E7791A" w14:paraId="2E27376F" w14:textId="77777777" w:rsidTr="00E97238">
        <w:tc>
          <w:tcPr>
            <w:tcW w:w="1980" w:type="dxa"/>
            <w:shd w:val="clear" w:color="auto" w:fill="DAE9F7" w:themeFill="text2" w:themeFillTint="1A"/>
          </w:tcPr>
          <w:p w14:paraId="43015B7E" w14:textId="47A60FC4" w:rsidR="006D35C0" w:rsidRPr="00770D15" w:rsidRDefault="00770D15" w:rsidP="00770D15">
            <w:pPr>
              <w:jc w:val="left"/>
              <w:rPr>
                <w:rFonts w:eastAsia="Times New Roman"/>
                <w:b/>
                <w:bCs/>
                <w:color w:val="156082" w:themeColor="accent1"/>
                <w:lang w:eastAsia="en-GB"/>
              </w:rPr>
            </w:pPr>
            <w:r>
              <w:rPr>
                <w:b/>
                <w:bCs/>
                <w:color w:val="156082" w:themeColor="accent1"/>
              </w:rPr>
              <w:t xml:space="preserve">7. </w:t>
            </w:r>
            <w:r w:rsidR="004907BA" w:rsidRPr="00770D15">
              <w:rPr>
                <w:b/>
                <w:bCs/>
                <w:color w:val="156082" w:themeColor="accent1"/>
              </w:rPr>
              <w:t>High Price / Low Value</w:t>
            </w:r>
          </w:p>
        </w:tc>
        <w:tc>
          <w:tcPr>
            <w:tcW w:w="1843" w:type="dxa"/>
          </w:tcPr>
          <w:p w14:paraId="261FC43F" w14:textId="2B2B5AA9" w:rsidR="006D35C0" w:rsidRPr="00AC21FA" w:rsidRDefault="008D632A" w:rsidP="00E8642B">
            <w:pPr>
              <w:spacing w:line="360" w:lineRule="auto"/>
              <w:jc w:val="left"/>
              <w:rPr>
                <w:rFonts w:eastAsia="Times New Roman"/>
                <w:lang w:eastAsia="en-GB"/>
              </w:rPr>
            </w:pPr>
            <w:r>
              <w:t>High cost for low value</w:t>
            </w:r>
            <w:r w:rsidR="00D128C2">
              <w:t>.</w:t>
            </w:r>
          </w:p>
        </w:tc>
        <w:tc>
          <w:tcPr>
            <w:tcW w:w="1417" w:type="dxa"/>
          </w:tcPr>
          <w:p w14:paraId="2BB865B4" w14:textId="2DCDE13E" w:rsidR="006D35C0" w:rsidRPr="00E8642B" w:rsidRDefault="00E8642B" w:rsidP="00E8642B">
            <w:pPr>
              <w:spacing w:line="360" w:lineRule="auto"/>
              <w:jc w:val="left"/>
              <w:rPr>
                <w:rFonts w:eastAsia="Times New Roman"/>
                <w:b/>
                <w:bCs/>
                <w:lang w:eastAsia="en-GB"/>
              </w:rPr>
            </w:pPr>
            <w:r w:rsidRPr="00E8642B">
              <w:rPr>
                <w:b/>
                <w:bCs/>
              </w:rPr>
              <w:t>Not relevant</w:t>
            </w:r>
          </w:p>
        </w:tc>
        <w:tc>
          <w:tcPr>
            <w:tcW w:w="3776" w:type="dxa"/>
          </w:tcPr>
          <w:p w14:paraId="5C226270" w14:textId="35504219" w:rsidR="006D35C0" w:rsidRPr="00AC21FA" w:rsidRDefault="00683788" w:rsidP="00E8642B">
            <w:pPr>
              <w:spacing w:line="360" w:lineRule="auto"/>
              <w:jc w:val="left"/>
              <w:rPr>
                <w:rFonts w:eastAsia="Times New Roman"/>
                <w:lang w:eastAsia="en-GB"/>
              </w:rPr>
            </w:pPr>
            <w:r>
              <w:t>Incompatible with public accountability; reputational and regulatory risk.</w:t>
            </w:r>
          </w:p>
        </w:tc>
      </w:tr>
      <w:tr w:rsidR="003A6DEB" w:rsidRPr="00E7791A" w14:paraId="0AE1BA45" w14:textId="77777777" w:rsidTr="00E97238">
        <w:tc>
          <w:tcPr>
            <w:tcW w:w="1980" w:type="dxa"/>
            <w:shd w:val="clear" w:color="auto" w:fill="DAE9F7" w:themeFill="text2" w:themeFillTint="1A"/>
          </w:tcPr>
          <w:p w14:paraId="17BA5C5A" w14:textId="19465FCB" w:rsidR="006D35C0" w:rsidRPr="00770D15" w:rsidRDefault="00770D15" w:rsidP="00770D15">
            <w:pPr>
              <w:jc w:val="left"/>
              <w:rPr>
                <w:rFonts w:eastAsia="Times New Roman"/>
                <w:b/>
                <w:bCs/>
                <w:color w:val="156082" w:themeColor="accent1"/>
                <w:lang w:eastAsia="en-GB"/>
              </w:rPr>
            </w:pPr>
            <w:r>
              <w:rPr>
                <w:b/>
                <w:bCs/>
                <w:color w:val="156082" w:themeColor="accent1"/>
              </w:rPr>
              <w:t xml:space="preserve">8. </w:t>
            </w:r>
            <w:r w:rsidR="00177757" w:rsidRPr="00770D15">
              <w:rPr>
                <w:b/>
                <w:bCs/>
                <w:color w:val="156082" w:themeColor="accent1"/>
              </w:rPr>
              <w:t>Low Value</w:t>
            </w:r>
          </w:p>
        </w:tc>
        <w:tc>
          <w:tcPr>
            <w:tcW w:w="1843" w:type="dxa"/>
          </w:tcPr>
          <w:p w14:paraId="637596ED" w14:textId="3941C59C" w:rsidR="006D35C0" w:rsidRPr="00AC21FA" w:rsidRDefault="005C0A7C" w:rsidP="00E8642B">
            <w:pPr>
              <w:spacing w:line="360" w:lineRule="auto"/>
              <w:jc w:val="left"/>
              <w:rPr>
                <w:rFonts w:eastAsia="Times New Roman"/>
                <w:lang w:eastAsia="en-GB"/>
              </w:rPr>
            </w:pPr>
            <w:r>
              <w:t>Poor performance at any cost level</w:t>
            </w:r>
            <w:r w:rsidR="00D128C2">
              <w:t>.</w:t>
            </w:r>
          </w:p>
        </w:tc>
        <w:tc>
          <w:tcPr>
            <w:tcW w:w="1417" w:type="dxa"/>
          </w:tcPr>
          <w:p w14:paraId="312BDEB6" w14:textId="59D63C94" w:rsidR="006D35C0" w:rsidRPr="00E8642B" w:rsidRDefault="00E8642B" w:rsidP="00E8642B">
            <w:pPr>
              <w:spacing w:line="360" w:lineRule="auto"/>
              <w:jc w:val="left"/>
              <w:rPr>
                <w:rFonts w:eastAsia="Times New Roman"/>
                <w:b/>
                <w:bCs/>
                <w:lang w:eastAsia="en-GB"/>
              </w:rPr>
            </w:pPr>
            <w:r w:rsidRPr="00E8642B">
              <w:rPr>
                <w:b/>
                <w:bCs/>
              </w:rPr>
              <w:t>Not relevant</w:t>
            </w:r>
          </w:p>
        </w:tc>
        <w:tc>
          <w:tcPr>
            <w:tcW w:w="3776" w:type="dxa"/>
          </w:tcPr>
          <w:p w14:paraId="7B0BB312" w14:textId="070187D5" w:rsidR="006D35C0" w:rsidRPr="00AC21FA" w:rsidRDefault="003B4796" w:rsidP="00E8642B">
            <w:pPr>
              <w:spacing w:line="360" w:lineRule="auto"/>
              <w:jc w:val="left"/>
              <w:rPr>
                <w:rFonts w:eastAsia="Times New Roman"/>
                <w:lang w:eastAsia="en-GB"/>
              </w:rPr>
            </w:pPr>
            <w:r>
              <w:t>Breaches consumer standards; regulatory failure.</w:t>
            </w:r>
          </w:p>
        </w:tc>
      </w:tr>
    </w:tbl>
    <w:p w14:paraId="349BD7C8" w14:textId="0B3F5054" w:rsidR="00994C90" w:rsidRDefault="00037ED3" w:rsidP="0088115E">
      <w:pPr>
        <w:spacing w:line="240" w:lineRule="auto"/>
        <w:jc w:val="left"/>
        <w:rPr>
          <w:rFonts w:eastAsia="Times New Roman"/>
          <w:lang w:eastAsia="en-GB"/>
        </w:rPr>
      </w:pPr>
      <w:r w:rsidRPr="0088115E">
        <w:rPr>
          <w:rFonts w:eastAsia="Times New Roman"/>
          <w:b/>
          <w:bCs/>
          <w:lang w:eastAsia="en-GB"/>
        </w:rPr>
        <w:t xml:space="preserve">Source: </w:t>
      </w:r>
      <w:r w:rsidR="006E6C9B" w:rsidRPr="006E6C9B">
        <w:rPr>
          <w:rFonts w:eastAsia="Times New Roman"/>
          <w:lang w:eastAsia="en-GB"/>
        </w:rPr>
        <w:t>Author,</w:t>
      </w:r>
      <w:r w:rsidR="006E6C9B">
        <w:rPr>
          <w:rFonts w:eastAsia="Times New Roman"/>
          <w:b/>
          <w:bCs/>
          <w:lang w:eastAsia="en-GB"/>
        </w:rPr>
        <w:t xml:space="preserve"> </w:t>
      </w:r>
      <w:r w:rsidR="006E6C9B">
        <w:rPr>
          <w:rFonts w:eastAsia="Times New Roman"/>
          <w:lang w:eastAsia="en-GB"/>
        </w:rPr>
        <w:t>a</w:t>
      </w:r>
      <w:r w:rsidRPr="0088115E">
        <w:rPr>
          <w:rFonts w:eastAsia="Times New Roman"/>
          <w:lang w:eastAsia="en-GB"/>
        </w:rPr>
        <w:t>dapted from</w:t>
      </w:r>
      <w:r w:rsidR="0088115E" w:rsidRPr="0088115E">
        <w:rPr>
          <w:rFonts w:eastAsia="Times New Roman"/>
          <w:lang w:eastAsia="en-GB"/>
        </w:rPr>
        <w:t xml:space="preserve"> </w:t>
      </w:r>
      <w:r w:rsidR="0088115E" w:rsidRPr="00AC21FA">
        <w:rPr>
          <w:rFonts w:eastAsia="Times New Roman"/>
          <w:lang w:eastAsia="en-GB"/>
        </w:rPr>
        <w:t xml:space="preserve">Bowman &amp; Faulkner </w:t>
      </w:r>
      <w:sdt>
        <w:sdtPr>
          <w:rPr>
            <w:rFonts w:eastAsia="Times New Roman"/>
            <w:lang w:eastAsia="en-GB"/>
          </w:rPr>
          <w:id w:val="-1420633093"/>
          <w:citation/>
        </w:sdtPr>
        <w:sdtEndPr/>
        <w:sdtContent>
          <w:r w:rsidR="009F26AA">
            <w:rPr>
              <w:rFonts w:eastAsia="Times New Roman"/>
              <w:lang w:eastAsia="en-GB"/>
            </w:rPr>
            <w:fldChar w:fldCharType="begin"/>
          </w:r>
          <w:r w:rsidR="00EC65CE">
            <w:rPr>
              <w:rFonts w:eastAsia="Times New Roman"/>
              <w:lang w:val="en-US" w:eastAsia="en-GB"/>
            </w:rPr>
            <w:instrText xml:space="preserve">CITATION Bow97 \n  \l 1033 </w:instrText>
          </w:r>
          <w:r w:rsidR="009F26AA">
            <w:rPr>
              <w:rFonts w:eastAsia="Times New Roman"/>
              <w:lang w:eastAsia="en-GB"/>
            </w:rPr>
            <w:fldChar w:fldCharType="separate"/>
          </w:r>
          <w:r w:rsidR="002E53A1" w:rsidRPr="002E53A1">
            <w:rPr>
              <w:rFonts w:eastAsia="Times New Roman"/>
              <w:noProof/>
              <w:lang w:val="en-US" w:eastAsia="en-GB"/>
            </w:rPr>
            <w:t>(1997)</w:t>
          </w:r>
          <w:r w:rsidR="009F26AA">
            <w:rPr>
              <w:rFonts w:eastAsia="Times New Roman"/>
              <w:lang w:eastAsia="en-GB"/>
            </w:rPr>
            <w:fldChar w:fldCharType="end"/>
          </w:r>
        </w:sdtContent>
      </w:sdt>
      <w:r w:rsidR="0088115E" w:rsidRPr="00AC21FA">
        <w:rPr>
          <w:rFonts w:eastAsia="Times New Roman"/>
          <w:lang w:eastAsia="en-GB"/>
        </w:rPr>
        <w:t>;</w:t>
      </w:r>
      <w:r w:rsidR="009F26AA">
        <w:rPr>
          <w:rFonts w:eastAsia="Times New Roman"/>
          <w:lang w:eastAsia="en-GB"/>
        </w:rPr>
        <w:t xml:space="preserve"> </w:t>
      </w:r>
      <w:r w:rsidR="009055FC" w:rsidRPr="009055FC">
        <w:rPr>
          <w:rFonts w:eastAsia="Times New Roman"/>
          <w:noProof/>
          <w:lang w:val="en-US" w:eastAsia="en-GB"/>
        </w:rPr>
        <w:t>Mullins &amp; Moore</w:t>
      </w:r>
      <w:r w:rsidR="009055FC">
        <w:rPr>
          <w:rFonts w:eastAsia="Times New Roman"/>
          <w:noProof/>
          <w:lang w:val="en-US" w:eastAsia="en-GB"/>
        </w:rPr>
        <w:t xml:space="preserve"> </w:t>
      </w:r>
      <w:sdt>
        <w:sdtPr>
          <w:rPr>
            <w:rFonts w:eastAsia="Times New Roman"/>
            <w:noProof/>
            <w:lang w:val="en-US" w:eastAsia="en-GB"/>
          </w:rPr>
          <w:id w:val="528767221"/>
          <w:citation/>
        </w:sdtPr>
        <w:sdtEndPr/>
        <w:sdtContent>
          <w:r w:rsidR="009055FC">
            <w:rPr>
              <w:rFonts w:eastAsia="Times New Roman"/>
              <w:noProof/>
              <w:lang w:val="en-US" w:eastAsia="en-GB"/>
            </w:rPr>
            <w:fldChar w:fldCharType="begin"/>
          </w:r>
          <w:r w:rsidR="009055FC">
            <w:rPr>
              <w:rFonts w:eastAsia="Times New Roman"/>
              <w:noProof/>
              <w:lang w:val="en-US" w:eastAsia="en-GB"/>
            </w:rPr>
            <w:instrText xml:space="preserve">CITATION Mul18 \n  \l 1033 </w:instrText>
          </w:r>
          <w:r w:rsidR="009055FC">
            <w:rPr>
              <w:rFonts w:eastAsia="Times New Roman"/>
              <w:noProof/>
              <w:lang w:val="en-US" w:eastAsia="en-GB"/>
            </w:rPr>
            <w:fldChar w:fldCharType="separate"/>
          </w:r>
          <w:r w:rsidR="002E53A1" w:rsidRPr="002E53A1">
            <w:rPr>
              <w:rFonts w:eastAsia="Times New Roman"/>
              <w:noProof/>
              <w:lang w:val="en-US" w:eastAsia="en-GB"/>
            </w:rPr>
            <w:t>(2018)</w:t>
          </w:r>
          <w:r w:rsidR="009055FC">
            <w:rPr>
              <w:rFonts w:eastAsia="Times New Roman"/>
              <w:noProof/>
              <w:lang w:val="en-US" w:eastAsia="en-GB"/>
            </w:rPr>
            <w:fldChar w:fldCharType="end"/>
          </w:r>
        </w:sdtContent>
      </w:sdt>
      <w:r w:rsidR="0088115E" w:rsidRPr="00AC21FA">
        <w:rPr>
          <w:rFonts w:eastAsia="Times New Roman"/>
          <w:lang w:eastAsia="en-GB"/>
        </w:rPr>
        <w:t xml:space="preserve">; </w:t>
      </w:r>
      <w:r w:rsidR="00386ABF">
        <w:rPr>
          <w:rFonts w:eastAsia="Times New Roman"/>
          <w:lang w:eastAsia="en-GB"/>
        </w:rPr>
        <w:t xml:space="preserve">SHP </w:t>
      </w:r>
      <w:sdt>
        <w:sdtPr>
          <w:rPr>
            <w:rFonts w:eastAsia="Times New Roman"/>
            <w:lang w:eastAsia="en-GB"/>
          </w:rPr>
          <w:id w:val="-1335068964"/>
          <w:citation/>
        </w:sdtPr>
        <w:sdtEndPr/>
        <w:sdtContent>
          <w:r w:rsidR="00386ABF">
            <w:rPr>
              <w:rFonts w:eastAsia="Times New Roman"/>
              <w:lang w:eastAsia="en-GB"/>
            </w:rPr>
            <w:fldChar w:fldCharType="begin"/>
          </w:r>
          <w:r w:rsidR="00386ABF">
            <w:rPr>
              <w:rFonts w:eastAsia="Times New Roman"/>
              <w:lang w:val="en-US" w:eastAsia="en-GB"/>
            </w:rPr>
            <w:instrText xml:space="preserve">CITATION SHP253 \n  \l 1033 </w:instrText>
          </w:r>
          <w:r w:rsidR="00386ABF">
            <w:rPr>
              <w:rFonts w:eastAsia="Times New Roman"/>
              <w:lang w:eastAsia="en-GB"/>
            </w:rPr>
            <w:fldChar w:fldCharType="separate"/>
          </w:r>
          <w:r w:rsidR="002E53A1" w:rsidRPr="002E53A1">
            <w:rPr>
              <w:rFonts w:eastAsia="Times New Roman"/>
              <w:noProof/>
              <w:lang w:val="en-US" w:eastAsia="en-GB"/>
            </w:rPr>
            <w:t>(2025)</w:t>
          </w:r>
          <w:r w:rsidR="00386ABF">
            <w:rPr>
              <w:rFonts w:eastAsia="Times New Roman"/>
              <w:lang w:eastAsia="en-GB"/>
            </w:rPr>
            <w:fldChar w:fldCharType="end"/>
          </w:r>
        </w:sdtContent>
      </w:sdt>
      <w:r w:rsidR="00386ABF">
        <w:rPr>
          <w:rFonts w:eastAsia="Times New Roman"/>
          <w:lang w:eastAsia="en-GB"/>
        </w:rPr>
        <w:t>.</w:t>
      </w:r>
    </w:p>
    <w:p w14:paraId="749C664E" w14:textId="58DBCB63" w:rsidR="00491D94" w:rsidRPr="00491D94" w:rsidRDefault="002E1CD8" w:rsidP="00E70DCE">
      <w:pPr>
        <w:pStyle w:val="Heading1"/>
        <w:numPr>
          <w:ilvl w:val="0"/>
          <w:numId w:val="16"/>
        </w:numPr>
        <w:rPr>
          <w:rFonts w:eastAsia="Times New Roman"/>
          <w:lang w:eastAsia="en-GB"/>
        </w:rPr>
      </w:pPr>
      <w:bookmarkStart w:id="24" w:name="_Toc216130277"/>
      <w:r>
        <w:rPr>
          <w:rFonts w:eastAsia="Times New Roman"/>
          <w:lang w:eastAsia="en-GB"/>
        </w:rPr>
        <w:t>P</w:t>
      </w:r>
      <w:r w:rsidR="008D2060" w:rsidRPr="008D2060">
        <w:rPr>
          <w:rFonts w:eastAsia="Times New Roman"/>
          <w:lang w:eastAsia="en-GB"/>
        </w:rPr>
        <w:t>roposed Sustainable Strategy</w:t>
      </w:r>
      <w:r w:rsidR="000E5DEC">
        <w:rPr>
          <w:rFonts w:eastAsia="Times New Roman"/>
          <w:lang w:eastAsia="en-GB"/>
        </w:rPr>
        <w:t>:</w:t>
      </w:r>
      <w:r w:rsidR="000E5DEC" w:rsidRPr="000E5DEC">
        <w:t xml:space="preserve"> </w:t>
      </w:r>
      <w:r w:rsidR="000E5DEC">
        <w:t xml:space="preserve">“Sustainable Homes </w:t>
      </w:r>
      <w:r w:rsidR="00E74271">
        <w:t>and</w:t>
      </w:r>
      <w:r w:rsidR="000E5DEC">
        <w:t xml:space="preserve"> Communities (SHC)</w:t>
      </w:r>
      <w:r w:rsidR="00506A86">
        <w:t>”</w:t>
      </w:r>
      <w:bookmarkEnd w:id="24"/>
    </w:p>
    <w:p w14:paraId="6FAA7930" w14:textId="07ADFA2A" w:rsidR="0063356F" w:rsidRDefault="00A720D3" w:rsidP="0063356F">
      <w:pPr>
        <w:rPr>
          <w:rFonts w:eastAsia="Times New Roman"/>
          <w:lang w:eastAsia="en-GB"/>
        </w:rPr>
      </w:pPr>
      <w:r>
        <w:t xml:space="preserve">The Sustainable Homes </w:t>
      </w:r>
      <w:r w:rsidR="00B778EF">
        <w:t>and</w:t>
      </w:r>
      <w:r>
        <w:t xml:space="preserve"> Communities (SHC) Strategy provides a long-term growth pathway for SHP that aligns with its SME-like capacity, statutory role, and regulatory expectations. The strategy integrates three interconnected pillars: </w:t>
      </w:r>
      <w:r>
        <w:rPr>
          <w:rStyle w:val="Strong"/>
        </w:rPr>
        <w:t xml:space="preserve">Decarbonisation </w:t>
      </w:r>
      <w:r w:rsidR="00B778EF">
        <w:rPr>
          <w:rStyle w:val="Strong"/>
        </w:rPr>
        <w:t>and</w:t>
      </w:r>
      <w:r>
        <w:rPr>
          <w:rStyle w:val="Strong"/>
        </w:rPr>
        <w:t xml:space="preserve"> Asset Sustainability</w:t>
      </w:r>
      <w:r>
        <w:t xml:space="preserve">, </w:t>
      </w:r>
      <w:r>
        <w:rPr>
          <w:rStyle w:val="Strong"/>
        </w:rPr>
        <w:t xml:space="preserve">Digital Transformation </w:t>
      </w:r>
      <w:r w:rsidR="00B778EF">
        <w:rPr>
          <w:rStyle w:val="Strong"/>
        </w:rPr>
        <w:t>and</w:t>
      </w:r>
      <w:r>
        <w:rPr>
          <w:rStyle w:val="Strong"/>
        </w:rPr>
        <w:t xml:space="preserve"> Service Modernisation</w:t>
      </w:r>
      <w:r>
        <w:t xml:space="preserve">, and </w:t>
      </w:r>
      <w:r>
        <w:rPr>
          <w:rStyle w:val="Strong"/>
        </w:rPr>
        <w:t>Resident-Centred Service Differentiation</w:t>
      </w:r>
      <w:r>
        <w:t xml:space="preserve">. These pillars respond directly to the external pressures, internal capability gaps, and strategic positioning insights identified earlier in the report </w:t>
      </w:r>
      <w:sdt>
        <w:sdtPr>
          <w:id w:val="-838774168"/>
          <w:citation/>
        </w:sdtPr>
        <w:sdtEndPr/>
        <w:sdtContent>
          <w:r w:rsidR="00E87D6A">
            <w:fldChar w:fldCharType="begin"/>
          </w:r>
          <w:r w:rsidR="00E87D6A">
            <w:rPr>
              <w:lang w:val="en-US"/>
            </w:rPr>
            <w:instrText xml:space="preserve"> CITATION Bry181 \l 1033  \m Din24</w:instrText>
          </w:r>
          <w:r w:rsidR="00E87D6A">
            <w:fldChar w:fldCharType="separate"/>
          </w:r>
          <w:r w:rsidR="002E53A1" w:rsidRPr="002E53A1">
            <w:rPr>
              <w:noProof/>
              <w:lang w:val="en-US"/>
            </w:rPr>
            <w:t>(Bryson, 2018; Ding &amp; Sun, 2024)</w:t>
          </w:r>
          <w:r w:rsidR="00E87D6A">
            <w:fldChar w:fldCharType="end"/>
          </w:r>
        </w:sdtContent>
      </w:sdt>
      <w:r w:rsidR="00981AA3">
        <w:t>.</w:t>
      </w:r>
    </w:p>
    <w:p w14:paraId="169C6741" w14:textId="1FE8C1E0" w:rsidR="00583CAF" w:rsidRPr="00583CAF" w:rsidRDefault="00583CAF" w:rsidP="00444ECA">
      <w:pPr>
        <w:pStyle w:val="Heading2"/>
        <w:numPr>
          <w:ilvl w:val="0"/>
          <w:numId w:val="10"/>
        </w:numPr>
      </w:pPr>
      <w:bookmarkStart w:id="25" w:name="_Toc216130278"/>
      <w:r w:rsidRPr="00583CAF">
        <w:t xml:space="preserve">Pillar 1: Decarbonisation </w:t>
      </w:r>
      <w:r w:rsidR="00B778EF">
        <w:t>and</w:t>
      </w:r>
      <w:r w:rsidRPr="00583CAF">
        <w:t xml:space="preserve"> Asset Sustainability</w:t>
      </w:r>
      <w:bookmarkEnd w:id="25"/>
    </w:p>
    <w:p w14:paraId="0BBAD993" w14:textId="4AC54F84" w:rsidR="00AC3BA1" w:rsidRPr="009B1DD2" w:rsidRDefault="00D67D4D" w:rsidP="00A166DC">
      <w:bookmarkStart w:id="26" w:name="_Hlk215783935"/>
      <w:r>
        <w:t xml:space="preserve">This pillar focuses on </w:t>
      </w:r>
      <w:r w:rsidRPr="009B1DD2">
        <w:rPr>
          <w:b/>
          <w:bCs/>
        </w:rPr>
        <w:t>improving the energy performance and safety of SHP’s housing stock</w:t>
      </w:r>
      <w:r>
        <w:t>. Key initiatives include phased retrofit programmes, low-carbon technologies, and data-driven asset risk prioritisation</w:t>
      </w:r>
      <w:r w:rsidR="005C52BF">
        <w:t xml:space="preserve"> </w:t>
      </w:r>
      <w:sdt>
        <w:sdtPr>
          <w:id w:val="1540009261"/>
          <w:citation/>
        </w:sdtPr>
        <w:sdtEndPr/>
        <w:sdtContent>
          <w:r w:rsidR="008E46F0">
            <w:fldChar w:fldCharType="begin"/>
          </w:r>
          <w:r w:rsidR="008E46F0">
            <w:rPr>
              <w:lang w:val="en-US"/>
            </w:rPr>
            <w:instrText xml:space="preserve"> CITATION Cha25 \l 1033 </w:instrText>
          </w:r>
          <w:r w:rsidR="008E46F0">
            <w:fldChar w:fldCharType="separate"/>
          </w:r>
          <w:r w:rsidR="002E53A1" w:rsidRPr="002E53A1">
            <w:rPr>
              <w:noProof/>
              <w:lang w:val="en-US"/>
            </w:rPr>
            <w:t>(Charles, 2025)</w:t>
          </w:r>
          <w:r w:rsidR="008E46F0">
            <w:fldChar w:fldCharType="end"/>
          </w:r>
        </w:sdtContent>
      </w:sdt>
      <w:r>
        <w:t xml:space="preserve">. These actions address compliance pressures, long-term cost efficiency and the condition-related weaknesses highlighted in the SWOT and Value Chain </w:t>
      </w:r>
      <w:r w:rsidR="00E50397">
        <w:t xml:space="preserve">analysis. </w:t>
      </w:r>
      <w:r w:rsidR="00E50397" w:rsidRPr="008331DB">
        <w:rPr>
          <w:b/>
          <w:bCs/>
        </w:rPr>
        <w:t>Table</w:t>
      </w:r>
      <w:r w:rsidR="00AC3BA1" w:rsidRPr="008331DB">
        <w:rPr>
          <w:b/>
          <w:bCs/>
        </w:rPr>
        <w:t xml:space="preserve"> 9 </w:t>
      </w:r>
      <w:r w:rsidR="00AC3BA1" w:rsidRPr="009B1DD2">
        <w:t>summarises planned initiatives, KPIs, resource requirements, and risks.</w:t>
      </w:r>
    </w:p>
    <w:p w14:paraId="2AB0D782" w14:textId="18A67A22" w:rsidR="00C331BF" w:rsidRPr="00AC5C9D" w:rsidRDefault="00C331BF" w:rsidP="001B257F">
      <w:pPr>
        <w:pStyle w:val="Caption"/>
        <w:keepNext/>
        <w:spacing w:line="360" w:lineRule="auto"/>
        <w:rPr>
          <w:b/>
          <w:bCs/>
          <w:color w:val="156082" w:themeColor="accent1"/>
          <w:sz w:val="22"/>
        </w:rPr>
      </w:pPr>
      <w:bookmarkStart w:id="27" w:name="_Toc215910540"/>
      <w:r w:rsidRPr="00D92771">
        <w:rPr>
          <w:color w:val="156082" w:themeColor="accent1"/>
          <w:sz w:val="22"/>
        </w:rPr>
        <w:t xml:space="preserve">Table </w:t>
      </w:r>
      <w:r w:rsidRPr="00D92771">
        <w:rPr>
          <w:color w:val="156082" w:themeColor="accent1"/>
          <w:sz w:val="22"/>
        </w:rPr>
        <w:fldChar w:fldCharType="begin"/>
      </w:r>
      <w:r w:rsidRPr="00D92771">
        <w:rPr>
          <w:color w:val="156082" w:themeColor="accent1"/>
          <w:sz w:val="22"/>
        </w:rPr>
        <w:instrText xml:space="preserve"> SEQ Table \* ARABIC </w:instrText>
      </w:r>
      <w:r w:rsidRPr="00D92771">
        <w:rPr>
          <w:color w:val="156082" w:themeColor="accent1"/>
          <w:sz w:val="22"/>
        </w:rPr>
        <w:fldChar w:fldCharType="separate"/>
      </w:r>
      <w:r w:rsidR="00A20D63">
        <w:rPr>
          <w:noProof/>
          <w:color w:val="156082" w:themeColor="accent1"/>
          <w:sz w:val="22"/>
        </w:rPr>
        <w:t>9</w:t>
      </w:r>
      <w:r w:rsidRPr="00D92771">
        <w:rPr>
          <w:color w:val="156082" w:themeColor="accent1"/>
          <w:sz w:val="22"/>
        </w:rPr>
        <w:fldChar w:fldCharType="end"/>
      </w:r>
      <w:r w:rsidRPr="00D92771">
        <w:rPr>
          <w:color w:val="156082" w:themeColor="accent1"/>
          <w:sz w:val="22"/>
        </w:rPr>
        <w:t xml:space="preserve"> </w:t>
      </w:r>
      <w:r w:rsidR="00D92771" w:rsidRPr="00D92771">
        <w:rPr>
          <w:color w:val="156082" w:themeColor="accent1"/>
          <w:sz w:val="22"/>
        </w:rPr>
        <w:t xml:space="preserve">Key Initiatives, KPIs, Resource Considerations, and Risks – </w:t>
      </w:r>
      <w:r w:rsidR="00D92771" w:rsidRPr="00AC5C9D">
        <w:rPr>
          <w:b/>
          <w:bCs/>
          <w:color w:val="156082" w:themeColor="accent1"/>
          <w:sz w:val="22"/>
        </w:rPr>
        <w:t>Decarbonisation &amp; Asset Sustainability</w:t>
      </w:r>
      <w:bookmarkEnd w:id="27"/>
    </w:p>
    <w:tbl>
      <w:tblPr>
        <w:tblStyle w:val="TableGrid"/>
        <w:tblW w:w="0" w:type="auto"/>
        <w:tblLook w:val="04A0" w:firstRow="1" w:lastRow="0" w:firstColumn="1" w:lastColumn="0" w:noHBand="0" w:noVBand="1"/>
      </w:tblPr>
      <w:tblGrid>
        <w:gridCol w:w="1980"/>
        <w:gridCol w:w="2410"/>
        <w:gridCol w:w="2268"/>
        <w:gridCol w:w="2358"/>
      </w:tblGrid>
      <w:tr w:rsidR="009D5066" w14:paraId="2F2788BE" w14:textId="5EAC4CC4" w:rsidTr="008E452E">
        <w:tc>
          <w:tcPr>
            <w:tcW w:w="1980" w:type="dxa"/>
            <w:shd w:val="clear" w:color="auto" w:fill="DAE9F7" w:themeFill="text2" w:themeFillTint="1A"/>
          </w:tcPr>
          <w:bookmarkEnd w:id="26"/>
          <w:p w14:paraId="6A9F7155" w14:textId="73791E42" w:rsidR="009D5066" w:rsidRPr="004126AD" w:rsidRDefault="009D5066" w:rsidP="004126AD">
            <w:pPr>
              <w:spacing w:line="360" w:lineRule="auto"/>
              <w:jc w:val="left"/>
              <w:rPr>
                <w:rFonts w:eastAsia="Times New Roman"/>
                <w:b/>
                <w:bCs/>
                <w:color w:val="156082" w:themeColor="accent1"/>
                <w:lang w:eastAsia="en-GB"/>
              </w:rPr>
            </w:pPr>
            <w:r w:rsidRPr="004126AD">
              <w:rPr>
                <w:rFonts w:eastAsia="Times New Roman"/>
                <w:b/>
                <w:bCs/>
                <w:color w:val="156082" w:themeColor="accent1"/>
                <w:lang w:eastAsia="en-GB"/>
              </w:rPr>
              <w:t xml:space="preserve">Key </w:t>
            </w:r>
            <w:r w:rsidRPr="004126AD">
              <w:rPr>
                <w:b/>
                <w:bCs/>
                <w:color w:val="156082" w:themeColor="accent1"/>
              </w:rPr>
              <w:t>Initiative</w:t>
            </w:r>
          </w:p>
        </w:tc>
        <w:tc>
          <w:tcPr>
            <w:tcW w:w="2410" w:type="dxa"/>
            <w:shd w:val="clear" w:color="auto" w:fill="DAE9F7" w:themeFill="text2" w:themeFillTint="1A"/>
          </w:tcPr>
          <w:p w14:paraId="01CBAFC9" w14:textId="30E45C82" w:rsidR="009D5066" w:rsidRPr="004126AD" w:rsidRDefault="009D5066" w:rsidP="004126AD">
            <w:pPr>
              <w:spacing w:line="360" w:lineRule="auto"/>
              <w:jc w:val="left"/>
              <w:rPr>
                <w:rFonts w:eastAsia="Times New Roman"/>
                <w:b/>
                <w:bCs/>
                <w:color w:val="156082" w:themeColor="accent1"/>
                <w:lang w:eastAsia="en-GB"/>
              </w:rPr>
            </w:pPr>
            <w:r w:rsidRPr="004126AD">
              <w:rPr>
                <w:b/>
                <w:bCs/>
                <w:color w:val="156082" w:themeColor="accent1"/>
              </w:rPr>
              <w:t>KPIs / Milestones</w:t>
            </w:r>
          </w:p>
        </w:tc>
        <w:tc>
          <w:tcPr>
            <w:tcW w:w="2268" w:type="dxa"/>
            <w:shd w:val="clear" w:color="auto" w:fill="DAE9F7" w:themeFill="text2" w:themeFillTint="1A"/>
          </w:tcPr>
          <w:p w14:paraId="7E2366B1" w14:textId="4C2CA977" w:rsidR="009D5066" w:rsidRPr="004126AD" w:rsidRDefault="009D5066" w:rsidP="004126AD">
            <w:pPr>
              <w:spacing w:line="360" w:lineRule="auto"/>
              <w:jc w:val="left"/>
              <w:rPr>
                <w:rFonts w:eastAsia="Times New Roman"/>
                <w:b/>
                <w:bCs/>
                <w:color w:val="156082" w:themeColor="accent1"/>
                <w:lang w:eastAsia="en-GB"/>
              </w:rPr>
            </w:pPr>
            <w:r w:rsidRPr="004126AD">
              <w:rPr>
                <w:b/>
                <w:bCs/>
                <w:color w:val="156082" w:themeColor="accent1"/>
              </w:rPr>
              <w:t>Resource Considerations / Trade-offs</w:t>
            </w:r>
          </w:p>
        </w:tc>
        <w:tc>
          <w:tcPr>
            <w:tcW w:w="2358" w:type="dxa"/>
            <w:shd w:val="clear" w:color="auto" w:fill="DAE9F7" w:themeFill="text2" w:themeFillTint="1A"/>
          </w:tcPr>
          <w:p w14:paraId="1309DC17" w14:textId="25F8E54D" w:rsidR="009D5066" w:rsidRPr="00C2461E" w:rsidRDefault="004D1417" w:rsidP="00C2461E">
            <w:pPr>
              <w:spacing w:line="360" w:lineRule="auto"/>
              <w:jc w:val="left"/>
              <w:rPr>
                <w:b/>
                <w:bCs/>
                <w:color w:val="156082" w:themeColor="accent1"/>
              </w:rPr>
            </w:pPr>
            <w:r w:rsidRPr="00C2461E">
              <w:rPr>
                <w:b/>
                <w:bCs/>
                <w:color w:val="156082" w:themeColor="accent1"/>
              </w:rPr>
              <w:t>Key Risks &amp; Mitigation</w:t>
            </w:r>
          </w:p>
        </w:tc>
      </w:tr>
      <w:tr w:rsidR="009D5066" w14:paraId="5C30DC88" w14:textId="35E56FF3" w:rsidTr="008E452E">
        <w:tc>
          <w:tcPr>
            <w:tcW w:w="1980" w:type="dxa"/>
            <w:shd w:val="clear" w:color="auto" w:fill="DAE9F7" w:themeFill="text2" w:themeFillTint="1A"/>
          </w:tcPr>
          <w:p w14:paraId="1AB5B5EB" w14:textId="14FC3A1E" w:rsidR="009D5066" w:rsidRPr="004126AD" w:rsidRDefault="009D5066" w:rsidP="004126AD">
            <w:pPr>
              <w:spacing w:line="360" w:lineRule="auto"/>
              <w:jc w:val="left"/>
              <w:rPr>
                <w:rFonts w:eastAsia="Times New Roman"/>
                <w:b/>
                <w:bCs/>
                <w:color w:val="156082" w:themeColor="accent1"/>
                <w:lang w:eastAsia="en-GB"/>
              </w:rPr>
            </w:pPr>
            <w:r w:rsidRPr="004126AD">
              <w:rPr>
                <w:b/>
                <w:bCs/>
                <w:color w:val="156082" w:themeColor="accent1"/>
              </w:rPr>
              <w:t>Phased retrofit programme (improve EPC ratings)</w:t>
            </w:r>
          </w:p>
        </w:tc>
        <w:tc>
          <w:tcPr>
            <w:tcW w:w="2410" w:type="dxa"/>
          </w:tcPr>
          <w:p w14:paraId="4810CA7E" w14:textId="524775BF" w:rsidR="009D5066" w:rsidRDefault="009D5066" w:rsidP="004126AD">
            <w:pPr>
              <w:spacing w:line="360" w:lineRule="auto"/>
              <w:jc w:val="left"/>
              <w:rPr>
                <w:rFonts w:eastAsia="Times New Roman"/>
                <w:lang w:eastAsia="en-GB"/>
              </w:rPr>
            </w:pPr>
            <w:r>
              <w:t>50% of high-risk stock retrofitted in 3 years; EPC C+ for 80% by 2030.</w:t>
            </w:r>
          </w:p>
        </w:tc>
        <w:tc>
          <w:tcPr>
            <w:tcW w:w="2268" w:type="dxa"/>
          </w:tcPr>
          <w:p w14:paraId="4735209C" w14:textId="7E4F8D51" w:rsidR="009D5066" w:rsidRDefault="009D5066" w:rsidP="004126AD">
            <w:pPr>
              <w:spacing w:line="360" w:lineRule="auto"/>
              <w:jc w:val="left"/>
              <w:rPr>
                <w:rFonts w:eastAsia="Times New Roman"/>
                <w:lang w:eastAsia="en-GB"/>
              </w:rPr>
            </w:pPr>
            <w:r>
              <w:t>Capital investment: workforce planning needed to avoid overextension.</w:t>
            </w:r>
          </w:p>
        </w:tc>
        <w:tc>
          <w:tcPr>
            <w:tcW w:w="2358" w:type="dxa"/>
          </w:tcPr>
          <w:p w14:paraId="3E049E3C" w14:textId="15D17BA8" w:rsidR="009D5066" w:rsidRDefault="004D1417" w:rsidP="00C2461E">
            <w:pPr>
              <w:spacing w:line="360" w:lineRule="auto"/>
              <w:jc w:val="left"/>
            </w:pPr>
            <w:r>
              <w:t>Risk: supply chain delays; Mitigation: phased rollout and contingency budgeting</w:t>
            </w:r>
            <w:r w:rsidR="00C2461E">
              <w:t>.</w:t>
            </w:r>
          </w:p>
        </w:tc>
      </w:tr>
      <w:tr w:rsidR="009D5066" w14:paraId="18F81F9D" w14:textId="515F6273" w:rsidTr="008E452E">
        <w:tc>
          <w:tcPr>
            <w:tcW w:w="1980" w:type="dxa"/>
            <w:shd w:val="clear" w:color="auto" w:fill="DAE9F7" w:themeFill="text2" w:themeFillTint="1A"/>
          </w:tcPr>
          <w:p w14:paraId="598941C5" w14:textId="46936C15" w:rsidR="009D5066" w:rsidRPr="004126AD" w:rsidRDefault="009D5066" w:rsidP="004126AD">
            <w:pPr>
              <w:spacing w:line="360" w:lineRule="auto"/>
              <w:jc w:val="left"/>
              <w:rPr>
                <w:rFonts w:eastAsia="Times New Roman"/>
                <w:b/>
                <w:bCs/>
                <w:color w:val="156082" w:themeColor="accent1"/>
                <w:lang w:eastAsia="en-GB"/>
              </w:rPr>
            </w:pPr>
            <w:r w:rsidRPr="004126AD">
              <w:rPr>
                <w:b/>
                <w:bCs/>
                <w:color w:val="156082" w:themeColor="accent1"/>
              </w:rPr>
              <w:t>Low-carbon heating, ventilation, and insulation deployment</w:t>
            </w:r>
          </w:p>
        </w:tc>
        <w:tc>
          <w:tcPr>
            <w:tcW w:w="2410" w:type="dxa"/>
          </w:tcPr>
          <w:p w14:paraId="01ACFFC8" w14:textId="2C778DE8" w:rsidR="009D5066" w:rsidRDefault="00961763" w:rsidP="004126AD">
            <w:pPr>
              <w:spacing w:line="360" w:lineRule="auto"/>
              <w:jc w:val="left"/>
              <w:rPr>
                <w:rFonts w:eastAsia="Times New Roman"/>
                <w:lang w:eastAsia="en-GB"/>
              </w:rPr>
            </w:pPr>
            <w:r>
              <w:t>C</w:t>
            </w:r>
            <w:r w:rsidR="009D5066">
              <w:t>arbon reduction ≥ 5% per year; resident satisfaction ≥ 80%</w:t>
            </w:r>
            <w:r w:rsidR="004B3A4A">
              <w:t xml:space="preserve"> per year.</w:t>
            </w:r>
          </w:p>
        </w:tc>
        <w:tc>
          <w:tcPr>
            <w:tcW w:w="2268" w:type="dxa"/>
          </w:tcPr>
          <w:p w14:paraId="64DD4DA2" w14:textId="0769B58B" w:rsidR="009D5066" w:rsidRDefault="009D5066" w:rsidP="004126AD">
            <w:pPr>
              <w:spacing w:line="360" w:lineRule="auto"/>
              <w:jc w:val="left"/>
              <w:rPr>
                <w:rFonts w:eastAsia="Times New Roman"/>
                <w:lang w:eastAsia="en-GB"/>
              </w:rPr>
            </w:pPr>
            <w:r>
              <w:t>Upfront cost vs long-term energy savings; leverage SHDF / LBS capital.</w:t>
            </w:r>
          </w:p>
        </w:tc>
        <w:tc>
          <w:tcPr>
            <w:tcW w:w="2358" w:type="dxa"/>
          </w:tcPr>
          <w:p w14:paraId="5350AC3E" w14:textId="20819C19" w:rsidR="009D5066" w:rsidRDefault="004D1417" w:rsidP="00C2461E">
            <w:pPr>
              <w:spacing w:line="360" w:lineRule="auto"/>
              <w:jc w:val="left"/>
            </w:pPr>
            <w:r>
              <w:t>Risk: technology adoption issues; Mitigation: tenant engagement &amp; training</w:t>
            </w:r>
            <w:r w:rsidR="00C2461E">
              <w:t>.</w:t>
            </w:r>
          </w:p>
        </w:tc>
      </w:tr>
      <w:tr w:rsidR="009D5066" w14:paraId="7BFE3A9A" w14:textId="12C40091" w:rsidTr="008E452E">
        <w:tc>
          <w:tcPr>
            <w:tcW w:w="1980" w:type="dxa"/>
            <w:shd w:val="clear" w:color="auto" w:fill="DAE9F7" w:themeFill="text2" w:themeFillTint="1A"/>
          </w:tcPr>
          <w:p w14:paraId="01E199C3" w14:textId="5E923BE2" w:rsidR="009D5066" w:rsidRPr="004126AD" w:rsidRDefault="009D5066" w:rsidP="004126AD">
            <w:pPr>
              <w:spacing w:line="360" w:lineRule="auto"/>
              <w:jc w:val="left"/>
              <w:rPr>
                <w:rFonts w:eastAsia="Times New Roman"/>
                <w:b/>
                <w:bCs/>
                <w:color w:val="156082" w:themeColor="accent1"/>
                <w:lang w:eastAsia="en-GB"/>
              </w:rPr>
            </w:pPr>
            <w:r w:rsidRPr="004126AD">
              <w:rPr>
                <w:b/>
                <w:bCs/>
                <w:color w:val="156082" w:themeColor="accent1"/>
              </w:rPr>
              <w:t>Asset intelligence &amp; risk prioritisation</w:t>
            </w:r>
          </w:p>
        </w:tc>
        <w:tc>
          <w:tcPr>
            <w:tcW w:w="2410" w:type="dxa"/>
          </w:tcPr>
          <w:p w14:paraId="46D48B81" w14:textId="01BAE775" w:rsidR="009D5066" w:rsidRDefault="009D5066" w:rsidP="004126AD">
            <w:pPr>
              <w:spacing w:line="360" w:lineRule="auto"/>
              <w:jc w:val="left"/>
              <w:rPr>
                <w:rFonts w:eastAsia="Times New Roman"/>
                <w:lang w:eastAsia="en-GB"/>
              </w:rPr>
            </w:pPr>
            <w:r>
              <w:t>High-risk stock identified &amp; addressed quarterly; reduction in emergency repairs by 15% per year.</w:t>
            </w:r>
          </w:p>
        </w:tc>
        <w:tc>
          <w:tcPr>
            <w:tcW w:w="2268" w:type="dxa"/>
          </w:tcPr>
          <w:p w14:paraId="62F8C083" w14:textId="3FCB9FB6" w:rsidR="009D5066" w:rsidRDefault="009D5066" w:rsidP="004126AD">
            <w:pPr>
              <w:spacing w:line="360" w:lineRule="auto"/>
              <w:jc w:val="left"/>
              <w:rPr>
                <w:rFonts w:eastAsia="Times New Roman"/>
                <w:lang w:eastAsia="en-GB"/>
              </w:rPr>
            </w:pPr>
            <w:r>
              <w:t>Digital asset management tools and staff training required.</w:t>
            </w:r>
          </w:p>
        </w:tc>
        <w:tc>
          <w:tcPr>
            <w:tcW w:w="2358" w:type="dxa"/>
          </w:tcPr>
          <w:p w14:paraId="04566517" w14:textId="274E2A2C" w:rsidR="009D5066" w:rsidRDefault="00C2461E" w:rsidP="00C2461E">
            <w:pPr>
              <w:spacing w:line="360" w:lineRule="auto"/>
              <w:jc w:val="left"/>
            </w:pPr>
            <w:r>
              <w:t>Risk: data gaps or system errors; Mitigation: regular audits and staff upskilling.</w:t>
            </w:r>
          </w:p>
        </w:tc>
      </w:tr>
    </w:tbl>
    <w:p w14:paraId="7EBF79B7" w14:textId="783A7090" w:rsidR="002B1460" w:rsidRDefault="00B5030A" w:rsidP="00BD3083">
      <w:pPr>
        <w:rPr>
          <w:rFonts w:eastAsia="Times New Roman"/>
          <w:noProof/>
          <w:lang w:val="en-US" w:eastAsia="en-GB"/>
        </w:rPr>
      </w:pPr>
      <w:r>
        <w:rPr>
          <w:rFonts w:eastAsia="Times New Roman"/>
          <w:b/>
          <w:bCs/>
          <w:lang w:eastAsia="en-GB"/>
        </w:rPr>
        <w:t xml:space="preserve">Source: </w:t>
      </w:r>
      <w:r w:rsidR="006E6C9B" w:rsidRPr="006E6C9B">
        <w:rPr>
          <w:rFonts w:eastAsia="Times New Roman"/>
          <w:lang w:eastAsia="en-GB"/>
        </w:rPr>
        <w:t>Author,</w:t>
      </w:r>
      <w:r w:rsidR="006E6C9B">
        <w:rPr>
          <w:rFonts w:eastAsia="Times New Roman"/>
          <w:b/>
          <w:bCs/>
          <w:lang w:eastAsia="en-GB"/>
        </w:rPr>
        <w:t xml:space="preserve"> </w:t>
      </w:r>
      <w:r w:rsidR="006E6C9B">
        <w:rPr>
          <w:rFonts w:eastAsia="Times New Roman"/>
          <w:lang w:eastAsia="en-GB"/>
        </w:rPr>
        <w:t>a</w:t>
      </w:r>
      <w:r w:rsidR="00CE3ED3" w:rsidRPr="00CE3ED3">
        <w:rPr>
          <w:rFonts w:eastAsia="Times New Roman"/>
          <w:lang w:eastAsia="en-GB"/>
        </w:rPr>
        <w:t>dapted from</w:t>
      </w:r>
      <w:r w:rsidR="00CE3ED3">
        <w:rPr>
          <w:rFonts w:eastAsia="Times New Roman"/>
          <w:b/>
          <w:bCs/>
          <w:lang w:eastAsia="en-GB"/>
        </w:rPr>
        <w:t xml:space="preserve"> </w:t>
      </w:r>
      <w:r w:rsidRPr="00B5030A">
        <w:rPr>
          <w:rFonts w:eastAsia="Times New Roman"/>
          <w:noProof/>
          <w:lang w:val="en-US" w:eastAsia="en-GB"/>
        </w:rPr>
        <w:t>Shwashreh, et al.</w:t>
      </w:r>
      <w:r>
        <w:rPr>
          <w:rFonts w:eastAsia="Times New Roman"/>
          <w:noProof/>
          <w:lang w:val="en-US" w:eastAsia="en-GB"/>
        </w:rPr>
        <w:t xml:space="preserve"> </w:t>
      </w:r>
      <w:sdt>
        <w:sdtPr>
          <w:rPr>
            <w:rFonts w:eastAsia="Times New Roman"/>
            <w:noProof/>
            <w:lang w:val="en-US" w:eastAsia="en-GB"/>
          </w:rPr>
          <w:id w:val="-914625662"/>
          <w:citation/>
        </w:sdtPr>
        <w:sdtEndPr/>
        <w:sdtContent>
          <w:r>
            <w:rPr>
              <w:rFonts w:eastAsia="Times New Roman"/>
              <w:noProof/>
              <w:lang w:val="en-US" w:eastAsia="en-GB"/>
            </w:rPr>
            <w:fldChar w:fldCharType="begin"/>
          </w:r>
          <w:r>
            <w:rPr>
              <w:rFonts w:eastAsia="Times New Roman"/>
              <w:noProof/>
              <w:lang w:val="en-US" w:eastAsia="en-GB"/>
            </w:rPr>
            <w:instrText xml:space="preserve">CITATION Shw24 \n  \l 1033 </w:instrText>
          </w:r>
          <w:r>
            <w:rPr>
              <w:rFonts w:eastAsia="Times New Roman"/>
              <w:noProof/>
              <w:lang w:val="en-US" w:eastAsia="en-GB"/>
            </w:rPr>
            <w:fldChar w:fldCharType="separate"/>
          </w:r>
          <w:r w:rsidR="002E53A1" w:rsidRPr="002E53A1">
            <w:rPr>
              <w:rFonts w:eastAsia="Times New Roman"/>
              <w:noProof/>
              <w:lang w:val="en-US" w:eastAsia="en-GB"/>
            </w:rPr>
            <w:t>(2024)</w:t>
          </w:r>
          <w:r>
            <w:rPr>
              <w:rFonts w:eastAsia="Times New Roman"/>
              <w:noProof/>
              <w:lang w:val="en-US" w:eastAsia="en-GB"/>
            </w:rPr>
            <w:fldChar w:fldCharType="end"/>
          </w:r>
        </w:sdtContent>
      </w:sdt>
      <w:r w:rsidR="005123B7">
        <w:rPr>
          <w:rFonts w:eastAsia="Times New Roman"/>
          <w:noProof/>
          <w:lang w:val="en-US" w:eastAsia="en-GB"/>
        </w:rPr>
        <w:t xml:space="preserve">; DESNZ </w:t>
      </w:r>
      <w:sdt>
        <w:sdtPr>
          <w:rPr>
            <w:rFonts w:eastAsia="Times New Roman"/>
            <w:noProof/>
            <w:lang w:val="en-US" w:eastAsia="en-GB"/>
          </w:rPr>
          <w:id w:val="-1812086643"/>
          <w:citation/>
        </w:sdtPr>
        <w:sdtEndPr/>
        <w:sdtContent>
          <w:r w:rsidR="005123B7">
            <w:rPr>
              <w:rFonts w:eastAsia="Times New Roman"/>
              <w:noProof/>
              <w:lang w:val="en-US" w:eastAsia="en-GB"/>
            </w:rPr>
            <w:fldChar w:fldCharType="begin"/>
          </w:r>
          <w:r w:rsidR="005123B7">
            <w:rPr>
              <w:rFonts w:eastAsia="Times New Roman"/>
              <w:noProof/>
              <w:lang w:val="en-US" w:eastAsia="en-GB"/>
            </w:rPr>
            <w:instrText xml:space="preserve">CITATION Dep251 \n  \l 1033 </w:instrText>
          </w:r>
          <w:r w:rsidR="005123B7">
            <w:rPr>
              <w:rFonts w:eastAsia="Times New Roman"/>
              <w:noProof/>
              <w:lang w:val="en-US" w:eastAsia="en-GB"/>
            </w:rPr>
            <w:fldChar w:fldCharType="separate"/>
          </w:r>
          <w:r w:rsidR="002E53A1" w:rsidRPr="002E53A1">
            <w:rPr>
              <w:rFonts w:eastAsia="Times New Roman"/>
              <w:noProof/>
              <w:lang w:val="en-US" w:eastAsia="en-GB"/>
            </w:rPr>
            <w:t>(2025)</w:t>
          </w:r>
          <w:r w:rsidR="005123B7">
            <w:rPr>
              <w:rFonts w:eastAsia="Times New Roman"/>
              <w:noProof/>
              <w:lang w:val="en-US" w:eastAsia="en-GB"/>
            </w:rPr>
            <w:fldChar w:fldCharType="end"/>
          </w:r>
        </w:sdtContent>
      </w:sdt>
      <w:r w:rsidR="005123B7">
        <w:rPr>
          <w:rFonts w:eastAsia="Times New Roman"/>
          <w:noProof/>
          <w:lang w:val="en-US" w:eastAsia="en-GB"/>
        </w:rPr>
        <w:t xml:space="preserve">; </w:t>
      </w:r>
      <w:r w:rsidR="0040769E">
        <w:rPr>
          <w:rFonts w:eastAsia="Times New Roman"/>
          <w:noProof/>
          <w:lang w:val="en-US" w:eastAsia="en-GB"/>
        </w:rPr>
        <w:t xml:space="preserve">SHP </w:t>
      </w:r>
      <w:sdt>
        <w:sdtPr>
          <w:rPr>
            <w:rFonts w:eastAsia="Times New Roman"/>
            <w:noProof/>
            <w:lang w:val="en-US" w:eastAsia="en-GB"/>
          </w:rPr>
          <w:id w:val="397488057"/>
          <w:citation/>
        </w:sdtPr>
        <w:sdtEndPr/>
        <w:sdtContent>
          <w:r w:rsidR="0040769E">
            <w:rPr>
              <w:rFonts w:eastAsia="Times New Roman"/>
              <w:noProof/>
              <w:lang w:val="en-US" w:eastAsia="en-GB"/>
            </w:rPr>
            <w:fldChar w:fldCharType="begin"/>
          </w:r>
          <w:r w:rsidR="0040769E">
            <w:rPr>
              <w:rFonts w:eastAsia="Times New Roman"/>
              <w:noProof/>
              <w:lang w:val="en-US" w:eastAsia="en-GB"/>
            </w:rPr>
            <w:instrText xml:space="preserve">CITATION SHP252 \n  \l 1033 </w:instrText>
          </w:r>
          <w:r w:rsidR="0040769E">
            <w:rPr>
              <w:rFonts w:eastAsia="Times New Roman"/>
              <w:noProof/>
              <w:lang w:val="en-US" w:eastAsia="en-GB"/>
            </w:rPr>
            <w:fldChar w:fldCharType="separate"/>
          </w:r>
          <w:r w:rsidR="002E53A1" w:rsidRPr="002E53A1">
            <w:rPr>
              <w:rFonts w:eastAsia="Times New Roman"/>
              <w:noProof/>
              <w:lang w:val="en-US" w:eastAsia="en-GB"/>
            </w:rPr>
            <w:t>(2025)</w:t>
          </w:r>
          <w:r w:rsidR="0040769E">
            <w:rPr>
              <w:rFonts w:eastAsia="Times New Roman"/>
              <w:noProof/>
              <w:lang w:val="en-US" w:eastAsia="en-GB"/>
            </w:rPr>
            <w:fldChar w:fldCharType="end"/>
          </w:r>
        </w:sdtContent>
      </w:sdt>
      <w:r w:rsidR="006C23B2">
        <w:rPr>
          <w:rFonts w:eastAsia="Times New Roman"/>
          <w:noProof/>
          <w:lang w:val="en-US" w:eastAsia="en-GB"/>
        </w:rPr>
        <w:t>.</w:t>
      </w:r>
    </w:p>
    <w:p w14:paraId="702DABB2" w14:textId="580994D4" w:rsidR="00B36193" w:rsidRPr="002B1460" w:rsidRDefault="00B36193" w:rsidP="00BD3083">
      <w:pPr>
        <w:rPr>
          <w:rFonts w:eastAsia="Times New Roman"/>
          <w:lang w:eastAsia="en-GB"/>
        </w:rPr>
      </w:pPr>
      <w:r w:rsidRPr="00B36193">
        <w:rPr>
          <w:rFonts w:eastAsia="Times New Roman" w:cs="Arial"/>
          <w:szCs w:val="22"/>
          <w:lang w:eastAsia="en-GB"/>
        </w:rPr>
        <w:t xml:space="preserve">The rationale is that improving energy performance supports Net Zero alignment while reducing future liabilities and improving tenant wellbeing </w:t>
      </w:r>
      <w:sdt>
        <w:sdtPr>
          <w:rPr>
            <w:rFonts w:eastAsia="Times New Roman"/>
            <w:lang w:eastAsia="en-GB"/>
          </w:rPr>
          <w:id w:val="1779833921"/>
          <w:citation/>
        </w:sdtPr>
        <w:sdtEndPr/>
        <w:sdtContent>
          <w:r w:rsidR="00E50397">
            <w:rPr>
              <w:rFonts w:eastAsia="Times New Roman"/>
              <w:lang w:eastAsia="en-GB"/>
            </w:rPr>
            <w:fldChar w:fldCharType="begin"/>
          </w:r>
          <w:r w:rsidR="00E50397">
            <w:rPr>
              <w:rFonts w:eastAsia="Times New Roman"/>
              <w:lang w:val="en-US" w:eastAsia="en-GB"/>
            </w:rPr>
            <w:instrText xml:space="preserve"> CITATION Shw24 \l 1033 </w:instrText>
          </w:r>
          <w:r w:rsidR="00E50397">
            <w:rPr>
              <w:rFonts w:eastAsia="Times New Roman"/>
              <w:lang w:eastAsia="en-GB"/>
            </w:rPr>
            <w:fldChar w:fldCharType="separate"/>
          </w:r>
          <w:r w:rsidR="002E53A1" w:rsidRPr="002E53A1">
            <w:rPr>
              <w:rFonts w:eastAsia="Times New Roman"/>
              <w:noProof/>
              <w:lang w:val="en-US" w:eastAsia="en-GB"/>
            </w:rPr>
            <w:t>(Shwashreh, et al., 2024)</w:t>
          </w:r>
          <w:r w:rsidR="00E50397">
            <w:rPr>
              <w:rFonts w:eastAsia="Times New Roman"/>
              <w:lang w:eastAsia="en-GB"/>
            </w:rPr>
            <w:fldChar w:fldCharType="end"/>
          </w:r>
        </w:sdtContent>
      </w:sdt>
      <w:r w:rsidRPr="00B36193">
        <w:rPr>
          <w:rFonts w:eastAsia="Times New Roman" w:cs="Arial"/>
          <w:szCs w:val="22"/>
          <w:lang w:eastAsia="en-GB"/>
        </w:rPr>
        <w:t>.</w:t>
      </w:r>
    </w:p>
    <w:p w14:paraId="12AD4ADF" w14:textId="1AB62184" w:rsidR="002B1460" w:rsidRPr="00BD3083" w:rsidRDefault="002B1460" w:rsidP="00444ECA">
      <w:pPr>
        <w:pStyle w:val="Heading2"/>
        <w:numPr>
          <w:ilvl w:val="0"/>
          <w:numId w:val="10"/>
        </w:numPr>
        <w:rPr>
          <w:lang w:val="fr-FR"/>
        </w:rPr>
      </w:pPr>
      <w:bookmarkStart w:id="28" w:name="_Toc216130279"/>
      <w:r w:rsidRPr="00BD3083">
        <w:rPr>
          <w:lang w:val="fr-FR"/>
        </w:rPr>
        <w:t>Pillar</w:t>
      </w:r>
      <w:r w:rsidR="003B00A9">
        <w:rPr>
          <w:lang w:val="fr-FR"/>
        </w:rPr>
        <w:t xml:space="preserve"> </w:t>
      </w:r>
      <w:r w:rsidR="00534BFA" w:rsidRPr="00BD3083">
        <w:rPr>
          <w:lang w:val="fr-FR"/>
        </w:rPr>
        <w:t>2:</w:t>
      </w:r>
      <w:r w:rsidR="00534BFA">
        <w:rPr>
          <w:lang w:val="fr-FR"/>
        </w:rPr>
        <w:t xml:space="preserve"> </w:t>
      </w:r>
      <w:r w:rsidRPr="00BD3083">
        <w:rPr>
          <w:lang w:val="fr-FR"/>
        </w:rPr>
        <w:t xml:space="preserve">Digital Transformation </w:t>
      </w:r>
      <w:r w:rsidR="009A52AA">
        <w:rPr>
          <w:lang w:val="fr-FR"/>
        </w:rPr>
        <w:t>and</w:t>
      </w:r>
      <w:r w:rsidRPr="00BD3083">
        <w:rPr>
          <w:lang w:val="fr-FR"/>
        </w:rPr>
        <w:t xml:space="preserve"> Service Modernisation</w:t>
      </w:r>
      <w:bookmarkEnd w:id="28"/>
    </w:p>
    <w:p w14:paraId="1D1DFFBE" w14:textId="38B54B39" w:rsidR="002B1460" w:rsidRPr="00F234FA" w:rsidRDefault="00621948" w:rsidP="00483E95">
      <w:pPr>
        <w:rPr>
          <w:rFonts w:eastAsia="Times New Roman"/>
          <w:lang w:eastAsia="en-GB"/>
        </w:rPr>
      </w:pPr>
      <w:r>
        <w:t xml:space="preserve">This pillar aims to </w:t>
      </w:r>
      <w:r w:rsidRPr="00F234FA">
        <w:rPr>
          <w:b/>
          <w:bCs/>
        </w:rPr>
        <w:t>increase operational efficiency, transparency, and regulatory assurance</w:t>
      </w:r>
      <w:r>
        <w:t xml:space="preserve"> through technology adoption. Planned initiatives include digital tenant portals, predictive maintenance, and an integrated housing management system.</w:t>
      </w:r>
      <w:r w:rsidR="008331DB" w:rsidRPr="008331DB">
        <w:t xml:space="preserve"> </w:t>
      </w:r>
      <w:r w:rsidR="008331DB" w:rsidRPr="003F41A9">
        <w:rPr>
          <w:b/>
          <w:bCs/>
        </w:rPr>
        <w:t xml:space="preserve">Table 10 </w:t>
      </w:r>
      <w:r w:rsidR="008331DB" w:rsidRPr="00F234FA">
        <w:t>outlines initiatives, milestones, and associated risks.</w:t>
      </w:r>
    </w:p>
    <w:p w14:paraId="43574A55" w14:textId="38B6E99F" w:rsidR="00A84599" w:rsidRPr="003F41A9" w:rsidRDefault="00A84599" w:rsidP="00483E95">
      <w:r>
        <w:t>Key initiatives, associated KPIs, resource considerations, and risk mitigation strategies</w:t>
      </w:r>
      <w:r w:rsidR="00F95A9C" w:rsidRPr="00F95A9C">
        <w:t xml:space="preserve"> a</w:t>
      </w:r>
      <w:r w:rsidR="00F95A9C">
        <w:t xml:space="preserve">re summarised in </w:t>
      </w:r>
      <w:r w:rsidR="00F95A9C" w:rsidRPr="00305F59">
        <w:rPr>
          <w:b/>
          <w:bCs/>
        </w:rPr>
        <w:t>Table 10</w:t>
      </w:r>
      <w:r w:rsidR="00F95A9C" w:rsidRPr="00A90BDF">
        <w:t>.</w:t>
      </w:r>
    </w:p>
    <w:p w14:paraId="70FD4FA8" w14:textId="1340C031" w:rsidR="001B257F" w:rsidRPr="00AC5C9D" w:rsidRDefault="001B257F" w:rsidP="00AC5C9D">
      <w:pPr>
        <w:pStyle w:val="Caption"/>
        <w:keepNext/>
        <w:spacing w:line="360" w:lineRule="auto"/>
        <w:rPr>
          <w:color w:val="156082" w:themeColor="accent1"/>
          <w:sz w:val="22"/>
        </w:rPr>
      </w:pPr>
      <w:bookmarkStart w:id="29" w:name="_Toc215910541"/>
      <w:r w:rsidRPr="00AC5C9D">
        <w:rPr>
          <w:color w:val="156082" w:themeColor="accent1"/>
          <w:sz w:val="22"/>
        </w:rPr>
        <w:t xml:space="preserve">Table </w:t>
      </w:r>
      <w:r w:rsidRPr="00AC5C9D">
        <w:rPr>
          <w:color w:val="156082" w:themeColor="accent1"/>
          <w:sz w:val="22"/>
        </w:rPr>
        <w:fldChar w:fldCharType="begin"/>
      </w:r>
      <w:r w:rsidRPr="00AC5C9D">
        <w:rPr>
          <w:color w:val="156082" w:themeColor="accent1"/>
          <w:sz w:val="22"/>
        </w:rPr>
        <w:instrText xml:space="preserve"> SEQ Table \* ARABIC </w:instrText>
      </w:r>
      <w:r w:rsidRPr="00AC5C9D">
        <w:rPr>
          <w:color w:val="156082" w:themeColor="accent1"/>
          <w:sz w:val="22"/>
        </w:rPr>
        <w:fldChar w:fldCharType="separate"/>
      </w:r>
      <w:r w:rsidR="00A20D63">
        <w:rPr>
          <w:noProof/>
          <w:color w:val="156082" w:themeColor="accent1"/>
          <w:sz w:val="22"/>
        </w:rPr>
        <w:t>10</w:t>
      </w:r>
      <w:r w:rsidRPr="00AC5C9D">
        <w:rPr>
          <w:color w:val="156082" w:themeColor="accent1"/>
          <w:sz w:val="22"/>
        </w:rPr>
        <w:fldChar w:fldCharType="end"/>
      </w:r>
      <w:r w:rsidRPr="00AC5C9D">
        <w:rPr>
          <w:color w:val="156082" w:themeColor="accent1"/>
          <w:sz w:val="22"/>
        </w:rPr>
        <w:t xml:space="preserve"> </w:t>
      </w:r>
      <w:r w:rsidR="00AC5C9D" w:rsidRPr="00AC5C9D">
        <w:rPr>
          <w:color w:val="156082" w:themeColor="accent1"/>
          <w:sz w:val="22"/>
        </w:rPr>
        <w:t xml:space="preserve">Key Initiatives, KPIs, Resource Considerations, and Risks – </w:t>
      </w:r>
      <w:r w:rsidR="00AC5C9D" w:rsidRPr="00AC5C9D">
        <w:rPr>
          <w:rStyle w:val="Strong"/>
          <w:color w:val="156082" w:themeColor="accent1"/>
          <w:sz w:val="22"/>
        </w:rPr>
        <w:t>Digital Transformation &amp; Service Modernisation</w:t>
      </w:r>
      <w:bookmarkEnd w:id="29"/>
    </w:p>
    <w:tbl>
      <w:tblPr>
        <w:tblStyle w:val="TableGrid"/>
        <w:tblW w:w="0" w:type="auto"/>
        <w:tblLook w:val="04A0" w:firstRow="1" w:lastRow="0" w:firstColumn="1" w:lastColumn="0" w:noHBand="0" w:noVBand="1"/>
      </w:tblPr>
      <w:tblGrid>
        <w:gridCol w:w="1838"/>
        <w:gridCol w:w="2126"/>
        <w:gridCol w:w="2410"/>
        <w:gridCol w:w="2642"/>
      </w:tblGrid>
      <w:tr w:rsidR="0007552A" w14:paraId="5758F45E" w14:textId="6AFC128D" w:rsidTr="006A0E84">
        <w:tc>
          <w:tcPr>
            <w:tcW w:w="1838" w:type="dxa"/>
            <w:shd w:val="clear" w:color="auto" w:fill="DAE9F7" w:themeFill="text2" w:themeFillTint="1A"/>
          </w:tcPr>
          <w:p w14:paraId="3D7518E1" w14:textId="77777777" w:rsidR="0007552A" w:rsidRPr="004126AD" w:rsidRDefault="0007552A" w:rsidP="003019CF">
            <w:pPr>
              <w:spacing w:line="360" w:lineRule="auto"/>
              <w:jc w:val="left"/>
              <w:rPr>
                <w:rFonts w:eastAsia="Times New Roman"/>
                <w:b/>
                <w:bCs/>
                <w:color w:val="156082" w:themeColor="accent1"/>
                <w:lang w:eastAsia="en-GB"/>
              </w:rPr>
            </w:pPr>
            <w:r w:rsidRPr="004126AD">
              <w:rPr>
                <w:rFonts w:eastAsia="Times New Roman"/>
                <w:b/>
                <w:bCs/>
                <w:color w:val="156082" w:themeColor="accent1"/>
                <w:lang w:eastAsia="en-GB"/>
              </w:rPr>
              <w:t xml:space="preserve">Key </w:t>
            </w:r>
            <w:r w:rsidRPr="004126AD">
              <w:rPr>
                <w:b/>
                <w:bCs/>
                <w:color w:val="156082" w:themeColor="accent1"/>
              </w:rPr>
              <w:t>Initiative</w:t>
            </w:r>
          </w:p>
        </w:tc>
        <w:tc>
          <w:tcPr>
            <w:tcW w:w="2126" w:type="dxa"/>
            <w:shd w:val="clear" w:color="auto" w:fill="DAE9F7" w:themeFill="text2" w:themeFillTint="1A"/>
          </w:tcPr>
          <w:p w14:paraId="50483E6A" w14:textId="77777777" w:rsidR="0007552A" w:rsidRPr="004126AD" w:rsidRDefault="0007552A" w:rsidP="003019CF">
            <w:pPr>
              <w:spacing w:line="360" w:lineRule="auto"/>
              <w:jc w:val="left"/>
              <w:rPr>
                <w:rFonts w:eastAsia="Times New Roman"/>
                <w:b/>
                <w:bCs/>
                <w:color w:val="156082" w:themeColor="accent1"/>
                <w:lang w:eastAsia="en-GB"/>
              </w:rPr>
            </w:pPr>
            <w:r w:rsidRPr="004126AD">
              <w:rPr>
                <w:b/>
                <w:bCs/>
                <w:color w:val="156082" w:themeColor="accent1"/>
              </w:rPr>
              <w:t>KPIs / Milestones</w:t>
            </w:r>
          </w:p>
        </w:tc>
        <w:tc>
          <w:tcPr>
            <w:tcW w:w="2410" w:type="dxa"/>
            <w:shd w:val="clear" w:color="auto" w:fill="DAE9F7" w:themeFill="text2" w:themeFillTint="1A"/>
          </w:tcPr>
          <w:p w14:paraId="7E8F37B4" w14:textId="77777777" w:rsidR="0007552A" w:rsidRPr="004126AD" w:rsidRDefault="0007552A" w:rsidP="003019CF">
            <w:pPr>
              <w:spacing w:line="360" w:lineRule="auto"/>
              <w:jc w:val="left"/>
              <w:rPr>
                <w:rFonts w:eastAsia="Times New Roman"/>
                <w:b/>
                <w:bCs/>
                <w:color w:val="156082" w:themeColor="accent1"/>
                <w:lang w:eastAsia="en-GB"/>
              </w:rPr>
            </w:pPr>
            <w:r w:rsidRPr="004126AD">
              <w:rPr>
                <w:b/>
                <w:bCs/>
                <w:color w:val="156082" w:themeColor="accent1"/>
              </w:rPr>
              <w:t>Resource Considerations / Trade-offs</w:t>
            </w:r>
          </w:p>
        </w:tc>
        <w:tc>
          <w:tcPr>
            <w:tcW w:w="2642" w:type="dxa"/>
            <w:shd w:val="clear" w:color="auto" w:fill="DAE9F7" w:themeFill="text2" w:themeFillTint="1A"/>
          </w:tcPr>
          <w:p w14:paraId="63608FED" w14:textId="4F3F6FE4" w:rsidR="0007552A" w:rsidRPr="006A0E84" w:rsidRDefault="0007552A" w:rsidP="006A0E84">
            <w:pPr>
              <w:spacing w:line="360" w:lineRule="auto"/>
              <w:jc w:val="left"/>
              <w:rPr>
                <w:b/>
                <w:bCs/>
                <w:color w:val="156082" w:themeColor="accent1"/>
              </w:rPr>
            </w:pPr>
            <w:r w:rsidRPr="006A0E84">
              <w:rPr>
                <w:b/>
                <w:bCs/>
                <w:color w:val="156082" w:themeColor="accent1"/>
              </w:rPr>
              <w:t>Key Risks &amp; Mitigation</w:t>
            </w:r>
          </w:p>
        </w:tc>
      </w:tr>
      <w:tr w:rsidR="0007552A" w14:paraId="457AA0AF" w14:textId="796DC250" w:rsidTr="006A0E84">
        <w:tc>
          <w:tcPr>
            <w:tcW w:w="1838" w:type="dxa"/>
            <w:shd w:val="clear" w:color="auto" w:fill="DAE9F7" w:themeFill="text2" w:themeFillTint="1A"/>
          </w:tcPr>
          <w:p w14:paraId="0AA39D48" w14:textId="70627495" w:rsidR="0007552A" w:rsidRPr="00F759DA" w:rsidRDefault="0007552A" w:rsidP="003019CF">
            <w:pPr>
              <w:spacing w:line="360" w:lineRule="auto"/>
              <w:jc w:val="left"/>
              <w:rPr>
                <w:rFonts w:eastAsia="Times New Roman"/>
                <w:b/>
                <w:bCs/>
                <w:color w:val="156082" w:themeColor="accent1"/>
                <w:lang w:eastAsia="en-GB"/>
              </w:rPr>
            </w:pPr>
            <w:r w:rsidRPr="00F759DA">
              <w:rPr>
                <w:b/>
                <w:bCs/>
                <w:color w:val="156082" w:themeColor="accent1"/>
              </w:rPr>
              <w:t>Integrated housing management system</w:t>
            </w:r>
          </w:p>
        </w:tc>
        <w:tc>
          <w:tcPr>
            <w:tcW w:w="2126" w:type="dxa"/>
          </w:tcPr>
          <w:p w14:paraId="41D5928C" w14:textId="0F90E5CE" w:rsidR="0007552A" w:rsidRDefault="0007552A" w:rsidP="003019CF">
            <w:pPr>
              <w:spacing w:line="360" w:lineRule="auto"/>
              <w:jc w:val="left"/>
              <w:rPr>
                <w:rFonts w:eastAsia="Times New Roman"/>
                <w:lang w:eastAsia="en-GB"/>
              </w:rPr>
            </w:pPr>
            <w:r>
              <w:t>90% digital adoption by staff within 12 months.</w:t>
            </w:r>
          </w:p>
        </w:tc>
        <w:tc>
          <w:tcPr>
            <w:tcW w:w="2410" w:type="dxa"/>
          </w:tcPr>
          <w:p w14:paraId="3963D1F6" w14:textId="552F3855" w:rsidR="0007552A" w:rsidRDefault="0007552A" w:rsidP="003019CF">
            <w:pPr>
              <w:spacing w:line="360" w:lineRule="auto"/>
              <w:jc w:val="left"/>
              <w:rPr>
                <w:rFonts w:eastAsia="Times New Roman"/>
                <w:lang w:eastAsia="en-GB"/>
              </w:rPr>
            </w:pPr>
            <w:r>
              <w:t>Investment in software &amp; training; initial productivity dip expected.</w:t>
            </w:r>
          </w:p>
        </w:tc>
        <w:tc>
          <w:tcPr>
            <w:tcW w:w="2642" w:type="dxa"/>
          </w:tcPr>
          <w:p w14:paraId="02C45D45" w14:textId="710B254C" w:rsidR="0007552A" w:rsidRDefault="006A0E84" w:rsidP="006A0E84">
            <w:pPr>
              <w:spacing w:line="360" w:lineRule="auto"/>
              <w:jc w:val="left"/>
            </w:pPr>
            <w:r>
              <w:t>Risk: slow adoption; Mitigation: staged training &amp; support.</w:t>
            </w:r>
          </w:p>
        </w:tc>
      </w:tr>
      <w:tr w:rsidR="0007552A" w14:paraId="131E26A1" w14:textId="65CC1092" w:rsidTr="006A0E84">
        <w:tc>
          <w:tcPr>
            <w:tcW w:w="1838" w:type="dxa"/>
            <w:shd w:val="clear" w:color="auto" w:fill="DAE9F7" w:themeFill="text2" w:themeFillTint="1A"/>
          </w:tcPr>
          <w:p w14:paraId="0C733D02" w14:textId="12793C3B" w:rsidR="0007552A" w:rsidRPr="00F759DA" w:rsidRDefault="0007552A" w:rsidP="003019CF">
            <w:pPr>
              <w:spacing w:line="360" w:lineRule="auto"/>
              <w:jc w:val="left"/>
              <w:rPr>
                <w:rFonts w:eastAsia="Times New Roman"/>
                <w:b/>
                <w:bCs/>
                <w:color w:val="156082" w:themeColor="accent1"/>
                <w:lang w:eastAsia="en-GB"/>
              </w:rPr>
            </w:pPr>
            <w:r w:rsidRPr="00F759DA">
              <w:rPr>
                <w:b/>
                <w:bCs/>
                <w:color w:val="156082" w:themeColor="accent1"/>
              </w:rPr>
              <w:t>Predictive maintenance analytics</w:t>
            </w:r>
          </w:p>
        </w:tc>
        <w:tc>
          <w:tcPr>
            <w:tcW w:w="2126" w:type="dxa"/>
          </w:tcPr>
          <w:p w14:paraId="3BF82AA0" w14:textId="44CCC9E8" w:rsidR="0007552A" w:rsidRDefault="0007552A" w:rsidP="003019CF">
            <w:pPr>
              <w:spacing w:line="360" w:lineRule="auto"/>
              <w:jc w:val="left"/>
              <w:rPr>
                <w:rFonts w:eastAsia="Times New Roman"/>
                <w:lang w:eastAsia="en-GB"/>
              </w:rPr>
            </w:pPr>
            <w:r>
              <w:t>50% of repairs predicted and prevented within 3 years.</w:t>
            </w:r>
          </w:p>
        </w:tc>
        <w:tc>
          <w:tcPr>
            <w:tcW w:w="2410" w:type="dxa"/>
          </w:tcPr>
          <w:p w14:paraId="3A881F1B" w14:textId="5591CB40" w:rsidR="0007552A" w:rsidRDefault="0007552A" w:rsidP="003019CF">
            <w:pPr>
              <w:spacing w:line="360" w:lineRule="auto"/>
              <w:jc w:val="left"/>
              <w:rPr>
                <w:rFonts w:eastAsia="Times New Roman"/>
                <w:lang w:eastAsia="en-GB"/>
              </w:rPr>
            </w:pPr>
            <w:r>
              <w:t>Requires reliable data; partnership with contractors essential.</w:t>
            </w:r>
          </w:p>
        </w:tc>
        <w:tc>
          <w:tcPr>
            <w:tcW w:w="2642" w:type="dxa"/>
          </w:tcPr>
          <w:p w14:paraId="60A49478" w14:textId="53A2B6D7" w:rsidR="0007552A" w:rsidRDefault="006A0E84" w:rsidP="006A0E84">
            <w:pPr>
              <w:spacing w:line="360" w:lineRule="auto"/>
              <w:jc w:val="left"/>
            </w:pPr>
            <w:r>
              <w:t>Risk: inaccurate predictions; Mitigation: data validation &amp; contractor oversight.</w:t>
            </w:r>
          </w:p>
        </w:tc>
      </w:tr>
      <w:tr w:rsidR="0007552A" w14:paraId="23179143" w14:textId="6F7ED3F2" w:rsidTr="006A0E84">
        <w:tc>
          <w:tcPr>
            <w:tcW w:w="1838" w:type="dxa"/>
            <w:shd w:val="clear" w:color="auto" w:fill="DAE9F7" w:themeFill="text2" w:themeFillTint="1A"/>
          </w:tcPr>
          <w:p w14:paraId="06BC9D79" w14:textId="2FCE6078" w:rsidR="0007552A" w:rsidRPr="00F759DA" w:rsidRDefault="0007552A" w:rsidP="003019CF">
            <w:pPr>
              <w:spacing w:line="360" w:lineRule="auto"/>
              <w:jc w:val="left"/>
              <w:rPr>
                <w:rFonts w:eastAsia="Times New Roman"/>
                <w:b/>
                <w:bCs/>
                <w:color w:val="156082" w:themeColor="accent1"/>
                <w:lang w:eastAsia="en-GB"/>
              </w:rPr>
            </w:pPr>
            <w:r w:rsidRPr="00F759DA">
              <w:rPr>
                <w:b/>
                <w:bCs/>
                <w:color w:val="156082" w:themeColor="accent1"/>
              </w:rPr>
              <w:t>Digital tenant portals</w:t>
            </w:r>
          </w:p>
        </w:tc>
        <w:tc>
          <w:tcPr>
            <w:tcW w:w="2126" w:type="dxa"/>
          </w:tcPr>
          <w:p w14:paraId="0CF1DA2A" w14:textId="7F6A9A5A" w:rsidR="0007552A" w:rsidRDefault="0007552A" w:rsidP="003019CF">
            <w:pPr>
              <w:spacing w:line="360" w:lineRule="auto"/>
              <w:jc w:val="left"/>
              <w:rPr>
                <w:rFonts w:eastAsia="Times New Roman"/>
                <w:lang w:eastAsia="en-GB"/>
              </w:rPr>
            </w:pPr>
            <w:r>
              <w:t>75% tenant adoption; reduced complaints by 20%.</w:t>
            </w:r>
          </w:p>
        </w:tc>
        <w:tc>
          <w:tcPr>
            <w:tcW w:w="2410" w:type="dxa"/>
          </w:tcPr>
          <w:p w14:paraId="354B415E" w14:textId="12CCCAEE" w:rsidR="0007552A" w:rsidRDefault="0007552A" w:rsidP="003019CF">
            <w:pPr>
              <w:spacing w:line="360" w:lineRule="auto"/>
              <w:jc w:val="left"/>
              <w:rPr>
                <w:rFonts w:eastAsia="Times New Roman"/>
                <w:lang w:eastAsia="en-GB"/>
              </w:rPr>
            </w:pPr>
            <w:r>
              <w:t>Digital literacy support for tenants; ongoing platform maintenance.</w:t>
            </w:r>
          </w:p>
        </w:tc>
        <w:tc>
          <w:tcPr>
            <w:tcW w:w="2642" w:type="dxa"/>
          </w:tcPr>
          <w:p w14:paraId="6F95E69E" w14:textId="244D350B" w:rsidR="0007552A" w:rsidRDefault="006A0E84" w:rsidP="006A0E84">
            <w:pPr>
              <w:spacing w:line="360" w:lineRule="auto"/>
              <w:jc w:val="left"/>
            </w:pPr>
            <w:r>
              <w:t>Risk: digital exclusion; Mitigation: support sessions &amp; multiple access channels.</w:t>
            </w:r>
          </w:p>
        </w:tc>
      </w:tr>
    </w:tbl>
    <w:p w14:paraId="424E5092" w14:textId="79CAD914" w:rsidR="00BC757A" w:rsidRDefault="003F41A9" w:rsidP="003F41A9">
      <w:pPr>
        <w:jc w:val="left"/>
        <w:rPr>
          <w:rFonts w:eastAsia="Times New Roman"/>
          <w:noProof/>
          <w:lang w:val="en-US" w:eastAsia="en-GB"/>
        </w:rPr>
      </w:pPr>
      <w:r w:rsidRPr="003F41A9">
        <w:rPr>
          <w:rFonts w:eastAsia="Times New Roman" w:cs="Arial"/>
          <w:b/>
          <w:bCs/>
          <w:szCs w:val="22"/>
          <w:lang w:eastAsia="en-GB"/>
        </w:rPr>
        <w:t xml:space="preserve">Source: </w:t>
      </w:r>
      <w:r w:rsidR="00346EFB" w:rsidRPr="00346EFB">
        <w:rPr>
          <w:rFonts w:eastAsia="Times New Roman"/>
          <w:lang w:eastAsia="en-GB"/>
        </w:rPr>
        <w:t>A</w:t>
      </w:r>
      <w:r w:rsidR="006E6C9B">
        <w:rPr>
          <w:rFonts w:eastAsia="Times New Roman"/>
          <w:lang w:eastAsia="en-GB"/>
        </w:rPr>
        <w:t>uthor, a</w:t>
      </w:r>
      <w:r w:rsidR="00346EFB" w:rsidRPr="00346EFB">
        <w:rPr>
          <w:rFonts w:eastAsia="Times New Roman"/>
          <w:lang w:eastAsia="en-GB"/>
        </w:rPr>
        <w:t>dapted from</w:t>
      </w:r>
      <w:r w:rsidR="00346EFB">
        <w:rPr>
          <w:rFonts w:eastAsia="Times New Roman"/>
          <w:b/>
          <w:bCs/>
          <w:lang w:eastAsia="en-GB"/>
        </w:rPr>
        <w:t xml:space="preserve"> </w:t>
      </w:r>
      <w:r w:rsidR="00935FE8">
        <w:rPr>
          <w:rFonts w:eastAsia="Times New Roman"/>
          <w:lang w:eastAsia="en-GB"/>
        </w:rPr>
        <w:t xml:space="preserve">Bryson </w:t>
      </w:r>
      <w:sdt>
        <w:sdtPr>
          <w:rPr>
            <w:rFonts w:eastAsia="Times New Roman"/>
            <w:b/>
            <w:bCs/>
            <w:lang w:eastAsia="en-GB"/>
          </w:rPr>
          <w:id w:val="1729488532"/>
          <w:citation/>
        </w:sdtPr>
        <w:sdtEndPr/>
        <w:sdtContent>
          <w:r w:rsidR="00935FE8">
            <w:rPr>
              <w:rFonts w:eastAsia="Times New Roman"/>
              <w:b/>
              <w:bCs/>
              <w:lang w:eastAsia="en-GB"/>
            </w:rPr>
            <w:fldChar w:fldCharType="begin"/>
          </w:r>
          <w:r w:rsidR="00935FE8">
            <w:rPr>
              <w:rFonts w:eastAsia="Times New Roman"/>
              <w:b/>
              <w:bCs/>
              <w:lang w:val="en-US" w:eastAsia="en-GB"/>
            </w:rPr>
            <w:instrText xml:space="preserve">CITATION Bry181 \n  \l 1033 </w:instrText>
          </w:r>
          <w:r w:rsidR="00935FE8">
            <w:rPr>
              <w:rFonts w:eastAsia="Times New Roman"/>
              <w:b/>
              <w:bCs/>
              <w:lang w:eastAsia="en-GB"/>
            </w:rPr>
            <w:fldChar w:fldCharType="separate"/>
          </w:r>
          <w:r w:rsidR="002E53A1" w:rsidRPr="002E53A1">
            <w:rPr>
              <w:rFonts w:eastAsia="Times New Roman"/>
              <w:noProof/>
              <w:lang w:val="en-US" w:eastAsia="en-GB"/>
            </w:rPr>
            <w:t>(2018)</w:t>
          </w:r>
          <w:r w:rsidR="00935FE8">
            <w:rPr>
              <w:rFonts w:eastAsia="Times New Roman"/>
              <w:b/>
              <w:bCs/>
              <w:lang w:eastAsia="en-GB"/>
            </w:rPr>
            <w:fldChar w:fldCharType="end"/>
          </w:r>
        </w:sdtContent>
      </w:sdt>
      <w:r w:rsidR="00935FE8">
        <w:rPr>
          <w:rFonts w:eastAsia="Times New Roman"/>
          <w:b/>
          <w:bCs/>
          <w:lang w:eastAsia="en-GB"/>
        </w:rPr>
        <w:t xml:space="preserve">; </w:t>
      </w:r>
      <w:r w:rsidR="00935FE8" w:rsidRPr="00935FE8">
        <w:rPr>
          <w:rFonts w:eastAsia="Times New Roman"/>
          <w:noProof/>
          <w:lang w:val="en-US" w:eastAsia="en-GB"/>
        </w:rPr>
        <w:t>Ding &amp; Sun</w:t>
      </w:r>
      <w:r w:rsidR="00935FE8">
        <w:rPr>
          <w:rFonts w:eastAsia="Times New Roman"/>
          <w:noProof/>
          <w:lang w:val="en-US" w:eastAsia="en-GB"/>
        </w:rPr>
        <w:t xml:space="preserve"> </w:t>
      </w:r>
      <w:sdt>
        <w:sdtPr>
          <w:rPr>
            <w:rFonts w:eastAsia="Times New Roman"/>
            <w:noProof/>
            <w:lang w:val="en-US" w:eastAsia="en-GB"/>
          </w:rPr>
          <w:id w:val="-1956701672"/>
          <w:citation/>
        </w:sdtPr>
        <w:sdtEndPr/>
        <w:sdtContent>
          <w:r w:rsidR="00935FE8">
            <w:rPr>
              <w:rFonts w:eastAsia="Times New Roman"/>
              <w:noProof/>
              <w:lang w:val="en-US" w:eastAsia="en-GB"/>
            </w:rPr>
            <w:fldChar w:fldCharType="begin"/>
          </w:r>
          <w:r w:rsidR="00935FE8">
            <w:rPr>
              <w:rFonts w:eastAsia="Times New Roman"/>
              <w:noProof/>
              <w:lang w:val="en-US" w:eastAsia="en-GB"/>
            </w:rPr>
            <w:instrText xml:space="preserve">CITATION Din24 \n  \l 1033 </w:instrText>
          </w:r>
          <w:r w:rsidR="00935FE8">
            <w:rPr>
              <w:rFonts w:eastAsia="Times New Roman"/>
              <w:noProof/>
              <w:lang w:val="en-US" w:eastAsia="en-GB"/>
            </w:rPr>
            <w:fldChar w:fldCharType="separate"/>
          </w:r>
          <w:r w:rsidR="002E53A1" w:rsidRPr="002E53A1">
            <w:rPr>
              <w:rFonts w:eastAsia="Times New Roman"/>
              <w:noProof/>
              <w:lang w:val="en-US" w:eastAsia="en-GB"/>
            </w:rPr>
            <w:t>(2024)</w:t>
          </w:r>
          <w:r w:rsidR="00935FE8">
            <w:rPr>
              <w:rFonts w:eastAsia="Times New Roman"/>
              <w:noProof/>
              <w:lang w:val="en-US" w:eastAsia="en-GB"/>
            </w:rPr>
            <w:fldChar w:fldCharType="end"/>
          </w:r>
        </w:sdtContent>
      </w:sdt>
      <w:r w:rsidR="00935FE8">
        <w:rPr>
          <w:rFonts w:eastAsia="Times New Roman"/>
          <w:noProof/>
          <w:lang w:val="en-US" w:eastAsia="en-GB"/>
        </w:rPr>
        <w:t>;</w:t>
      </w:r>
      <w:r w:rsidR="00457C92">
        <w:rPr>
          <w:rFonts w:eastAsia="Times New Roman"/>
          <w:noProof/>
          <w:lang w:val="en-US" w:eastAsia="en-GB"/>
        </w:rPr>
        <w:t xml:space="preserve"> RSH</w:t>
      </w:r>
      <w:r w:rsidR="00935FE8">
        <w:rPr>
          <w:rFonts w:eastAsia="Times New Roman"/>
          <w:noProof/>
          <w:lang w:val="en-US" w:eastAsia="en-GB"/>
        </w:rPr>
        <w:t xml:space="preserve"> </w:t>
      </w:r>
      <w:sdt>
        <w:sdtPr>
          <w:rPr>
            <w:rFonts w:eastAsia="Times New Roman"/>
            <w:noProof/>
            <w:lang w:val="en-US" w:eastAsia="en-GB"/>
          </w:rPr>
          <w:id w:val="728435383"/>
          <w:citation/>
        </w:sdtPr>
        <w:sdtEndPr/>
        <w:sdtContent>
          <w:r w:rsidR="00457C92">
            <w:rPr>
              <w:rFonts w:eastAsia="Times New Roman"/>
              <w:noProof/>
              <w:lang w:val="en-US" w:eastAsia="en-GB"/>
            </w:rPr>
            <w:fldChar w:fldCharType="begin"/>
          </w:r>
          <w:r w:rsidR="00457C92">
            <w:rPr>
              <w:rFonts w:eastAsia="Times New Roman"/>
              <w:noProof/>
              <w:lang w:val="en-US" w:eastAsia="en-GB"/>
            </w:rPr>
            <w:instrText xml:space="preserve">CITATION Reg25 \n  \l 1033 </w:instrText>
          </w:r>
          <w:r w:rsidR="00457C92">
            <w:rPr>
              <w:rFonts w:eastAsia="Times New Roman"/>
              <w:noProof/>
              <w:lang w:val="en-US" w:eastAsia="en-GB"/>
            </w:rPr>
            <w:fldChar w:fldCharType="separate"/>
          </w:r>
          <w:r w:rsidR="002E53A1" w:rsidRPr="002E53A1">
            <w:rPr>
              <w:rFonts w:eastAsia="Times New Roman"/>
              <w:noProof/>
              <w:lang w:val="en-US" w:eastAsia="en-GB"/>
            </w:rPr>
            <w:t>(2025)</w:t>
          </w:r>
          <w:r w:rsidR="00457C92">
            <w:rPr>
              <w:rFonts w:eastAsia="Times New Roman"/>
              <w:noProof/>
              <w:lang w:val="en-US" w:eastAsia="en-GB"/>
            </w:rPr>
            <w:fldChar w:fldCharType="end"/>
          </w:r>
        </w:sdtContent>
      </w:sdt>
      <w:r w:rsidR="00457C92">
        <w:rPr>
          <w:rFonts w:eastAsia="Times New Roman"/>
          <w:noProof/>
          <w:lang w:val="en-US" w:eastAsia="en-GB"/>
        </w:rPr>
        <w:t>;</w:t>
      </w:r>
      <w:r w:rsidR="00D23FDA">
        <w:rPr>
          <w:rFonts w:eastAsia="Times New Roman"/>
          <w:noProof/>
          <w:lang w:val="en-US" w:eastAsia="en-GB"/>
        </w:rPr>
        <w:t xml:space="preserve"> SHP</w:t>
      </w:r>
      <w:r w:rsidR="00457C92">
        <w:rPr>
          <w:rFonts w:eastAsia="Times New Roman"/>
          <w:noProof/>
          <w:lang w:val="en-US" w:eastAsia="en-GB"/>
        </w:rPr>
        <w:t xml:space="preserve"> </w:t>
      </w:r>
      <w:sdt>
        <w:sdtPr>
          <w:rPr>
            <w:rFonts w:eastAsia="Times New Roman"/>
            <w:noProof/>
            <w:lang w:val="en-US" w:eastAsia="en-GB"/>
          </w:rPr>
          <w:id w:val="-300700912"/>
          <w:citation/>
        </w:sdtPr>
        <w:sdtEndPr/>
        <w:sdtContent>
          <w:r w:rsidR="00D23FDA">
            <w:rPr>
              <w:rFonts w:eastAsia="Times New Roman"/>
              <w:noProof/>
              <w:lang w:val="en-US" w:eastAsia="en-GB"/>
            </w:rPr>
            <w:fldChar w:fldCharType="begin"/>
          </w:r>
          <w:r w:rsidR="00D23FDA">
            <w:rPr>
              <w:rFonts w:eastAsia="Times New Roman"/>
              <w:noProof/>
              <w:lang w:val="en-US" w:eastAsia="en-GB"/>
            </w:rPr>
            <w:instrText xml:space="preserve">CITATION SHP253 \n  \l 1033 </w:instrText>
          </w:r>
          <w:r w:rsidR="00D23FDA">
            <w:rPr>
              <w:rFonts w:eastAsia="Times New Roman"/>
              <w:noProof/>
              <w:lang w:val="en-US" w:eastAsia="en-GB"/>
            </w:rPr>
            <w:fldChar w:fldCharType="separate"/>
          </w:r>
          <w:r w:rsidR="002E53A1" w:rsidRPr="002E53A1">
            <w:rPr>
              <w:rFonts w:eastAsia="Times New Roman"/>
              <w:noProof/>
              <w:lang w:val="en-US" w:eastAsia="en-GB"/>
            </w:rPr>
            <w:t>(2025)</w:t>
          </w:r>
          <w:r w:rsidR="00D23FDA">
            <w:rPr>
              <w:rFonts w:eastAsia="Times New Roman"/>
              <w:noProof/>
              <w:lang w:val="en-US" w:eastAsia="en-GB"/>
            </w:rPr>
            <w:fldChar w:fldCharType="end"/>
          </w:r>
        </w:sdtContent>
      </w:sdt>
      <w:r w:rsidR="006C23B2">
        <w:rPr>
          <w:rFonts w:eastAsia="Times New Roman"/>
          <w:noProof/>
          <w:lang w:val="en-US" w:eastAsia="en-GB"/>
        </w:rPr>
        <w:t>.</w:t>
      </w:r>
    </w:p>
    <w:p w14:paraId="4BF54734" w14:textId="08BA7635" w:rsidR="00D23FDA" w:rsidRPr="003F41A9" w:rsidRDefault="00D23FDA" w:rsidP="00D23FDA">
      <w:pPr>
        <w:rPr>
          <w:rFonts w:eastAsia="Times New Roman" w:cs="Arial"/>
          <w:b/>
          <w:bCs/>
          <w:szCs w:val="22"/>
          <w:lang w:eastAsia="en-GB"/>
        </w:rPr>
      </w:pPr>
      <w:r>
        <w:t>Digital transformation supports the identified competitive positioning of differentiation and hybrid strategy (Section 4.3), while addressing the process fragmentation identified in the Value Chain and operational weaknesses.</w:t>
      </w:r>
    </w:p>
    <w:p w14:paraId="3BDC960F" w14:textId="77497D9E" w:rsidR="002B1460" w:rsidRPr="002B1460" w:rsidRDefault="002B1460" w:rsidP="00444ECA">
      <w:pPr>
        <w:pStyle w:val="Heading2"/>
        <w:numPr>
          <w:ilvl w:val="0"/>
          <w:numId w:val="10"/>
        </w:numPr>
      </w:pPr>
      <w:bookmarkStart w:id="30" w:name="_Toc216130280"/>
      <w:r w:rsidRPr="002B1460">
        <w:t>Pillar 3: Resident-Centred Service Differentiation</w:t>
      </w:r>
      <w:bookmarkEnd w:id="30"/>
    </w:p>
    <w:p w14:paraId="724B02C7" w14:textId="743C8097" w:rsidR="002B1460" w:rsidRPr="003A3E3C" w:rsidRDefault="00590CD5" w:rsidP="00333302">
      <w:r>
        <w:t xml:space="preserve">This pillar </w:t>
      </w:r>
      <w:r w:rsidRPr="003A3E3C">
        <w:rPr>
          <w:b/>
          <w:bCs/>
        </w:rPr>
        <w:t>strengthens tenant voice, engagement, and trust</w:t>
      </w:r>
      <w:r>
        <w:t xml:space="preserve"> through structured co-production, transparent reporting, and participatory budgeting.</w:t>
      </w:r>
      <w:r w:rsidRPr="00590CD5">
        <w:t xml:space="preserve"> </w:t>
      </w:r>
      <w:r w:rsidRPr="00590CD5">
        <w:rPr>
          <w:b/>
          <w:bCs/>
        </w:rPr>
        <w:t xml:space="preserve">Table 11 </w:t>
      </w:r>
      <w:r w:rsidRPr="003A3E3C">
        <w:t>summarises activities, KPIs and risk considerations.</w:t>
      </w:r>
    </w:p>
    <w:p w14:paraId="2B40684F" w14:textId="77777777" w:rsidR="00467F26" w:rsidRPr="00590CD5" w:rsidRDefault="00467F26" w:rsidP="00333302">
      <w:pPr>
        <w:rPr>
          <w:rFonts w:eastAsia="Times New Roman"/>
          <w:b/>
          <w:bCs/>
          <w:lang w:eastAsia="en-GB"/>
        </w:rPr>
      </w:pPr>
    </w:p>
    <w:p w14:paraId="737636EF" w14:textId="7AB215FE" w:rsidR="00A20D63" w:rsidRPr="00BD3145" w:rsidRDefault="00A20D63" w:rsidP="00395AB2">
      <w:pPr>
        <w:pStyle w:val="Caption"/>
        <w:keepNext/>
        <w:spacing w:line="360" w:lineRule="auto"/>
        <w:rPr>
          <w:b/>
          <w:bCs/>
          <w:color w:val="156082" w:themeColor="accent1"/>
          <w:sz w:val="22"/>
        </w:rPr>
      </w:pPr>
      <w:bookmarkStart w:id="31" w:name="_Toc215910542"/>
      <w:r w:rsidRPr="00395AB2">
        <w:rPr>
          <w:color w:val="156082" w:themeColor="accent1"/>
          <w:sz w:val="22"/>
        </w:rPr>
        <w:t xml:space="preserve">Table </w:t>
      </w:r>
      <w:r w:rsidRPr="00395AB2">
        <w:rPr>
          <w:color w:val="156082" w:themeColor="accent1"/>
          <w:sz w:val="22"/>
        </w:rPr>
        <w:fldChar w:fldCharType="begin"/>
      </w:r>
      <w:r w:rsidRPr="00395AB2">
        <w:rPr>
          <w:color w:val="156082" w:themeColor="accent1"/>
          <w:sz w:val="22"/>
        </w:rPr>
        <w:instrText xml:space="preserve"> SEQ Table \* ARABIC </w:instrText>
      </w:r>
      <w:r w:rsidRPr="00395AB2">
        <w:rPr>
          <w:color w:val="156082" w:themeColor="accent1"/>
          <w:sz w:val="22"/>
        </w:rPr>
        <w:fldChar w:fldCharType="separate"/>
      </w:r>
      <w:r w:rsidRPr="00395AB2">
        <w:rPr>
          <w:noProof/>
          <w:color w:val="156082" w:themeColor="accent1"/>
          <w:sz w:val="22"/>
        </w:rPr>
        <w:t>11</w:t>
      </w:r>
      <w:r w:rsidRPr="00395AB2">
        <w:rPr>
          <w:color w:val="156082" w:themeColor="accent1"/>
          <w:sz w:val="22"/>
        </w:rPr>
        <w:fldChar w:fldCharType="end"/>
      </w:r>
      <w:r w:rsidR="00395AB2" w:rsidRPr="00395AB2">
        <w:rPr>
          <w:color w:val="156082" w:themeColor="accent1"/>
          <w:sz w:val="22"/>
        </w:rPr>
        <w:t xml:space="preserve"> Key Initiatives, KPIs, Resource Considerations, and Risks </w:t>
      </w:r>
      <w:r w:rsidR="00BD3145">
        <w:rPr>
          <w:color w:val="156082" w:themeColor="accent1"/>
          <w:sz w:val="22"/>
        </w:rPr>
        <w:t>-</w:t>
      </w:r>
      <w:r w:rsidR="00395AB2" w:rsidRPr="00395AB2">
        <w:rPr>
          <w:color w:val="156082" w:themeColor="accent1"/>
          <w:sz w:val="22"/>
        </w:rPr>
        <w:t xml:space="preserve"> </w:t>
      </w:r>
      <w:r w:rsidR="00395AB2" w:rsidRPr="00BD3145">
        <w:rPr>
          <w:b/>
          <w:bCs/>
          <w:color w:val="156082" w:themeColor="accent1"/>
          <w:sz w:val="22"/>
        </w:rPr>
        <w:t>Resident-Centred Service Differentiation</w:t>
      </w:r>
      <w:bookmarkEnd w:id="31"/>
    </w:p>
    <w:tbl>
      <w:tblPr>
        <w:tblStyle w:val="TableGrid"/>
        <w:tblW w:w="0" w:type="auto"/>
        <w:tblLook w:val="04A0" w:firstRow="1" w:lastRow="0" w:firstColumn="1" w:lastColumn="0" w:noHBand="0" w:noVBand="1"/>
      </w:tblPr>
      <w:tblGrid>
        <w:gridCol w:w="1696"/>
        <w:gridCol w:w="1985"/>
        <w:gridCol w:w="2693"/>
        <w:gridCol w:w="2642"/>
      </w:tblGrid>
      <w:tr w:rsidR="00DB5437" w14:paraId="349D3E5B" w14:textId="1430992A" w:rsidTr="00666F94">
        <w:tc>
          <w:tcPr>
            <w:tcW w:w="1696" w:type="dxa"/>
            <w:shd w:val="clear" w:color="auto" w:fill="DAE9F7" w:themeFill="text2" w:themeFillTint="1A"/>
          </w:tcPr>
          <w:p w14:paraId="4219BCBE" w14:textId="77777777" w:rsidR="00DB5437" w:rsidRPr="004126AD" w:rsidRDefault="00DB5437" w:rsidP="003019CF">
            <w:pPr>
              <w:spacing w:line="360" w:lineRule="auto"/>
              <w:jc w:val="left"/>
              <w:rPr>
                <w:rFonts w:eastAsia="Times New Roman"/>
                <w:b/>
                <w:bCs/>
                <w:color w:val="156082" w:themeColor="accent1"/>
                <w:lang w:eastAsia="en-GB"/>
              </w:rPr>
            </w:pPr>
            <w:r w:rsidRPr="004126AD">
              <w:rPr>
                <w:rFonts w:eastAsia="Times New Roman"/>
                <w:b/>
                <w:bCs/>
                <w:color w:val="156082" w:themeColor="accent1"/>
                <w:lang w:eastAsia="en-GB"/>
              </w:rPr>
              <w:t xml:space="preserve">Key </w:t>
            </w:r>
            <w:r w:rsidRPr="004126AD">
              <w:rPr>
                <w:b/>
                <w:bCs/>
                <w:color w:val="156082" w:themeColor="accent1"/>
              </w:rPr>
              <w:t>Initiative</w:t>
            </w:r>
          </w:p>
        </w:tc>
        <w:tc>
          <w:tcPr>
            <w:tcW w:w="1985" w:type="dxa"/>
            <w:shd w:val="clear" w:color="auto" w:fill="DAE9F7" w:themeFill="text2" w:themeFillTint="1A"/>
          </w:tcPr>
          <w:p w14:paraId="706A9B90" w14:textId="77777777" w:rsidR="00DB5437" w:rsidRPr="004126AD" w:rsidRDefault="00DB5437" w:rsidP="003019CF">
            <w:pPr>
              <w:spacing w:line="360" w:lineRule="auto"/>
              <w:jc w:val="left"/>
              <w:rPr>
                <w:rFonts w:eastAsia="Times New Roman"/>
                <w:b/>
                <w:bCs/>
                <w:color w:val="156082" w:themeColor="accent1"/>
                <w:lang w:eastAsia="en-GB"/>
              </w:rPr>
            </w:pPr>
            <w:r w:rsidRPr="004126AD">
              <w:rPr>
                <w:b/>
                <w:bCs/>
                <w:color w:val="156082" w:themeColor="accent1"/>
              </w:rPr>
              <w:t>KPIs / Milestones</w:t>
            </w:r>
          </w:p>
        </w:tc>
        <w:tc>
          <w:tcPr>
            <w:tcW w:w="2693" w:type="dxa"/>
            <w:shd w:val="clear" w:color="auto" w:fill="DAE9F7" w:themeFill="text2" w:themeFillTint="1A"/>
          </w:tcPr>
          <w:p w14:paraId="44DEDBA6" w14:textId="77777777" w:rsidR="00DB5437" w:rsidRPr="004126AD" w:rsidRDefault="00DB5437" w:rsidP="003019CF">
            <w:pPr>
              <w:spacing w:line="360" w:lineRule="auto"/>
              <w:jc w:val="left"/>
              <w:rPr>
                <w:rFonts w:eastAsia="Times New Roman"/>
                <w:b/>
                <w:bCs/>
                <w:color w:val="156082" w:themeColor="accent1"/>
                <w:lang w:eastAsia="en-GB"/>
              </w:rPr>
            </w:pPr>
            <w:r w:rsidRPr="004126AD">
              <w:rPr>
                <w:b/>
                <w:bCs/>
                <w:color w:val="156082" w:themeColor="accent1"/>
              </w:rPr>
              <w:t>Resource Considerations / Trade-offs</w:t>
            </w:r>
          </w:p>
        </w:tc>
        <w:tc>
          <w:tcPr>
            <w:tcW w:w="2642" w:type="dxa"/>
            <w:shd w:val="clear" w:color="auto" w:fill="DAE9F7" w:themeFill="text2" w:themeFillTint="1A"/>
          </w:tcPr>
          <w:p w14:paraId="2770A26C" w14:textId="7BD1C457" w:rsidR="00DB5437" w:rsidRPr="00B918CC" w:rsidRDefault="00B918CC" w:rsidP="00B918CC">
            <w:pPr>
              <w:spacing w:line="360" w:lineRule="auto"/>
              <w:jc w:val="left"/>
              <w:rPr>
                <w:b/>
                <w:bCs/>
                <w:color w:val="156082" w:themeColor="accent1"/>
              </w:rPr>
            </w:pPr>
            <w:r w:rsidRPr="00B918CC">
              <w:rPr>
                <w:b/>
                <w:bCs/>
                <w:color w:val="156082" w:themeColor="accent1"/>
              </w:rPr>
              <w:t>Key Risks &amp; Mitigation</w:t>
            </w:r>
          </w:p>
        </w:tc>
      </w:tr>
      <w:tr w:rsidR="00DB5437" w14:paraId="51D1C3C5" w14:textId="292C6604" w:rsidTr="00666F94">
        <w:tc>
          <w:tcPr>
            <w:tcW w:w="1696" w:type="dxa"/>
            <w:shd w:val="clear" w:color="auto" w:fill="DAE9F7" w:themeFill="text2" w:themeFillTint="1A"/>
          </w:tcPr>
          <w:p w14:paraId="0F6DF4BD" w14:textId="72C9700B" w:rsidR="00DB5437" w:rsidRPr="00F759DA" w:rsidRDefault="00DB5437" w:rsidP="003019CF">
            <w:pPr>
              <w:spacing w:line="360" w:lineRule="auto"/>
              <w:jc w:val="left"/>
              <w:rPr>
                <w:rFonts w:eastAsia="Times New Roman"/>
                <w:b/>
                <w:bCs/>
                <w:color w:val="156082" w:themeColor="accent1"/>
                <w:lang w:eastAsia="en-GB"/>
              </w:rPr>
            </w:pPr>
            <w:r>
              <w:t>Co-production committees &amp; panels</w:t>
            </w:r>
          </w:p>
        </w:tc>
        <w:tc>
          <w:tcPr>
            <w:tcW w:w="1985" w:type="dxa"/>
          </w:tcPr>
          <w:p w14:paraId="0852BBAC" w14:textId="49C61328" w:rsidR="00DB5437" w:rsidRDefault="00DB5437" w:rsidP="003019CF">
            <w:pPr>
              <w:spacing w:line="360" w:lineRule="auto"/>
              <w:jc w:val="left"/>
              <w:rPr>
                <w:rFonts w:eastAsia="Times New Roman"/>
                <w:lang w:eastAsia="en-GB"/>
              </w:rPr>
            </w:pPr>
            <w:r>
              <w:t>70% of priority estates engaged within 2 years.</w:t>
            </w:r>
          </w:p>
        </w:tc>
        <w:tc>
          <w:tcPr>
            <w:tcW w:w="2693" w:type="dxa"/>
          </w:tcPr>
          <w:p w14:paraId="68F6741F" w14:textId="2663F6BC" w:rsidR="00DB5437" w:rsidRDefault="00DB5437" w:rsidP="003019CF">
            <w:pPr>
              <w:spacing w:line="360" w:lineRule="auto"/>
              <w:jc w:val="left"/>
              <w:rPr>
                <w:rFonts w:eastAsia="Times New Roman"/>
                <w:lang w:eastAsia="en-GB"/>
              </w:rPr>
            </w:pPr>
            <w:r>
              <w:t>Staff coordination required; ensure inclusivity across demographics.</w:t>
            </w:r>
          </w:p>
        </w:tc>
        <w:tc>
          <w:tcPr>
            <w:tcW w:w="2642" w:type="dxa"/>
          </w:tcPr>
          <w:p w14:paraId="27527382" w14:textId="24AD905A" w:rsidR="00DB5437" w:rsidRDefault="00B918CC" w:rsidP="00B918CC">
            <w:pPr>
              <w:spacing w:line="360" w:lineRule="auto"/>
              <w:jc w:val="left"/>
            </w:pPr>
            <w:r>
              <w:t>Risk: low resident participation; Mitigation: targeted outreach &amp; flexible scheduling</w:t>
            </w:r>
          </w:p>
        </w:tc>
      </w:tr>
      <w:tr w:rsidR="00DB5437" w14:paraId="6F4B99AD" w14:textId="45C3B4C2" w:rsidTr="00666F94">
        <w:tc>
          <w:tcPr>
            <w:tcW w:w="1696" w:type="dxa"/>
            <w:shd w:val="clear" w:color="auto" w:fill="DAE9F7" w:themeFill="text2" w:themeFillTint="1A"/>
          </w:tcPr>
          <w:p w14:paraId="775035BA" w14:textId="436FCAC3" w:rsidR="00DB5437" w:rsidRPr="00F759DA" w:rsidRDefault="00DB5437" w:rsidP="003019CF">
            <w:pPr>
              <w:spacing w:line="360" w:lineRule="auto"/>
              <w:jc w:val="left"/>
              <w:rPr>
                <w:rFonts w:eastAsia="Times New Roman"/>
                <w:b/>
                <w:bCs/>
                <w:color w:val="156082" w:themeColor="accent1"/>
                <w:lang w:eastAsia="en-GB"/>
              </w:rPr>
            </w:pPr>
            <w:r>
              <w:t>Estate regeneration &amp; participatory budgeting</w:t>
            </w:r>
          </w:p>
        </w:tc>
        <w:tc>
          <w:tcPr>
            <w:tcW w:w="1985" w:type="dxa"/>
          </w:tcPr>
          <w:p w14:paraId="5B2A269E" w14:textId="4ED9C643" w:rsidR="00DB5437" w:rsidRDefault="00DB5437" w:rsidP="003019CF">
            <w:pPr>
              <w:spacing w:line="360" w:lineRule="auto"/>
              <w:jc w:val="left"/>
              <w:rPr>
                <w:rFonts w:eastAsia="Times New Roman"/>
                <w:lang w:eastAsia="en-GB"/>
              </w:rPr>
            </w:pPr>
            <w:r>
              <w:t>60% of projects co-designed with residents by 2026.</w:t>
            </w:r>
          </w:p>
        </w:tc>
        <w:tc>
          <w:tcPr>
            <w:tcW w:w="2693" w:type="dxa"/>
          </w:tcPr>
          <w:p w14:paraId="7B185396" w14:textId="01462A35" w:rsidR="00DB5437" w:rsidRDefault="00DB5437" w:rsidP="003019CF">
            <w:pPr>
              <w:spacing w:line="360" w:lineRule="auto"/>
              <w:jc w:val="left"/>
              <w:rPr>
                <w:rFonts w:eastAsia="Times New Roman"/>
                <w:lang w:eastAsia="en-GB"/>
              </w:rPr>
            </w:pPr>
            <w:r>
              <w:t>Budget allocation trade-offs: prioritisation required.</w:t>
            </w:r>
          </w:p>
        </w:tc>
        <w:tc>
          <w:tcPr>
            <w:tcW w:w="2642" w:type="dxa"/>
          </w:tcPr>
          <w:p w14:paraId="7FFA3E08" w14:textId="45D0D705" w:rsidR="00DB5437" w:rsidRDefault="00B918CC" w:rsidP="00B918CC">
            <w:pPr>
              <w:spacing w:line="360" w:lineRule="auto"/>
              <w:jc w:val="left"/>
            </w:pPr>
            <w:r>
              <w:t>Risk: overcommitment of funds; Mitigation: phased implementation &amp; prioritisation</w:t>
            </w:r>
          </w:p>
        </w:tc>
      </w:tr>
      <w:tr w:rsidR="00DB5437" w14:paraId="536E546D" w14:textId="3EDC6373" w:rsidTr="00666F94">
        <w:tc>
          <w:tcPr>
            <w:tcW w:w="1696" w:type="dxa"/>
            <w:shd w:val="clear" w:color="auto" w:fill="DAE9F7" w:themeFill="text2" w:themeFillTint="1A"/>
          </w:tcPr>
          <w:p w14:paraId="4253692D" w14:textId="1B9613BB" w:rsidR="00DB5437" w:rsidRPr="00F759DA" w:rsidRDefault="00DB5437" w:rsidP="003019CF">
            <w:pPr>
              <w:spacing w:line="360" w:lineRule="auto"/>
              <w:jc w:val="left"/>
              <w:rPr>
                <w:rFonts w:eastAsia="Times New Roman"/>
                <w:b/>
                <w:bCs/>
                <w:color w:val="156082" w:themeColor="accent1"/>
                <w:lang w:eastAsia="en-GB"/>
              </w:rPr>
            </w:pPr>
            <w:r>
              <w:t>Transparent communication &amp; reporting</w:t>
            </w:r>
          </w:p>
        </w:tc>
        <w:tc>
          <w:tcPr>
            <w:tcW w:w="1985" w:type="dxa"/>
          </w:tcPr>
          <w:p w14:paraId="14F6A969" w14:textId="1397E54A" w:rsidR="00DB5437" w:rsidRDefault="00DB5437" w:rsidP="003019CF">
            <w:pPr>
              <w:spacing w:line="360" w:lineRule="auto"/>
              <w:jc w:val="left"/>
              <w:rPr>
                <w:rFonts w:eastAsia="Times New Roman"/>
                <w:lang w:eastAsia="en-GB"/>
              </w:rPr>
            </w:pPr>
            <w:r>
              <w:t>Quarterly resident satisfaction surveys ≥ 85%; 100% safety compliance updates.</w:t>
            </w:r>
          </w:p>
        </w:tc>
        <w:tc>
          <w:tcPr>
            <w:tcW w:w="2693" w:type="dxa"/>
          </w:tcPr>
          <w:p w14:paraId="55CDCE40" w14:textId="7BCDEF58" w:rsidR="00DB5437" w:rsidRDefault="00DB5437" w:rsidP="003019CF">
            <w:pPr>
              <w:spacing w:line="360" w:lineRule="auto"/>
              <w:jc w:val="left"/>
              <w:rPr>
                <w:rFonts w:eastAsia="Times New Roman"/>
                <w:lang w:eastAsia="en-GB"/>
              </w:rPr>
            </w:pPr>
            <w:r>
              <w:t>Staff time for reporting; requires robust digital communication tools.</w:t>
            </w:r>
          </w:p>
        </w:tc>
        <w:tc>
          <w:tcPr>
            <w:tcW w:w="2642" w:type="dxa"/>
          </w:tcPr>
          <w:p w14:paraId="27E00593" w14:textId="0223E8B0" w:rsidR="00DB5437" w:rsidRDefault="00B918CC" w:rsidP="00B918CC">
            <w:pPr>
              <w:spacing w:line="360" w:lineRule="auto"/>
              <w:jc w:val="left"/>
            </w:pPr>
            <w:r>
              <w:t>Risk: reporting delays; Mitigation: automated dashboards &amp; workflow planning</w:t>
            </w:r>
          </w:p>
        </w:tc>
      </w:tr>
    </w:tbl>
    <w:p w14:paraId="2CA74E85" w14:textId="2A5539BE" w:rsidR="00BD111C" w:rsidRDefault="00590CD5" w:rsidP="00333302">
      <w:pPr>
        <w:rPr>
          <w:rFonts w:eastAsia="Times New Roman"/>
          <w:noProof/>
          <w:lang w:val="en-US" w:eastAsia="en-GB"/>
        </w:rPr>
      </w:pPr>
      <w:r w:rsidRPr="004C5C4C">
        <w:rPr>
          <w:rFonts w:eastAsia="Times New Roman"/>
          <w:b/>
          <w:bCs/>
          <w:lang w:eastAsia="en-GB"/>
        </w:rPr>
        <w:t>Source:</w:t>
      </w:r>
      <w:r>
        <w:rPr>
          <w:rFonts w:eastAsia="Times New Roman"/>
          <w:lang w:eastAsia="en-GB"/>
        </w:rPr>
        <w:t xml:space="preserve"> </w:t>
      </w:r>
      <w:r w:rsidR="006E6C9B">
        <w:rPr>
          <w:rFonts w:eastAsia="Times New Roman"/>
          <w:lang w:eastAsia="en-GB"/>
        </w:rPr>
        <w:t>Author, a</w:t>
      </w:r>
      <w:r w:rsidR="00346EFB">
        <w:rPr>
          <w:rFonts w:eastAsia="Times New Roman"/>
          <w:lang w:eastAsia="en-GB"/>
        </w:rPr>
        <w:t>dap</w:t>
      </w:r>
      <w:r w:rsidR="00F240CC">
        <w:rPr>
          <w:rFonts w:eastAsia="Times New Roman"/>
          <w:lang w:eastAsia="en-GB"/>
        </w:rPr>
        <w:t xml:space="preserve">ted from Bryson </w:t>
      </w:r>
      <w:sdt>
        <w:sdtPr>
          <w:rPr>
            <w:rFonts w:eastAsia="Times New Roman"/>
            <w:lang w:eastAsia="en-GB"/>
          </w:rPr>
          <w:id w:val="-412555811"/>
          <w:citation/>
        </w:sdtPr>
        <w:sdtEndPr/>
        <w:sdtContent>
          <w:r w:rsidR="00F240CC">
            <w:rPr>
              <w:rFonts w:eastAsia="Times New Roman"/>
              <w:lang w:eastAsia="en-GB"/>
            </w:rPr>
            <w:fldChar w:fldCharType="begin"/>
          </w:r>
          <w:r w:rsidR="00F240CC">
            <w:rPr>
              <w:rFonts w:eastAsia="Times New Roman"/>
              <w:lang w:val="en-US" w:eastAsia="en-GB"/>
            </w:rPr>
            <w:instrText xml:space="preserve">CITATION Bry181 \n  \l 1033 </w:instrText>
          </w:r>
          <w:r w:rsidR="00F240CC">
            <w:rPr>
              <w:rFonts w:eastAsia="Times New Roman"/>
              <w:lang w:eastAsia="en-GB"/>
            </w:rPr>
            <w:fldChar w:fldCharType="separate"/>
          </w:r>
          <w:r w:rsidR="002E53A1" w:rsidRPr="002E53A1">
            <w:rPr>
              <w:rFonts w:eastAsia="Times New Roman"/>
              <w:noProof/>
              <w:lang w:val="en-US" w:eastAsia="en-GB"/>
            </w:rPr>
            <w:t>(2018)</w:t>
          </w:r>
          <w:r w:rsidR="00F240CC">
            <w:rPr>
              <w:rFonts w:eastAsia="Times New Roman"/>
              <w:lang w:eastAsia="en-GB"/>
            </w:rPr>
            <w:fldChar w:fldCharType="end"/>
          </w:r>
        </w:sdtContent>
      </w:sdt>
      <w:r w:rsidR="00F240CC">
        <w:rPr>
          <w:rFonts w:eastAsia="Times New Roman"/>
          <w:lang w:eastAsia="en-GB"/>
        </w:rPr>
        <w:t xml:space="preserve">; </w:t>
      </w:r>
      <w:r w:rsidR="00AD2922" w:rsidRPr="00AD2922">
        <w:rPr>
          <w:rFonts w:eastAsia="Times New Roman"/>
          <w:noProof/>
          <w:lang w:val="en-US" w:eastAsia="en-GB"/>
        </w:rPr>
        <w:t>Carr, et al.</w:t>
      </w:r>
      <w:r w:rsidR="00AD2922">
        <w:rPr>
          <w:rFonts w:eastAsia="Times New Roman"/>
          <w:noProof/>
          <w:lang w:val="en-US" w:eastAsia="en-GB"/>
        </w:rPr>
        <w:t xml:space="preserve"> </w:t>
      </w:r>
      <w:sdt>
        <w:sdtPr>
          <w:rPr>
            <w:rFonts w:eastAsia="Times New Roman"/>
            <w:noProof/>
            <w:lang w:val="en-US" w:eastAsia="en-GB"/>
          </w:rPr>
          <w:id w:val="1318540968"/>
          <w:citation/>
        </w:sdtPr>
        <w:sdtEndPr/>
        <w:sdtContent>
          <w:r w:rsidR="00AD2922">
            <w:rPr>
              <w:rFonts w:eastAsia="Times New Roman"/>
              <w:noProof/>
              <w:lang w:val="en-US" w:eastAsia="en-GB"/>
            </w:rPr>
            <w:fldChar w:fldCharType="begin"/>
          </w:r>
          <w:r w:rsidR="00AD2922">
            <w:rPr>
              <w:rFonts w:eastAsia="Times New Roman"/>
              <w:noProof/>
              <w:lang w:val="en-US" w:eastAsia="en-GB"/>
            </w:rPr>
            <w:instrText xml:space="preserve">CITATION Car22 \n  \l 1033 </w:instrText>
          </w:r>
          <w:r w:rsidR="00AD2922">
            <w:rPr>
              <w:rFonts w:eastAsia="Times New Roman"/>
              <w:noProof/>
              <w:lang w:val="en-US" w:eastAsia="en-GB"/>
            </w:rPr>
            <w:fldChar w:fldCharType="separate"/>
          </w:r>
          <w:r w:rsidR="002E53A1" w:rsidRPr="002E53A1">
            <w:rPr>
              <w:rFonts w:eastAsia="Times New Roman"/>
              <w:noProof/>
              <w:lang w:val="en-US" w:eastAsia="en-GB"/>
            </w:rPr>
            <w:t>(2022)</w:t>
          </w:r>
          <w:r w:rsidR="00AD2922">
            <w:rPr>
              <w:rFonts w:eastAsia="Times New Roman"/>
              <w:noProof/>
              <w:lang w:val="en-US" w:eastAsia="en-GB"/>
            </w:rPr>
            <w:fldChar w:fldCharType="end"/>
          </w:r>
        </w:sdtContent>
      </w:sdt>
      <w:r w:rsidR="006C23B2">
        <w:rPr>
          <w:rFonts w:eastAsia="Times New Roman"/>
          <w:noProof/>
          <w:lang w:val="en-US" w:eastAsia="en-GB"/>
        </w:rPr>
        <w:t xml:space="preserve">; </w:t>
      </w:r>
      <w:r w:rsidR="006C23B2" w:rsidRPr="006C23B2">
        <w:rPr>
          <w:rFonts w:eastAsia="Times New Roman"/>
          <w:noProof/>
          <w:lang w:val="en-US" w:eastAsia="en-GB"/>
        </w:rPr>
        <w:t>Ding &amp; Sun</w:t>
      </w:r>
      <w:r w:rsidR="006C23B2">
        <w:rPr>
          <w:rFonts w:eastAsia="Times New Roman"/>
          <w:noProof/>
          <w:lang w:val="en-US" w:eastAsia="en-GB"/>
        </w:rPr>
        <w:t xml:space="preserve"> </w:t>
      </w:r>
      <w:sdt>
        <w:sdtPr>
          <w:rPr>
            <w:rFonts w:eastAsia="Times New Roman"/>
            <w:noProof/>
            <w:lang w:val="en-US" w:eastAsia="en-GB"/>
          </w:rPr>
          <w:id w:val="-150832483"/>
          <w:citation/>
        </w:sdtPr>
        <w:sdtEndPr/>
        <w:sdtContent>
          <w:r w:rsidR="006C23B2">
            <w:rPr>
              <w:rFonts w:eastAsia="Times New Roman"/>
              <w:noProof/>
              <w:lang w:val="en-US" w:eastAsia="en-GB"/>
            </w:rPr>
            <w:fldChar w:fldCharType="begin"/>
          </w:r>
          <w:r w:rsidR="006C23B2">
            <w:rPr>
              <w:rFonts w:eastAsia="Times New Roman"/>
              <w:noProof/>
              <w:lang w:val="en-US" w:eastAsia="en-GB"/>
            </w:rPr>
            <w:instrText xml:space="preserve">CITATION Din24 \n  \l 1033 </w:instrText>
          </w:r>
          <w:r w:rsidR="006C23B2">
            <w:rPr>
              <w:rFonts w:eastAsia="Times New Roman"/>
              <w:noProof/>
              <w:lang w:val="en-US" w:eastAsia="en-GB"/>
            </w:rPr>
            <w:fldChar w:fldCharType="separate"/>
          </w:r>
          <w:r w:rsidR="002E53A1" w:rsidRPr="002E53A1">
            <w:rPr>
              <w:rFonts w:eastAsia="Times New Roman"/>
              <w:noProof/>
              <w:lang w:val="en-US" w:eastAsia="en-GB"/>
            </w:rPr>
            <w:t>(2024)</w:t>
          </w:r>
          <w:r w:rsidR="006C23B2">
            <w:rPr>
              <w:rFonts w:eastAsia="Times New Roman"/>
              <w:noProof/>
              <w:lang w:val="en-US" w:eastAsia="en-GB"/>
            </w:rPr>
            <w:fldChar w:fldCharType="end"/>
          </w:r>
        </w:sdtContent>
      </w:sdt>
      <w:r w:rsidR="006C23B2">
        <w:rPr>
          <w:rFonts w:eastAsia="Times New Roman"/>
          <w:noProof/>
          <w:lang w:val="en-US" w:eastAsia="en-GB"/>
        </w:rPr>
        <w:t xml:space="preserve">; SHP </w:t>
      </w:r>
      <w:sdt>
        <w:sdtPr>
          <w:rPr>
            <w:rFonts w:eastAsia="Times New Roman"/>
            <w:noProof/>
            <w:lang w:val="en-US" w:eastAsia="en-GB"/>
          </w:rPr>
          <w:id w:val="1478414852"/>
          <w:citation/>
        </w:sdtPr>
        <w:sdtEndPr/>
        <w:sdtContent>
          <w:r w:rsidR="006C23B2">
            <w:rPr>
              <w:rFonts w:eastAsia="Times New Roman"/>
              <w:noProof/>
              <w:lang w:val="en-US" w:eastAsia="en-GB"/>
            </w:rPr>
            <w:fldChar w:fldCharType="begin"/>
          </w:r>
          <w:r w:rsidR="006C23B2">
            <w:rPr>
              <w:rFonts w:eastAsia="Times New Roman"/>
              <w:noProof/>
              <w:lang w:val="en-US" w:eastAsia="en-GB"/>
            </w:rPr>
            <w:instrText xml:space="preserve">CITATION SHP253 \n  \l 1033 </w:instrText>
          </w:r>
          <w:r w:rsidR="006C23B2">
            <w:rPr>
              <w:rFonts w:eastAsia="Times New Roman"/>
              <w:noProof/>
              <w:lang w:val="en-US" w:eastAsia="en-GB"/>
            </w:rPr>
            <w:fldChar w:fldCharType="separate"/>
          </w:r>
          <w:r w:rsidR="002E53A1" w:rsidRPr="002E53A1">
            <w:rPr>
              <w:rFonts w:eastAsia="Times New Roman"/>
              <w:noProof/>
              <w:lang w:val="en-US" w:eastAsia="en-GB"/>
            </w:rPr>
            <w:t>(2025)</w:t>
          </w:r>
          <w:r w:rsidR="006C23B2">
            <w:rPr>
              <w:rFonts w:eastAsia="Times New Roman"/>
              <w:noProof/>
              <w:lang w:val="en-US" w:eastAsia="en-GB"/>
            </w:rPr>
            <w:fldChar w:fldCharType="end"/>
          </w:r>
        </w:sdtContent>
      </w:sdt>
      <w:r w:rsidR="006C23B2">
        <w:rPr>
          <w:rFonts w:eastAsia="Times New Roman"/>
          <w:noProof/>
          <w:lang w:val="en-US" w:eastAsia="en-GB"/>
        </w:rPr>
        <w:t>.</w:t>
      </w:r>
    </w:p>
    <w:p w14:paraId="6C72E156" w14:textId="359DFA69" w:rsidR="002B1460" w:rsidRPr="0076218A" w:rsidRDefault="0076218A" w:rsidP="00B91DB9">
      <w:pPr>
        <w:rPr>
          <w:rFonts w:eastAsia="Times New Roman"/>
          <w:lang w:eastAsia="en-GB"/>
        </w:rPr>
      </w:pPr>
      <w:r>
        <w:t>This fulfils stakeholder expectations identified through Mendelow’s Matrix and aligns with post-Grenfell governance requirements.</w:t>
      </w:r>
    </w:p>
    <w:p w14:paraId="5BD800A1" w14:textId="77777777" w:rsidR="00165F48" w:rsidRPr="00165F48" w:rsidRDefault="00165F48" w:rsidP="00444ECA">
      <w:pPr>
        <w:pStyle w:val="Heading2"/>
        <w:numPr>
          <w:ilvl w:val="0"/>
          <w:numId w:val="10"/>
        </w:numPr>
      </w:pPr>
      <w:bookmarkStart w:id="32" w:name="_Toc216130281"/>
      <w:r w:rsidRPr="00165F48">
        <w:t>Phased Implementation and Resource Allocation</w:t>
      </w:r>
      <w:bookmarkEnd w:id="32"/>
    </w:p>
    <w:p w14:paraId="2C133357" w14:textId="44A54D5F" w:rsidR="00C049B9" w:rsidRPr="00C049B9" w:rsidRDefault="00C049B9" w:rsidP="00C049B9">
      <w:pPr>
        <w:pStyle w:val="NormalWeb"/>
        <w:spacing w:line="360" w:lineRule="auto"/>
        <w:jc w:val="both"/>
        <w:rPr>
          <w:rFonts w:ascii="Arial" w:hAnsi="Arial" w:cs="Arial"/>
          <w:i w:val="0"/>
          <w:iCs w:val="0"/>
          <w:sz w:val="22"/>
          <w:szCs w:val="22"/>
        </w:rPr>
      </w:pPr>
      <w:r w:rsidRPr="00C049B9">
        <w:rPr>
          <w:rFonts w:ascii="Arial" w:hAnsi="Arial" w:cs="Arial"/>
          <w:i w:val="0"/>
          <w:iCs w:val="0"/>
          <w:sz w:val="22"/>
          <w:szCs w:val="22"/>
        </w:rPr>
        <w:t>A staged delivery model ensures change remains feasible within SHP’s capacity constraints:</w:t>
      </w:r>
    </w:p>
    <w:p w14:paraId="77A54F78" w14:textId="4A13A9F8" w:rsidR="00C049B9" w:rsidRPr="00C049B9" w:rsidRDefault="00C049B9" w:rsidP="00CE3569">
      <w:pPr>
        <w:numPr>
          <w:ilvl w:val="0"/>
          <w:numId w:val="9"/>
        </w:numPr>
        <w:rPr>
          <w:rFonts w:eastAsia="Times New Roman" w:cs="Arial"/>
          <w:szCs w:val="22"/>
          <w:lang w:eastAsia="en-GB"/>
        </w:rPr>
      </w:pPr>
      <w:r w:rsidRPr="00C049B9">
        <w:rPr>
          <w:rFonts w:eastAsia="Times New Roman" w:cs="Arial"/>
          <w:b/>
          <w:bCs/>
          <w:szCs w:val="22"/>
          <w:lang w:eastAsia="en-GB"/>
        </w:rPr>
        <w:t>Phase 1 (0</w:t>
      </w:r>
      <w:r w:rsidR="00C7439D">
        <w:rPr>
          <w:rFonts w:eastAsia="Times New Roman" w:cs="Arial"/>
          <w:b/>
          <w:bCs/>
          <w:szCs w:val="22"/>
          <w:lang w:eastAsia="en-GB"/>
        </w:rPr>
        <w:t>-</w:t>
      </w:r>
      <w:r w:rsidRPr="00C049B9">
        <w:rPr>
          <w:rFonts w:eastAsia="Times New Roman" w:cs="Arial"/>
          <w:b/>
          <w:bCs/>
          <w:szCs w:val="22"/>
          <w:lang w:eastAsia="en-GB"/>
        </w:rPr>
        <w:t>12 months):</w:t>
      </w:r>
      <w:r w:rsidRPr="00C049B9">
        <w:rPr>
          <w:rFonts w:eastAsia="Times New Roman" w:cs="Arial"/>
          <w:szCs w:val="22"/>
          <w:lang w:eastAsia="en-GB"/>
        </w:rPr>
        <w:t xml:space="preserve"> Data validation, pilot digital tools, baseline compliance.</w:t>
      </w:r>
    </w:p>
    <w:p w14:paraId="1BE697A5" w14:textId="2F722E6F" w:rsidR="00C049B9" w:rsidRPr="00C049B9" w:rsidRDefault="00C049B9" w:rsidP="00CE3569">
      <w:pPr>
        <w:numPr>
          <w:ilvl w:val="0"/>
          <w:numId w:val="9"/>
        </w:numPr>
        <w:rPr>
          <w:rFonts w:eastAsia="Times New Roman" w:cs="Arial"/>
          <w:szCs w:val="22"/>
          <w:lang w:eastAsia="en-GB"/>
        </w:rPr>
      </w:pPr>
      <w:r w:rsidRPr="00C049B9">
        <w:rPr>
          <w:rFonts w:eastAsia="Times New Roman" w:cs="Arial"/>
          <w:b/>
          <w:bCs/>
          <w:szCs w:val="22"/>
          <w:lang w:eastAsia="en-GB"/>
        </w:rPr>
        <w:t>Phase 2 (1</w:t>
      </w:r>
      <w:r w:rsidR="00C7439D">
        <w:rPr>
          <w:rFonts w:eastAsia="Times New Roman" w:cs="Arial"/>
          <w:b/>
          <w:bCs/>
          <w:szCs w:val="22"/>
          <w:lang w:eastAsia="en-GB"/>
        </w:rPr>
        <w:t>-</w:t>
      </w:r>
      <w:r w:rsidRPr="00C049B9">
        <w:rPr>
          <w:rFonts w:eastAsia="Times New Roman" w:cs="Arial"/>
          <w:b/>
          <w:bCs/>
          <w:szCs w:val="22"/>
          <w:lang w:eastAsia="en-GB"/>
        </w:rPr>
        <w:t>3 years):</w:t>
      </w:r>
      <w:r w:rsidRPr="00C049B9">
        <w:rPr>
          <w:rFonts w:eastAsia="Times New Roman" w:cs="Arial"/>
          <w:szCs w:val="22"/>
          <w:lang w:eastAsia="en-GB"/>
        </w:rPr>
        <w:t xml:space="preserve"> Scaling retrofits, digital roll-out, co-production structures.</w:t>
      </w:r>
    </w:p>
    <w:p w14:paraId="785461E4" w14:textId="31F5DC24" w:rsidR="00C049B9" w:rsidRPr="00C049B9" w:rsidRDefault="00C049B9" w:rsidP="00CE3569">
      <w:pPr>
        <w:numPr>
          <w:ilvl w:val="0"/>
          <w:numId w:val="9"/>
        </w:numPr>
        <w:rPr>
          <w:rFonts w:eastAsia="Times New Roman" w:cs="Arial"/>
          <w:szCs w:val="22"/>
          <w:lang w:eastAsia="en-GB"/>
        </w:rPr>
      </w:pPr>
      <w:r w:rsidRPr="00C049B9">
        <w:rPr>
          <w:rFonts w:eastAsia="Times New Roman" w:cs="Arial"/>
          <w:b/>
          <w:bCs/>
          <w:szCs w:val="22"/>
          <w:lang w:eastAsia="en-GB"/>
        </w:rPr>
        <w:t>Phase 3 (3</w:t>
      </w:r>
      <w:r w:rsidR="00C7439D">
        <w:rPr>
          <w:rFonts w:eastAsia="Times New Roman" w:cs="Arial"/>
          <w:b/>
          <w:bCs/>
          <w:szCs w:val="22"/>
          <w:lang w:eastAsia="en-GB"/>
        </w:rPr>
        <w:t>-</w:t>
      </w:r>
      <w:r w:rsidRPr="00C049B9">
        <w:rPr>
          <w:rFonts w:eastAsia="Times New Roman" w:cs="Arial"/>
          <w:b/>
          <w:bCs/>
          <w:szCs w:val="22"/>
          <w:lang w:eastAsia="en-GB"/>
        </w:rPr>
        <w:t>5 years):</w:t>
      </w:r>
      <w:r w:rsidRPr="00C049B9">
        <w:rPr>
          <w:rFonts w:eastAsia="Times New Roman" w:cs="Arial"/>
          <w:szCs w:val="22"/>
          <w:lang w:eastAsia="en-GB"/>
        </w:rPr>
        <w:t xml:space="preserve"> Continuous improvement and performance optimisation.</w:t>
      </w:r>
    </w:p>
    <w:p w14:paraId="526FE4F0" w14:textId="39745C9E" w:rsidR="00165F48" w:rsidRPr="002B1460" w:rsidRDefault="00C049B9" w:rsidP="00165F48">
      <w:pPr>
        <w:rPr>
          <w:rFonts w:eastAsia="Times New Roman"/>
          <w:lang w:eastAsia="en-GB"/>
        </w:rPr>
      </w:pPr>
      <w:r w:rsidRPr="00C049B9">
        <w:rPr>
          <w:rFonts w:eastAsia="Times New Roman" w:cs="Arial"/>
          <w:szCs w:val="22"/>
          <w:lang w:eastAsia="en-GB"/>
        </w:rPr>
        <w:t xml:space="preserve">This phased structure reduces risk and reflects SME capability limits while enabling measurable progress </w:t>
      </w:r>
      <w:sdt>
        <w:sdtPr>
          <w:rPr>
            <w:rFonts w:eastAsia="Times New Roman"/>
            <w:lang w:eastAsia="en-GB"/>
          </w:rPr>
          <w:id w:val="-1350566343"/>
          <w:citation/>
        </w:sdtPr>
        <w:sdtEndPr/>
        <w:sdtContent>
          <w:r>
            <w:rPr>
              <w:rFonts w:eastAsia="Times New Roman"/>
              <w:lang w:eastAsia="en-GB"/>
            </w:rPr>
            <w:fldChar w:fldCharType="begin"/>
          </w:r>
          <w:r>
            <w:rPr>
              <w:rFonts w:eastAsia="Times New Roman"/>
              <w:lang w:val="en-US" w:eastAsia="en-GB"/>
            </w:rPr>
            <w:instrText xml:space="preserve"> CITATION Bry181 \l 1033 </w:instrText>
          </w:r>
          <w:r>
            <w:rPr>
              <w:rFonts w:eastAsia="Times New Roman"/>
              <w:lang w:eastAsia="en-GB"/>
            </w:rPr>
            <w:fldChar w:fldCharType="separate"/>
          </w:r>
          <w:r w:rsidR="002E53A1" w:rsidRPr="002E53A1">
            <w:rPr>
              <w:rFonts w:eastAsia="Times New Roman"/>
              <w:noProof/>
              <w:lang w:val="en-US" w:eastAsia="en-GB"/>
            </w:rPr>
            <w:t>(Bryson, 2018)</w:t>
          </w:r>
          <w:r>
            <w:rPr>
              <w:rFonts w:eastAsia="Times New Roman"/>
              <w:lang w:eastAsia="en-GB"/>
            </w:rPr>
            <w:fldChar w:fldCharType="end"/>
          </w:r>
        </w:sdtContent>
      </w:sdt>
      <w:r w:rsidRPr="00C049B9">
        <w:rPr>
          <w:rFonts w:eastAsia="Times New Roman" w:cs="Arial"/>
          <w:szCs w:val="22"/>
          <w:lang w:eastAsia="en-GB"/>
        </w:rPr>
        <w:t>.</w:t>
      </w:r>
    </w:p>
    <w:p w14:paraId="1ECDB32C" w14:textId="3EB79DE2" w:rsidR="00AF0FCA" w:rsidRDefault="00AF0FCA" w:rsidP="00444ECA">
      <w:pPr>
        <w:pStyle w:val="Heading2"/>
        <w:numPr>
          <w:ilvl w:val="0"/>
          <w:numId w:val="10"/>
        </w:numPr>
      </w:pPr>
      <w:bookmarkStart w:id="33" w:name="_Toc216130282"/>
      <w:r w:rsidRPr="00A6593A">
        <w:t>Monitoring and Governance Mechanisms</w:t>
      </w:r>
      <w:bookmarkEnd w:id="33"/>
    </w:p>
    <w:p w14:paraId="43F138B0" w14:textId="083247B7" w:rsidR="006A0637" w:rsidRPr="00C07B80" w:rsidRDefault="0023496F" w:rsidP="003B4437">
      <w:pPr>
        <w:rPr>
          <w:rFonts w:eastAsia="Times New Roman"/>
          <w:lang w:eastAsia="en-GB"/>
        </w:rPr>
      </w:pPr>
      <w:r>
        <w:t>P</w:t>
      </w:r>
      <w:r w:rsidR="003B4437">
        <w:t xml:space="preserve">erformance will be reviewed </w:t>
      </w:r>
      <w:r w:rsidR="003B4437">
        <w:rPr>
          <w:rStyle w:val="Strong"/>
        </w:rPr>
        <w:t>quarterly</w:t>
      </w:r>
      <w:r w:rsidR="003B4437">
        <w:t xml:space="preserve"> using a </w:t>
      </w:r>
      <w:r w:rsidR="003B4437">
        <w:rPr>
          <w:rStyle w:val="Strong"/>
        </w:rPr>
        <w:t>Red, Amber, Green (RAG)</w:t>
      </w:r>
      <w:r w:rsidR="003B4437">
        <w:t xml:space="preserve"> framework, escalated to SHP’s </w:t>
      </w:r>
      <w:r w:rsidR="003B4437">
        <w:rPr>
          <w:rStyle w:val="Strong"/>
        </w:rPr>
        <w:t>Executive Leadership Team, Council boards, and resident governance structures</w:t>
      </w:r>
      <w:r w:rsidR="003B4437">
        <w:t xml:space="preserve">. Evaluation will follow a </w:t>
      </w:r>
      <w:r w:rsidR="003B4437">
        <w:rPr>
          <w:rStyle w:val="Strong"/>
        </w:rPr>
        <w:t>Plan</w:t>
      </w:r>
      <w:r w:rsidR="000E2885">
        <w:rPr>
          <w:rStyle w:val="Strong"/>
        </w:rPr>
        <w:t>-</w:t>
      </w:r>
      <w:r w:rsidR="003B4437">
        <w:rPr>
          <w:rStyle w:val="Strong"/>
        </w:rPr>
        <w:t>Do</w:t>
      </w:r>
      <w:r w:rsidR="000E2885">
        <w:rPr>
          <w:rStyle w:val="Strong"/>
        </w:rPr>
        <w:t>-</w:t>
      </w:r>
      <w:r w:rsidR="003B4437">
        <w:rPr>
          <w:rStyle w:val="Strong"/>
        </w:rPr>
        <w:t>Review</w:t>
      </w:r>
      <w:r w:rsidR="000E2885">
        <w:rPr>
          <w:rStyle w:val="Strong"/>
        </w:rPr>
        <w:t>-</w:t>
      </w:r>
      <w:r w:rsidR="003B4437">
        <w:rPr>
          <w:rStyle w:val="Strong"/>
        </w:rPr>
        <w:t>Adapt (PDRA)</w:t>
      </w:r>
      <w:r w:rsidR="003B4437">
        <w:t xml:space="preserve"> cycle, enabling iterative refinement based on data and stakeholder feedback </w:t>
      </w:r>
      <w:sdt>
        <w:sdtPr>
          <w:id w:val="161830227"/>
          <w:citation/>
        </w:sdtPr>
        <w:sdtEndPr/>
        <w:sdtContent>
          <w:r w:rsidR="003B4437">
            <w:fldChar w:fldCharType="begin"/>
          </w:r>
          <w:r w:rsidR="003B4437">
            <w:rPr>
              <w:lang w:val="en-US"/>
            </w:rPr>
            <w:instrText xml:space="preserve"> CITATION Bry181 \l 1033 </w:instrText>
          </w:r>
          <w:r w:rsidR="003B4437">
            <w:fldChar w:fldCharType="separate"/>
          </w:r>
          <w:r w:rsidR="002E53A1" w:rsidRPr="002E53A1">
            <w:rPr>
              <w:noProof/>
              <w:lang w:val="en-US"/>
            </w:rPr>
            <w:t>(Bryson, 2018)</w:t>
          </w:r>
          <w:r w:rsidR="003B4437">
            <w:fldChar w:fldCharType="end"/>
          </w:r>
        </w:sdtContent>
      </w:sdt>
      <w:r w:rsidR="003B4437">
        <w:t>.</w:t>
      </w:r>
    </w:p>
    <w:p w14:paraId="03AE7EFF" w14:textId="0CD85FD5" w:rsidR="00534A3E" w:rsidRPr="00534A3E" w:rsidRDefault="00534A3E" w:rsidP="00A56476">
      <w:pPr>
        <w:pStyle w:val="Heading1"/>
        <w:numPr>
          <w:ilvl w:val="0"/>
          <w:numId w:val="16"/>
        </w:numPr>
        <w:rPr>
          <w:rFonts w:eastAsia="Times New Roman"/>
          <w:lang w:eastAsia="en-GB"/>
        </w:rPr>
      </w:pPr>
      <w:bookmarkStart w:id="34" w:name="_Toc216130283"/>
      <w:r w:rsidRPr="00534A3E">
        <w:rPr>
          <w:rFonts w:eastAsia="Times New Roman"/>
          <w:lang w:eastAsia="en-GB"/>
        </w:rPr>
        <w:t xml:space="preserve">Stakeholder Analysis and Strategic </w:t>
      </w:r>
      <w:r w:rsidR="00B67B87">
        <w:rPr>
          <w:rFonts w:eastAsia="Times New Roman"/>
          <w:iCs/>
          <w:lang w:eastAsia="en-GB"/>
        </w:rPr>
        <w:t>Implication</w:t>
      </w:r>
      <w:r w:rsidR="008E093D">
        <w:rPr>
          <w:rFonts w:eastAsia="Times New Roman"/>
          <w:iCs/>
          <w:lang w:eastAsia="en-GB"/>
        </w:rPr>
        <w:t>s</w:t>
      </w:r>
      <w:bookmarkEnd w:id="34"/>
    </w:p>
    <w:p w14:paraId="584A9F2D" w14:textId="456B7239" w:rsidR="00534A3E" w:rsidRDefault="00827CAF" w:rsidP="00D46999">
      <w:r>
        <w:t xml:space="preserve">A comprehensive understanding of </w:t>
      </w:r>
      <w:r>
        <w:rPr>
          <w:rStyle w:val="Strong"/>
        </w:rPr>
        <w:t>stakeholder expectations, influence, and interest</w:t>
      </w:r>
      <w:r>
        <w:t xml:space="preserve"> is essential for the </w:t>
      </w:r>
      <w:r>
        <w:rPr>
          <w:rStyle w:val="Strong"/>
        </w:rPr>
        <w:t>suitability, feasibility, and acceptability</w:t>
      </w:r>
      <w:r>
        <w:t xml:space="preserve"> of SHP’s proposed strategy</w:t>
      </w:r>
      <w:r w:rsidR="00A134BF">
        <w:t xml:space="preserve"> </w:t>
      </w:r>
      <w:sdt>
        <w:sdtPr>
          <w:id w:val="394793275"/>
          <w:citation/>
        </w:sdtPr>
        <w:sdtEndPr/>
        <w:sdtContent>
          <w:r w:rsidR="00A134BF">
            <w:fldChar w:fldCharType="begin"/>
          </w:r>
          <w:r w:rsidR="00A134BF">
            <w:rPr>
              <w:lang w:val="en-US"/>
            </w:rPr>
            <w:instrText xml:space="preserve"> CITATION Fre84 \l 1033 </w:instrText>
          </w:r>
          <w:r w:rsidR="00A134BF">
            <w:fldChar w:fldCharType="separate"/>
          </w:r>
          <w:r w:rsidR="002E53A1" w:rsidRPr="002E53A1">
            <w:rPr>
              <w:noProof/>
              <w:lang w:val="en-US"/>
            </w:rPr>
            <w:t>(Freeman, 1984)</w:t>
          </w:r>
          <w:r w:rsidR="00A134BF">
            <w:fldChar w:fldCharType="end"/>
          </w:r>
        </w:sdtContent>
      </w:sdt>
      <w:r>
        <w:t xml:space="preserve">. Public-sector organisations and SME-like ALMOs operate under </w:t>
      </w:r>
      <w:r>
        <w:rPr>
          <w:rStyle w:val="Strong"/>
        </w:rPr>
        <w:t>complex regulatory, financial, and social pressures</w:t>
      </w:r>
      <w:r>
        <w:t xml:space="preserve">, making stakeholder alignment critical </w:t>
      </w:r>
      <w:sdt>
        <w:sdtPr>
          <w:id w:val="770206810"/>
          <w:citation/>
        </w:sdtPr>
        <w:sdtEndPr/>
        <w:sdtContent>
          <w:r w:rsidR="00EE562B">
            <w:fldChar w:fldCharType="begin"/>
          </w:r>
          <w:r w:rsidR="00EE562B">
            <w:rPr>
              <w:lang w:val="en-US"/>
            </w:rPr>
            <w:instrText xml:space="preserve"> CITATION Bry181 \l 1033 </w:instrText>
          </w:r>
          <w:r w:rsidR="00EE562B">
            <w:fldChar w:fldCharType="separate"/>
          </w:r>
          <w:r w:rsidR="002E53A1" w:rsidRPr="002E53A1">
            <w:rPr>
              <w:noProof/>
              <w:lang w:val="en-US"/>
            </w:rPr>
            <w:t>(Bryson, 2018)</w:t>
          </w:r>
          <w:r w:rsidR="00EE562B">
            <w:fldChar w:fldCharType="end"/>
          </w:r>
        </w:sdtContent>
      </w:sdt>
      <w:r>
        <w:t xml:space="preserve">. This section applies </w:t>
      </w:r>
      <w:r>
        <w:rPr>
          <w:rStyle w:val="Strong"/>
        </w:rPr>
        <w:t>Mendelow’s Power–Interest Matrix</w:t>
      </w:r>
      <w:r>
        <w:t xml:space="preserve"> and a </w:t>
      </w:r>
      <w:r>
        <w:rPr>
          <w:rStyle w:val="Strong"/>
        </w:rPr>
        <w:t>RACI framework</w:t>
      </w:r>
      <w:r>
        <w:t xml:space="preserve"> to ensure strategic initiatives are both legitimate and operationally viable.</w:t>
      </w:r>
    </w:p>
    <w:p w14:paraId="7E000CD8" w14:textId="6239CDB6" w:rsidR="008E093D" w:rsidRPr="008E093D" w:rsidRDefault="008E093D" w:rsidP="00444ECA">
      <w:pPr>
        <w:pStyle w:val="Heading2"/>
        <w:numPr>
          <w:ilvl w:val="0"/>
          <w:numId w:val="4"/>
        </w:numPr>
      </w:pPr>
      <w:bookmarkStart w:id="35" w:name="_Toc216130284"/>
      <w:r w:rsidRPr="008E093D">
        <w:t xml:space="preserve">Stakeholder </w:t>
      </w:r>
      <w:r w:rsidR="004B341A">
        <w:t>Identification and Interest</w:t>
      </w:r>
      <w:bookmarkEnd w:id="35"/>
    </w:p>
    <w:p w14:paraId="4590FE9C" w14:textId="602D1E8B" w:rsidR="004455D7" w:rsidRPr="004455D7" w:rsidRDefault="004455D7" w:rsidP="00237F28">
      <w:pPr>
        <w:pStyle w:val="NormalWeb"/>
        <w:spacing w:line="360" w:lineRule="auto"/>
        <w:jc w:val="both"/>
        <w:rPr>
          <w:rFonts w:ascii="Arial" w:hAnsi="Arial"/>
          <w:i w:val="0"/>
          <w:iCs w:val="0"/>
          <w:sz w:val="22"/>
        </w:rPr>
      </w:pPr>
      <w:r w:rsidRPr="00467F26">
        <w:rPr>
          <w:rFonts w:ascii="Arial" w:hAnsi="Arial"/>
          <w:i w:val="0"/>
          <w:iCs w:val="0"/>
          <w:sz w:val="22"/>
        </w:rPr>
        <w:t>SHP’s</w:t>
      </w:r>
      <w:r w:rsidRPr="00467F26">
        <w:rPr>
          <w:rFonts w:ascii="Arial" w:hAnsi="Arial"/>
          <w:b/>
          <w:bCs/>
          <w:i w:val="0"/>
          <w:iCs w:val="0"/>
          <w:sz w:val="22"/>
        </w:rPr>
        <w:t xml:space="preserve"> stakeholders</w:t>
      </w:r>
      <w:r w:rsidRPr="004455D7">
        <w:rPr>
          <w:rFonts w:ascii="Arial" w:hAnsi="Arial"/>
          <w:i w:val="0"/>
          <w:iCs w:val="0"/>
          <w:sz w:val="22"/>
        </w:rPr>
        <w:t xml:space="preserve"> include regulatory bodies, the London Borough of Sutton (LBS), residents, contractors, staff, local communities, and partner organisations. </w:t>
      </w:r>
      <w:r w:rsidRPr="00467F26">
        <w:rPr>
          <w:rFonts w:ascii="Arial" w:hAnsi="Arial"/>
          <w:b/>
          <w:bCs/>
          <w:i w:val="0"/>
          <w:iCs w:val="0"/>
          <w:sz w:val="22"/>
        </w:rPr>
        <w:t>Table 1</w:t>
      </w:r>
      <w:r w:rsidR="00E91975" w:rsidRPr="00467F26">
        <w:rPr>
          <w:rFonts w:ascii="Arial" w:hAnsi="Arial"/>
          <w:b/>
          <w:bCs/>
          <w:i w:val="0"/>
          <w:iCs w:val="0"/>
          <w:sz w:val="22"/>
        </w:rPr>
        <w:t>2</w:t>
      </w:r>
      <w:r w:rsidRPr="004455D7">
        <w:rPr>
          <w:rFonts w:ascii="Arial" w:hAnsi="Arial"/>
          <w:i w:val="0"/>
          <w:iCs w:val="0"/>
          <w:sz w:val="22"/>
        </w:rPr>
        <w:t xml:space="preserve"> categorises each stakeholder based on:</w:t>
      </w:r>
    </w:p>
    <w:p w14:paraId="66848501" w14:textId="77777777" w:rsidR="004455D7" w:rsidRPr="004455D7" w:rsidRDefault="004455D7" w:rsidP="00CE3569">
      <w:pPr>
        <w:numPr>
          <w:ilvl w:val="0"/>
          <w:numId w:val="6"/>
        </w:numPr>
        <w:rPr>
          <w:rFonts w:eastAsia="Times New Roman"/>
          <w:lang w:eastAsia="en-GB"/>
        </w:rPr>
      </w:pPr>
      <w:r w:rsidRPr="004455D7">
        <w:rPr>
          <w:rFonts w:eastAsia="Times New Roman"/>
          <w:b/>
          <w:bCs/>
          <w:lang w:eastAsia="en-GB"/>
        </w:rPr>
        <w:t>Power</w:t>
      </w:r>
      <w:r w:rsidRPr="004455D7">
        <w:rPr>
          <w:rFonts w:eastAsia="Times New Roman"/>
          <w:lang w:eastAsia="en-GB"/>
        </w:rPr>
        <w:t xml:space="preserve"> (ability to influence decisions),</w:t>
      </w:r>
    </w:p>
    <w:p w14:paraId="04EF6B82" w14:textId="77777777" w:rsidR="004455D7" w:rsidRPr="004455D7" w:rsidRDefault="004455D7" w:rsidP="00CE3569">
      <w:pPr>
        <w:numPr>
          <w:ilvl w:val="0"/>
          <w:numId w:val="6"/>
        </w:numPr>
        <w:rPr>
          <w:rFonts w:eastAsia="Times New Roman"/>
          <w:lang w:eastAsia="en-GB"/>
        </w:rPr>
      </w:pPr>
      <w:r w:rsidRPr="004455D7">
        <w:rPr>
          <w:rFonts w:eastAsia="Times New Roman"/>
          <w:b/>
          <w:bCs/>
          <w:lang w:eastAsia="en-GB"/>
        </w:rPr>
        <w:t>Interest</w:t>
      </w:r>
      <w:r w:rsidRPr="004455D7">
        <w:rPr>
          <w:rFonts w:eastAsia="Times New Roman"/>
          <w:lang w:eastAsia="en-GB"/>
        </w:rPr>
        <w:t xml:space="preserve"> (level of concern regarding SHP’s strategic changes), and</w:t>
      </w:r>
    </w:p>
    <w:p w14:paraId="6FFBFC2B" w14:textId="77777777" w:rsidR="004455D7" w:rsidRPr="004455D7" w:rsidRDefault="004455D7" w:rsidP="00CE3569">
      <w:pPr>
        <w:numPr>
          <w:ilvl w:val="0"/>
          <w:numId w:val="6"/>
        </w:numPr>
        <w:rPr>
          <w:rFonts w:eastAsia="Times New Roman"/>
          <w:lang w:eastAsia="en-GB"/>
        </w:rPr>
      </w:pPr>
      <w:r w:rsidRPr="004455D7">
        <w:rPr>
          <w:rFonts w:eastAsia="Times New Roman"/>
          <w:b/>
          <w:bCs/>
          <w:lang w:eastAsia="en-GB"/>
        </w:rPr>
        <w:t>Primary expectations</w:t>
      </w:r>
      <w:r w:rsidRPr="004455D7">
        <w:rPr>
          <w:rFonts w:eastAsia="Times New Roman"/>
          <w:lang w:eastAsia="en-GB"/>
        </w:rPr>
        <w:t xml:space="preserve"> (service quality, transparency, compliance, value-for-money, community wellbeing).</w:t>
      </w:r>
    </w:p>
    <w:p w14:paraId="5747FC11" w14:textId="1CF333E5" w:rsidR="00B43E3C" w:rsidRPr="00B43E3C" w:rsidRDefault="00B43E3C" w:rsidP="00B43E3C">
      <w:r w:rsidRPr="00F956E2">
        <w:rPr>
          <w:rStyle w:val="Strong"/>
          <w:b w:val="0"/>
          <w:bCs w:val="0"/>
        </w:rPr>
        <w:t>Key Findings from Table</w:t>
      </w:r>
      <w:r w:rsidRPr="00B43E3C">
        <w:rPr>
          <w:rStyle w:val="Strong"/>
        </w:rPr>
        <w:t xml:space="preserve"> </w:t>
      </w:r>
      <w:r w:rsidR="00F956E2">
        <w:rPr>
          <w:rStyle w:val="Strong"/>
        </w:rPr>
        <w:t>12:</w:t>
      </w:r>
    </w:p>
    <w:p w14:paraId="7F9DEF64" w14:textId="77777777" w:rsidR="00B43E3C" w:rsidRPr="00B43E3C" w:rsidRDefault="00B43E3C" w:rsidP="00CE3569">
      <w:pPr>
        <w:pStyle w:val="NormalWeb"/>
        <w:numPr>
          <w:ilvl w:val="0"/>
          <w:numId w:val="7"/>
        </w:numPr>
        <w:spacing w:line="360" w:lineRule="auto"/>
        <w:jc w:val="both"/>
        <w:rPr>
          <w:rFonts w:ascii="Arial" w:hAnsi="Arial"/>
          <w:i w:val="0"/>
          <w:iCs w:val="0"/>
          <w:sz w:val="22"/>
        </w:rPr>
      </w:pPr>
      <w:r w:rsidRPr="00B43E3C">
        <w:rPr>
          <w:rStyle w:val="Strong"/>
          <w:rFonts w:ascii="Arial" w:eastAsiaTheme="majorEastAsia" w:hAnsi="Arial"/>
          <w:i w:val="0"/>
          <w:iCs w:val="0"/>
          <w:sz w:val="22"/>
        </w:rPr>
        <w:t>High-power, high-interest stakeholders</w:t>
      </w:r>
      <w:r w:rsidRPr="00B43E3C">
        <w:rPr>
          <w:rFonts w:ascii="Arial" w:hAnsi="Arial"/>
          <w:i w:val="0"/>
          <w:iCs w:val="0"/>
          <w:sz w:val="22"/>
        </w:rPr>
        <w:t xml:space="preserve"> (LBS, SHP Board, Regulator of Social Housing) demand robust assurance on safety, compliance, financial viability, and transparent data governance.</w:t>
      </w:r>
    </w:p>
    <w:p w14:paraId="68F5B9A6" w14:textId="77777777" w:rsidR="00B43E3C" w:rsidRPr="00B43E3C" w:rsidRDefault="00B43E3C" w:rsidP="00CE3569">
      <w:pPr>
        <w:pStyle w:val="NormalWeb"/>
        <w:numPr>
          <w:ilvl w:val="0"/>
          <w:numId w:val="7"/>
        </w:numPr>
        <w:spacing w:line="360" w:lineRule="auto"/>
        <w:jc w:val="both"/>
        <w:rPr>
          <w:rFonts w:ascii="Arial" w:hAnsi="Arial"/>
          <w:i w:val="0"/>
          <w:iCs w:val="0"/>
          <w:sz w:val="22"/>
        </w:rPr>
      </w:pPr>
      <w:r w:rsidRPr="00B43E3C">
        <w:rPr>
          <w:rStyle w:val="Strong"/>
          <w:rFonts w:ascii="Arial" w:eastAsiaTheme="majorEastAsia" w:hAnsi="Arial"/>
          <w:i w:val="0"/>
          <w:iCs w:val="0"/>
          <w:sz w:val="22"/>
        </w:rPr>
        <w:t>High-interest but lower-power stakeholders</w:t>
      </w:r>
      <w:r w:rsidRPr="00B43E3C">
        <w:rPr>
          <w:rFonts w:ascii="Arial" w:hAnsi="Arial"/>
          <w:i w:val="0"/>
          <w:iCs w:val="0"/>
          <w:sz w:val="22"/>
        </w:rPr>
        <w:t xml:space="preserve"> (residents, local communities) primarily seek reliable repairs, stronger communication, and meaningful co-production.</w:t>
      </w:r>
    </w:p>
    <w:p w14:paraId="35E00BEB" w14:textId="77777777" w:rsidR="00B43E3C" w:rsidRPr="00B43E3C" w:rsidRDefault="00B43E3C" w:rsidP="00CE3569">
      <w:pPr>
        <w:pStyle w:val="NormalWeb"/>
        <w:numPr>
          <w:ilvl w:val="0"/>
          <w:numId w:val="7"/>
        </w:numPr>
        <w:spacing w:line="360" w:lineRule="auto"/>
        <w:jc w:val="both"/>
        <w:rPr>
          <w:rFonts w:ascii="Arial" w:hAnsi="Arial"/>
          <w:i w:val="0"/>
          <w:iCs w:val="0"/>
          <w:sz w:val="22"/>
        </w:rPr>
      </w:pPr>
      <w:r w:rsidRPr="00B43E3C">
        <w:rPr>
          <w:rStyle w:val="Strong"/>
          <w:rFonts w:ascii="Arial" w:eastAsiaTheme="majorEastAsia" w:hAnsi="Arial"/>
          <w:i w:val="0"/>
          <w:iCs w:val="0"/>
          <w:sz w:val="22"/>
        </w:rPr>
        <w:t>Operational partners</w:t>
      </w:r>
      <w:r w:rsidRPr="00B43E3C">
        <w:rPr>
          <w:rFonts w:ascii="Arial" w:hAnsi="Arial"/>
          <w:i w:val="0"/>
          <w:iCs w:val="0"/>
          <w:sz w:val="22"/>
        </w:rPr>
        <w:t xml:space="preserve"> (contractors, suppliers, service providers) focus on clear contract expectations, digital integration, predictable workflows, and safety compliance.</w:t>
      </w:r>
    </w:p>
    <w:p w14:paraId="6F35FE73" w14:textId="77777777" w:rsidR="00B43E3C" w:rsidRPr="00B43E3C" w:rsidRDefault="00B43E3C" w:rsidP="00CE3569">
      <w:pPr>
        <w:pStyle w:val="NormalWeb"/>
        <w:numPr>
          <w:ilvl w:val="0"/>
          <w:numId w:val="7"/>
        </w:numPr>
        <w:spacing w:line="360" w:lineRule="auto"/>
        <w:jc w:val="both"/>
        <w:rPr>
          <w:rFonts w:ascii="Arial" w:hAnsi="Arial"/>
          <w:i w:val="0"/>
          <w:iCs w:val="0"/>
          <w:sz w:val="22"/>
        </w:rPr>
      </w:pPr>
      <w:r w:rsidRPr="00B43E3C">
        <w:rPr>
          <w:rStyle w:val="Strong"/>
          <w:rFonts w:ascii="Arial" w:eastAsiaTheme="majorEastAsia" w:hAnsi="Arial"/>
          <w:i w:val="0"/>
          <w:iCs w:val="0"/>
          <w:sz w:val="22"/>
        </w:rPr>
        <w:t>Internal staff</w:t>
      </w:r>
      <w:r w:rsidRPr="00B43E3C">
        <w:rPr>
          <w:rFonts w:ascii="Arial" w:hAnsi="Arial"/>
          <w:i w:val="0"/>
          <w:iCs w:val="0"/>
          <w:sz w:val="22"/>
        </w:rPr>
        <w:t xml:space="preserve"> expect realistic workloads, improved digital tools, training support, and cultural stability during change implementation.</w:t>
      </w:r>
    </w:p>
    <w:p w14:paraId="4F3E5BD5" w14:textId="6247D55E" w:rsidR="008E093D" w:rsidRPr="008E1E47" w:rsidRDefault="00B43E3C" w:rsidP="00B43E3C">
      <w:pPr>
        <w:pStyle w:val="NormalWeb"/>
        <w:spacing w:line="360" w:lineRule="auto"/>
        <w:jc w:val="both"/>
        <w:rPr>
          <w:rFonts w:ascii="Arial" w:hAnsi="Arial"/>
          <w:i w:val="0"/>
          <w:iCs w:val="0"/>
          <w:sz w:val="22"/>
        </w:rPr>
      </w:pPr>
      <w:r w:rsidRPr="00B43E3C">
        <w:rPr>
          <w:rFonts w:ascii="Arial" w:hAnsi="Arial"/>
          <w:i w:val="0"/>
          <w:iCs w:val="0"/>
          <w:sz w:val="22"/>
        </w:rPr>
        <w:t>These insights are critical to shaping a strategy that is not only suitable but acceptable and feasible across the organisational ecosystem.</w:t>
      </w:r>
    </w:p>
    <w:p w14:paraId="77C799CE" w14:textId="65B19048" w:rsidR="001E703C" w:rsidRPr="001E703C" w:rsidRDefault="001E703C" w:rsidP="001E703C">
      <w:pPr>
        <w:pStyle w:val="Caption"/>
        <w:keepNext/>
        <w:spacing w:line="360" w:lineRule="auto"/>
        <w:rPr>
          <w:color w:val="156082" w:themeColor="accent1"/>
          <w:sz w:val="22"/>
        </w:rPr>
      </w:pPr>
      <w:bookmarkStart w:id="36" w:name="_Toc215910543"/>
      <w:r w:rsidRPr="001E703C">
        <w:rPr>
          <w:color w:val="156082" w:themeColor="accent1"/>
          <w:sz w:val="22"/>
        </w:rPr>
        <w:t xml:space="preserve">Table </w:t>
      </w:r>
      <w:r w:rsidRPr="001E703C">
        <w:rPr>
          <w:color w:val="156082" w:themeColor="accent1"/>
          <w:sz w:val="22"/>
        </w:rPr>
        <w:fldChar w:fldCharType="begin"/>
      </w:r>
      <w:r w:rsidRPr="001E703C">
        <w:rPr>
          <w:color w:val="156082" w:themeColor="accent1"/>
          <w:sz w:val="22"/>
        </w:rPr>
        <w:instrText xml:space="preserve"> SEQ Table \* ARABIC </w:instrText>
      </w:r>
      <w:r w:rsidRPr="001E703C">
        <w:rPr>
          <w:color w:val="156082" w:themeColor="accent1"/>
          <w:sz w:val="22"/>
        </w:rPr>
        <w:fldChar w:fldCharType="separate"/>
      </w:r>
      <w:r w:rsidR="00A20D63">
        <w:rPr>
          <w:noProof/>
          <w:color w:val="156082" w:themeColor="accent1"/>
          <w:sz w:val="22"/>
        </w:rPr>
        <w:t>12</w:t>
      </w:r>
      <w:r w:rsidRPr="001E703C">
        <w:rPr>
          <w:color w:val="156082" w:themeColor="accent1"/>
          <w:sz w:val="22"/>
        </w:rPr>
        <w:fldChar w:fldCharType="end"/>
      </w:r>
      <w:r w:rsidRPr="001E703C">
        <w:rPr>
          <w:color w:val="156082" w:themeColor="accent1"/>
          <w:sz w:val="22"/>
        </w:rPr>
        <w:t xml:space="preserve"> </w:t>
      </w:r>
      <w:r w:rsidR="008E664F">
        <w:rPr>
          <w:color w:val="156082" w:themeColor="accent1"/>
          <w:sz w:val="22"/>
        </w:rPr>
        <w:t>Integrated Stakeholder Analysis</w:t>
      </w:r>
      <w:bookmarkEnd w:id="36"/>
    </w:p>
    <w:tbl>
      <w:tblPr>
        <w:tblStyle w:val="TableGrid"/>
        <w:tblW w:w="9067" w:type="dxa"/>
        <w:tblLayout w:type="fixed"/>
        <w:tblLook w:val="04A0" w:firstRow="1" w:lastRow="0" w:firstColumn="1" w:lastColumn="0" w:noHBand="0" w:noVBand="1"/>
      </w:tblPr>
      <w:tblGrid>
        <w:gridCol w:w="1838"/>
        <w:gridCol w:w="1276"/>
        <w:gridCol w:w="2693"/>
        <w:gridCol w:w="3260"/>
      </w:tblGrid>
      <w:tr w:rsidR="00B54275" w14:paraId="4458CD11" w14:textId="1B17B818" w:rsidTr="00292D87">
        <w:trPr>
          <w:tblHeader/>
        </w:trPr>
        <w:tc>
          <w:tcPr>
            <w:tcW w:w="1838" w:type="dxa"/>
            <w:shd w:val="clear" w:color="auto" w:fill="DAE9F7" w:themeFill="text2" w:themeFillTint="1A"/>
          </w:tcPr>
          <w:p w14:paraId="7D4A414C" w14:textId="27221712"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Stakeholder</w:t>
            </w:r>
          </w:p>
        </w:tc>
        <w:tc>
          <w:tcPr>
            <w:tcW w:w="1276" w:type="dxa"/>
            <w:shd w:val="clear" w:color="auto" w:fill="DAE9F7" w:themeFill="text2" w:themeFillTint="1A"/>
          </w:tcPr>
          <w:p w14:paraId="57921CFE" w14:textId="466C50DC" w:rsidR="00B54275" w:rsidRPr="006842E5" w:rsidRDefault="00B54275" w:rsidP="005F2721">
            <w:pPr>
              <w:spacing w:line="360" w:lineRule="auto"/>
              <w:jc w:val="left"/>
              <w:rPr>
                <w:b/>
                <w:bCs/>
                <w:color w:val="156082" w:themeColor="accent1"/>
              </w:rPr>
            </w:pPr>
            <w:r w:rsidRPr="006842E5">
              <w:rPr>
                <w:b/>
                <w:bCs/>
                <w:color w:val="156082" w:themeColor="accent1"/>
              </w:rPr>
              <w:t>Power Level</w:t>
            </w:r>
          </w:p>
        </w:tc>
        <w:tc>
          <w:tcPr>
            <w:tcW w:w="2693" w:type="dxa"/>
            <w:shd w:val="clear" w:color="auto" w:fill="DAE9F7" w:themeFill="text2" w:themeFillTint="1A"/>
          </w:tcPr>
          <w:p w14:paraId="2E13C272" w14:textId="63297035" w:rsidR="00B54275" w:rsidRPr="006842E5" w:rsidRDefault="00B54275" w:rsidP="005F2721">
            <w:pPr>
              <w:spacing w:line="360" w:lineRule="auto"/>
              <w:jc w:val="left"/>
              <w:rPr>
                <w:b/>
                <w:bCs/>
                <w:color w:val="156082" w:themeColor="accent1"/>
              </w:rPr>
            </w:pPr>
            <w:r w:rsidRPr="006842E5">
              <w:rPr>
                <w:b/>
                <w:bCs/>
                <w:color w:val="156082" w:themeColor="accent1"/>
              </w:rPr>
              <w:t>Interests</w:t>
            </w:r>
            <w:r>
              <w:rPr>
                <w:b/>
                <w:bCs/>
                <w:color w:val="156082" w:themeColor="accent1"/>
              </w:rPr>
              <w:t xml:space="preserve"> Level</w:t>
            </w:r>
            <w:r w:rsidRPr="006842E5">
              <w:rPr>
                <w:b/>
                <w:bCs/>
                <w:color w:val="156082" w:themeColor="accent1"/>
              </w:rPr>
              <w:t xml:space="preserve"> / Expectations</w:t>
            </w:r>
          </w:p>
        </w:tc>
        <w:tc>
          <w:tcPr>
            <w:tcW w:w="3260" w:type="dxa"/>
            <w:shd w:val="clear" w:color="auto" w:fill="DAE9F7" w:themeFill="text2" w:themeFillTint="1A"/>
          </w:tcPr>
          <w:p w14:paraId="77FE43A9" w14:textId="17639F98" w:rsidR="00B54275" w:rsidRPr="006842E5" w:rsidRDefault="00B54275" w:rsidP="005F2721">
            <w:pPr>
              <w:spacing w:line="360" w:lineRule="auto"/>
              <w:jc w:val="left"/>
              <w:rPr>
                <w:b/>
                <w:bCs/>
                <w:color w:val="156082" w:themeColor="accent1"/>
              </w:rPr>
            </w:pPr>
            <w:r w:rsidRPr="006842E5">
              <w:rPr>
                <w:b/>
                <w:bCs/>
                <w:color w:val="156082" w:themeColor="accent1"/>
              </w:rPr>
              <w:t>Strategic Implications for SHP</w:t>
            </w:r>
          </w:p>
        </w:tc>
      </w:tr>
      <w:tr w:rsidR="00B54275" w14:paraId="0FA8AB4A" w14:textId="50DA558E" w:rsidTr="00292D87">
        <w:tc>
          <w:tcPr>
            <w:tcW w:w="1838" w:type="dxa"/>
            <w:shd w:val="clear" w:color="auto" w:fill="DAE9F7" w:themeFill="text2" w:themeFillTint="1A"/>
          </w:tcPr>
          <w:p w14:paraId="1DBFCEFC" w14:textId="42633FF2"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London Borough of Sutton (LBS)</w:t>
            </w:r>
          </w:p>
        </w:tc>
        <w:tc>
          <w:tcPr>
            <w:tcW w:w="1276" w:type="dxa"/>
          </w:tcPr>
          <w:p w14:paraId="18FE701F" w14:textId="541E80C1" w:rsidR="00B54275" w:rsidRPr="00292D87" w:rsidRDefault="00B54275" w:rsidP="005F2721">
            <w:pPr>
              <w:spacing w:line="360" w:lineRule="auto"/>
              <w:jc w:val="left"/>
              <w:rPr>
                <w:b/>
                <w:bCs/>
              </w:rPr>
            </w:pPr>
            <w:r w:rsidRPr="00292D87">
              <w:rPr>
                <w:b/>
                <w:bCs/>
              </w:rPr>
              <w:t>High</w:t>
            </w:r>
          </w:p>
        </w:tc>
        <w:tc>
          <w:tcPr>
            <w:tcW w:w="2693" w:type="dxa"/>
          </w:tcPr>
          <w:p w14:paraId="5FD86BBB" w14:textId="063DF726" w:rsidR="00B54275" w:rsidRDefault="00B54275" w:rsidP="005F2721">
            <w:pPr>
              <w:spacing w:line="360" w:lineRule="auto"/>
              <w:jc w:val="left"/>
            </w:pPr>
            <w:r w:rsidRPr="00BC7743">
              <w:rPr>
                <w:b/>
                <w:bCs/>
              </w:rPr>
              <w:t>High</w:t>
            </w:r>
            <w:r>
              <w:rPr>
                <w:b/>
                <w:bCs/>
              </w:rPr>
              <w:t xml:space="preserve"> </w:t>
            </w:r>
            <w:r w:rsidRPr="00BC7743">
              <w:rPr>
                <w:b/>
                <w:bCs/>
              </w:rPr>
              <w:t>-</w:t>
            </w:r>
            <w:r>
              <w:rPr>
                <w:b/>
                <w:bCs/>
              </w:rPr>
              <w:t xml:space="preserve"> </w:t>
            </w:r>
            <w:r>
              <w:t>Performance accountability, financial assurance, value-for-money, housing compliance, Net Zero progress.</w:t>
            </w:r>
          </w:p>
        </w:tc>
        <w:tc>
          <w:tcPr>
            <w:tcW w:w="3260" w:type="dxa"/>
          </w:tcPr>
          <w:p w14:paraId="63110426" w14:textId="6A881B7F" w:rsidR="00B54275" w:rsidRDefault="00B54275" w:rsidP="005F2721">
            <w:pPr>
              <w:spacing w:line="360" w:lineRule="auto"/>
              <w:jc w:val="left"/>
            </w:pPr>
            <w:r>
              <w:t>Maintain strong governance alignment, formal reporting frameworks, transparent KPIs, and long-term investment planning.</w:t>
            </w:r>
          </w:p>
        </w:tc>
      </w:tr>
      <w:tr w:rsidR="00B54275" w14:paraId="67652730" w14:textId="7719A464" w:rsidTr="00292D87">
        <w:tc>
          <w:tcPr>
            <w:tcW w:w="1838" w:type="dxa"/>
            <w:shd w:val="clear" w:color="auto" w:fill="DAE9F7" w:themeFill="text2" w:themeFillTint="1A"/>
          </w:tcPr>
          <w:p w14:paraId="54BFF3FF" w14:textId="0DC9D4A9"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Regulator of Social Housing (RSH)</w:t>
            </w:r>
          </w:p>
        </w:tc>
        <w:tc>
          <w:tcPr>
            <w:tcW w:w="1276" w:type="dxa"/>
          </w:tcPr>
          <w:p w14:paraId="7CEFB27F" w14:textId="0D623928" w:rsidR="00B54275" w:rsidRPr="00292D87" w:rsidRDefault="00B54275" w:rsidP="005F2721">
            <w:pPr>
              <w:spacing w:line="360" w:lineRule="auto"/>
              <w:jc w:val="left"/>
              <w:rPr>
                <w:b/>
                <w:bCs/>
              </w:rPr>
            </w:pPr>
            <w:r w:rsidRPr="00292D87">
              <w:rPr>
                <w:b/>
                <w:bCs/>
              </w:rPr>
              <w:t>High</w:t>
            </w:r>
          </w:p>
        </w:tc>
        <w:tc>
          <w:tcPr>
            <w:tcW w:w="2693" w:type="dxa"/>
          </w:tcPr>
          <w:p w14:paraId="287D8445" w14:textId="60057741" w:rsidR="00B54275" w:rsidRDefault="00B54275" w:rsidP="005F2721">
            <w:pPr>
              <w:spacing w:line="360" w:lineRule="auto"/>
              <w:jc w:val="left"/>
            </w:pPr>
            <w:r w:rsidRPr="00F3341A">
              <w:rPr>
                <w:b/>
                <w:bCs/>
              </w:rPr>
              <w:t>High</w:t>
            </w:r>
            <w:r>
              <w:t xml:space="preserve"> - Governance compliance, tenant safety, accurate reporting, TSM delivery.</w:t>
            </w:r>
          </w:p>
        </w:tc>
        <w:tc>
          <w:tcPr>
            <w:tcW w:w="3260" w:type="dxa"/>
          </w:tcPr>
          <w:p w14:paraId="2DC47E2D" w14:textId="3D0C5FDE" w:rsidR="00B54275" w:rsidRDefault="00B54275" w:rsidP="005F2721">
            <w:pPr>
              <w:spacing w:line="360" w:lineRule="auto"/>
              <w:jc w:val="left"/>
            </w:pPr>
            <w:r>
              <w:t>Strengthen compliance systems, improve data quality, proactively monitor regulatory risks.</w:t>
            </w:r>
          </w:p>
        </w:tc>
      </w:tr>
      <w:tr w:rsidR="00B54275" w14:paraId="1363A109" w14:textId="008A605D" w:rsidTr="00292D87">
        <w:tc>
          <w:tcPr>
            <w:tcW w:w="1838" w:type="dxa"/>
            <w:shd w:val="clear" w:color="auto" w:fill="DAE9F7" w:themeFill="text2" w:themeFillTint="1A"/>
          </w:tcPr>
          <w:p w14:paraId="2E9D4D35" w14:textId="0400CDB4"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SHP Board</w:t>
            </w:r>
          </w:p>
        </w:tc>
        <w:tc>
          <w:tcPr>
            <w:tcW w:w="1276" w:type="dxa"/>
          </w:tcPr>
          <w:p w14:paraId="1F9A841B" w14:textId="458E5CDB" w:rsidR="00B54275" w:rsidRPr="00292D87" w:rsidRDefault="00B54275" w:rsidP="005F2721">
            <w:pPr>
              <w:spacing w:line="360" w:lineRule="auto"/>
              <w:jc w:val="left"/>
              <w:rPr>
                <w:b/>
                <w:bCs/>
              </w:rPr>
            </w:pPr>
            <w:r w:rsidRPr="00292D87">
              <w:rPr>
                <w:b/>
                <w:bCs/>
              </w:rPr>
              <w:t>High</w:t>
            </w:r>
          </w:p>
        </w:tc>
        <w:tc>
          <w:tcPr>
            <w:tcW w:w="2693" w:type="dxa"/>
          </w:tcPr>
          <w:p w14:paraId="46371CE8" w14:textId="2D3164EE" w:rsidR="00B54275" w:rsidRDefault="00B54275" w:rsidP="005F2721">
            <w:pPr>
              <w:spacing w:line="360" w:lineRule="auto"/>
              <w:jc w:val="left"/>
            </w:pPr>
            <w:r>
              <w:t>High - Strategic oversight, financial stability, operational risk mitigation.</w:t>
            </w:r>
          </w:p>
        </w:tc>
        <w:tc>
          <w:tcPr>
            <w:tcW w:w="3260" w:type="dxa"/>
          </w:tcPr>
          <w:p w14:paraId="579F88BB" w14:textId="0BF5E617" w:rsidR="00B54275" w:rsidRDefault="00B54275" w:rsidP="005F2721">
            <w:pPr>
              <w:spacing w:line="360" w:lineRule="auto"/>
              <w:jc w:val="left"/>
            </w:pPr>
            <w:r>
              <w:t>Board-level engagement in transformation programmes, risk governance, investment decision-making</w:t>
            </w:r>
            <w:r w:rsidR="000E2885">
              <w:t>.</w:t>
            </w:r>
          </w:p>
        </w:tc>
      </w:tr>
      <w:tr w:rsidR="00B54275" w14:paraId="6BD23CC6" w14:textId="718ACEEC" w:rsidTr="00292D87">
        <w:tc>
          <w:tcPr>
            <w:tcW w:w="1838" w:type="dxa"/>
            <w:shd w:val="clear" w:color="auto" w:fill="DAE9F7" w:themeFill="text2" w:themeFillTint="1A"/>
          </w:tcPr>
          <w:p w14:paraId="70259E93" w14:textId="555AF183"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Tenants &amp; Leaseholders</w:t>
            </w:r>
          </w:p>
        </w:tc>
        <w:tc>
          <w:tcPr>
            <w:tcW w:w="1276" w:type="dxa"/>
          </w:tcPr>
          <w:p w14:paraId="404927B2" w14:textId="0D390071" w:rsidR="00B54275" w:rsidRPr="00292D87" w:rsidRDefault="00B54275" w:rsidP="005F2721">
            <w:pPr>
              <w:spacing w:line="360" w:lineRule="auto"/>
              <w:jc w:val="left"/>
              <w:rPr>
                <w:b/>
                <w:bCs/>
              </w:rPr>
            </w:pPr>
            <w:r w:rsidRPr="00292D87">
              <w:rPr>
                <w:b/>
                <w:bCs/>
              </w:rPr>
              <w:t>Low–Moderate</w:t>
            </w:r>
          </w:p>
        </w:tc>
        <w:tc>
          <w:tcPr>
            <w:tcW w:w="2693" w:type="dxa"/>
          </w:tcPr>
          <w:p w14:paraId="1E806B0A" w14:textId="276E3EDC" w:rsidR="00B54275" w:rsidRDefault="00B54275" w:rsidP="005F2721">
            <w:pPr>
              <w:spacing w:line="360" w:lineRule="auto"/>
              <w:jc w:val="left"/>
            </w:pPr>
            <w:r w:rsidRPr="00B54275">
              <w:rPr>
                <w:b/>
                <w:bCs/>
              </w:rPr>
              <w:t>High</w:t>
            </w:r>
            <w:r>
              <w:t xml:space="preserve"> - Safe homes, timely repairs, transparency, meaningful involvement, accessible communication.</w:t>
            </w:r>
          </w:p>
        </w:tc>
        <w:tc>
          <w:tcPr>
            <w:tcW w:w="3260" w:type="dxa"/>
          </w:tcPr>
          <w:p w14:paraId="7531209A" w14:textId="5047646B" w:rsidR="00B54275" w:rsidRDefault="00B54275" w:rsidP="005F2721">
            <w:pPr>
              <w:spacing w:line="360" w:lineRule="auto"/>
              <w:jc w:val="left"/>
            </w:pPr>
            <w:r>
              <w:t>Prioritise repair’s reliability, digital tenant access, co-production initiatives, improved engagement.</w:t>
            </w:r>
          </w:p>
        </w:tc>
      </w:tr>
      <w:tr w:rsidR="00B54275" w14:paraId="19091B53" w14:textId="359C6491" w:rsidTr="00292D87">
        <w:tc>
          <w:tcPr>
            <w:tcW w:w="1838" w:type="dxa"/>
            <w:shd w:val="clear" w:color="auto" w:fill="DAE9F7" w:themeFill="text2" w:themeFillTint="1A"/>
          </w:tcPr>
          <w:p w14:paraId="5870466A" w14:textId="69738415"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Contractors &amp; Service Partners</w:t>
            </w:r>
          </w:p>
        </w:tc>
        <w:tc>
          <w:tcPr>
            <w:tcW w:w="1276" w:type="dxa"/>
          </w:tcPr>
          <w:p w14:paraId="0F6A3836" w14:textId="6711E24B" w:rsidR="00B54275" w:rsidRPr="00292D87" w:rsidRDefault="00B54275" w:rsidP="005F2721">
            <w:pPr>
              <w:spacing w:line="360" w:lineRule="auto"/>
              <w:jc w:val="left"/>
              <w:rPr>
                <w:b/>
                <w:bCs/>
              </w:rPr>
            </w:pPr>
            <w:r w:rsidRPr="00292D87">
              <w:rPr>
                <w:b/>
                <w:bCs/>
              </w:rPr>
              <w:t>Moderate</w:t>
            </w:r>
          </w:p>
        </w:tc>
        <w:tc>
          <w:tcPr>
            <w:tcW w:w="2693" w:type="dxa"/>
          </w:tcPr>
          <w:p w14:paraId="41D65664" w14:textId="465CB915" w:rsidR="00B54275" w:rsidRDefault="00B54275" w:rsidP="005F2721">
            <w:pPr>
              <w:spacing w:line="360" w:lineRule="auto"/>
              <w:jc w:val="left"/>
            </w:pPr>
            <w:r w:rsidRPr="00B54275">
              <w:rPr>
                <w:b/>
                <w:bCs/>
              </w:rPr>
              <w:t>Moderate</w:t>
            </w:r>
            <w:r>
              <w:t xml:space="preserve"> - Predictable workflows, digital integration, clear KPIs and safety compliance.</w:t>
            </w:r>
          </w:p>
        </w:tc>
        <w:tc>
          <w:tcPr>
            <w:tcW w:w="3260" w:type="dxa"/>
          </w:tcPr>
          <w:p w14:paraId="4BCADDE0" w14:textId="5E57AACF" w:rsidR="00B54275" w:rsidRDefault="00B54275" w:rsidP="005F2721">
            <w:pPr>
              <w:spacing w:line="360" w:lineRule="auto"/>
              <w:jc w:val="left"/>
            </w:pPr>
            <w:r>
              <w:t>Improve contract management, performance frameworks, data sharing</w:t>
            </w:r>
            <w:r w:rsidR="00D668D1">
              <w:t>,</w:t>
            </w:r>
            <w:r>
              <w:t xml:space="preserve"> and joint delivery planning.</w:t>
            </w:r>
          </w:p>
        </w:tc>
      </w:tr>
      <w:tr w:rsidR="00B54275" w14:paraId="31930927" w14:textId="72A4113A" w:rsidTr="00292D87">
        <w:tc>
          <w:tcPr>
            <w:tcW w:w="1838" w:type="dxa"/>
            <w:shd w:val="clear" w:color="auto" w:fill="DAE9F7" w:themeFill="text2" w:themeFillTint="1A"/>
          </w:tcPr>
          <w:p w14:paraId="42AC478E" w14:textId="4D7D0267"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SHP Staff &amp; Trade Unions</w:t>
            </w:r>
          </w:p>
        </w:tc>
        <w:tc>
          <w:tcPr>
            <w:tcW w:w="1276" w:type="dxa"/>
          </w:tcPr>
          <w:p w14:paraId="33FD7F4F" w14:textId="64AFE10C" w:rsidR="00B54275" w:rsidRPr="00292D87" w:rsidRDefault="00B54275" w:rsidP="005F2721">
            <w:pPr>
              <w:spacing w:line="360" w:lineRule="auto"/>
              <w:jc w:val="left"/>
              <w:rPr>
                <w:b/>
                <w:bCs/>
              </w:rPr>
            </w:pPr>
            <w:r w:rsidRPr="00292D87">
              <w:rPr>
                <w:b/>
                <w:bCs/>
              </w:rPr>
              <w:t>Moderate</w:t>
            </w:r>
          </w:p>
        </w:tc>
        <w:tc>
          <w:tcPr>
            <w:tcW w:w="2693" w:type="dxa"/>
          </w:tcPr>
          <w:p w14:paraId="7A29BE40" w14:textId="48500D71" w:rsidR="00B54275" w:rsidRDefault="00B54275" w:rsidP="005F2721">
            <w:pPr>
              <w:spacing w:line="360" w:lineRule="auto"/>
              <w:jc w:val="left"/>
            </w:pPr>
            <w:r>
              <w:t>High - Job security, manageable workload, modern systems, training, supportive culture.</w:t>
            </w:r>
          </w:p>
        </w:tc>
        <w:tc>
          <w:tcPr>
            <w:tcW w:w="3260" w:type="dxa"/>
          </w:tcPr>
          <w:p w14:paraId="1B35C806" w14:textId="6440A59B" w:rsidR="00B54275" w:rsidRDefault="00B54275" w:rsidP="005F2721">
            <w:pPr>
              <w:spacing w:line="360" w:lineRule="auto"/>
              <w:jc w:val="left"/>
            </w:pPr>
            <w:r>
              <w:t>Invest in workforce development, change-management planning, internal communication</w:t>
            </w:r>
            <w:r w:rsidR="00D668D1">
              <w:t>,</w:t>
            </w:r>
            <w:r>
              <w:t xml:space="preserve"> and digital competency building.</w:t>
            </w:r>
          </w:p>
        </w:tc>
      </w:tr>
      <w:tr w:rsidR="00B54275" w14:paraId="7D88AE44" w14:textId="78970AAC" w:rsidTr="00292D87">
        <w:tc>
          <w:tcPr>
            <w:tcW w:w="1838" w:type="dxa"/>
            <w:shd w:val="clear" w:color="auto" w:fill="DAE9F7" w:themeFill="text2" w:themeFillTint="1A"/>
          </w:tcPr>
          <w:p w14:paraId="70D2EB17" w14:textId="133239BC" w:rsidR="00B54275" w:rsidRPr="006842E5" w:rsidRDefault="00B54275" w:rsidP="005F2721">
            <w:pPr>
              <w:spacing w:line="360" w:lineRule="auto"/>
              <w:jc w:val="left"/>
              <w:rPr>
                <w:rFonts w:eastAsia="Times New Roman"/>
                <w:b/>
                <w:bCs/>
                <w:iCs/>
                <w:color w:val="156082" w:themeColor="accent1"/>
                <w:lang w:eastAsia="en-GB"/>
              </w:rPr>
            </w:pPr>
            <w:r w:rsidRPr="006842E5">
              <w:rPr>
                <w:b/>
                <w:bCs/>
                <w:color w:val="156082" w:themeColor="accent1"/>
              </w:rPr>
              <w:t>Community &amp; Voluntary Groups</w:t>
            </w:r>
          </w:p>
        </w:tc>
        <w:tc>
          <w:tcPr>
            <w:tcW w:w="1276" w:type="dxa"/>
          </w:tcPr>
          <w:p w14:paraId="28D148D6" w14:textId="67F0BDE9" w:rsidR="00B54275" w:rsidRPr="00292D87" w:rsidRDefault="00B54275" w:rsidP="005F2721">
            <w:pPr>
              <w:spacing w:line="360" w:lineRule="auto"/>
              <w:jc w:val="left"/>
              <w:rPr>
                <w:b/>
                <w:bCs/>
              </w:rPr>
            </w:pPr>
            <w:r w:rsidRPr="00292D87">
              <w:rPr>
                <w:b/>
                <w:bCs/>
              </w:rPr>
              <w:t>Low</w:t>
            </w:r>
          </w:p>
        </w:tc>
        <w:tc>
          <w:tcPr>
            <w:tcW w:w="2693" w:type="dxa"/>
          </w:tcPr>
          <w:p w14:paraId="42CC11B9" w14:textId="1AD8969B" w:rsidR="00B54275" w:rsidRDefault="00B54275" w:rsidP="005F2721">
            <w:pPr>
              <w:spacing w:line="360" w:lineRule="auto"/>
              <w:jc w:val="left"/>
            </w:pPr>
            <w:r>
              <w:t>Moderate - Social value, collaboration, community wellbeing.</w:t>
            </w:r>
          </w:p>
        </w:tc>
        <w:tc>
          <w:tcPr>
            <w:tcW w:w="3260" w:type="dxa"/>
          </w:tcPr>
          <w:p w14:paraId="55817367" w14:textId="2697805F" w:rsidR="00B54275" w:rsidRDefault="00B54275" w:rsidP="005F2721">
            <w:pPr>
              <w:spacing w:line="360" w:lineRule="auto"/>
              <w:jc w:val="left"/>
            </w:pPr>
            <w:r>
              <w:t>Strengthen partnership frameworks, share community development resources, align place-based strategy.</w:t>
            </w:r>
          </w:p>
        </w:tc>
      </w:tr>
    </w:tbl>
    <w:p w14:paraId="200F1C47" w14:textId="38E37C08" w:rsidR="00036845" w:rsidRDefault="004D36A9" w:rsidP="00D46999">
      <w:pPr>
        <w:rPr>
          <w:rFonts w:eastAsia="Times New Roman"/>
          <w:iCs/>
          <w:lang w:eastAsia="en-GB"/>
        </w:rPr>
      </w:pPr>
      <w:r w:rsidRPr="002A2325">
        <w:rPr>
          <w:rFonts w:eastAsia="Times New Roman"/>
          <w:b/>
          <w:bCs/>
          <w:iCs/>
          <w:lang w:eastAsia="en-GB"/>
        </w:rPr>
        <w:t>Source:</w:t>
      </w:r>
      <w:r>
        <w:rPr>
          <w:rFonts w:eastAsia="Times New Roman"/>
          <w:iCs/>
          <w:lang w:eastAsia="en-GB"/>
        </w:rPr>
        <w:t xml:space="preserve"> </w:t>
      </w:r>
      <w:r w:rsidR="006E6C9B">
        <w:rPr>
          <w:rFonts w:eastAsia="Times New Roman"/>
          <w:iCs/>
          <w:lang w:eastAsia="en-GB"/>
        </w:rPr>
        <w:t>Author, a</w:t>
      </w:r>
      <w:r>
        <w:rPr>
          <w:rFonts w:eastAsia="Times New Roman"/>
          <w:iCs/>
          <w:lang w:eastAsia="en-GB"/>
        </w:rPr>
        <w:t>dapted from</w:t>
      </w:r>
      <w:r w:rsidR="00023B7A">
        <w:rPr>
          <w:rFonts w:eastAsia="Times New Roman"/>
          <w:iCs/>
          <w:noProof/>
          <w:lang w:val="en-US" w:eastAsia="en-GB"/>
        </w:rPr>
        <w:t xml:space="preserve"> </w:t>
      </w:r>
      <w:r w:rsidR="00023B7A" w:rsidRPr="00023B7A">
        <w:rPr>
          <w:rFonts w:eastAsia="Times New Roman"/>
          <w:noProof/>
          <w:lang w:val="en-US" w:eastAsia="en-GB"/>
        </w:rPr>
        <w:t>Monwabisi S. Xegwana, et al.</w:t>
      </w:r>
      <w:r w:rsidR="00023B7A">
        <w:rPr>
          <w:rFonts w:eastAsia="Times New Roman"/>
          <w:noProof/>
          <w:lang w:val="en-US" w:eastAsia="en-GB"/>
        </w:rPr>
        <w:t xml:space="preserve"> </w:t>
      </w:r>
      <w:sdt>
        <w:sdtPr>
          <w:rPr>
            <w:rFonts w:eastAsia="Times New Roman"/>
            <w:noProof/>
            <w:lang w:val="en-US" w:eastAsia="en-GB"/>
          </w:rPr>
          <w:id w:val="334968317"/>
          <w:citation/>
        </w:sdtPr>
        <w:sdtEndPr/>
        <w:sdtContent>
          <w:r w:rsidR="00023B7A">
            <w:rPr>
              <w:rFonts w:eastAsia="Times New Roman"/>
              <w:noProof/>
              <w:lang w:val="en-US" w:eastAsia="en-GB"/>
            </w:rPr>
            <w:fldChar w:fldCharType="begin"/>
          </w:r>
          <w:r w:rsidR="00023B7A">
            <w:rPr>
              <w:rFonts w:eastAsia="Times New Roman"/>
              <w:noProof/>
              <w:lang w:val="en-US" w:eastAsia="en-GB"/>
            </w:rPr>
            <w:instrText xml:space="preserve">CITATION Mon25 \n  \l 1033 </w:instrText>
          </w:r>
          <w:r w:rsidR="00023B7A">
            <w:rPr>
              <w:rFonts w:eastAsia="Times New Roman"/>
              <w:noProof/>
              <w:lang w:val="en-US" w:eastAsia="en-GB"/>
            </w:rPr>
            <w:fldChar w:fldCharType="separate"/>
          </w:r>
          <w:r w:rsidR="002E53A1" w:rsidRPr="002E53A1">
            <w:rPr>
              <w:rFonts w:eastAsia="Times New Roman"/>
              <w:noProof/>
              <w:lang w:val="en-US" w:eastAsia="en-GB"/>
            </w:rPr>
            <w:t>(2025)</w:t>
          </w:r>
          <w:r w:rsidR="00023B7A">
            <w:rPr>
              <w:rFonts w:eastAsia="Times New Roman"/>
              <w:noProof/>
              <w:lang w:val="en-US" w:eastAsia="en-GB"/>
            </w:rPr>
            <w:fldChar w:fldCharType="end"/>
          </w:r>
        </w:sdtContent>
      </w:sdt>
      <w:r w:rsidR="00023B7A">
        <w:rPr>
          <w:rFonts w:eastAsia="Times New Roman"/>
          <w:noProof/>
          <w:lang w:val="en-US" w:eastAsia="en-GB"/>
        </w:rPr>
        <w:t>;</w:t>
      </w:r>
      <w:r>
        <w:rPr>
          <w:rFonts w:eastAsia="Times New Roman"/>
          <w:iCs/>
          <w:lang w:eastAsia="en-GB"/>
        </w:rPr>
        <w:t xml:space="preserve"> SHP </w:t>
      </w:r>
      <w:sdt>
        <w:sdtPr>
          <w:rPr>
            <w:rFonts w:eastAsia="Times New Roman"/>
            <w:iCs/>
            <w:lang w:eastAsia="en-GB"/>
          </w:rPr>
          <w:id w:val="965465158"/>
          <w:citation/>
        </w:sdtPr>
        <w:sdtEndPr/>
        <w:sdtContent>
          <w:r>
            <w:rPr>
              <w:rFonts w:eastAsia="Times New Roman"/>
              <w:iCs/>
              <w:lang w:eastAsia="en-GB"/>
            </w:rPr>
            <w:fldChar w:fldCharType="begin"/>
          </w:r>
          <w:r>
            <w:rPr>
              <w:rFonts w:eastAsia="Times New Roman"/>
              <w:iCs/>
              <w:lang w:val="en-US" w:eastAsia="en-GB"/>
            </w:rPr>
            <w:instrText xml:space="preserve">CITATION SHP253 \n  \l 1033 </w:instrText>
          </w:r>
          <w:r>
            <w:rPr>
              <w:rFonts w:eastAsia="Times New Roman"/>
              <w:iCs/>
              <w:lang w:eastAsia="en-GB"/>
            </w:rPr>
            <w:fldChar w:fldCharType="separate"/>
          </w:r>
          <w:r w:rsidR="002E53A1" w:rsidRPr="002E53A1">
            <w:rPr>
              <w:rFonts w:eastAsia="Times New Roman"/>
              <w:noProof/>
              <w:lang w:val="en-US" w:eastAsia="en-GB"/>
            </w:rPr>
            <w:t>(2025)</w:t>
          </w:r>
          <w:r>
            <w:rPr>
              <w:rFonts w:eastAsia="Times New Roman"/>
              <w:iCs/>
              <w:lang w:eastAsia="en-GB"/>
            </w:rPr>
            <w:fldChar w:fldCharType="end"/>
          </w:r>
        </w:sdtContent>
      </w:sdt>
      <w:r w:rsidR="00023B7A">
        <w:rPr>
          <w:rFonts w:eastAsia="Times New Roman"/>
          <w:iCs/>
          <w:lang w:eastAsia="en-GB"/>
        </w:rPr>
        <w:t>.</w:t>
      </w:r>
    </w:p>
    <w:p w14:paraId="35F12EB2" w14:textId="6482D85D" w:rsidR="007B2B9A" w:rsidRPr="007B2B9A" w:rsidRDefault="007B2B9A" w:rsidP="00444ECA">
      <w:pPr>
        <w:pStyle w:val="Heading2"/>
        <w:numPr>
          <w:ilvl w:val="0"/>
          <w:numId w:val="4"/>
        </w:numPr>
      </w:pPr>
      <w:bookmarkStart w:id="37" w:name="_Toc216130285"/>
      <w:r w:rsidRPr="007B2B9A">
        <w:t>Mendelow’s Power–Interest Matrix</w:t>
      </w:r>
      <w:bookmarkEnd w:id="37"/>
      <w:r w:rsidRPr="007B2B9A">
        <w:t xml:space="preserve"> </w:t>
      </w:r>
    </w:p>
    <w:p w14:paraId="62393527" w14:textId="4AD26879" w:rsidR="00BE48F6" w:rsidRPr="00BE48F6" w:rsidRDefault="00BE48F6" w:rsidP="00BE48F6">
      <w:pPr>
        <w:pStyle w:val="NormalWeb"/>
        <w:spacing w:line="360" w:lineRule="auto"/>
        <w:jc w:val="both"/>
        <w:rPr>
          <w:rFonts w:ascii="Arial" w:hAnsi="Arial" w:cs="Arial"/>
          <w:i w:val="0"/>
          <w:iCs w:val="0"/>
          <w:kern w:val="0"/>
          <w:sz w:val="22"/>
          <w:szCs w:val="22"/>
          <w14:ligatures w14:val="none"/>
        </w:rPr>
      </w:pPr>
      <w:r w:rsidRPr="00BE48F6">
        <w:rPr>
          <w:rFonts w:ascii="Arial" w:hAnsi="Arial" w:cs="Arial"/>
          <w:i w:val="0"/>
          <w:iCs w:val="0"/>
          <w:kern w:val="0"/>
          <w:sz w:val="22"/>
          <w:szCs w:val="22"/>
          <w14:ligatures w14:val="none"/>
        </w:rPr>
        <w:t>Mendelow’s Matrix (</w:t>
      </w:r>
      <w:r w:rsidRPr="00BE48F6">
        <w:rPr>
          <w:rFonts w:ascii="Arial" w:hAnsi="Arial" w:cs="Arial"/>
          <w:b/>
          <w:bCs/>
          <w:i w:val="0"/>
          <w:iCs w:val="0"/>
          <w:kern w:val="0"/>
          <w:sz w:val="22"/>
          <w:szCs w:val="22"/>
          <w14:ligatures w14:val="none"/>
        </w:rPr>
        <w:t>Figure B</w:t>
      </w:r>
      <w:r w:rsidRPr="00BE48F6">
        <w:rPr>
          <w:rFonts w:ascii="Arial" w:hAnsi="Arial" w:cs="Arial"/>
          <w:i w:val="0"/>
          <w:iCs w:val="0"/>
          <w:kern w:val="0"/>
          <w:sz w:val="22"/>
          <w:szCs w:val="22"/>
          <w14:ligatures w14:val="none"/>
        </w:rPr>
        <w:t xml:space="preserve">) maps stakeholder influence and interest to guide engagement for SHP’s Sustainable Homes and Communities Strategy </w:t>
      </w:r>
      <w:sdt>
        <w:sdtPr>
          <w:rPr>
            <w:rFonts w:ascii="Arial" w:hAnsi="Arial" w:cs="Arial"/>
            <w:i w:val="0"/>
            <w:iCs w:val="0"/>
            <w:kern w:val="0"/>
            <w:sz w:val="22"/>
            <w:szCs w:val="22"/>
            <w14:ligatures w14:val="none"/>
          </w:rPr>
          <w:id w:val="1623421498"/>
          <w:citation/>
        </w:sdtPr>
        <w:sdtEndPr/>
        <w:sdtContent>
          <w:r w:rsidRPr="00BE48F6">
            <w:rPr>
              <w:rFonts w:ascii="Arial" w:hAnsi="Arial" w:cs="Arial"/>
              <w:i w:val="0"/>
              <w:iCs w:val="0"/>
              <w:kern w:val="0"/>
              <w:sz w:val="22"/>
              <w:szCs w:val="22"/>
              <w14:ligatures w14:val="none"/>
            </w:rPr>
            <w:fldChar w:fldCharType="begin"/>
          </w:r>
          <w:r w:rsidRPr="00BE48F6">
            <w:rPr>
              <w:rFonts w:ascii="Arial" w:hAnsi="Arial" w:cs="Arial"/>
              <w:i w:val="0"/>
              <w:iCs w:val="0"/>
              <w:kern w:val="0"/>
              <w:sz w:val="22"/>
              <w:szCs w:val="22"/>
              <w:lang w:val="en-US"/>
              <w14:ligatures w14:val="none"/>
            </w:rPr>
            <w:instrText xml:space="preserve"> CITATION Men81 \l 1033 </w:instrText>
          </w:r>
          <w:r w:rsidRPr="00BE48F6">
            <w:rPr>
              <w:rFonts w:ascii="Arial" w:hAnsi="Arial" w:cs="Arial"/>
              <w:i w:val="0"/>
              <w:iCs w:val="0"/>
              <w:kern w:val="0"/>
              <w:sz w:val="22"/>
              <w:szCs w:val="22"/>
              <w14:ligatures w14:val="none"/>
            </w:rPr>
            <w:fldChar w:fldCharType="separate"/>
          </w:r>
          <w:r w:rsidRPr="00BE48F6">
            <w:rPr>
              <w:rFonts w:ascii="Arial" w:hAnsi="Arial" w:cs="Arial"/>
              <w:i w:val="0"/>
              <w:iCs w:val="0"/>
              <w:noProof/>
              <w:kern w:val="0"/>
              <w:sz w:val="22"/>
              <w:szCs w:val="22"/>
              <w:lang w:val="en-US"/>
              <w14:ligatures w14:val="none"/>
            </w:rPr>
            <w:t>(Mendelow, 1981)</w:t>
          </w:r>
          <w:r w:rsidRPr="00BE48F6">
            <w:rPr>
              <w:rFonts w:ascii="Arial" w:hAnsi="Arial" w:cs="Arial"/>
              <w:i w:val="0"/>
              <w:iCs w:val="0"/>
              <w:kern w:val="0"/>
              <w:sz w:val="22"/>
              <w:szCs w:val="22"/>
              <w14:ligatures w14:val="none"/>
            </w:rPr>
            <w:fldChar w:fldCharType="end"/>
          </w:r>
        </w:sdtContent>
      </w:sdt>
      <w:r w:rsidRPr="00BE48F6">
        <w:rPr>
          <w:rFonts w:ascii="Arial" w:hAnsi="Arial" w:cs="Arial"/>
          <w:i w:val="0"/>
          <w:iCs w:val="0"/>
          <w:kern w:val="0"/>
          <w:sz w:val="22"/>
          <w:szCs w:val="22"/>
          <w14:ligatures w14:val="none"/>
        </w:rPr>
        <w:t>.</w:t>
      </w:r>
    </w:p>
    <w:p w14:paraId="47B91194" w14:textId="77777777" w:rsidR="00BE48F6" w:rsidRPr="00BE48F6" w:rsidRDefault="00BE48F6" w:rsidP="00BE48F6">
      <w:pPr>
        <w:numPr>
          <w:ilvl w:val="0"/>
          <w:numId w:val="25"/>
        </w:numPr>
        <w:rPr>
          <w:rFonts w:eastAsia="Times New Roman" w:cs="Arial"/>
          <w:kern w:val="0"/>
          <w:szCs w:val="22"/>
          <w:lang w:eastAsia="en-GB"/>
          <w14:ligatures w14:val="none"/>
        </w:rPr>
      </w:pPr>
      <w:r w:rsidRPr="00BE48F6">
        <w:rPr>
          <w:rFonts w:eastAsia="Times New Roman" w:cs="Arial"/>
          <w:b/>
          <w:bCs/>
          <w:kern w:val="0"/>
          <w:szCs w:val="22"/>
          <w:lang w:eastAsia="en-GB"/>
          <w14:ligatures w14:val="none"/>
        </w:rPr>
        <w:t>High power, high interest:</w:t>
      </w:r>
      <w:r w:rsidRPr="00BE48F6">
        <w:rPr>
          <w:rFonts w:eastAsia="Times New Roman" w:cs="Arial"/>
          <w:kern w:val="0"/>
          <w:szCs w:val="22"/>
          <w:lang w:eastAsia="en-GB"/>
          <w14:ligatures w14:val="none"/>
        </w:rPr>
        <w:t xml:space="preserve"> London Borough of Sutton, SHP Board, Regulator of Social Housing. Require close engagement due to their ability to enable or block strategy.</w:t>
      </w:r>
    </w:p>
    <w:p w14:paraId="21E430A3" w14:textId="77777777" w:rsidR="00BE48F6" w:rsidRPr="00BE48F6" w:rsidRDefault="00BE48F6" w:rsidP="00BE48F6">
      <w:pPr>
        <w:numPr>
          <w:ilvl w:val="0"/>
          <w:numId w:val="25"/>
        </w:numPr>
        <w:rPr>
          <w:rFonts w:eastAsia="Times New Roman" w:cs="Arial"/>
          <w:kern w:val="0"/>
          <w:szCs w:val="22"/>
          <w:lang w:eastAsia="en-GB"/>
          <w14:ligatures w14:val="none"/>
        </w:rPr>
      </w:pPr>
      <w:r w:rsidRPr="00BE48F6">
        <w:rPr>
          <w:rFonts w:eastAsia="Times New Roman" w:cs="Arial"/>
          <w:b/>
          <w:bCs/>
          <w:kern w:val="0"/>
          <w:szCs w:val="22"/>
          <w:lang w:eastAsia="en-GB"/>
          <w14:ligatures w14:val="none"/>
        </w:rPr>
        <w:t>High power, low interest:</w:t>
      </w:r>
      <w:r w:rsidRPr="00BE48F6">
        <w:rPr>
          <w:rFonts w:eastAsia="Times New Roman" w:cs="Arial"/>
          <w:kern w:val="0"/>
          <w:szCs w:val="22"/>
          <w:lang w:eastAsia="en-GB"/>
          <w14:ligatures w14:val="none"/>
        </w:rPr>
        <w:t xml:space="preserve"> Government funding bodies, health and safety regulators. Should be kept satisfied through compliance reporting and alignment with policy, including Net Zero and safety reforms.</w:t>
      </w:r>
    </w:p>
    <w:p w14:paraId="4A2A96D6" w14:textId="77777777" w:rsidR="00BE48F6" w:rsidRPr="00BE48F6" w:rsidRDefault="00BE48F6" w:rsidP="00BE48F6">
      <w:pPr>
        <w:numPr>
          <w:ilvl w:val="0"/>
          <w:numId w:val="25"/>
        </w:numPr>
        <w:rPr>
          <w:rFonts w:eastAsia="Times New Roman" w:cs="Arial"/>
          <w:kern w:val="0"/>
          <w:szCs w:val="22"/>
          <w:lang w:eastAsia="en-GB"/>
          <w14:ligatures w14:val="none"/>
        </w:rPr>
      </w:pPr>
      <w:r w:rsidRPr="00BE48F6">
        <w:rPr>
          <w:rFonts w:eastAsia="Times New Roman" w:cs="Arial"/>
          <w:b/>
          <w:bCs/>
          <w:kern w:val="0"/>
          <w:szCs w:val="22"/>
          <w:lang w:eastAsia="en-GB"/>
          <w14:ligatures w14:val="none"/>
        </w:rPr>
        <w:t>Low power, high interest:</w:t>
      </w:r>
      <w:r w:rsidRPr="00BE48F6">
        <w:rPr>
          <w:rFonts w:eastAsia="Times New Roman" w:cs="Arial"/>
          <w:kern w:val="0"/>
          <w:szCs w:val="22"/>
          <w:lang w:eastAsia="en-GB"/>
          <w14:ligatures w14:val="none"/>
        </w:rPr>
        <w:t xml:space="preserve"> Tenants, residents, community associations. Need regular communication and participation channels to reflect regulatory emphasis on tenant voice.</w:t>
      </w:r>
    </w:p>
    <w:p w14:paraId="5EE95D5E" w14:textId="77777777" w:rsidR="00BE48F6" w:rsidRPr="00BE48F6" w:rsidRDefault="00BE48F6" w:rsidP="00BE48F6">
      <w:pPr>
        <w:numPr>
          <w:ilvl w:val="0"/>
          <w:numId w:val="25"/>
        </w:numPr>
        <w:rPr>
          <w:rFonts w:eastAsia="Times New Roman" w:cs="Arial"/>
          <w:kern w:val="0"/>
          <w:szCs w:val="22"/>
          <w:lang w:eastAsia="en-GB"/>
          <w14:ligatures w14:val="none"/>
        </w:rPr>
      </w:pPr>
      <w:r w:rsidRPr="00BE48F6">
        <w:rPr>
          <w:rFonts w:eastAsia="Times New Roman" w:cs="Arial"/>
          <w:b/>
          <w:bCs/>
          <w:kern w:val="0"/>
          <w:szCs w:val="22"/>
          <w:lang w:eastAsia="en-GB"/>
          <w14:ligatures w14:val="none"/>
        </w:rPr>
        <w:t>Low power, low interest:</w:t>
      </w:r>
      <w:r w:rsidRPr="00BE48F6">
        <w:rPr>
          <w:rFonts w:eastAsia="Times New Roman" w:cs="Arial"/>
          <w:kern w:val="0"/>
          <w:szCs w:val="22"/>
          <w:lang w:eastAsia="en-GB"/>
          <w14:ligatures w14:val="none"/>
        </w:rPr>
        <w:t xml:space="preserve"> Wider public and non-operational businesses. Require only periodic monitoring.</w:t>
      </w:r>
    </w:p>
    <w:p w14:paraId="39AFBFE2" w14:textId="45EC77F5" w:rsidR="00BE48F6" w:rsidRPr="00BE48F6" w:rsidRDefault="00BE48F6" w:rsidP="00BE48F6">
      <w:pPr>
        <w:rPr>
          <w:rFonts w:eastAsia="Times New Roman" w:cs="Arial"/>
          <w:kern w:val="0"/>
          <w:szCs w:val="22"/>
          <w:lang w:eastAsia="en-GB"/>
          <w14:ligatures w14:val="none"/>
        </w:rPr>
      </w:pPr>
      <w:r>
        <w:rPr>
          <w:rFonts w:eastAsia="Times New Roman" w:cs="Arial"/>
          <w:kern w:val="0"/>
          <w:szCs w:val="22"/>
          <w:lang w:eastAsia="en-GB"/>
          <w14:ligatures w14:val="none"/>
        </w:rPr>
        <w:t>T</w:t>
      </w:r>
      <w:r w:rsidRPr="00BE48F6">
        <w:rPr>
          <w:rFonts w:eastAsia="Times New Roman" w:cs="Arial"/>
          <w:kern w:val="0"/>
          <w:szCs w:val="22"/>
          <w:lang w:eastAsia="en-GB"/>
          <w14:ligatures w14:val="none"/>
        </w:rPr>
        <w:t>his mapping enables targeted engagement, reduces implementation friction, and reinforces legitimacy across SHP’s stakeholder ecosystem.</w:t>
      </w:r>
    </w:p>
    <w:p w14:paraId="20FE7995" w14:textId="266107B0" w:rsidR="00250B57" w:rsidRDefault="00250B57" w:rsidP="00BE48F6"/>
    <w:p w14:paraId="4345419B" w14:textId="77777777" w:rsidR="00BE48F6" w:rsidRDefault="00BE48F6" w:rsidP="007B2B9A"/>
    <w:p w14:paraId="520DF145" w14:textId="3A9362E2" w:rsidR="00427DFF" w:rsidRDefault="00427DFF" w:rsidP="007B2B9A">
      <w:pPr>
        <w:rPr>
          <w:rFonts w:eastAsia="Times New Roman"/>
          <w:lang w:eastAsia="en-GB"/>
        </w:rPr>
      </w:pPr>
      <w:r>
        <w:rPr>
          <w:rFonts w:eastAsia="Times New Roman"/>
          <w:noProof/>
          <w:lang w:eastAsia="en-GB"/>
        </w:rPr>
        <mc:AlternateContent>
          <mc:Choice Requires="wps">
            <w:drawing>
              <wp:anchor distT="0" distB="0" distL="114300" distR="114300" simplePos="0" relativeHeight="251707904" behindDoc="0" locked="0" layoutInCell="1" allowOverlap="1" wp14:anchorId="091D76D2" wp14:editId="72808597">
                <wp:simplePos x="0" y="0"/>
                <wp:positionH relativeFrom="margin">
                  <wp:align>center</wp:align>
                </wp:positionH>
                <wp:positionV relativeFrom="paragraph">
                  <wp:posOffset>253365</wp:posOffset>
                </wp:positionV>
                <wp:extent cx="2186940" cy="266700"/>
                <wp:effectExtent l="0" t="0" r="22860" b="19050"/>
                <wp:wrapNone/>
                <wp:docPr id="283008883" name="Text Box 12"/>
                <wp:cNvGraphicFramePr/>
                <a:graphic xmlns:a="http://schemas.openxmlformats.org/drawingml/2006/main">
                  <a:graphicData uri="http://schemas.microsoft.com/office/word/2010/wordprocessingShape">
                    <wps:wsp>
                      <wps:cNvSpPr txBox="1"/>
                      <wps:spPr>
                        <a:xfrm>
                          <a:off x="0" y="0"/>
                          <a:ext cx="2186940" cy="266700"/>
                        </a:xfrm>
                        <a:prstGeom prst="rect">
                          <a:avLst/>
                        </a:prstGeom>
                        <a:solidFill>
                          <a:schemeClr val="lt1"/>
                        </a:solidFill>
                        <a:ln w="6350">
                          <a:solidFill>
                            <a:schemeClr val="bg1"/>
                          </a:solidFill>
                        </a:ln>
                      </wps:spPr>
                      <wps:txbx>
                        <w:txbxContent>
                          <w:p w14:paraId="7DF3B20C" w14:textId="4E77ED6B" w:rsidR="004B4235" w:rsidRPr="005B47C4" w:rsidRDefault="004B4235" w:rsidP="005B47C4">
                            <w:pPr>
                              <w:jc w:val="center"/>
                              <w:rPr>
                                <w:b/>
                                <w:bCs/>
                                <w:color w:val="0F4761" w:themeColor="accent1" w:themeShade="BF"/>
                                <w:lang w:val="en-US"/>
                              </w:rPr>
                            </w:pPr>
                            <w:r w:rsidRPr="005B47C4">
                              <w:rPr>
                                <w:b/>
                                <w:bCs/>
                                <w:color w:val="0F4761" w:themeColor="accent1" w:themeShade="BF"/>
                                <w:lang w:val="en-US"/>
                              </w:rPr>
                              <w:t>Le</w:t>
                            </w:r>
                            <w:r w:rsidR="005B47C4" w:rsidRPr="005B47C4">
                              <w:rPr>
                                <w:b/>
                                <w:bCs/>
                                <w:color w:val="0F4761" w:themeColor="accent1" w:themeShade="BF"/>
                                <w:lang w:val="en-US"/>
                              </w:rPr>
                              <w:t>vel of Interest</w:t>
                            </w:r>
                          </w:p>
                          <w:p w14:paraId="72FAAF32" w14:textId="77777777" w:rsidR="00427DFF" w:rsidRDefault="00427D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1D76D2" id="Text Box 12" o:spid="_x0000_s1031" type="#_x0000_t202" style="position:absolute;left:0;text-align:left;margin-left:0;margin-top:19.95pt;width:172.2pt;height:21pt;z-index:2517079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MNYOAIAAIMEAAAOAAAAZHJzL2Uyb0RvYy54bWysVE1v2zAMvQ/YfxB0X+xkSdoacYosRYYB&#10;QVsgHXpWZCkWIIuapMTOfv0o5bNdT8MuMilSj+Qj6cl912iyE84rMCXt93JKhOFQKbMp6c+XxZdb&#10;SnxgpmIajCjpXnh6P/38adLaQgygBl0JRxDE+KK1Ja1DsEWWeV6LhvkeWGHQKME1LKDqNlnlWIvo&#10;jc4GeT7OWnCVdcCF93j7cDDSacKXUvDwJKUXgeiSYm4hnS6d63hm0wkrNo7ZWvFjGuwfsmiYMhj0&#10;DPXAAiNbp/6CahR34EGGHocmAykVF6kGrKafv6tmVTMrUi1Ijrdnmvz/g+WPu5V9diR036DDBkZC&#10;WusLj5exnk66Jn4xU4J2pHB/pk10gXC8HPRvx3dDNHG0Dcbjmzzxml1eW+fDdwENiUJJHbYlscV2&#10;Sx8wIrqeXGIwD1pVC6V1UuIoiLl2ZMewiTqkHPHFGy9tSFvS8ddRnoDf2NIwXRDWmw8QEE8bTORS&#10;e5RCt+6Iqko6OvGyhmqPdDk4TJK3fKGwpiXz4Zk5HB2kAdchPOEhNWBOcJQoqcH9/ug++mNH0UpJ&#10;i6NYUv9ry5ygRP8w2Ou7/jCyG5IyHN0MUHHXlvW1xWybOSBRfVw8y5MY/YM+idJB84pbM4tR0cQM&#10;x9glDSdxHg4LglvHxWyWnHBaLQtLs7I8QsfGxI69dK/M2WNbAw7EI5yGlhXvunvwjS8NzLYBpEqt&#10;jzwfWD3Sj5OeJuK4lXGVrvXkdfl3TP8AAAD//wMAUEsDBBQABgAIAAAAIQD+QyC33AAAAAYBAAAP&#10;AAAAZHJzL2Rvd25yZXYueG1sTI9BS8NAFITvgv9heYI3u6lZJIl5KUERQQWxevG2TZ5JMPs2ZF/b&#10;9N+7nvQ4zDDzTblZ3KgONIfBM8J6lYAibnw7cIfw8f5wlYEKYrm1o2dCOFGATXV+Vtqi9Ud+o8NW&#10;OhVLOBQWoReZCq1D05OzYeUn4uh9+dlZiXLudDvbYyx3o75Okhvt7MBxobcT3fXUfG/3DuHJfNr7&#10;VJ7pJLy81vVjNpnwgnh5sdS3oIQW+QvDL35Ehyoy7fye26BGhHhEENI8BxXd1BgDaoeQrXPQVan/&#10;41c/AAAA//8DAFBLAQItABQABgAIAAAAIQC2gziS/gAAAOEBAAATAAAAAAAAAAAAAAAAAAAAAABb&#10;Q29udGVudF9UeXBlc10ueG1sUEsBAi0AFAAGAAgAAAAhADj9If/WAAAAlAEAAAsAAAAAAAAAAAAA&#10;AAAALwEAAF9yZWxzLy5yZWxzUEsBAi0AFAAGAAgAAAAhAO94w1g4AgAAgwQAAA4AAAAAAAAAAAAA&#10;AAAALgIAAGRycy9lMm9Eb2MueG1sUEsBAi0AFAAGAAgAAAAhAP5DILfcAAAABgEAAA8AAAAAAAAA&#10;AAAAAAAAkgQAAGRycy9kb3ducmV2LnhtbFBLBQYAAAAABAAEAPMAAACbBQAAAAA=&#10;" fillcolor="white [3201]" strokecolor="white [3212]" strokeweight=".5pt">
                <v:textbox>
                  <w:txbxContent>
                    <w:p w14:paraId="7DF3B20C" w14:textId="4E77ED6B" w:rsidR="004B4235" w:rsidRPr="005B47C4" w:rsidRDefault="004B4235" w:rsidP="005B47C4">
                      <w:pPr>
                        <w:jc w:val="center"/>
                        <w:rPr>
                          <w:b/>
                          <w:bCs/>
                          <w:color w:val="0F4761" w:themeColor="accent1" w:themeShade="BF"/>
                          <w:lang w:val="en-US"/>
                        </w:rPr>
                      </w:pPr>
                      <w:r w:rsidRPr="005B47C4">
                        <w:rPr>
                          <w:b/>
                          <w:bCs/>
                          <w:color w:val="0F4761" w:themeColor="accent1" w:themeShade="BF"/>
                          <w:lang w:val="en-US"/>
                        </w:rPr>
                        <w:t>Le</w:t>
                      </w:r>
                      <w:r w:rsidR="005B47C4" w:rsidRPr="005B47C4">
                        <w:rPr>
                          <w:b/>
                          <w:bCs/>
                          <w:color w:val="0F4761" w:themeColor="accent1" w:themeShade="BF"/>
                          <w:lang w:val="en-US"/>
                        </w:rPr>
                        <w:t>vel of Interest</w:t>
                      </w:r>
                    </w:p>
                    <w:p w14:paraId="72FAAF32" w14:textId="77777777" w:rsidR="00427DFF" w:rsidRDefault="00427DFF"/>
                  </w:txbxContent>
                </v:textbox>
                <w10:wrap anchorx="margin"/>
              </v:shape>
            </w:pict>
          </mc:Fallback>
        </mc:AlternateContent>
      </w:r>
    </w:p>
    <w:p w14:paraId="67D8A115" w14:textId="1FED861A" w:rsidR="00B26522" w:rsidRDefault="007011FD" w:rsidP="007B2B9A">
      <w:pPr>
        <w:rPr>
          <w:rFonts w:eastAsia="Times New Roman"/>
          <w:lang w:eastAsia="en-GB"/>
        </w:rPr>
      </w:pPr>
      <w:r>
        <w:rPr>
          <w:rFonts w:eastAsia="Times New Roman"/>
          <w:noProof/>
          <w:lang w:eastAsia="en-GB"/>
        </w:rPr>
        <mc:AlternateContent>
          <mc:Choice Requires="wps">
            <w:drawing>
              <wp:anchor distT="0" distB="0" distL="114300" distR="114300" simplePos="0" relativeHeight="251877888" behindDoc="0" locked="0" layoutInCell="1" allowOverlap="1" wp14:anchorId="0F6926EA" wp14:editId="0CBE89DD">
                <wp:simplePos x="0" y="0"/>
                <wp:positionH relativeFrom="margin">
                  <wp:posOffset>417194</wp:posOffset>
                </wp:positionH>
                <wp:positionV relativeFrom="paragraph">
                  <wp:posOffset>106045</wp:posOffset>
                </wp:positionV>
                <wp:extent cx="495300" cy="289560"/>
                <wp:effectExtent l="0" t="0" r="19050" b="15240"/>
                <wp:wrapNone/>
                <wp:docPr id="1212967001" name="Text Box 13"/>
                <wp:cNvGraphicFramePr/>
                <a:graphic xmlns:a="http://schemas.openxmlformats.org/drawingml/2006/main">
                  <a:graphicData uri="http://schemas.microsoft.com/office/word/2010/wordprocessingShape">
                    <wps:wsp>
                      <wps:cNvSpPr txBox="1"/>
                      <wps:spPr>
                        <a:xfrm>
                          <a:off x="0" y="0"/>
                          <a:ext cx="495300" cy="289560"/>
                        </a:xfrm>
                        <a:prstGeom prst="rect">
                          <a:avLst/>
                        </a:prstGeom>
                        <a:solidFill>
                          <a:sysClr val="window" lastClr="FFFFFF"/>
                        </a:solidFill>
                        <a:ln w="6350">
                          <a:solidFill>
                            <a:sysClr val="window" lastClr="FFFFFF"/>
                          </a:solidFill>
                        </a:ln>
                      </wps:spPr>
                      <wps:txbx>
                        <w:txbxContent>
                          <w:p w14:paraId="41435CE4" w14:textId="77777777" w:rsidR="00794235" w:rsidRPr="005B47C4" w:rsidRDefault="00794235" w:rsidP="00794235">
                            <w:pPr>
                              <w:rPr>
                                <w:b/>
                                <w:bCs/>
                                <w:color w:val="0F4761" w:themeColor="accent1" w:themeShade="BF"/>
                                <w:lang w:val="en-US"/>
                              </w:rPr>
                            </w:pPr>
                            <w:r w:rsidRPr="005B47C4">
                              <w:rPr>
                                <w:b/>
                                <w:bCs/>
                                <w:color w:val="0F4761" w:themeColor="accent1" w:themeShade="BF"/>
                                <w:lang w:val="en-US"/>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926EA" id="Text Box 13" o:spid="_x0000_s1032" type="#_x0000_t202" style="position:absolute;left:0;text-align:left;margin-left:32.85pt;margin-top:8.35pt;width:39pt;height:22.8pt;z-index:251877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xyFPQIAAKQEAAAOAAAAZHJzL2Uyb0RvYy54bWysVE1vGjEQvVfqf7B8L7sQoAnKElEiqkpR&#10;EolUORuvN6zk9bi2YZf++j4bCCTtKSoHM+MZz8d7M3t90zWabZXzNZmC93s5Z8pIKmvzUvCfT4sv&#10;l5z5IEwpNBlV8J3y/Gb6+dN1aydqQGvSpXIMQYyftLbg6xDsJMu8XKtG+B5ZZWCsyDUiQHUvWelE&#10;i+iNzgZ5Ps5acqV1JJX3uL3dG/k0xa8qJcNDVXkVmC44agvpdOlcxTObXovJixN2XctDGeIDVTSi&#10;Nkj6GupWBME2rv4rVFNLR56q0JPUZFRVtVSpB3TTz991s1wLq1IvAMfbV5j8/wsr77dL++hY6L5R&#10;BwIjIK31E4/L2E9XuSb+o1IGOyDcvcKmusAkLodXo4scFgnT4PJqNE6wZqfH1vnwXVHDolBwB1YS&#10;WGJ75wMSwvXoEnN50nW5qLVOys7PtWNbAQLBe0ktZ1r4gMuCL9Iv1owQb55pw9qCjy9Gecr0xuY/&#10;EhIJtEGeEzhRCt2qY3WJTEfgVlTugKej/ah5Kxc1ur5DyY/CYbYAFPYlPOCoNKFIOkicrcn9/td9&#10;9AflsHLWYlYL7n9thFNA4ofBMFz1h8M43EkZjr4OoLhzy+rcYjbNnIBmH5tpZRKjf9BHsXLUPGOt&#10;ZjErTMJI5C54OIrzsN8grKVUs1lywjhbEe7M0soYOlIXOX3qnoWzB+IDJuaejlMtJu/43/vGl4Zm&#10;m0BVnYYj4rxH9QA/ViERfljbuGvnevI6fVymfwAAAP//AwBQSwMEFAAGAAgAAAAhAHdomVndAAAA&#10;CAEAAA8AAABkcnMvZG93bnJldi54bWxMj09Lw0AQxe+C32EZwZvdmGiUmE0JgkUEhdYeetzujptg&#10;djZkt2389k5Pepo/7/HmN/Vy9oM44hT7QApuFxkIJBNsT07B9vPl5hFETJqsHgKhgh+MsGwuL2pd&#10;2XCiNR43yQkOoVhpBV1KYyVlNB16HRdhRGLtK0xeJx4nJ+2kTxzuB5lnWSm97okvdHrE5w7N9+bg&#10;FbytVzp3q9fsvdil9sMl08bJKHV9NbdPIBLO6c8MZ3xGh4aZ9uFANopBQXn/wE7el1zP+l3BzZ6F&#10;vADZ1PL/A80vAAAA//8DAFBLAQItABQABgAIAAAAIQC2gziS/gAAAOEBAAATAAAAAAAAAAAAAAAA&#10;AAAAAABbQ29udGVudF9UeXBlc10ueG1sUEsBAi0AFAAGAAgAAAAhADj9If/WAAAAlAEAAAsAAAAA&#10;AAAAAAAAAAAALwEAAF9yZWxzLy5yZWxzUEsBAi0AFAAGAAgAAAAhAN4DHIU9AgAApAQAAA4AAAAA&#10;AAAAAAAAAAAALgIAAGRycy9lMm9Eb2MueG1sUEsBAi0AFAAGAAgAAAAhAHdomVndAAAACAEAAA8A&#10;AAAAAAAAAAAAAAAAlwQAAGRycy9kb3ducmV2LnhtbFBLBQYAAAAABAAEAPMAAAChBQAAAAA=&#10;" fillcolor="window" strokecolor="window" strokeweight=".5pt">
                <v:textbox>
                  <w:txbxContent>
                    <w:p w14:paraId="41435CE4" w14:textId="77777777" w:rsidR="00794235" w:rsidRPr="005B47C4" w:rsidRDefault="00794235" w:rsidP="00794235">
                      <w:pPr>
                        <w:rPr>
                          <w:b/>
                          <w:bCs/>
                          <w:color w:val="0F4761" w:themeColor="accent1" w:themeShade="BF"/>
                          <w:lang w:val="en-US"/>
                        </w:rPr>
                      </w:pPr>
                      <w:r w:rsidRPr="005B47C4">
                        <w:rPr>
                          <w:b/>
                          <w:bCs/>
                          <w:color w:val="0F4761" w:themeColor="accent1" w:themeShade="BF"/>
                          <w:lang w:val="en-US"/>
                        </w:rPr>
                        <w:t>Low</w:t>
                      </w:r>
                    </w:p>
                  </w:txbxContent>
                </v:textbox>
                <w10:wrap anchorx="margin"/>
              </v:shape>
            </w:pict>
          </mc:Fallback>
        </mc:AlternateContent>
      </w:r>
      <w:r>
        <w:rPr>
          <w:rFonts w:eastAsia="Times New Roman"/>
          <w:noProof/>
          <w:lang w:eastAsia="en-GB"/>
        </w:rPr>
        <mc:AlternateContent>
          <mc:Choice Requires="wps">
            <w:drawing>
              <wp:anchor distT="0" distB="0" distL="114300" distR="114300" simplePos="0" relativeHeight="251764224" behindDoc="0" locked="0" layoutInCell="1" allowOverlap="1" wp14:anchorId="5A19D5AC" wp14:editId="498861F1">
                <wp:simplePos x="0" y="0"/>
                <wp:positionH relativeFrom="margin">
                  <wp:posOffset>5011420</wp:posOffset>
                </wp:positionH>
                <wp:positionV relativeFrom="paragraph">
                  <wp:posOffset>98425</wp:posOffset>
                </wp:positionV>
                <wp:extent cx="525780" cy="251460"/>
                <wp:effectExtent l="0" t="0" r="26670" b="15240"/>
                <wp:wrapNone/>
                <wp:docPr id="972191686" name="Text Box 13"/>
                <wp:cNvGraphicFramePr/>
                <a:graphic xmlns:a="http://schemas.openxmlformats.org/drawingml/2006/main">
                  <a:graphicData uri="http://schemas.microsoft.com/office/word/2010/wordprocessingShape">
                    <wps:wsp>
                      <wps:cNvSpPr txBox="1"/>
                      <wps:spPr>
                        <a:xfrm>
                          <a:off x="0" y="0"/>
                          <a:ext cx="525780" cy="251460"/>
                        </a:xfrm>
                        <a:prstGeom prst="rect">
                          <a:avLst/>
                        </a:prstGeom>
                        <a:solidFill>
                          <a:sysClr val="window" lastClr="FFFFFF"/>
                        </a:solidFill>
                        <a:ln w="6350">
                          <a:solidFill>
                            <a:sysClr val="window" lastClr="FFFFFF"/>
                          </a:solidFill>
                        </a:ln>
                      </wps:spPr>
                      <wps:txbx>
                        <w:txbxContent>
                          <w:p w14:paraId="7D305DFA" w14:textId="075508E7" w:rsidR="005B47C4" w:rsidRPr="005B47C4" w:rsidRDefault="005B47C4" w:rsidP="005B47C4">
                            <w:pPr>
                              <w:rPr>
                                <w:b/>
                                <w:bCs/>
                                <w:color w:val="0F4761" w:themeColor="accent1" w:themeShade="BF"/>
                                <w:lang w:val="en-US"/>
                              </w:rPr>
                            </w:pPr>
                            <w:r>
                              <w:rPr>
                                <w:b/>
                                <w:bCs/>
                                <w:color w:val="0F4761" w:themeColor="accent1" w:themeShade="BF"/>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9D5AC" id="_x0000_s1033" type="#_x0000_t202" style="position:absolute;left:0;text-align:left;margin-left:394.6pt;margin-top:7.75pt;width:41.4pt;height:19.8pt;z-index:251764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k/OPQIAAKQEAAAOAAAAZHJzL2Uyb0RvYy54bWysVNtuGjEQfa/Uf7D83ixQyAWxRJSIqlKU&#10;REqqPBuvDSt5Pa5t2KVf32NzyaV9isqDmfGM53LOzE6uu8awrfKhJlvy/lmPM2UlVbVdlfzn0+LL&#10;JWchClsJQ1aVfKcCv55+/jRp3VgNaE2mUp4hiA3j1pV8HaMbF0WQa9WIcEZOWRg1+UZEqH5VVF60&#10;iN6YYtDrnRct+cp5kioE3N7sjXya42utZLzXOqjITMlRW8ynz+cyncV0IsYrL9y6locyxAeqaERt&#10;kfQU6kZEwTa+/itUU0tPgXQ8k9QUpHUtVe4B3fR777p5XAunci8AJ7gTTOH/hZV320f34FnsvlEH&#10;AhMgrQvjgMvUT6d9k/5RKYMdEO5OsKkuMonL0WB0cQmLhGkw6g/PM6zFy2PnQ/yuqGFJKLkHKxks&#10;sb0NEQnhenRJuQKZulrUxmRlF+bGs60AgeC9opYzI0LEZckX+ZdqRog3z4xlbcnPv456OdMbW/hI&#10;SCQwFnlewElS7JYdq6uSXxyBW1K1A56e9qMWnFzU6PoWJT8Ij9kCUNiXeI9DG0KRdJA4W5P//a/7&#10;5A/KYeWsxayWPPzaCK+AxA+LYbjqD4dpuLMyHF0MoPjXluVri900cwKafWymk1lM/tEcRe2pecZa&#10;zVJWmISVyF3yeBTncb9BWEupZrPshHF2It7aRydT6ERd4vSpexbeHYiPmJg7Ok61GL/jf++bXlqa&#10;bSLpOg9HwnmP6gF+rEIm/LC2adde69nr5eMy/QMAAP//AwBQSwMEFAAGAAgAAAAhAPd5/rbeAAAA&#10;CQEAAA8AAABkcnMvZG93bnJldi54bWxMj0FLw0AQhe+C/2EZwZvdNBIbYzYlCBYRFFo9eJzujptg&#10;djdkt238944nexzex5vv1evZDeJIU+yDV7BcZCDI62B6bxV8vD/dlCBiQm9wCJ4U/FCEdXN5UWNl&#10;wslv6bhLVnCJjxUq6FIaKymj7shhXISRPGdfYXKY+JysNBOeuNwNMs+yO+mw9/yhw5EeO9Lfu4NT&#10;8LLdYG43z9nr7Wdq32zSbZy0UtdXc/sAItGc/mH402d1aNhpHw7eRDEoWJX3OaMcFAUIBspVzuP2&#10;CopiCbKp5fmC5hcAAP//AwBQSwECLQAUAAYACAAAACEAtoM4kv4AAADhAQAAEwAAAAAAAAAAAAAA&#10;AAAAAAAAW0NvbnRlbnRfVHlwZXNdLnhtbFBLAQItABQABgAIAAAAIQA4/SH/1gAAAJQBAAALAAAA&#10;AAAAAAAAAAAAAC8BAABfcmVscy8ucmVsc1BLAQItABQABgAIAAAAIQDtvk/OPQIAAKQEAAAOAAAA&#10;AAAAAAAAAAAAAC4CAABkcnMvZTJvRG9jLnhtbFBLAQItABQABgAIAAAAIQD3ef623gAAAAkBAAAP&#10;AAAAAAAAAAAAAAAAAJcEAABkcnMvZG93bnJldi54bWxQSwUGAAAAAAQABADzAAAAogUAAAAA&#10;" fillcolor="window" strokecolor="window" strokeweight=".5pt">
                <v:textbox>
                  <w:txbxContent>
                    <w:p w14:paraId="7D305DFA" w14:textId="075508E7" w:rsidR="005B47C4" w:rsidRPr="005B47C4" w:rsidRDefault="005B47C4" w:rsidP="005B47C4">
                      <w:pPr>
                        <w:rPr>
                          <w:b/>
                          <w:bCs/>
                          <w:color w:val="0F4761" w:themeColor="accent1" w:themeShade="BF"/>
                          <w:lang w:val="en-US"/>
                        </w:rPr>
                      </w:pPr>
                      <w:r>
                        <w:rPr>
                          <w:b/>
                          <w:bCs/>
                          <w:color w:val="0F4761" w:themeColor="accent1" w:themeShade="BF"/>
                          <w:lang w:val="en-US"/>
                        </w:rPr>
                        <w:t>High</w:t>
                      </w:r>
                    </w:p>
                  </w:txbxContent>
                </v:textbox>
                <w10:wrap anchorx="margin"/>
              </v:shape>
            </w:pict>
          </mc:Fallback>
        </mc:AlternateContent>
      </w:r>
      <w:r>
        <w:rPr>
          <w:rFonts w:eastAsia="Times New Roman"/>
          <w:noProof/>
          <w:lang w:eastAsia="en-GB"/>
        </w:rPr>
        <mc:AlternateContent>
          <mc:Choice Requires="wps">
            <w:drawing>
              <wp:anchor distT="0" distB="0" distL="114300" distR="114300" simplePos="0" relativeHeight="251647488" behindDoc="0" locked="0" layoutInCell="1" allowOverlap="1" wp14:anchorId="4D33475D" wp14:editId="11066C9D">
                <wp:simplePos x="0" y="0"/>
                <wp:positionH relativeFrom="margin">
                  <wp:posOffset>937260</wp:posOffset>
                </wp:positionH>
                <wp:positionV relativeFrom="paragraph">
                  <wp:posOffset>209550</wp:posOffset>
                </wp:positionV>
                <wp:extent cx="4008120" cy="11430"/>
                <wp:effectExtent l="0" t="95250" r="0" b="121920"/>
                <wp:wrapNone/>
                <wp:docPr id="1884943974" name="Straight Connector 11"/>
                <wp:cNvGraphicFramePr/>
                <a:graphic xmlns:a="http://schemas.openxmlformats.org/drawingml/2006/main">
                  <a:graphicData uri="http://schemas.microsoft.com/office/word/2010/wordprocessingShape">
                    <wps:wsp>
                      <wps:cNvCnPr/>
                      <wps:spPr>
                        <a:xfrm flipV="1">
                          <a:off x="0" y="0"/>
                          <a:ext cx="4008120" cy="11430"/>
                        </a:xfrm>
                        <a:prstGeom prst="line">
                          <a:avLst/>
                        </a:prstGeom>
                        <a:ln w="47625">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F91B9A" id="Straight Connector 11" o:spid="_x0000_s1026" style="position:absolute;flip:y;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3.8pt,16.5pt" to="389.4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L4HzgEAAPEDAAAOAAAAZHJzL2Uyb0RvYy54bWysU8tuFDEQvCPxD5bv7DwIIRrtbA4JcEEQ&#10;8bo7nvaOJb9km52dv6fdsztBEBEp4mLZ7u6qrnJ7e320hh0gJu1dz5tNzRk46Qft9j3//u39qyvO&#10;UhZuEMY76PkMiV/vXr7YTqGD1o/eDBAZgrjUTaHnY86hq6okR7AibXwAh0HloxUZj3FfDVFMiG5N&#10;1db1ZTX5OIToJaSEt7dLkO8IXymQ+bNSCTIzPcfeMq2R1vuyVrut6PZRhFHLUxviGV1YoR2SrlC3&#10;Igv2M+q/oKyW0Sev8kZ6W3mltATSgGqa+g81X0cRgLSgOSmsNqX/Bys/HW7cXUQbppC6FO5iUXFU&#10;0TJldPiBb0q6sFN2JNvm1TY4Zibx8qKur5oW3ZUYa5qL12RrtcAUuBBT/gDesrLpudGuqBKdOHxM&#10;Gakx9ZxSro1jE6K+vWzfUNoIYnjnBpbngBOUoxZub2B5uiy0eTyGoMYh9oMu2uXZwELyBRTTA/bf&#10;EguNHNyYyA4Ch0VICS43hYWQMLuUKW3MWlg/XXjKL6VA47gWL77+k3WtIGbv8lpstfPxMfZ8PLes&#10;lvyzA4vuYsG9H2Z6cbIG54oUnv5AGdzfz1T+8FN3vwAAAP//AwBQSwMEFAAGAAgAAAAhABUZtCve&#10;AAAACQEAAA8AAABkcnMvZG93bnJldi54bWxMj81OwzAQhO9IvIO1SNyo0zY0UYhToUrhpzcKB45O&#10;vE0i4nVku214e5YTHGf20+xMuZ3tKM7ow+BIwXKRgEBqnRmoU/DxXt/lIELUZPToCBV8Y4BtdX1V&#10;6sK4C73h+RA7wSEUCq2gj3EqpAxtj1aHhZuQ+HZ03urI0nfSeH3hcDvKVZJspNUD8YdeT7jrsf06&#10;nKwC/1TXu2453c97m75+Hp99eFk1St3ezI8PICLO8Q+G3/pcHSru1LgTmSBG1mm2YVTBes2bGMiy&#10;nLc0bKQ5yKqU/xdUPwAAAP//AwBQSwECLQAUAAYACAAAACEAtoM4kv4AAADhAQAAEwAAAAAAAAAA&#10;AAAAAAAAAAAAW0NvbnRlbnRfVHlwZXNdLnhtbFBLAQItABQABgAIAAAAIQA4/SH/1gAAAJQBAAAL&#10;AAAAAAAAAAAAAAAAAC8BAABfcmVscy8ucmVsc1BLAQItABQABgAIAAAAIQCaOL4HzgEAAPEDAAAO&#10;AAAAAAAAAAAAAAAAAC4CAABkcnMvZTJvRG9jLnhtbFBLAQItABQABgAIAAAAIQAVGbQr3gAAAAkB&#10;AAAPAAAAAAAAAAAAAAAAACgEAABkcnMvZG93bnJldi54bWxQSwUGAAAAAAQABADzAAAAMwUAAAAA&#10;" strokecolor="#156082 [3204]" strokeweight="3.75pt">
                <v:stroke startarrow="block" endarrow="block" joinstyle="miter"/>
                <w10:wrap anchorx="margin"/>
              </v:line>
            </w:pict>
          </mc:Fallback>
        </mc:AlternateContent>
      </w:r>
    </w:p>
    <w:p w14:paraId="14758594" w14:textId="77777777" w:rsidR="00601AA6" w:rsidRDefault="007011FD" w:rsidP="00601AA6">
      <w:pPr>
        <w:keepNext/>
      </w:pPr>
      <w:r>
        <w:rPr>
          <w:rFonts w:eastAsia="Times New Roman"/>
          <w:noProof/>
          <w:lang w:eastAsia="en-GB"/>
        </w:rPr>
        <mc:AlternateContent>
          <mc:Choice Requires="wps">
            <w:drawing>
              <wp:anchor distT="0" distB="0" distL="114300" distR="114300" simplePos="0" relativeHeight="251935232" behindDoc="0" locked="0" layoutInCell="1" allowOverlap="1" wp14:anchorId="32D5909A" wp14:editId="200BF523">
                <wp:simplePos x="0" y="0"/>
                <wp:positionH relativeFrom="margin">
                  <wp:posOffset>472440</wp:posOffset>
                </wp:positionH>
                <wp:positionV relativeFrom="paragraph">
                  <wp:posOffset>2506980</wp:posOffset>
                </wp:positionV>
                <wp:extent cx="525780" cy="251460"/>
                <wp:effectExtent l="0" t="0" r="26670" b="15240"/>
                <wp:wrapNone/>
                <wp:docPr id="786832585" name="Text Box 13"/>
                <wp:cNvGraphicFramePr/>
                <a:graphic xmlns:a="http://schemas.openxmlformats.org/drawingml/2006/main">
                  <a:graphicData uri="http://schemas.microsoft.com/office/word/2010/wordprocessingShape">
                    <wps:wsp>
                      <wps:cNvSpPr txBox="1"/>
                      <wps:spPr>
                        <a:xfrm>
                          <a:off x="0" y="0"/>
                          <a:ext cx="525780" cy="251460"/>
                        </a:xfrm>
                        <a:prstGeom prst="rect">
                          <a:avLst/>
                        </a:prstGeom>
                        <a:solidFill>
                          <a:sysClr val="window" lastClr="FFFFFF"/>
                        </a:solidFill>
                        <a:ln w="6350">
                          <a:solidFill>
                            <a:sysClr val="window" lastClr="FFFFFF"/>
                          </a:solidFill>
                        </a:ln>
                      </wps:spPr>
                      <wps:txbx>
                        <w:txbxContent>
                          <w:p w14:paraId="5C4E0B02" w14:textId="77777777" w:rsidR="00431B0B" w:rsidRPr="005B47C4" w:rsidRDefault="00431B0B" w:rsidP="00431B0B">
                            <w:pPr>
                              <w:rPr>
                                <w:b/>
                                <w:bCs/>
                                <w:color w:val="0F4761" w:themeColor="accent1" w:themeShade="BF"/>
                                <w:lang w:val="en-US"/>
                              </w:rPr>
                            </w:pPr>
                            <w:r>
                              <w:rPr>
                                <w:b/>
                                <w:bCs/>
                                <w:color w:val="0F4761" w:themeColor="accent1" w:themeShade="BF"/>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5909A" id="_x0000_s1034" type="#_x0000_t202" style="position:absolute;left:0;text-align:left;margin-left:37.2pt;margin-top:197.4pt;width:41.4pt;height:19.8pt;z-index:25193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qVPQIAAKQEAAAOAAAAZHJzL2Uyb0RvYy54bWysVE1vGjEQvVfqf7B8bxYo5AOxRJSIqlKU&#10;REqqnI3XhpW8Htc27NJf32cDCUl7isrBzHjG8/HezE6uu8awrfKhJlvy/lmPM2UlVbVdlfzn0+LL&#10;JWchClsJQ1aVfKcCv55+/jRp3VgNaE2mUp4hiA3j1pV8HaMbF0WQa9WIcEZOWRg1+UZEqH5VVF60&#10;iN6YYtDrnRct+cp5kioE3N7sjXya42utZLzXOqjITMlRW8ynz+cyncV0IsYrL9y6locyxAeqaERt&#10;kfQl1I2Igm18/VeoppaeAul4JqkpSOtaqtwDuun33nXzuBZO5V4ATnAvMIX/F1bebR/dg2ex+0Yd&#10;CEyAtC6MAy5TP532TfpHpQx2QLh7gU11kUlcjgaji0tYJEyDUX94nmEtXh87H+J3RQ1LQsk9WMlg&#10;ie1tiEgI16NLyhXI1NWiNiYruzA3nm0FCATvFbWcGREiLku+yL9UM0K8eWYsa0t+/nXUy5ne2MJH&#10;QiKBscjzCk6SYrfsWF2V/PII3JKqHfD0tB+14OSiRte3KPlBeMwWgMK+xHsc2hCKpIPE2Zr873/d&#10;J39QDitnLWa15OHXRngFJH5YDMNVfzhMw52V4ehiAMWfWpanFrtp5gQ0+9hMJ7OY/KM5itpT84y1&#10;mqWsMAkrkbvk8SjO436DsJZSzWbZCePsRLy1j06m0Im6xOlT9yy8OxAfMTF3dJxqMX7H/943vbQ0&#10;20TSdR6OhPMe1QP8WIVM+GFt066d6tnr9eMy/QMAAP//AwBQSwMEFAAGAAgAAAAhAJeo7ODfAAAA&#10;CgEAAA8AAABkcnMvZG93bnJldi54bWxMj0FLxDAQhe+C/yGM4M1NbaurtdOlCC4iKOzqweNsEtNi&#10;k5Qmu1v/vbMnPQ7v48336tXsBnEwU+yDR7heZCCMV0H33iJ8vD9d3YGIibymIXiD8GMirJrzs5oq&#10;HY5+Yw7bZAWX+FgRQpfSWEkZVWccxUUYjefsK0yOEp+TlXqiI5e7QeZZdisd9Z4/dDSax86o7+3e&#10;Ibxs1pTb9XP2Wnym9s0m1cZJIV5ezO0DiGTm9AfDSZ/VoWGnXdh7HcWAsCxLJhGK+5InnICbZQ5i&#10;h1AWHMmmlv8nNL8AAAD//wMAUEsBAi0AFAAGAAgAAAAhALaDOJL+AAAA4QEAABMAAAAAAAAAAAAA&#10;AAAAAAAAAFtDb250ZW50X1R5cGVzXS54bWxQSwECLQAUAAYACAAAACEAOP0h/9YAAACUAQAACwAA&#10;AAAAAAAAAAAAAAAvAQAAX3JlbHMvLnJlbHNQSwECLQAUAAYACAAAACEA7if6lT0CAACkBAAADgAA&#10;AAAAAAAAAAAAAAAuAgAAZHJzL2Uyb0RvYy54bWxQSwECLQAUAAYACAAAACEAl6js4N8AAAAKAQAA&#10;DwAAAAAAAAAAAAAAAACXBAAAZHJzL2Rvd25yZXYueG1sUEsFBgAAAAAEAAQA8wAAAKMFAAAAAA==&#10;" fillcolor="window" strokecolor="window" strokeweight=".5pt">
                <v:textbox>
                  <w:txbxContent>
                    <w:p w14:paraId="5C4E0B02" w14:textId="77777777" w:rsidR="00431B0B" w:rsidRPr="005B47C4" w:rsidRDefault="00431B0B" w:rsidP="00431B0B">
                      <w:pPr>
                        <w:rPr>
                          <w:b/>
                          <w:bCs/>
                          <w:color w:val="0F4761" w:themeColor="accent1" w:themeShade="BF"/>
                          <w:lang w:val="en-US"/>
                        </w:rPr>
                      </w:pPr>
                      <w:r>
                        <w:rPr>
                          <w:b/>
                          <w:bCs/>
                          <w:color w:val="0F4761" w:themeColor="accent1" w:themeShade="BF"/>
                          <w:lang w:val="en-US"/>
                        </w:rPr>
                        <w:t>High</w:t>
                      </w:r>
                    </w:p>
                  </w:txbxContent>
                </v:textbox>
                <w10:wrap anchorx="margin"/>
              </v:shape>
            </w:pict>
          </mc:Fallback>
        </mc:AlternateContent>
      </w:r>
      <w:r>
        <w:rPr>
          <w:rFonts w:eastAsia="Times New Roman"/>
          <w:noProof/>
          <w:lang w:eastAsia="en-GB"/>
        </w:rPr>
        <mc:AlternateContent>
          <mc:Choice Requires="wps">
            <w:drawing>
              <wp:anchor distT="0" distB="0" distL="114300" distR="114300" simplePos="0" relativeHeight="251992576" behindDoc="0" locked="0" layoutInCell="1" allowOverlap="1" wp14:anchorId="3C438ACC" wp14:editId="76BF62EA">
                <wp:simplePos x="0" y="0"/>
                <wp:positionH relativeFrom="margin">
                  <wp:posOffset>201930</wp:posOffset>
                </wp:positionH>
                <wp:positionV relativeFrom="paragraph">
                  <wp:posOffset>989965</wp:posOffset>
                </wp:positionV>
                <wp:extent cx="693420" cy="266700"/>
                <wp:effectExtent l="3810" t="0" r="15240" b="15240"/>
                <wp:wrapNone/>
                <wp:docPr id="519351790" name="Text Box 12"/>
                <wp:cNvGraphicFramePr/>
                <a:graphic xmlns:a="http://schemas.openxmlformats.org/drawingml/2006/main">
                  <a:graphicData uri="http://schemas.microsoft.com/office/word/2010/wordprocessingShape">
                    <wps:wsp>
                      <wps:cNvSpPr txBox="1"/>
                      <wps:spPr>
                        <a:xfrm rot="16200000">
                          <a:off x="0" y="0"/>
                          <a:ext cx="693420" cy="266700"/>
                        </a:xfrm>
                        <a:prstGeom prst="rect">
                          <a:avLst/>
                        </a:prstGeom>
                        <a:solidFill>
                          <a:sysClr val="window" lastClr="FFFFFF"/>
                        </a:solidFill>
                        <a:ln w="6350">
                          <a:solidFill>
                            <a:sysClr val="window" lastClr="FFFFFF"/>
                          </a:solidFill>
                        </a:ln>
                      </wps:spPr>
                      <wps:txbx>
                        <w:txbxContent>
                          <w:p w14:paraId="4BBBBA03" w14:textId="6ECF3B77" w:rsidR="00543C8A" w:rsidRPr="005B47C4" w:rsidRDefault="00543C8A" w:rsidP="00543C8A">
                            <w:pPr>
                              <w:jc w:val="center"/>
                              <w:rPr>
                                <w:b/>
                                <w:bCs/>
                                <w:color w:val="0F4761" w:themeColor="accent1" w:themeShade="BF"/>
                                <w:lang w:val="en-US"/>
                              </w:rPr>
                            </w:pPr>
                            <w:r>
                              <w:rPr>
                                <w:b/>
                                <w:bCs/>
                                <w:color w:val="0F4761" w:themeColor="accent1" w:themeShade="BF"/>
                                <w:lang w:val="en-US"/>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38ACC" id="_x0000_s1035" type="#_x0000_t202" style="position:absolute;left:0;text-align:left;margin-left:15.9pt;margin-top:77.95pt;width:54.6pt;height:21pt;rotation:-90;z-index:25199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NA/QQIAALMEAAAOAAAAZHJzL2Uyb0RvYy54bWysVFFv2jAQfp+0/2D5fQQopQM1VIyKaRJq&#10;K7VTn43jQCTH59mGhP36fXagpd2equXhdL47f7777i7XN22t2V45X5HJ+aDX50wZSUVlNjn/+bT8&#10;8pUzH4QphCajcn5Qnt/MPn+6buxUDWlLulCOAcT4aWNzvg3BTrPMy62qhe+RVQbOklwtAo5ukxVO&#10;NECvdTbs98dZQ66wjqTyHtbbzslnCb8slQz3ZelVYDrnyC0k6ZJcR5nNrsV044TdVvKYhvhAFrWo&#10;DB59gboVQbCdq/6CqivpyFMZepLqjMqykirVgGoG/XfVPG6FVakWkOPtC03+/8HKu/2jfXAstN+o&#10;RQMjIY31Uw9jrKctXc0cgbfBGHzjS2UicYZwMHp4YVG1gUkYx5OL0RAeCddwPL7CFYBmHVbEtM6H&#10;74pqFpWcOzQpgYr9yocu9BQSwz3pqlhWWqfDwS+0Y3uBfmIMCmo408IHGHO+TN/xtTfXtGENMru4&#10;7NJ/4/MfgUQ52qCqV66iFtp1y6oi55MTj2sqDqA3MQhOvJXLClWvkPKDcBg1GLE+4R6i1IQk6ahx&#10;tiX3+1/2GI8JgJezBqObc/9rJ5wCEz8MZmMyGI0AG9JhdHkVm+HOPetzj9nVCwKbg5RdUmN80Ce1&#10;dFQ/Y8vm8VW4hJF4O+fhpC5Ct1DYUqnm8xSE6bYirMyjlRH61Pan9lk4e2x8wMTc0WnIxfRd/7vY&#10;eNPQfBeorNJwRJ47Vo/0YzPSeB23OK7e+TlFvf5rZn8AAAD//wMAUEsDBBQABgAIAAAAIQARnPFm&#10;3QAAAAoBAAAPAAAAZHJzL2Rvd25yZXYueG1sTI/LbsIwEEX3lfoP1iB1VxxCQ1GIg6Co6wraDzDx&#10;NI6I7dQ2efTrO6zKcu4c3TlTbEfTsh59aJwVsJgnwNBWTjW2FvD1+f68BhaitEq2zqKACQNsy8eH&#10;QubKDfaI/SnWjEpsyKUAHWOXcx4qjUaGuevQ0u7beSMjjb7mysuByk3L0yRZcSMbSxe07PBNY3U5&#10;XY2AYRfW/c/xw0+XwzT4bL+PvwctxNNs3G2ARRzjPww3fVKHkpzO7mpVYK2AVfZCJOVpugR2A5JX&#10;Ss4C0uUiA14W/P6F8g8AAP//AwBQSwECLQAUAAYACAAAACEAtoM4kv4AAADhAQAAEwAAAAAAAAAA&#10;AAAAAAAAAAAAW0NvbnRlbnRfVHlwZXNdLnhtbFBLAQItABQABgAIAAAAIQA4/SH/1gAAAJQBAAAL&#10;AAAAAAAAAAAAAAAAAC8BAABfcmVscy8ucmVsc1BLAQItABQABgAIAAAAIQDlDNA/QQIAALMEAAAO&#10;AAAAAAAAAAAAAAAAAC4CAABkcnMvZTJvRG9jLnhtbFBLAQItABQABgAIAAAAIQARnPFm3QAAAAoB&#10;AAAPAAAAAAAAAAAAAAAAAJsEAABkcnMvZG93bnJldi54bWxQSwUGAAAAAAQABADzAAAApQUAAAAA&#10;" fillcolor="window" strokecolor="window" strokeweight=".5pt">
                <v:textbox>
                  <w:txbxContent>
                    <w:p w14:paraId="4BBBBA03" w14:textId="6ECF3B77" w:rsidR="00543C8A" w:rsidRPr="005B47C4" w:rsidRDefault="00543C8A" w:rsidP="00543C8A">
                      <w:pPr>
                        <w:jc w:val="center"/>
                        <w:rPr>
                          <w:b/>
                          <w:bCs/>
                          <w:color w:val="0F4761" w:themeColor="accent1" w:themeShade="BF"/>
                          <w:lang w:val="en-US"/>
                        </w:rPr>
                      </w:pPr>
                      <w:r>
                        <w:rPr>
                          <w:b/>
                          <w:bCs/>
                          <w:color w:val="0F4761" w:themeColor="accent1" w:themeShade="BF"/>
                          <w:lang w:val="en-US"/>
                        </w:rPr>
                        <w:t>Power</w:t>
                      </w:r>
                    </w:p>
                  </w:txbxContent>
                </v:textbox>
                <w10:wrap anchorx="margin"/>
              </v:shape>
            </w:pict>
          </mc:Fallback>
        </mc:AlternateContent>
      </w:r>
      <w:r>
        <w:rPr>
          <w:rFonts w:eastAsia="Times New Roman"/>
          <w:noProof/>
          <w:lang w:eastAsia="en-GB"/>
        </w:rPr>
        <mc:AlternateContent>
          <mc:Choice Requires="wps">
            <w:drawing>
              <wp:anchor distT="0" distB="0" distL="114300" distR="114300" simplePos="0" relativeHeight="251821568" behindDoc="0" locked="0" layoutInCell="1" allowOverlap="1" wp14:anchorId="2469206A" wp14:editId="36FB58AF">
                <wp:simplePos x="0" y="0"/>
                <wp:positionH relativeFrom="margin">
                  <wp:posOffset>723900</wp:posOffset>
                </wp:positionH>
                <wp:positionV relativeFrom="paragraph">
                  <wp:posOffset>46355</wp:posOffset>
                </wp:positionV>
                <wp:extent cx="3810" cy="2377440"/>
                <wp:effectExtent l="57150" t="38100" r="72390" b="60960"/>
                <wp:wrapNone/>
                <wp:docPr id="1319660984" name="Straight Connector 11"/>
                <wp:cNvGraphicFramePr/>
                <a:graphic xmlns:a="http://schemas.openxmlformats.org/drawingml/2006/main">
                  <a:graphicData uri="http://schemas.microsoft.com/office/word/2010/wordprocessingShape">
                    <wps:wsp>
                      <wps:cNvCnPr/>
                      <wps:spPr>
                        <a:xfrm flipV="1">
                          <a:off x="0" y="0"/>
                          <a:ext cx="3810" cy="2377440"/>
                        </a:xfrm>
                        <a:prstGeom prst="line">
                          <a:avLst/>
                        </a:prstGeom>
                        <a:noFill/>
                        <a:ln w="47625" cap="flat" cmpd="sng" algn="ctr">
                          <a:solidFill>
                            <a:srgbClr val="156082"/>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line w14:anchorId="190A46F3" id="Straight Connector 11" o:spid="_x0000_s1026" style="position:absolute;flip:y;z-index:251821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7pt,3.65pt" to="57.3pt,19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Z4J0AEAAIsDAAAOAAAAZHJzL2Uyb0RvYy54bWysU8uO2zAMvBfoPwi6N3a82SQw4uxh0+2l&#10;aBfo487Iki1AL4hqnPx9KTlNt49T0RwEiWSGnOF493C2hp1kRO1dx5eLmjPphO+1Gzr+5fPTmy1n&#10;mMD1YLyTHb9I5A/71692U2hl40dvehkZgThsp9DxMaXQVhWKUVrAhQ/SUVL5aCHRMw5VH2EidGuq&#10;pq7X1eRjH6IXEpGihznJ9wVfKSnSR6VQJmY6TrOlcsZyHvNZ7XfQDhHCqMV1DPiHKSxoR01vUAdI&#10;wL5F/QeU1SJ69CothLeVV0oLWTgQm2X9G5tPIwRZuJA4GG4y4f+DFR9Oj+45kgxTwBbDc8wszipa&#10;powOX2mnhRdNys5FtstNNnlOTFDwbrskaQUlmrvNZrUqqlYzSkYLEdM76S3Ll44b7TIpaOH0HhN1&#10;ptIfJTns/JM2pizGODZ1fLVZN/fUAMgfykCiqw19x9ENnIEZyHgixQKJ3ug+/z0DYRyOjyayE9Dy&#10;l/fretvkfVO7X8py7wPgONeV1GwLqxN502jb8W2df3N4lNC/dT1Ll0CGTlGDG4yccwm0+XuOuhqX&#10;p5LFlVfmP0XPt6PvL2UXVX7RxsuwV3dmS7180/3lN7T/DgAA//8DAFBLAwQUAAYACAAAACEAVQcG&#10;sd4AAAAJAQAADwAAAGRycy9kb3ducmV2LnhtbEyPwU7DMBBE70j8g7VIXBB10lRpFOJUCLUSAi4E&#10;PmAbL4lFvI5itwl/j3uC42hGM2+q3WIHcabJG8cK0lUCgrh12nCn4PPjcF+A8AFZ4+CYFPyQh119&#10;fVVhqd3M73RuQidiCfsSFfQhjKWUvu3Jol+5kTh6X26yGKKcOqknnGO5HeQ6SXJp0XBc6HGkp57a&#10;7+ZkFazD67zMb/v9IZPPTWeKlztncqVub5bHBxCBlvAXhgt+RIc6Mh3dibUXQ9TpJn4JCrYZiIuf&#10;bnIQRwVZkW5B1pX8/6D+BQAA//8DAFBLAQItABQABgAIAAAAIQC2gziS/gAAAOEBAAATAAAAAAAA&#10;AAAAAAAAAAAAAABbQ29udGVudF9UeXBlc10ueG1sUEsBAi0AFAAGAAgAAAAhADj9If/WAAAAlAEA&#10;AAsAAAAAAAAAAAAAAAAALwEAAF9yZWxzLy5yZWxzUEsBAi0AFAAGAAgAAAAhACZhngnQAQAAiwMA&#10;AA4AAAAAAAAAAAAAAAAALgIAAGRycy9lMm9Eb2MueG1sUEsBAi0AFAAGAAgAAAAhAFUHBrHeAAAA&#10;CQEAAA8AAAAAAAAAAAAAAAAAKgQAAGRycy9kb3ducmV2LnhtbFBLBQYAAAAABAAEAPMAAAA1BQAA&#10;AAA=&#10;" strokecolor="#156082" strokeweight="3.75pt">
                <v:stroke startarrow="block" endarrow="block" joinstyle="miter"/>
                <w10:wrap anchorx="margin"/>
              </v:line>
            </w:pict>
          </mc:Fallback>
        </mc:AlternateContent>
      </w:r>
      <w:r w:rsidR="00B26522">
        <w:rPr>
          <w:rFonts w:eastAsia="Times New Roman"/>
          <w:noProof/>
          <w:lang w:eastAsia="en-GB"/>
        </w:rPr>
        <w:drawing>
          <wp:inline distT="0" distB="0" distL="0" distR="0" wp14:anchorId="6EF64D73" wp14:editId="09879377">
            <wp:extent cx="5646420" cy="2644140"/>
            <wp:effectExtent l="0" t="0" r="0" b="0"/>
            <wp:docPr id="200801486"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B8A21E9" w14:textId="2D497D42" w:rsidR="00B26522" w:rsidRPr="00C43323" w:rsidRDefault="00601AA6" w:rsidP="001B282C">
      <w:pPr>
        <w:pStyle w:val="Caption"/>
        <w:spacing w:line="360" w:lineRule="auto"/>
        <w:rPr>
          <w:color w:val="0F4761" w:themeColor="accent1" w:themeShade="BF"/>
          <w:sz w:val="22"/>
        </w:rPr>
      </w:pPr>
      <w:bookmarkStart w:id="38" w:name="_Toc215910386"/>
      <w:r w:rsidRPr="00C43323">
        <w:rPr>
          <w:color w:val="0F4761" w:themeColor="accent1" w:themeShade="BF"/>
          <w:sz w:val="22"/>
          <w:szCs w:val="22"/>
        </w:rPr>
        <w:t xml:space="preserve">Figure </w:t>
      </w:r>
      <w:r w:rsidRPr="00C43323">
        <w:rPr>
          <w:color w:val="0F4761" w:themeColor="accent1" w:themeShade="BF"/>
          <w:sz w:val="22"/>
          <w:szCs w:val="22"/>
        </w:rPr>
        <w:fldChar w:fldCharType="begin"/>
      </w:r>
      <w:r w:rsidRPr="00C43323">
        <w:rPr>
          <w:color w:val="0F4761" w:themeColor="accent1" w:themeShade="BF"/>
          <w:sz w:val="22"/>
          <w:szCs w:val="22"/>
        </w:rPr>
        <w:instrText xml:space="preserve"> SEQ Figure \* ALPHABETIC </w:instrText>
      </w:r>
      <w:r w:rsidRPr="00C43323">
        <w:rPr>
          <w:color w:val="0F4761" w:themeColor="accent1" w:themeShade="BF"/>
          <w:sz w:val="22"/>
          <w:szCs w:val="22"/>
        </w:rPr>
        <w:fldChar w:fldCharType="separate"/>
      </w:r>
      <w:r w:rsidRPr="00C43323">
        <w:rPr>
          <w:noProof/>
          <w:color w:val="0F4761" w:themeColor="accent1" w:themeShade="BF"/>
          <w:sz w:val="22"/>
          <w:szCs w:val="22"/>
        </w:rPr>
        <w:t>B</w:t>
      </w:r>
      <w:r w:rsidRPr="00C43323">
        <w:rPr>
          <w:color w:val="0F4761" w:themeColor="accent1" w:themeShade="BF"/>
          <w:sz w:val="22"/>
          <w:szCs w:val="22"/>
        </w:rPr>
        <w:fldChar w:fldCharType="end"/>
      </w:r>
      <w:r w:rsidRPr="00C43323">
        <w:rPr>
          <w:color w:val="0F4761" w:themeColor="accent1" w:themeShade="BF"/>
          <w:sz w:val="22"/>
          <w:szCs w:val="22"/>
        </w:rPr>
        <w:t xml:space="preserve"> Mendelow’s Power-Interest Matrix-SHP</w:t>
      </w:r>
      <w:bookmarkEnd w:id="38"/>
    </w:p>
    <w:p w14:paraId="07B757F1" w14:textId="45B24FBD" w:rsidR="001B282C" w:rsidRPr="001B282C" w:rsidRDefault="001B282C" w:rsidP="001B282C">
      <w:r w:rsidRPr="006C57F9">
        <w:rPr>
          <w:b/>
          <w:bCs/>
        </w:rPr>
        <w:t>Source:</w:t>
      </w:r>
      <w:r>
        <w:t xml:space="preserve"> </w:t>
      </w:r>
      <w:r w:rsidR="006E6C9B">
        <w:t>Author, a</w:t>
      </w:r>
      <w:r w:rsidR="006C57F9">
        <w:t xml:space="preserve">dapted from </w:t>
      </w:r>
      <w:r w:rsidR="00915964">
        <w:t xml:space="preserve">Mendelow </w:t>
      </w:r>
      <w:sdt>
        <w:sdtPr>
          <w:id w:val="-1008133158"/>
          <w:citation/>
        </w:sdtPr>
        <w:sdtEndPr/>
        <w:sdtContent>
          <w:r w:rsidR="00915964">
            <w:fldChar w:fldCharType="begin"/>
          </w:r>
          <w:r w:rsidR="002E53A1">
            <w:rPr>
              <w:lang w:val="en-US"/>
            </w:rPr>
            <w:instrText xml:space="preserve">CITATION Men81 \n  \l 1033 </w:instrText>
          </w:r>
          <w:r w:rsidR="00915964">
            <w:fldChar w:fldCharType="separate"/>
          </w:r>
          <w:r w:rsidR="002E53A1" w:rsidRPr="002E53A1">
            <w:rPr>
              <w:noProof/>
              <w:lang w:val="en-US"/>
            </w:rPr>
            <w:t>(1981)</w:t>
          </w:r>
          <w:r w:rsidR="00915964">
            <w:fldChar w:fldCharType="end"/>
          </w:r>
        </w:sdtContent>
      </w:sdt>
      <w:r w:rsidR="00915964">
        <w:t xml:space="preserve">; SHP </w:t>
      </w:r>
      <w:sdt>
        <w:sdtPr>
          <w:id w:val="1180544466"/>
          <w:citation/>
        </w:sdtPr>
        <w:sdtEndPr/>
        <w:sdtContent>
          <w:r w:rsidR="006C57F9">
            <w:fldChar w:fldCharType="begin"/>
          </w:r>
          <w:r w:rsidR="006C57F9">
            <w:rPr>
              <w:lang w:val="en-US"/>
            </w:rPr>
            <w:instrText xml:space="preserve">CITATION SHP253 \n  \l 1033 </w:instrText>
          </w:r>
          <w:r w:rsidR="006C57F9">
            <w:fldChar w:fldCharType="separate"/>
          </w:r>
          <w:r w:rsidR="002E53A1" w:rsidRPr="002E53A1">
            <w:rPr>
              <w:noProof/>
              <w:lang w:val="en-US"/>
            </w:rPr>
            <w:t>(2025)</w:t>
          </w:r>
          <w:r w:rsidR="006C57F9">
            <w:fldChar w:fldCharType="end"/>
          </w:r>
        </w:sdtContent>
      </w:sdt>
      <w:r w:rsidR="00AC050B">
        <w:t xml:space="preserve">; </w:t>
      </w:r>
      <w:r w:rsidR="004C783A" w:rsidRPr="004C783A">
        <w:rPr>
          <w:noProof/>
          <w:lang w:val="en-US"/>
        </w:rPr>
        <w:t>Housing Ombudsman Service</w:t>
      </w:r>
      <w:r w:rsidR="004C783A">
        <w:rPr>
          <w:noProof/>
          <w:lang w:val="en-US"/>
        </w:rPr>
        <w:t xml:space="preserve"> </w:t>
      </w:r>
      <w:sdt>
        <w:sdtPr>
          <w:rPr>
            <w:noProof/>
            <w:lang w:val="en-US"/>
          </w:rPr>
          <w:id w:val="-1452934556"/>
          <w:citation/>
        </w:sdtPr>
        <w:sdtEndPr/>
        <w:sdtContent>
          <w:r w:rsidR="004C783A">
            <w:rPr>
              <w:noProof/>
              <w:lang w:val="en-US"/>
            </w:rPr>
            <w:fldChar w:fldCharType="begin"/>
          </w:r>
          <w:r w:rsidR="004C783A">
            <w:rPr>
              <w:noProof/>
              <w:lang w:val="en-US"/>
            </w:rPr>
            <w:instrText xml:space="preserve">CITATION Hou25 \n  \l 1033 </w:instrText>
          </w:r>
          <w:r w:rsidR="004C783A">
            <w:rPr>
              <w:noProof/>
              <w:lang w:val="en-US"/>
            </w:rPr>
            <w:fldChar w:fldCharType="separate"/>
          </w:r>
          <w:r w:rsidR="002E53A1" w:rsidRPr="002E53A1">
            <w:rPr>
              <w:noProof/>
              <w:lang w:val="en-US"/>
            </w:rPr>
            <w:t>(2025)</w:t>
          </w:r>
          <w:r w:rsidR="004C783A">
            <w:rPr>
              <w:noProof/>
              <w:lang w:val="en-US"/>
            </w:rPr>
            <w:fldChar w:fldCharType="end"/>
          </w:r>
        </w:sdtContent>
      </w:sdt>
    </w:p>
    <w:p w14:paraId="3921AFDB" w14:textId="4F9B6D08" w:rsidR="00205781" w:rsidRPr="00205781" w:rsidRDefault="00D41BBE" w:rsidP="00444ECA">
      <w:pPr>
        <w:pStyle w:val="Heading2"/>
      </w:pPr>
      <w:r>
        <w:t xml:space="preserve">   </w:t>
      </w:r>
      <w:bookmarkStart w:id="39" w:name="_Toc216130286"/>
      <w:r w:rsidR="00205781" w:rsidRPr="00205781">
        <w:t xml:space="preserve">6.3 RACI </w:t>
      </w:r>
      <w:r w:rsidR="00BE7AA5">
        <w:t>Matrix for</w:t>
      </w:r>
      <w:r w:rsidR="00F65768">
        <w:t xml:space="preserve"> SHP’s</w:t>
      </w:r>
      <w:r w:rsidR="00BE7AA5">
        <w:t xml:space="preserve"> Strategic Program</w:t>
      </w:r>
      <w:r w:rsidR="00F65768">
        <w:t>me</w:t>
      </w:r>
      <w:r w:rsidR="00BE7AA5">
        <w:t xml:space="preserve"> Delivery</w:t>
      </w:r>
      <w:bookmarkEnd w:id="39"/>
    </w:p>
    <w:p w14:paraId="2839F64D" w14:textId="7C2F333F" w:rsidR="00BE268B" w:rsidRPr="006F3A9D" w:rsidRDefault="006F3A9D" w:rsidP="006F3A9D">
      <w:pPr>
        <w:pStyle w:val="NormalWeb"/>
        <w:spacing w:line="360" w:lineRule="auto"/>
        <w:jc w:val="both"/>
        <w:rPr>
          <w:rFonts w:ascii="Arial" w:hAnsi="Arial" w:cs="Arial"/>
          <w:i w:val="0"/>
          <w:iCs w:val="0"/>
          <w:sz w:val="22"/>
          <w:szCs w:val="22"/>
        </w:rPr>
      </w:pPr>
      <w:r w:rsidRPr="006F3A9D">
        <w:rPr>
          <w:rFonts w:ascii="Arial" w:hAnsi="Arial" w:cs="Arial"/>
          <w:i w:val="0"/>
          <w:iCs w:val="0"/>
          <w:sz w:val="22"/>
          <w:szCs w:val="22"/>
        </w:rPr>
        <w:t xml:space="preserve">The </w:t>
      </w:r>
      <w:r w:rsidRPr="006F3A9D">
        <w:rPr>
          <w:rFonts w:ascii="Arial" w:hAnsi="Arial" w:cs="Arial"/>
          <w:b/>
          <w:bCs/>
          <w:i w:val="0"/>
          <w:iCs w:val="0"/>
          <w:sz w:val="22"/>
          <w:szCs w:val="22"/>
        </w:rPr>
        <w:t>RACI framework</w:t>
      </w:r>
      <w:r w:rsidRPr="006F3A9D">
        <w:rPr>
          <w:rFonts w:ascii="Arial" w:hAnsi="Arial" w:cs="Arial"/>
          <w:i w:val="0"/>
          <w:iCs w:val="0"/>
          <w:sz w:val="22"/>
          <w:szCs w:val="22"/>
        </w:rPr>
        <w:t xml:space="preserve"> (</w:t>
      </w:r>
      <w:r w:rsidRPr="006F3A9D">
        <w:rPr>
          <w:rFonts w:ascii="Arial" w:hAnsi="Arial" w:cs="Arial"/>
          <w:b/>
          <w:bCs/>
          <w:i w:val="0"/>
          <w:iCs w:val="0"/>
          <w:sz w:val="22"/>
          <w:szCs w:val="22"/>
        </w:rPr>
        <w:t>Table 13</w:t>
      </w:r>
      <w:r w:rsidRPr="006F3A9D">
        <w:rPr>
          <w:rFonts w:ascii="Arial" w:hAnsi="Arial" w:cs="Arial"/>
          <w:i w:val="0"/>
          <w:iCs w:val="0"/>
          <w:sz w:val="22"/>
          <w:szCs w:val="22"/>
        </w:rPr>
        <w:t xml:space="preserve">) defines stakeholder roles in delivering the SHC Strategy. The SHP Board and Executive Leadership are </w:t>
      </w:r>
      <w:r w:rsidRPr="006F3A9D">
        <w:rPr>
          <w:rFonts w:ascii="Arial" w:hAnsi="Arial" w:cs="Arial"/>
          <w:b/>
          <w:bCs/>
          <w:i w:val="0"/>
          <w:iCs w:val="0"/>
          <w:sz w:val="22"/>
          <w:szCs w:val="22"/>
        </w:rPr>
        <w:t>accountable (A)</w:t>
      </w:r>
      <w:r w:rsidRPr="006F3A9D">
        <w:rPr>
          <w:rFonts w:ascii="Arial" w:hAnsi="Arial" w:cs="Arial"/>
          <w:i w:val="0"/>
          <w:iCs w:val="0"/>
          <w:sz w:val="22"/>
          <w:szCs w:val="22"/>
        </w:rPr>
        <w:t xml:space="preserve"> for governance, compliance, and finances, while operational managers are </w:t>
      </w:r>
      <w:r w:rsidRPr="00E74271">
        <w:rPr>
          <w:rFonts w:ascii="Arial" w:hAnsi="Arial" w:cs="Arial"/>
          <w:b/>
          <w:bCs/>
          <w:i w:val="0"/>
          <w:iCs w:val="0"/>
          <w:sz w:val="22"/>
          <w:szCs w:val="22"/>
        </w:rPr>
        <w:t>responsible (R)</w:t>
      </w:r>
      <w:r w:rsidRPr="006F3A9D">
        <w:rPr>
          <w:rFonts w:ascii="Arial" w:hAnsi="Arial" w:cs="Arial"/>
          <w:i w:val="0"/>
          <w:iCs w:val="0"/>
          <w:sz w:val="22"/>
          <w:szCs w:val="22"/>
        </w:rPr>
        <w:t xml:space="preserve"> for implementing retrofits, digital systems, and resident engagement. LBS is </w:t>
      </w:r>
      <w:r w:rsidRPr="00E74271">
        <w:rPr>
          <w:rFonts w:ascii="Arial" w:hAnsi="Arial" w:cs="Arial"/>
          <w:b/>
          <w:bCs/>
          <w:i w:val="0"/>
          <w:iCs w:val="0"/>
          <w:sz w:val="22"/>
          <w:szCs w:val="22"/>
        </w:rPr>
        <w:t>consulted (C)</w:t>
      </w:r>
      <w:r w:rsidRPr="006F3A9D">
        <w:rPr>
          <w:rFonts w:ascii="Arial" w:hAnsi="Arial" w:cs="Arial"/>
          <w:i w:val="0"/>
          <w:iCs w:val="0"/>
          <w:sz w:val="22"/>
          <w:szCs w:val="22"/>
        </w:rPr>
        <w:t xml:space="preserve"> on regulation and funding, and the Regulator and residents are </w:t>
      </w:r>
      <w:r w:rsidRPr="00E74271">
        <w:rPr>
          <w:rFonts w:ascii="Arial" w:hAnsi="Arial" w:cs="Arial"/>
          <w:b/>
          <w:bCs/>
          <w:i w:val="0"/>
          <w:iCs w:val="0"/>
          <w:sz w:val="22"/>
          <w:szCs w:val="22"/>
        </w:rPr>
        <w:t>informed (I)</w:t>
      </w:r>
      <w:r w:rsidRPr="006F3A9D">
        <w:rPr>
          <w:rFonts w:ascii="Arial" w:hAnsi="Arial" w:cs="Arial"/>
          <w:i w:val="0"/>
          <w:iCs w:val="0"/>
          <w:sz w:val="22"/>
          <w:szCs w:val="22"/>
        </w:rPr>
        <w:t xml:space="preserve"> via dashboards and structured reporting </w:t>
      </w:r>
      <w:sdt>
        <w:sdtPr>
          <w:rPr>
            <w:rFonts w:ascii="Arial" w:hAnsi="Arial" w:cs="Arial"/>
            <w:i w:val="0"/>
            <w:iCs w:val="0"/>
            <w:sz w:val="22"/>
            <w:szCs w:val="22"/>
          </w:rPr>
          <w:id w:val="-1092628043"/>
          <w:citation/>
        </w:sdtPr>
        <w:sdtEndPr/>
        <w:sdtContent>
          <w:r w:rsidR="00E74271" w:rsidRPr="00E74271">
            <w:rPr>
              <w:rFonts w:ascii="Arial" w:hAnsi="Arial" w:cs="Arial"/>
              <w:i w:val="0"/>
              <w:iCs w:val="0"/>
              <w:sz w:val="22"/>
              <w:szCs w:val="22"/>
            </w:rPr>
            <w:fldChar w:fldCharType="begin"/>
          </w:r>
          <w:r w:rsidR="00E74271" w:rsidRPr="00E74271">
            <w:rPr>
              <w:rFonts w:ascii="Arial" w:hAnsi="Arial" w:cs="Arial"/>
              <w:i w:val="0"/>
              <w:iCs w:val="0"/>
              <w:sz w:val="22"/>
              <w:szCs w:val="22"/>
              <w:lang w:val="en-US"/>
            </w:rPr>
            <w:instrText xml:space="preserve"> CITATION Men81 \l 1033 </w:instrText>
          </w:r>
          <w:r w:rsidR="00E74271" w:rsidRPr="00E74271">
            <w:rPr>
              <w:rFonts w:ascii="Arial" w:hAnsi="Arial" w:cs="Arial"/>
              <w:i w:val="0"/>
              <w:iCs w:val="0"/>
              <w:sz w:val="22"/>
              <w:szCs w:val="22"/>
            </w:rPr>
            <w:fldChar w:fldCharType="separate"/>
          </w:r>
          <w:r w:rsidR="00E74271" w:rsidRPr="00E74271">
            <w:rPr>
              <w:rFonts w:ascii="Arial" w:hAnsi="Arial" w:cs="Arial"/>
              <w:i w:val="0"/>
              <w:iCs w:val="0"/>
              <w:noProof/>
              <w:sz w:val="22"/>
              <w:szCs w:val="22"/>
              <w:lang w:val="en-US"/>
            </w:rPr>
            <w:t>(Mendelow, 1981)</w:t>
          </w:r>
          <w:r w:rsidR="00E74271" w:rsidRPr="00E74271">
            <w:rPr>
              <w:rFonts w:ascii="Arial" w:hAnsi="Arial" w:cs="Arial"/>
              <w:i w:val="0"/>
              <w:iCs w:val="0"/>
              <w:sz w:val="22"/>
              <w:szCs w:val="22"/>
            </w:rPr>
            <w:fldChar w:fldCharType="end"/>
          </w:r>
        </w:sdtContent>
      </w:sdt>
      <w:r w:rsidRPr="00E74271">
        <w:rPr>
          <w:rFonts w:ascii="Arial" w:hAnsi="Arial" w:cs="Arial"/>
          <w:i w:val="0"/>
          <w:iCs w:val="0"/>
          <w:sz w:val="22"/>
          <w:szCs w:val="22"/>
        </w:rPr>
        <w:t>.</w:t>
      </w:r>
      <w:r w:rsidRPr="006F3A9D">
        <w:rPr>
          <w:rFonts w:ascii="Arial" w:hAnsi="Arial" w:cs="Arial"/>
          <w:i w:val="0"/>
          <w:iCs w:val="0"/>
          <w:sz w:val="22"/>
          <w:szCs w:val="22"/>
        </w:rPr>
        <w:t xml:space="preserve"> This approach ensures clear coordination, proportional accountability, and strategic alignment within an SME context </w:t>
      </w:r>
      <w:sdt>
        <w:sdtPr>
          <w:rPr>
            <w:rFonts w:ascii="Arial" w:hAnsi="Arial" w:cs="Arial"/>
            <w:i w:val="0"/>
            <w:iCs w:val="0"/>
            <w:sz w:val="22"/>
            <w:szCs w:val="22"/>
          </w:rPr>
          <w:id w:val="623734272"/>
          <w:citation/>
        </w:sdtPr>
        <w:sdtEndPr/>
        <w:sdtContent>
          <w:r w:rsidR="00E74271" w:rsidRPr="00E74271">
            <w:rPr>
              <w:rFonts w:ascii="Arial" w:hAnsi="Arial" w:cs="Arial"/>
              <w:i w:val="0"/>
              <w:iCs w:val="0"/>
              <w:sz w:val="22"/>
              <w:szCs w:val="22"/>
            </w:rPr>
            <w:fldChar w:fldCharType="begin"/>
          </w:r>
          <w:r w:rsidR="00E74271" w:rsidRPr="00E74271">
            <w:rPr>
              <w:rFonts w:ascii="Arial" w:hAnsi="Arial" w:cs="Arial"/>
              <w:i w:val="0"/>
              <w:iCs w:val="0"/>
              <w:sz w:val="22"/>
              <w:szCs w:val="22"/>
              <w:lang w:val="en-US"/>
            </w:rPr>
            <w:instrText xml:space="preserve"> CITATION Bry181 \l 1033 </w:instrText>
          </w:r>
          <w:r w:rsidR="00E74271" w:rsidRPr="00E74271">
            <w:rPr>
              <w:rFonts w:ascii="Arial" w:hAnsi="Arial" w:cs="Arial"/>
              <w:i w:val="0"/>
              <w:iCs w:val="0"/>
              <w:sz w:val="22"/>
              <w:szCs w:val="22"/>
            </w:rPr>
            <w:fldChar w:fldCharType="separate"/>
          </w:r>
          <w:r w:rsidR="00E74271" w:rsidRPr="00E74271">
            <w:rPr>
              <w:rFonts w:ascii="Arial" w:hAnsi="Arial" w:cs="Arial"/>
              <w:i w:val="0"/>
              <w:iCs w:val="0"/>
              <w:noProof/>
              <w:sz w:val="22"/>
              <w:szCs w:val="22"/>
              <w:lang w:val="en-US"/>
            </w:rPr>
            <w:t>(Bryson, 2018)</w:t>
          </w:r>
          <w:r w:rsidR="00E74271" w:rsidRPr="00E74271">
            <w:rPr>
              <w:rFonts w:ascii="Arial" w:hAnsi="Arial" w:cs="Arial"/>
              <w:i w:val="0"/>
              <w:iCs w:val="0"/>
              <w:sz w:val="22"/>
              <w:szCs w:val="22"/>
            </w:rPr>
            <w:fldChar w:fldCharType="end"/>
          </w:r>
        </w:sdtContent>
      </w:sdt>
      <w:r w:rsidRPr="006F3A9D">
        <w:rPr>
          <w:rFonts w:ascii="Arial" w:hAnsi="Arial" w:cs="Arial"/>
          <w:i w:val="0"/>
          <w:iCs w:val="0"/>
          <w:sz w:val="22"/>
          <w:szCs w:val="22"/>
        </w:rPr>
        <w:t>. Although robust, the matrix could better highlight risks from weak engagement, such as retrofit delays or reduced tenant satisfaction.</w:t>
      </w:r>
    </w:p>
    <w:p w14:paraId="67E1112D" w14:textId="77777777" w:rsidR="00FA02B2" w:rsidRPr="006F3A9D" w:rsidRDefault="00FA02B2" w:rsidP="006F3A9D">
      <w:pPr>
        <w:pStyle w:val="NormalWeb"/>
        <w:spacing w:line="360" w:lineRule="auto"/>
        <w:jc w:val="both"/>
        <w:rPr>
          <w:rFonts w:ascii="Arial" w:hAnsi="Arial" w:cs="Arial"/>
          <w:i w:val="0"/>
          <w:iCs w:val="0"/>
          <w:sz w:val="22"/>
          <w:szCs w:val="22"/>
        </w:rPr>
      </w:pPr>
    </w:p>
    <w:p w14:paraId="18382A20" w14:textId="1107A84E" w:rsidR="007D3726" w:rsidRPr="007D3726" w:rsidRDefault="007D3726" w:rsidP="007D3726">
      <w:pPr>
        <w:pStyle w:val="Caption"/>
        <w:keepNext/>
        <w:spacing w:line="360" w:lineRule="auto"/>
        <w:rPr>
          <w:color w:val="156082" w:themeColor="accent1"/>
          <w:sz w:val="22"/>
        </w:rPr>
      </w:pPr>
      <w:bookmarkStart w:id="40" w:name="_Toc215910544"/>
      <w:r w:rsidRPr="007D3726">
        <w:rPr>
          <w:color w:val="156082" w:themeColor="accent1"/>
          <w:sz w:val="22"/>
        </w:rPr>
        <w:t xml:space="preserve">Table </w:t>
      </w:r>
      <w:r w:rsidRPr="007D3726">
        <w:rPr>
          <w:color w:val="156082" w:themeColor="accent1"/>
          <w:sz w:val="22"/>
        </w:rPr>
        <w:fldChar w:fldCharType="begin"/>
      </w:r>
      <w:r w:rsidRPr="007D3726">
        <w:rPr>
          <w:color w:val="156082" w:themeColor="accent1"/>
          <w:sz w:val="22"/>
        </w:rPr>
        <w:instrText xml:space="preserve"> SEQ Table \* ARABIC </w:instrText>
      </w:r>
      <w:r w:rsidRPr="007D3726">
        <w:rPr>
          <w:color w:val="156082" w:themeColor="accent1"/>
          <w:sz w:val="22"/>
        </w:rPr>
        <w:fldChar w:fldCharType="separate"/>
      </w:r>
      <w:r w:rsidR="00A20D63">
        <w:rPr>
          <w:noProof/>
          <w:color w:val="156082" w:themeColor="accent1"/>
          <w:sz w:val="22"/>
        </w:rPr>
        <w:t>13</w:t>
      </w:r>
      <w:r w:rsidRPr="007D3726">
        <w:rPr>
          <w:color w:val="156082" w:themeColor="accent1"/>
          <w:sz w:val="22"/>
        </w:rPr>
        <w:fldChar w:fldCharType="end"/>
      </w:r>
      <w:r w:rsidRPr="007D3726">
        <w:rPr>
          <w:color w:val="156082" w:themeColor="accent1"/>
          <w:sz w:val="22"/>
        </w:rPr>
        <w:t xml:space="preserve"> RACI Matrix for SHP Strategic Activities</w:t>
      </w:r>
      <w:bookmarkEnd w:id="40"/>
    </w:p>
    <w:tbl>
      <w:tblPr>
        <w:tblStyle w:val="TableGrid"/>
        <w:tblW w:w="9067" w:type="dxa"/>
        <w:tblLayout w:type="fixed"/>
        <w:tblLook w:val="04A0" w:firstRow="1" w:lastRow="0" w:firstColumn="1" w:lastColumn="0" w:noHBand="0" w:noVBand="1"/>
      </w:tblPr>
      <w:tblGrid>
        <w:gridCol w:w="4106"/>
        <w:gridCol w:w="567"/>
        <w:gridCol w:w="567"/>
        <w:gridCol w:w="851"/>
        <w:gridCol w:w="850"/>
        <w:gridCol w:w="851"/>
        <w:gridCol w:w="850"/>
        <w:gridCol w:w="425"/>
      </w:tblGrid>
      <w:tr w:rsidR="00EB4817" w:rsidRPr="001561ED" w14:paraId="69AFF3F1" w14:textId="77777777" w:rsidTr="00E85923">
        <w:trPr>
          <w:cantSplit/>
          <w:trHeight w:val="1988"/>
        </w:trPr>
        <w:tc>
          <w:tcPr>
            <w:tcW w:w="4106" w:type="dxa"/>
            <w:tcBorders>
              <w:tl2br w:val="single" w:sz="4" w:space="0" w:color="auto"/>
            </w:tcBorders>
            <w:shd w:val="clear" w:color="auto" w:fill="DAE9F7" w:themeFill="text2" w:themeFillTint="1A"/>
          </w:tcPr>
          <w:p w14:paraId="1564DA6E" w14:textId="77777777" w:rsidR="00343470" w:rsidRDefault="00343470" w:rsidP="00DE4C71">
            <w:pPr>
              <w:spacing w:before="100" w:after="100" w:line="360" w:lineRule="auto"/>
              <w:rPr>
                <w:rFonts w:eastAsia="Times New Roman"/>
                <w:color w:val="156082" w:themeColor="accent1"/>
                <w:lang w:eastAsia="en-GB"/>
              </w:rPr>
            </w:pPr>
            <w:r w:rsidRPr="001561ED">
              <w:rPr>
                <w:rFonts w:eastAsia="Times New Roman"/>
                <w:color w:val="156082" w:themeColor="accent1"/>
                <w:lang w:eastAsia="en-GB"/>
              </w:rPr>
              <w:t xml:space="preserve">                    </w:t>
            </w:r>
          </w:p>
          <w:p w14:paraId="0E3BB134" w14:textId="0489234A" w:rsidR="00343470" w:rsidRPr="001561ED" w:rsidRDefault="00343470" w:rsidP="00DE4C71">
            <w:pPr>
              <w:spacing w:before="100" w:after="100" w:line="360" w:lineRule="auto"/>
              <w:rPr>
                <w:rFonts w:eastAsia="Times New Roman"/>
                <w:color w:val="156082" w:themeColor="accent1"/>
                <w:lang w:eastAsia="en-GB"/>
              </w:rPr>
            </w:pPr>
            <w:r>
              <w:rPr>
                <w:rFonts w:eastAsia="Times New Roman"/>
                <w:color w:val="156082" w:themeColor="accent1"/>
                <w:lang w:eastAsia="en-GB"/>
              </w:rPr>
              <w:t xml:space="preserve">                       </w:t>
            </w:r>
            <w:r w:rsidR="009760C5">
              <w:rPr>
                <w:rFonts w:eastAsia="Times New Roman"/>
                <w:color w:val="156082" w:themeColor="accent1"/>
                <w:lang w:eastAsia="en-GB"/>
              </w:rPr>
              <w:t xml:space="preserve">                </w:t>
            </w:r>
            <w:r>
              <w:rPr>
                <w:rFonts w:eastAsia="Times New Roman"/>
                <w:color w:val="156082" w:themeColor="accent1"/>
                <w:lang w:eastAsia="en-GB"/>
              </w:rPr>
              <w:t xml:space="preserve"> </w:t>
            </w:r>
            <w:r w:rsidRPr="001561ED">
              <w:rPr>
                <w:rFonts w:eastAsia="Times New Roman"/>
                <w:b/>
                <w:bCs/>
                <w:color w:val="156082" w:themeColor="accent1"/>
                <w:lang w:eastAsia="en-GB"/>
              </w:rPr>
              <w:t>Stakeholders</w:t>
            </w:r>
          </w:p>
          <w:p w14:paraId="2309DB2E" w14:textId="275D625E" w:rsidR="00343470" w:rsidRPr="001561ED" w:rsidRDefault="00343470" w:rsidP="00DE4C71">
            <w:pPr>
              <w:spacing w:before="100" w:after="100" w:line="360" w:lineRule="auto"/>
              <w:rPr>
                <w:rFonts w:eastAsia="Times New Roman"/>
                <w:b/>
                <w:bCs/>
                <w:color w:val="156082" w:themeColor="accent1"/>
                <w:lang w:eastAsia="en-GB"/>
              </w:rPr>
            </w:pPr>
            <w:r w:rsidRPr="001561ED">
              <w:rPr>
                <w:rFonts w:eastAsia="Times New Roman"/>
                <w:color w:val="156082" w:themeColor="accent1"/>
                <w:lang w:eastAsia="en-GB"/>
              </w:rPr>
              <w:t xml:space="preserve">                                </w:t>
            </w:r>
            <w:r>
              <w:rPr>
                <w:rFonts w:eastAsia="Times New Roman"/>
                <w:color w:val="156082" w:themeColor="accent1"/>
                <w:lang w:eastAsia="en-GB"/>
              </w:rPr>
              <w:t xml:space="preserve">       </w:t>
            </w:r>
          </w:p>
          <w:p w14:paraId="08D4E69D" w14:textId="7F06D347" w:rsidR="00343470" w:rsidRPr="001561ED" w:rsidRDefault="00343470" w:rsidP="00DE4C71">
            <w:pPr>
              <w:spacing w:before="100" w:after="100" w:line="360" w:lineRule="auto"/>
              <w:rPr>
                <w:rFonts w:eastAsia="Times New Roman"/>
                <w:b/>
                <w:bCs/>
                <w:color w:val="156082" w:themeColor="accent1"/>
                <w:lang w:eastAsia="en-GB"/>
              </w:rPr>
            </w:pPr>
            <w:r w:rsidRPr="001561ED">
              <w:rPr>
                <w:rFonts w:eastAsia="Times New Roman"/>
                <w:b/>
                <w:bCs/>
                <w:color w:val="156082" w:themeColor="accent1"/>
                <w:lang w:eastAsia="en-GB"/>
              </w:rPr>
              <w:t>Strategic Activity</w:t>
            </w:r>
          </w:p>
        </w:tc>
        <w:tc>
          <w:tcPr>
            <w:tcW w:w="567" w:type="dxa"/>
            <w:shd w:val="clear" w:color="auto" w:fill="DAE9F7" w:themeFill="text2" w:themeFillTint="1A"/>
            <w:textDirection w:val="btLr"/>
          </w:tcPr>
          <w:p w14:paraId="6A9FBF38" w14:textId="628F85E5" w:rsidR="00343470" w:rsidRPr="001561ED" w:rsidRDefault="00343470" w:rsidP="00634D4C">
            <w:pPr>
              <w:spacing w:before="100" w:after="100" w:line="360" w:lineRule="auto"/>
              <w:ind w:left="113" w:right="113"/>
              <w:jc w:val="left"/>
              <w:rPr>
                <w:rFonts w:eastAsia="Times New Roman"/>
                <w:b/>
                <w:bCs/>
                <w:color w:val="156082" w:themeColor="accent1"/>
                <w:lang w:eastAsia="en-GB"/>
              </w:rPr>
            </w:pPr>
            <w:r>
              <w:rPr>
                <w:b/>
                <w:bCs/>
                <w:color w:val="156082" w:themeColor="accent1"/>
              </w:rPr>
              <w:t>LBS</w:t>
            </w:r>
          </w:p>
        </w:tc>
        <w:tc>
          <w:tcPr>
            <w:tcW w:w="567" w:type="dxa"/>
            <w:shd w:val="clear" w:color="auto" w:fill="DAE9F7" w:themeFill="text2" w:themeFillTint="1A"/>
            <w:textDirection w:val="btLr"/>
          </w:tcPr>
          <w:p w14:paraId="0D77AB4D" w14:textId="6ABA478D" w:rsidR="00343470" w:rsidRPr="001561ED" w:rsidRDefault="00343470" w:rsidP="00634D4C">
            <w:pPr>
              <w:spacing w:before="100" w:after="100" w:line="360" w:lineRule="auto"/>
              <w:ind w:left="113" w:right="113"/>
              <w:jc w:val="left"/>
              <w:rPr>
                <w:rFonts w:eastAsia="Times New Roman"/>
                <w:b/>
                <w:bCs/>
                <w:color w:val="156082" w:themeColor="accent1"/>
                <w:lang w:eastAsia="en-GB"/>
              </w:rPr>
            </w:pPr>
            <w:r w:rsidRPr="001561ED">
              <w:rPr>
                <w:b/>
                <w:bCs/>
                <w:color w:val="156082" w:themeColor="accent1"/>
              </w:rPr>
              <w:t>SHP Board</w:t>
            </w:r>
          </w:p>
        </w:tc>
        <w:tc>
          <w:tcPr>
            <w:tcW w:w="851" w:type="dxa"/>
            <w:shd w:val="clear" w:color="auto" w:fill="DAE9F7" w:themeFill="text2" w:themeFillTint="1A"/>
            <w:textDirection w:val="btLr"/>
          </w:tcPr>
          <w:p w14:paraId="42F3684A" w14:textId="37DBB63D" w:rsidR="00343470" w:rsidRPr="001561ED" w:rsidRDefault="00343470" w:rsidP="00634D4C">
            <w:pPr>
              <w:spacing w:before="100" w:after="100" w:line="360" w:lineRule="auto"/>
              <w:ind w:left="113" w:right="113"/>
              <w:jc w:val="left"/>
              <w:rPr>
                <w:rFonts w:eastAsia="Times New Roman"/>
                <w:b/>
                <w:bCs/>
                <w:color w:val="156082" w:themeColor="accent1"/>
                <w:lang w:eastAsia="en-GB"/>
              </w:rPr>
            </w:pPr>
            <w:r w:rsidRPr="001561ED">
              <w:rPr>
                <w:b/>
                <w:bCs/>
                <w:color w:val="156082" w:themeColor="accent1"/>
              </w:rPr>
              <w:t>Executive Leadership</w:t>
            </w:r>
          </w:p>
        </w:tc>
        <w:tc>
          <w:tcPr>
            <w:tcW w:w="850" w:type="dxa"/>
            <w:shd w:val="clear" w:color="auto" w:fill="DAE9F7" w:themeFill="text2" w:themeFillTint="1A"/>
            <w:textDirection w:val="btLr"/>
          </w:tcPr>
          <w:p w14:paraId="0EF4A505" w14:textId="4CFD9073" w:rsidR="00343470" w:rsidRPr="001561ED" w:rsidRDefault="00343470" w:rsidP="00634D4C">
            <w:pPr>
              <w:spacing w:before="100" w:after="100" w:line="360" w:lineRule="auto"/>
              <w:ind w:left="113" w:right="113"/>
              <w:jc w:val="left"/>
              <w:rPr>
                <w:rFonts w:eastAsia="Times New Roman"/>
                <w:b/>
                <w:bCs/>
                <w:color w:val="156082" w:themeColor="accent1"/>
                <w:lang w:eastAsia="en-GB"/>
              </w:rPr>
            </w:pPr>
            <w:r>
              <w:rPr>
                <w:b/>
                <w:bCs/>
                <w:color w:val="156082" w:themeColor="accent1"/>
              </w:rPr>
              <w:t>SHP Staff &amp;</w:t>
            </w:r>
            <w:r w:rsidR="009F090A">
              <w:rPr>
                <w:b/>
                <w:bCs/>
                <w:color w:val="156082" w:themeColor="accent1"/>
              </w:rPr>
              <w:t xml:space="preserve">     </w:t>
            </w:r>
            <w:r>
              <w:rPr>
                <w:b/>
                <w:bCs/>
                <w:color w:val="156082" w:themeColor="accent1"/>
              </w:rPr>
              <w:t xml:space="preserve"> Trade Union</w:t>
            </w:r>
          </w:p>
        </w:tc>
        <w:tc>
          <w:tcPr>
            <w:tcW w:w="851" w:type="dxa"/>
            <w:shd w:val="clear" w:color="auto" w:fill="DAE9F7" w:themeFill="text2" w:themeFillTint="1A"/>
            <w:textDirection w:val="btLr"/>
          </w:tcPr>
          <w:p w14:paraId="5A6B64E4" w14:textId="1FC90588" w:rsidR="00343470" w:rsidRPr="00982DFB" w:rsidRDefault="00343470" w:rsidP="00982DFB">
            <w:pPr>
              <w:spacing w:before="100" w:after="100" w:line="360" w:lineRule="auto"/>
              <w:ind w:left="113" w:right="113"/>
              <w:jc w:val="left"/>
              <w:rPr>
                <w:rFonts w:eastAsia="Times New Roman"/>
                <w:b/>
                <w:bCs/>
                <w:color w:val="156082" w:themeColor="accent1"/>
                <w:lang w:eastAsia="en-GB"/>
              </w:rPr>
            </w:pPr>
            <w:r w:rsidRPr="00982DFB">
              <w:rPr>
                <w:b/>
                <w:bCs/>
                <w:color w:val="156082" w:themeColor="accent1"/>
              </w:rPr>
              <w:t>Contractors / Service Partners</w:t>
            </w:r>
          </w:p>
        </w:tc>
        <w:tc>
          <w:tcPr>
            <w:tcW w:w="850" w:type="dxa"/>
            <w:shd w:val="clear" w:color="auto" w:fill="DAE9F7" w:themeFill="text2" w:themeFillTint="1A"/>
            <w:textDirection w:val="btLr"/>
          </w:tcPr>
          <w:p w14:paraId="5A59F9E2" w14:textId="38C26CA2" w:rsidR="00343470" w:rsidRPr="00982DFB" w:rsidRDefault="00343470" w:rsidP="00982DFB">
            <w:pPr>
              <w:spacing w:before="100" w:after="100" w:line="360" w:lineRule="auto"/>
              <w:ind w:left="113" w:right="113"/>
              <w:jc w:val="left"/>
              <w:rPr>
                <w:rFonts w:eastAsia="Times New Roman"/>
                <w:b/>
                <w:bCs/>
                <w:color w:val="156082" w:themeColor="accent1"/>
                <w:lang w:eastAsia="en-GB"/>
              </w:rPr>
            </w:pPr>
            <w:r w:rsidRPr="00982DFB">
              <w:rPr>
                <w:b/>
                <w:bCs/>
                <w:color w:val="156082" w:themeColor="accent1"/>
              </w:rPr>
              <w:t>Residents &amp; Leaseholders</w:t>
            </w:r>
          </w:p>
        </w:tc>
        <w:tc>
          <w:tcPr>
            <w:tcW w:w="425" w:type="dxa"/>
            <w:shd w:val="clear" w:color="auto" w:fill="DAE9F7" w:themeFill="text2" w:themeFillTint="1A"/>
            <w:textDirection w:val="btLr"/>
          </w:tcPr>
          <w:p w14:paraId="48D44AB0" w14:textId="486B05A0" w:rsidR="00343470" w:rsidRPr="001561ED" w:rsidRDefault="00343470" w:rsidP="00634D4C">
            <w:pPr>
              <w:spacing w:before="100" w:after="100" w:line="360" w:lineRule="auto"/>
              <w:ind w:left="113" w:right="113"/>
              <w:jc w:val="left"/>
              <w:rPr>
                <w:rFonts w:eastAsia="Times New Roman"/>
                <w:b/>
                <w:bCs/>
                <w:color w:val="156082" w:themeColor="accent1"/>
                <w:lang w:eastAsia="en-GB"/>
              </w:rPr>
            </w:pPr>
            <w:r w:rsidRPr="001561ED">
              <w:rPr>
                <w:b/>
                <w:bCs/>
                <w:color w:val="156082" w:themeColor="accent1"/>
              </w:rPr>
              <w:t>RSH</w:t>
            </w:r>
          </w:p>
        </w:tc>
      </w:tr>
      <w:tr w:rsidR="00EB4817" w:rsidRPr="0073447F" w14:paraId="5419AC3B" w14:textId="77777777" w:rsidTr="00EB4817">
        <w:trPr>
          <w:trHeight w:val="710"/>
        </w:trPr>
        <w:tc>
          <w:tcPr>
            <w:tcW w:w="4106" w:type="dxa"/>
            <w:shd w:val="clear" w:color="auto" w:fill="DAE9F7" w:themeFill="text2" w:themeFillTint="1A"/>
          </w:tcPr>
          <w:p w14:paraId="4111862A" w14:textId="2A3AB025" w:rsidR="00343470" w:rsidRPr="00B7724B" w:rsidRDefault="00F55EAB" w:rsidP="00FA2C6D">
            <w:pPr>
              <w:spacing w:before="100" w:after="100" w:line="360" w:lineRule="auto"/>
              <w:jc w:val="left"/>
              <w:rPr>
                <w:rFonts w:eastAsia="Times New Roman"/>
                <w:b/>
                <w:bCs/>
                <w:color w:val="156082" w:themeColor="accent1"/>
                <w:lang w:eastAsia="en-GB"/>
              </w:rPr>
            </w:pPr>
            <w:r w:rsidRPr="00B7724B">
              <w:rPr>
                <w:b/>
                <w:bCs/>
                <w:color w:val="156082" w:themeColor="accent1"/>
              </w:rPr>
              <w:t>Phased retrofits &amp; EPC improvement</w:t>
            </w:r>
          </w:p>
        </w:tc>
        <w:tc>
          <w:tcPr>
            <w:tcW w:w="567" w:type="dxa"/>
            <w:vAlign w:val="center"/>
          </w:tcPr>
          <w:p w14:paraId="5854D9EA" w14:textId="0145FEBA" w:rsidR="00343470" w:rsidRPr="00C961A9" w:rsidRDefault="009A5B75"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4A38CBFC" w14:textId="2D7D0E82" w:rsidR="00343470" w:rsidRPr="00C961A9" w:rsidRDefault="009A5B75"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7FF6648D" w14:textId="047A170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A</w:t>
            </w:r>
          </w:p>
        </w:tc>
        <w:tc>
          <w:tcPr>
            <w:tcW w:w="850" w:type="dxa"/>
            <w:vAlign w:val="center"/>
          </w:tcPr>
          <w:p w14:paraId="2A7C658B" w14:textId="4B37EB68"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1" w:type="dxa"/>
            <w:vAlign w:val="center"/>
          </w:tcPr>
          <w:p w14:paraId="015043C4" w14:textId="742D7EC5"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7E43ADA2" w14:textId="1649F6A6"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I</w:t>
            </w:r>
          </w:p>
        </w:tc>
        <w:tc>
          <w:tcPr>
            <w:tcW w:w="425" w:type="dxa"/>
            <w:vAlign w:val="center"/>
          </w:tcPr>
          <w:p w14:paraId="05690948" w14:textId="3078B5A6"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C</w:t>
            </w:r>
          </w:p>
        </w:tc>
      </w:tr>
      <w:tr w:rsidR="00EB4817" w:rsidRPr="0073447F" w14:paraId="5454DE47" w14:textId="77777777" w:rsidTr="00EB4817">
        <w:tc>
          <w:tcPr>
            <w:tcW w:w="4106" w:type="dxa"/>
            <w:shd w:val="clear" w:color="auto" w:fill="DAE9F7" w:themeFill="text2" w:themeFillTint="1A"/>
          </w:tcPr>
          <w:p w14:paraId="77F12DA5" w14:textId="06435A65" w:rsidR="00343470" w:rsidRPr="00B7724B" w:rsidRDefault="00F55EAB" w:rsidP="00FA2C6D">
            <w:pPr>
              <w:spacing w:before="100" w:after="100" w:line="360" w:lineRule="auto"/>
              <w:jc w:val="left"/>
              <w:rPr>
                <w:rFonts w:eastAsia="Times New Roman"/>
                <w:b/>
                <w:bCs/>
                <w:color w:val="156082" w:themeColor="accent1"/>
                <w:lang w:eastAsia="en-GB"/>
              </w:rPr>
            </w:pPr>
            <w:r w:rsidRPr="00B7724B">
              <w:rPr>
                <w:b/>
                <w:bCs/>
                <w:color w:val="156082" w:themeColor="accent1"/>
              </w:rPr>
              <w:t>Low-carbon heating &amp; insulation deployment</w:t>
            </w:r>
          </w:p>
        </w:tc>
        <w:tc>
          <w:tcPr>
            <w:tcW w:w="567" w:type="dxa"/>
            <w:vAlign w:val="center"/>
          </w:tcPr>
          <w:p w14:paraId="7A710774" w14:textId="46714724"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5D37D85D" w14:textId="11E710F3"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42743EED" w14:textId="7777777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A</w:t>
            </w:r>
          </w:p>
        </w:tc>
        <w:tc>
          <w:tcPr>
            <w:tcW w:w="850" w:type="dxa"/>
            <w:vAlign w:val="center"/>
          </w:tcPr>
          <w:p w14:paraId="009EED75" w14:textId="3CEE3ABD"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1" w:type="dxa"/>
            <w:vAlign w:val="center"/>
          </w:tcPr>
          <w:p w14:paraId="6C084F6F" w14:textId="5A7F99D0"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3D070494" w14:textId="620409E0"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c>
          <w:tcPr>
            <w:tcW w:w="425" w:type="dxa"/>
            <w:vAlign w:val="center"/>
          </w:tcPr>
          <w:p w14:paraId="51477995" w14:textId="704081F2" w:rsidR="00343470" w:rsidRPr="00C961A9" w:rsidRDefault="00F82574" w:rsidP="00DE4C71">
            <w:pPr>
              <w:spacing w:before="100" w:after="100" w:line="360" w:lineRule="auto"/>
              <w:jc w:val="center"/>
              <w:rPr>
                <w:rFonts w:eastAsia="Times New Roman"/>
                <w:b/>
                <w:bCs/>
                <w:lang w:eastAsia="en-GB"/>
              </w:rPr>
            </w:pPr>
            <w:r>
              <w:rPr>
                <w:rFonts w:eastAsia="Times New Roman"/>
                <w:b/>
                <w:bCs/>
                <w:lang w:eastAsia="en-GB"/>
              </w:rPr>
              <w:t>C</w:t>
            </w:r>
          </w:p>
        </w:tc>
      </w:tr>
      <w:tr w:rsidR="00EB4817" w:rsidRPr="0073447F" w14:paraId="00C14C2C" w14:textId="77777777" w:rsidTr="00EB4817">
        <w:trPr>
          <w:trHeight w:val="357"/>
        </w:trPr>
        <w:tc>
          <w:tcPr>
            <w:tcW w:w="4106" w:type="dxa"/>
            <w:shd w:val="clear" w:color="auto" w:fill="DAE9F7" w:themeFill="text2" w:themeFillTint="1A"/>
          </w:tcPr>
          <w:p w14:paraId="56E02907" w14:textId="4771043E" w:rsidR="00343470" w:rsidRPr="00B7724B" w:rsidRDefault="00A027CC" w:rsidP="00FA2C6D">
            <w:pPr>
              <w:spacing w:before="100" w:after="100" w:line="360" w:lineRule="auto"/>
              <w:jc w:val="left"/>
              <w:rPr>
                <w:rFonts w:eastAsia="Times New Roman"/>
                <w:b/>
                <w:bCs/>
                <w:color w:val="156082" w:themeColor="accent1"/>
                <w:lang w:eastAsia="en-GB"/>
              </w:rPr>
            </w:pPr>
            <w:r w:rsidRPr="00B7724B">
              <w:rPr>
                <w:b/>
                <w:bCs/>
                <w:color w:val="156082" w:themeColor="accent1"/>
              </w:rPr>
              <w:t>Asset intelligence &amp; risk prioritisation</w:t>
            </w:r>
          </w:p>
        </w:tc>
        <w:tc>
          <w:tcPr>
            <w:tcW w:w="567" w:type="dxa"/>
            <w:vAlign w:val="center"/>
          </w:tcPr>
          <w:p w14:paraId="7092C636" w14:textId="7351B589" w:rsidR="00343470" w:rsidRPr="00C961A9" w:rsidRDefault="002C5C2F"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49CAE932" w14:textId="57C81A7F" w:rsidR="00343470" w:rsidRPr="00C961A9" w:rsidRDefault="002C5C2F"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08610C71" w14:textId="4122FF65"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A</w:t>
            </w:r>
          </w:p>
        </w:tc>
        <w:tc>
          <w:tcPr>
            <w:tcW w:w="850" w:type="dxa"/>
            <w:vAlign w:val="center"/>
          </w:tcPr>
          <w:p w14:paraId="0E270666" w14:textId="428920CE" w:rsidR="00343470" w:rsidRPr="00C961A9" w:rsidRDefault="002C5C2F" w:rsidP="00DE4C71">
            <w:pPr>
              <w:spacing w:before="100" w:after="100" w:line="360" w:lineRule="auto"/>
              <w:jc w:val="center"/>
              <w:rPr>
                <w:rFonts w:eastAsia="Times New Roman"/>
                <w:b/>
                <w:bCs/>
                <w:lang w:eastAsia="en-GB"/>
              </w:rPr>
            </w:pPr>
            <w:r>
              <w:rPr>
                <w:rFonts w:eastAsia="Times New Roman"/>
                <w:b/>
                <w:bCs/>
                <w:lang w:eastAsia="en-GB"/>
              </w:rPr>
              <w:t>C</w:t>
            </w:r>
          </w:p>
        </w:tc>
        <w:tc>
          <w:tcPr>
            <w:tcW w:w="851" w:type="dxa"/>
            <w:vAlign w:val="center"/>
          </w:tcPr>
          <w:p w14:paraId="0A2D2524" w14:textId="52D648AE" w:rsidR="00343470" w:rsidRPr="00C961A9" w:rsidRDefault="002C5C2F"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0B5B9188" w14:textId="1D75DFC1"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c>
          <w:tcPr>
            <w:tcW w:w="425" w:type="dxa"/>
            <w:vAlign w:val="center"/>
          </w:tcPr>
          <w:p w14:paraId="52EAC1A8" w14:textId="379EA4AD" w:rsidR="00343470" w:rsidRPr="00C961A9" w:rsidRDefault="002C5C2F" w:rsidP="00DE4C71">
            <w:pPr>
              <w:spacing w:before="100" w:after="100" w:line="360" w:lineRule="auto"/>
              <w:jc w:val="center"/>
              <w:rPr>
                <w:rFonts w:eastAsia="Times New Roman"/>
                <w:b/>
                <w:bCs/>
                <w:lang w:eastAsia="en-GB"/>
              </w:rPr>
            </w:pPr>
            <w:r>
              <w:rPr>
                <w:rFonts w:eastAsia="Times New Roman"/>
                <w:b/>
                <w:bCs/>
                <w:lang w:eastAsia="en-GB"/>
              </w:rPr>
              <w:t>C</w:t>
            </w:r>
          </w:p>
        </w:tc>
      </w:tr>
      <w:tr w:rsidR="00EB4817" w:rsidRPr="0073447F" w14:paraId="39E3BB98" w14:textId="77777777" w:rsidTr="00EB4817">
        <w:tc>
          <w:tcPr>
            <w:tcW w:w="4106" w:type="dxa"/>
            <w:shd w:val="clear" w:color="auto" w:fill="DAE9F7" w:themeFill="text2" w:themeFillTint="1A"/>
          </w:tcPr>
          <w:p w14:paraId="1293EDC2" w14:textId="12440929" w:rsidR="00343470" w:rsidRPr="00B7724B" w:rsidRDefault="00A027CC" w:rsidP="00FA2C6D">
            <w:pPr>
              <w:spacing w:before="100" w:after="100" w:line="360" w:lineRule="auto"/>
              <w:jc w:val="left"/>
              <w:rPr>
                <w:rFonts w:eastAsia="Times New Roman"/>
                <w:b/>
                <w:bCs/>
                <w:color w:val="156082" w:themeColor="accent1"/>
                <w:lang w:eastAsia="en-GB"/>
              </w:rPr>
            </w:pPr>
            <w:r w:rsidRPr="00B7724B">
              <w:rPr>
                <w:b/>
                <w:bCs/>
                <w:color w:val="156082" w:themeColor="accent1"/>
              </w:rPr>
              <w:t>Funding management (SHDF / LBS capital)</w:t>
            </w:r>
          </w:p>
        </w:tc>
        <w:tc>
          <w:tcPr>
            <w:tcW w:w="567" w:type="dxa"/>
            <w:vAlign w:val="center"/>
          </w:tcPr>
          <w:p w14:paraId="5014E0AD" w14:textId="715A4E46" w:rsidR="00343470" w:rsidRPr="00C961A9" w:rsidRDefault="00ED4D4E" w:rsidP="00DE4C71">
            <w:pPr>
              <w:spacing w:before="100" w:after="100" w:line="360" w:lineRule="auto"/>
              <w:jc w:val="center"/>
              <w:rPr>
                <w:rFonts w:eastAsia="Times New Roman"/>
                <w:b/>
                <w:bCs/>
                <w:lang w:eastAsia="en-GB"/>
              </w:rPr>
            </w:pPr>
            <w:r>
              <w:rPr>
                <w:rFonts w:eastAsia="Times New Roman"/>
                <w:b/>
                <w:bCs/>
                <w:lang w:eastAsia="en-GB"/>
              </w:rPr>
              <w:t>A</w:t>
            </w:r>
          </w:p>
        </w:tc>
        <w:tc>
          <w:tcPr>
            <w:tcW w:w="567" w:type="dxa"/>
            <w:vAlign w:val="center"/>
          </w:tcPr>
          <w:p w14:paraId="4BFC30D7" w14:textId="486EB100" w:rsidR="00343470" w:rsidRPr="00C961A9" w:rsidRDefault="00ED4D4E"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24EA7E20" w14:textId="7ED1AA32" w:rsidR="00343470" w:rsidRPr="00C961A9" w:rsidRDefault="00ED4D4E"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52F5592E" w14:textId="2DB4DB3E" w:rsidR="00343470" w:rsidRPr="00C961A9" w:rsidRDefault="00ED4D4E" w:rsidP="00DE4C71">
            <w:pPr>
              <w:spacing w:before="100" w:after="100" w:line="360" w:lineRule="auto"/>
              <w:jc w:val="center"/>
              <w:rPr>
                <w:rFonts w:eastAsia="Times New Roman"/>
                <w:b/>
                <w:bCs/>
                <w:lang w:eastAsia="en-GB"/>
              </w:rPr>
            </w:pPr>
            <w:r>
              <w:rPr>
                <w:rFonts w:eastAsia="Times New Roman"/>
                <w:b/>
                <w:bCs/>
                <w:lang w:eastAsia="en-GB"/>
              </w:rPr>
              <w:t>I</w:t>
            </w:r>
          </w:p>
        </w:tc>
        <w:tc>
          <w:tcPr>
            <w:tcW w:w="851" w:type="dxa"/>
            <w:vAlign w:val="center"/>
          </w:tcPr>
          <w:p w14:paraId="296B2576" w14:textId="495A75A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0" w:type="dxa"/>
            <w:vAlign w:val="center"/>
          </w:tcPr>
          <w:p w14:paraId="3345DB73" w14:textId="66564B35"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c>
          <w:tcPr>
            <w:tcW w:w="425" w:type="dxa"/>
            <w:vAlign w:val="center"/>
          </w:tcPr>
          <w:p w14:paraId="1A00A5D1" w14:textId="0D869962"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r>
      <w:tr w:rsidR="00EB4817" w:rsidRPr="0073447F" w14:paraId="1186AB1C" w14:textId="77777777" w:rsidTr="00EB4817">
        <w:trPr>
          <w:trHeight w:val="556"/>
        </w:trPr>
        <w:tc>
          <w:tcPr>
            <w:tcW w:w="4106" w:type="dxa"/>
            <w:shd w:val="clear" w:color="auto" w:fill="DAE9F7" w:themeFill="text2" w:themeFillTint="1A"/>
          </w:tcPr>
          <w:p w14:paraId="10A7316F" w14:textId="4E0D2425" w:rsidR="00343470" w:rsidRPr="00B7724B" w:rsidRDefault="00F81F88" w:rsidP="00FA2C6D">
            <w:pPr>
              <w:spacing w:before="100" w:after="100" w:line="360" w:lineRule="auto"/>
              <w:jc w:val="left"/>
              <w:rPr>
                <w:rFonts w:eastAsia="Times New Roman"/>
                <w:b/>
                <w:bCs/>
                <w:color w:val="156082" w:themeColor="accent1"/>
                <w:lang w:eastAsia="en-GB"/>
              </w:rPr>
            </w:pPr>
            <w:r w:rsidRPr="00B7724B">
              <w:rPr>
                <w:b/>
                <w:bCs/>
                <w:color w:val="156082" w:themeColor="accent1"/>
              </w:rPr>
              <w:t>Integrated housing management platforms</w:t>
            </w:r>
          </w:p>
        </w:tc>
        <w:tc>
          <w:tcPr>
            <w:tcW w:w="567" w:type="dxa"/>
            <w:vAlign w:val="center"/>
          </w:tcPr>
          <w:p w14:paraId="7920395A" w14:textId="367775C3" w:rsidR="00343470" w:rsidRPr="00C961A9" w:rsidRDefault="00552806"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64451D37" w14:textId="75DA67D0" w:rsidR="00343470" w:rsidRPr="00C961A9" w:rsidRDefault="00552806" w:rsidP="00DE4C71">
            <w:pPr>
              <w:spacing w:before="100" w:after="100" w:line="360" w:lineRule="auto"/>
              <w:jc w:val="center"/>
              <w:rPr>
                <w:rFonts w:eastAsia="Times New Roman"/>
                <w:b/>
                <w:bCs/>
                <w:lang w:eastAsia="en-GB"/>
              </w:rPr>
            </w:pPr>
            <w:r>
              <w:rPr>
                <w:rFonts w:eastAsia="Times New Roman"/>
                <w:b/>
                <w:bCs/>
                <w:lang w:eastAsia="en-GB"/>
              </w:rPr>
              <w:t>A</w:t>
            </w:r>
          </w:p>
        </w:tc>
        <w:tc>
          <w:tcPr>
            <w:tcW w:w="851" w:type="dxa"/>
            <w:vAlign w:val="center"/>
          </w:tcPr>
          <w:p w14:paraId="4A7EB9FF" w14:textId="29376247" w:rsidR="00343470" w:rsidRPr="00C961A9" w:rsidRDefault="00552806"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7AB23E81" w14:textId="4B036B31" w:rsidR="00343470" w:rsidRPr="00C961A9" w:rsidRDefault="00552806"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2314D706" w14:textId="7777777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0" w:type="dxa"/>
            <w:vAlign w:val="center"/>
          </w:tcPr>
          <w:p w14:paraId="4AC7A3FF" w14:textId="47867C7F"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c>
          <w:tcPr>
            <w:tcW w:w="425" w:type="dxa"/>
            <w:vAlign w:val="center"/>
          </w:tcPr>
          <w:p w14:paraId="67EB49DF" w14:textId="26E8E626"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r>
      <w:tr w:rsidR="00EB4817" w:rsidRPr="0073447F" w14:paraId="4788CA41" w14:textId="77777777" w:rsidTr="00EB4817">
        <w:trPr>
          <w:trHeight w:val="564"/>
        </w:trPr>
        <w:tc>
          <w:tcPr>
            <w:tcW w:w="4106" w:type="dxa"/>
            <w:shd w:val="clear" w:color="auto" w:fill="DAE9F7" w:themeFill="text2" w:themeFillTint="1A"/>
          </w:tcPr>
          <w:p w14:paraId="765F15F4" w14:textId="15E87874" w:rsidR="00343470" w:rsidRPr="00B7724B" w:rsidRDefault="0018078A" w:rsidP="00FA2C6D">
            <w:pPr>
              <w:spacing w:before="100" w:after="100" w:line="360" w:lineRule="auto"/>
              <w:jc w:val="left"/>
              <w:rPr>
                <w:rFonts w:eastAsia="Times New Roman"/>
                <w:b/>
                <w:bCs/>
                <w:color w:val="156082" w:themeColor="accent1"/>
                <w:lang w:eastAsia="en-GB"/>
              </w:rPr>
            </w:pPr>
            <w:r w:rsidRPr="00B7724B">
              <w:rPr>
                <w:b/>
                <w:bCs/>
                <w:color w:val="156082" w:themeColor="accent1"/>
              </w:rPr>
              <w:t>Predictive maintenance &amp; real-time reporting</w:t>
            </w:r>
          </w:p>
        </w:tc>
        <w:tc>
          <w:tcPr>
            <w:tcW w:w="567" w:type="dxa"/>
            <w:vAlign w:val="center"/>
          </w:tcPr>
          <w:p w14:paraId="38DA281A" w14:textId="1F8391E0" w:rsidR="00343470" w:rsidRPr="00C961A9" w:rsidRDefault="005F5BF2"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24414E08" w14:textId="67FB0F0A" w:rsidR="00343470" w:rsidRPr="00C961A9" w:rsidRDefault="005F5BF2" w:rsidP="00DE4C71">
            <w:pPr>
              <w:spacing w:before="100" w:after="100" w:line="360" w:lineRule="auto"/>
              <w:jc w:val="center"/>
              <w:rPr>
                <w:rFonts w:eastAsia="Times New Roman"/>
                <w:b/>
                <w:bCs/>
                <w:lang w:eastAsia="en-GB"/>
              </w:rPr>
            </w:pPr>
            <w:r>
              <w:rPr>
                <w:rFonts w:eastAsia="Times New Roman"/>
                <w:b/>
                <w:bCs/>
                <w:lang w:eastAsia="en-GB"/>
              </w:rPr>
              <w:t>A</w:t>
            </w:r>
          </w:p>
        </w:tc>
        <w:tc>
          <w:tcPr>
            <w:tcW w:w="851" w:type="dxa"/>
            <w:vAlign w:val="center"/>
          </w:tcPr>
          <w:p w14:paraId="785B418D" w14:textId="4160BCBF" w:rsidR="00343470" w:rsidRPr="00C961A9" w:rsidRDefault="005F5BF2"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5FEEA459" w14:textId="269C7F92" w:rsidR="00343470" w:rsidRPr="00C961A9" w:rsidRDefault="005F5BF2"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6123DA59" w14:textId="53F4AB2A"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0" w:type="dxa"/>
            <w:vAlign w:val="center"/>
          </w:tcPr>
          <w:p w14:paraId="3CFC7F0F" w14:textId="7777777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c>
          <w:tcPr>
            <w:tcW w:w="425" w:type="dxa"/>
            <w:vAlign w:val="center"/>
          </w:tcPr>
          <w:p w14:paraId="3DA32C7B" w14:textId="6D0DA2FC"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I</w:t>
            </w:r>
          </w:p>
        </w:tc>
      </w:tr>
      <w:tr w:rsidR="00EB4817" w:rsidRPr="0073447F" w14:paraId="08675BC1" w14:textId="77777777" w:rsidTr="00EB4817">
        <w:trPr>
          <w:trHeight w:val="558"/>
        </w:trPr>
        <w:tc>
          <w:tcPr>
            <w:tcW w:w="4106" w:type="dxa"/>
            <w:shd w:val="clear" w:color="auto" w:fill="DAE9F7" w:themeFill="text2" w:themeFillTint="1A"/>
          </w:tcPr>
          <w:p w14:paraId="65C3F841" w14:textId="0EF5C1F6" w:rsidR="00343470" w:rsidRPr="00B7724B" w:rsidRDefault="0018078A" w:rsidP="00FA2C6D">
            <w:pPr>
              <w:spacing w:before="100" w:after="100" w:line="360" w:lineRule="auto"/>
              <w:jc w:val="left"/>
              <w:rPr>
                <w:rFonts w:eastAsia="Times New Roman"/>
                <w:b/>
                <w:bCs/>
                <w:color w:val="156082" w:themeColor="accent1"/>
                <w:lang w:eastAsia="en-GB"/>
              </w:rPr>
            </w:pPr>
            <w:r w:rsidRPr="00B7724B">
              <w:rPr>
                <w:b/>
                <w:bCs/>
                <w:color w:val="156082" w:themeColor="accent1"/>
              </w:rPr>
              <w:t>Digital tenant portals &amp; feedback mechanisms</w:t>
            </w:r>
          </w:p>
        </w:tc>
        <w:tc>
          <w:tcPr>
            <w:tcW w:w="567" w:type="dxa"/>
            <w:vAlign w:val="center"/>
          </w:tcPr>
          <w:p w14:paraId="2A17C1E3" w14:textId="0F54348B"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6C75E6FF" w14:textId="71860EA2"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A</w:t>
            </w:r>
          </w:p>
        </w:tc>
        <w:tc>
          <w:tcPr>
            <w:tcW w:w="851" w:type="dxa"/>
            <w:vAlign w:val="center"/>
          </w:tcPr>
          <w:p w14:paraId="022BB40F" w14:textId="0A95AC76"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61A75AD2" w14:textId="1E182626"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6C540D0B" w14:textId="7BBC77D5" w:rsidR="00343470" w:rsidRPr="00C961A9" w:rsidRDefault="00FF43DE" w:rsidP="00DE4C71">
            <w:pPr>
              <w:spacing w:before="100" w:after="100" w:line="360" w:lineRule="auto"/>
              <w:jc w:val="center"/>
              <w:rPr>
                <w:rFonts w:eastAsia="Times New Roman"/>
                <w:b/>
                <w:bCs/>
                <w:lang w:eastAsia="en-GB"/>
              </w:rPr>
            </w:pPr>
            <w:r>
              <w:rPr>
                <w:rFonts w:eastAsia="Times New Roman"/>
                <w:b/>
                <w:bCs/>
                <w:lang w:eastAsia="en-GB"/>
              </w:rPr>
              <w:t>C</w:t>
            </w:r>
          </w:p>
        </w:tc>
        <w:tc>
          <w:tcPr>
            <w:tcW w:w="850" w:type="dxa"/>
            <w:vAlign w:val="center"/>
          </w:tcPr>
          <w:p w14:paraId="6AA4D911" w14:textId="0DAF6658" w:rsidR="00343470" w:rsidRPr="00C961A9" w:rsidRDefault="00CB458D" w:rsidP="00DE4C71">
            <w:pPr>
              <w:spacing w:before="100" w:after="100" w:line="360" w:lineRule="auto"/>
              <w:jc w:val="center"/>
              <w:rPr>
                <w:rFonts w:eastAsia="Times New Roman"/>
                <w:b/>
                <w:bCs/>
                <w:lang w:eastAsia="en-GB"/>
              </w:rPr>
            </w:pPr>
            <w:r>
              <w:rPr>
                <w:rFonts w:eastAsia="Times New Roman"/>
                <w:b/>
                <w:bCs/>
                <w:lang w:eastAsia="en-GB"/>
              </w:rPr>
              <w:t>R/</w:t>
            </w:r>
            <w:r w:rsidR="00343470" w:rsidRPr="00C961A9">
              <w:rPr>
                <w:rFonts w:eastAsia="Times New Roman"/>
                <w:b/>
                <w:bCs/>
                <w:lang w:eastAsia="en-GB"/>
              </w:rPr>
              <w:t>C</w:t>
            </w:r>
          </w:p>
        </w:tc>
        <w:tc>
          <w:tcPr>
            <w:tcW w:w="425" w:type="dxa"/>
            <w:vAlign w:val="center"/>
          </w:tcPr>
          <w:p w14:paraId="51285CE2" w14:textId="77777777"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r>
      <w:tr w:rsidR="00EB4817" w:rsidRPr="0073447F" w14:paraId="01DE5062" w14:textId="77777777" w:rsidTr="00EB4817">
        <w:trPr>
          <w:trHeight w:val="558"/>
        </w:trPr>
        <w:tc>
          <w:tcPr>
            <w:tcW w:w="4106" w:type="dxa"/>
            <w:shd w:val="clear" w:color="auto" w:fill="DAE9F7" w:themeFill="text2" w:themeFillTint="1A"/>
          </w:tcPr>
          <w:p w14:paraId="0037A96D" w14:textId="0FBFF986" w:rsidR="00343470" w:rsidRPr="00B7724B" w:rsidRDefault="00D53CE5" w:rsidP="00FA2C6D">
            <w:pPr>
              <w:spacing w:before="100" w:after="100" w:line="360" w:lineRule="auto"/>
              <w:jc w:val="left"/>
              <w:rPr>
                <w:rFonts w:eastAsia="Times New Roman"/>
                <w:b/>
                <w:bCs/>
                <w:color w:val="156082" w:themeColor="accent1"/>
                <w:lang w:eastAsia="en-GB"/>
              </w:rPr>
            </w:pPr>
            <w:r w:rsidRPr="00B7724B">
              <w:rPr>
                <w:b/>
                <w:bCs/>
                <w:color w:val="156082" w:themeColor="accent1"/>
              </w:rPr>
              <w:t>Co-production committees &amp; panels</w:t>
            </w:r>
          </w:p>
        </w:tc>
        <w:tc>
          <w:tcPr>
            <w:tcW w:w="567" w:type="dxa"/>
            <w:vAlign w:val="center"/>
          </w:tcPr>
          <w:p w14:paraId="726B5CF3" w14:textId="2292B035" w:rsidR="00343470" w:rsidRPr="00C961A9" w:rsidRDefault="00CB458D"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1BD9CE21" w14:textId="478368E9" w:rsidR="00343470" w:rsidRPr="00C961A9" w:rsidRDefault="00CB458D" w:rsidP="00DE4C71">
            <w:pPr>
              <w:spacing w:before="100" w:after="100" w:line="360" w:lineRule="auto"/>
              <w:jc w:val="center"/>
              <w:rPr>
                <w:rFonts w:eastAsia="Times New Roman"/>
                <w:b/>
                <w:bCs/>
                <w:lang w:eastAsia="en-GB"/>
              </w:rPr>
            </w:pPr>
            <w:r>
              <w:rPr>
                <w:rFonts w:eastAsia="Times New Roman"/>
                <w:b/>
                <w:bCs/>
                <w:lang w:eastAsia="en-GB"/>
              </w:rPr>
              <w:t>A</w:t>
            </w:r>
          </w:p>
        </w:tc>
        <w:tc>
          <w:tcPr>
            <w:tcW w:w="851" w:type="dxa"/>
            <w:vAlign w:val="center"/>
          </w:tcPr>
          <w:p w14:paraId="0DC58B34" w14:textId="53D9CA7A" w:rsidR="00343470" w:rsidRPr="00C961A9" w:rsidRDefault="00CB458D"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6E79FABE" w14:textId="6D0E0DDB" w:rsidR="00343470" w:rsidRPr="00C961A9" w:rsidRDefault="00CB458D"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58953558" w14:textId="7B1B2030"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C</w:t>
            </w:r>
          </w:p>
        </w:tc>
        <w:tc>
          <w:tcPr>
            <w:tcW w:w="850" w:type="dxa"/>
            <w:vAlign w:val="center"/>
          </w:tcPr>
          <w:p w14:paraId="158E8736" w14:textId="70BFE7FA" w:rsidR="00343470" w:rsidRPr="00C961A9" w:rsidRDefault="0023703E" w:rsidP="00DE4C71">
            <w:pPr>
              <w:spacing w:before="100" w:after="100" w:line="360" w:lineRule="auto"/>
              <w:jc w:val="center"/>
              <w:rPr>
                <w:rFonts w:eastAsia="Times New Roman"/>
                <w:b/>
                <w:bCs/>
                <w:lang w:eastAsia="en-GB"/>
              </w:rPr>
            </w:pPr>
            <w:r>
              <w:rPr>
                <w:rFonts w:eastAsia="Times New Roman"/>
                <w:b/>
                <w:bCs/>
                <w:lang w:eastAsia="en-GB"/>
              </w:rPr>
              <w:t>R</w:t>
            </w:r>
          </w:p>
        </w:tc>
        <w:tc>
          <w:tcPr>
            <w:tcW w:w="425" w:type="dxa"/>
            <w:vAlign w:val="center"/>
          </w:tcPr>
          <w:p w14:paraId="17E5F292" w14:textId="7F3F1B25" w:rsidR="00343470" w:rsidRPr="00C961A9" w:rsidRDefault="00343470" w:rsidP="00DE4C71">
            <w:pPr>
              <w:spacing w:before="100" w:after="100" w:line="360" w:lineRule="auto"/>
              <w:jc w:val="center"/>
              <w:rPr>
                <w:rFonts w:eastAsia="Times New Roman"/>
                <w:b/>
                <w:bCs/>
                <w:lang w:eastAsia="en-GB"/>
              </w:rPr>
            </w:pPr>
            <w:r w:rsidRPr="00C961A9">
              <w:rPr>
                <w:rFonts w:eastAsia="Times New Roman"/>
                <w:b/>
                <w:bCs/>
                <w:lang w:eastAsia="en-GB"/>
              </w:rPr>
              <w:t>I</w:t>
            </w:r>
          </w:p>
        </w:tc>
      </w:tr>
      <w:tr w:rsidR="00EB4817" w:rsidRPr="0073447F" w14:paraId="42696150" w14:textId="77777777" w:rsidTr="00EB4817">
        <w:trPr>
          <w:trHeight w:val="558"/>
        </w:trPr>
        <w:tc>
          <w:tcPr>
            <w:tcW w:w="4106" w:type="dxa"/>
            <w:shd w:val="clear" w:color="auto" w:fill="DAE9F7" w:themeFill="text2" w:themeFillTint="1A"/>
          </w:tcPr>
          <w:p w14:paraId="48BE8390" w14:textId="5611F9B3" w:rsidR="00343470" w:rsidRPr="00B7724B" w:rsidRDefault="00F147B3" w:rsidP="00FA2C6D">
            <w:pPr>
              <w:spacing w:before="100" w:after="100" w:line="360" w:lineRule="auto"/>
              <w:jc w:val="left"/>
              <w:rPr>
                <w:rFonts w:eastAsia="Times New Roman"/>
                <w:b/>
                <w:bCs/>
                <w:color w:val="156082" w:themeColor="accent1"/>
                <w:lang w:eastAsia="en-GB"/>
              </w:rPr>
            </w:pPr>
            <w:r w:rsidRPr="00B7724B">
              <w:rPr>
                <w:b/>
                <w:bCs/>
                <w:color w:val="156082" w:themeColor="accent1"/>
              </w:rPr>
              <w:t>Participatory budgeting &amp; communication</w:t>
            </w:r>
          </w:p>
        </w:tc>
        <w:tc>
          <w:tcPr>
            <w:tcW w:w="567" w:type="dxa"/>
            <w:vAlign w:val="center"/>
          </w:tcPr>
          <w:p w14:paraId="4FC9FB7D" w14:textId="7D9FC0E1"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I</w:t>
            </w:r>
          </w:p>
        </w:tc>
        <w:tc>
          <w:tcPr>
            <w:tcW w:w="567" w:type="dxa"/>
            <w:vAlign w:val="center"/>
          </w:tcPr>
          <w:p w14:paraId="12C1C287" w14:textId="3E5E8044"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A</w:t>
            </w:r>
          </w:p>
        </w:tc>
        <w:tc>
          <w:tcPr>
            <w:tcW w:w="851" w:type="dxa"/>
            <w:vAlign w:val="center"/>
          </w:tcPr>
          <w:p w14:paraId="2E507FE6" w14:textId="1910DACB"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R</w:t>
            </w:r>
          </w:p>
        </w:tc>
        <w:tc>
          <w:tcPr>
            <w:tcW w:w="850" w:type="dxa"/>
            <w:vAlign w:val="center"/>
          </w:tcPr>
          <w:p w14:paraId="61475FA3" w14:textId="28276B1E"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R</w:t>
            </w:r>
          </w:p>
        </w:tc>
        <w:tc>
          <w:tcPr>
            <w:tcW w:w="851" w:type="dxa"/>
            <w:vAlign w:val="center"/>
          </w:tcPr>
          <w:p w14:paraId="0A2CDC31" w14:textId="49CFC834" w:rsidR="00343470" w:rsidRPr="00DD6706" w:rsidRDefault="00343470" w:rsidP="00DE4C71">
            <w:pPr>
              <w:spacing w:before="100" w:after="100" w:line="360" w:lineRule="auto"/>
              <w:jc w:val="center"/>
              <w:rPr>
                <w:rFonts w:eastAsia="Times New Roman"/>
                <w:b/>
                <w:bCs/>
                <w:lang w:eastAsia="en-GB"/>
              </w:rPr>
            </w:pPr>
            <w:r>
              <w:rPr>
                <w:rFonts w:eastAsia="Times New Roman"/>
                <w:b/>
                <w:bCs/>
                <w:lang w:eastAsia="en-GB"/>
              </w:rPr>
              <w:t>C</w:t>
            </w:r>
          </w:p>
        </w:tc>
        <w:tc>
          <w:tcPr>
            <w:tcW w:w="850" w:type="dxa"/>
            <w:vAlign w:val="center"/>
          </w:tcPr>
          <w:p w14:paraId="292DA169" w14:textId="74322AF4"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R</w:t>
            </w:r>
          </w:p>
        </w:tc>
        <w:tc>
          <w:tcPr>
            <w:tcW w:w="425" w:type="dxa"/>
            <w:vAlign w:val="center"/>
          </w:tcPr>
          <w:p w14:paraId="5695EF04" w14:textId="789DA928" w:rsidR="00343470" w:rsidRPr="00DD6706" w:rsidRDefault="0023703E" w:rsidP="00DE4C71">
            <w:pPr>
              <w:spacing w:before="100" w:after="100" w:line="360" w:lineRule="auto"/>
              <w:jc w:val="center"/>
              <w:rPr>
                <w:rFonts w:eastAsia="Times New Roman"/>
                <w:b/>
                <w:bCs/>
                <w:lang w:eastAsia="en-GB"/>
              </w:rPr>
            </w:pPr>
            <w:r>
              <w:rPr>
                <w:rFonts w:eastAsia="Times New Roman"/>
                <w:b/>
                <w:bCs/>
                <w:lang w:eastAsia="en-GB"/>
              </w:rPr>
              <w:t>I</w:t>
            </w:r>
          </w:p>
        </w:tc>
      </w:tr>
    </w:tbl>
    <w:p w14:paraId="3393CD56" w14:textId="08B3E9CE" w:rsidR="008B1769" w:rsidRPr="00AA3077" w:rsidRDefault="00E43DD1" w:rsidP="00D76113">
      <w:pPr>
        <w:rPr>
          <w:rFonts w:eastAsia="Times New Roman"/>
          <w:noProof/>
          <w:lang w:val="en-US" w:eastAsia="en-GB"/>
        </w:rPr>
      </w:pPr>
      <w:r w:rsidRPr="00DA0447">
        <w:rPr>
          <w:rFonts w:eastAsia="Times New Roman"/>
          <w:b/>
          <w:bCs/>
          <w:iCs/>
          <w:lang w:eastAsia="en-GB"/>
        </w:rPr>
        <w:t>Source:</w:t>
      </w:r>
      <w:r>
        <w:rPr>
          <w:rFonts w:eastAsia="Times New Roman"/>
          <w:iCs/>
          <w:lang w:eastAsia="en-GB"/>
        </w:rPr>
        <w:t xml:space="preserve"> </w:t>
      </w:r>
      <w:r w:rsidR="006E6C9B">
        <w:rPr>
          <w:rFonts w:eastAsia="Times New Roman"/>
          <w:iCs/>
          <w:lang w:eastAsia="en-GB"/>
        </w:rPr>
        <w:t>Author, a</w:t>
      </w:r>
      <w:r w:rsidR="002B7140">
        <w:rPr>
          <w:rFonts w:eastAsia="Times New Roman"/>
          <w:iCs/>
          <w:lang w:eastAsia="en-GB"/>
        </w:rPr>
        <w:t>dapted from M</w:t>
      </w:r>
      <w:r w:rsidR="008B0F84">
        <w:rPr>
          <w:rFonts w:eastAsia="Times New Roman"/>
          <w:iCs/>
          <w:lang w:eastAsia="en-GB"/>
        </w:rPr>
        <w:t xml:space="preserve">endelow </w:t>
      </w:r>
      <w:sdt>
        <w:sdtPr>
          <w:rPr>
            <w:rFonts w:eastAsia="Times New Roman"/>
            <w:iCs/>
            <w:lang w:eastAsia="en-GB"/>
          </w:rPr>
          <w:id w:val="1396932956"/>
          <w:citation/>
        </w:sdtPr>
        <w:sdtEndPr/>
        <w:sdtContent>
          <w:r w:rsidR="002B7140">
            <w:rPr>
              <w:rFonts w:eastAsia="Times New Roman"/>
              <w:iCs/>
              <w:lang w:eastAsia="en-GB"/>
            </w:rPr>
            <w:fldChar w:fldCharType="begin"/>
          </w:r>
          <w:r w:rsidR="002E53A1">
            <w:rPr>
              <w:rFonts w:eastAsia="Times New Roman"/>
              <w:iCs/>
              <w:lang w:val="en-US" w:eastAsia="en-GB"/>
            </w:rPr>
            <w:instrText xml:space="preserve">CITATION Men81 \n  \l 1033 </w:instrText>
          </w:r>
          <w:r w:rsidR="002B7140">
            <w:rPr>
              <w:rFonts w:eastAsia="Times New Roman"/>
              <w:iCs/>
              <w:lang w:eastAsia="en-GB"/>
            </w:rPr>
            <w:fldChar w:fldCharType="separate"/>
          </w:r>
          <w:r w:rsidR="002E53A1" w:rsidRPr="002E53A1">
            <w:rPr>
              <w:rFonts w:eastAsia="Times New Roman"/>
              <w:noProof/>
              <w:lang w:val="en-US" w:eastAsia="en-GB"/>
            </w:rPr>
            <w:t>(1981)</w:t>
          </w:r>
          <w:r w:rsidR="002B7140">
            <w:rPr>
              <w:rFonts w:eastAsia="Times New Roman"/>
              <w:iCs/>
              <w:lang w:eastAsia="en-GB"/>
            </w:rPr>
            <w:fldChar w:fldCharType="end"/>
          </w:r>
        </w:sdtContent>
      </w:sdt>
      <w:r w:rsidR="008B0F84">
        <w:rPr>
          <w:rFonts w:eastAsia="Times New Roman"/>
          <w:iCs/>
          <w:lang w:eastAsia="en-GB"/>
        </w:rPr>
        <w:t>;</w:t>
      </w:r>
      <w:r w:rsidR="001F4DEB">
        <w:rPr>
          <w:rFonts w:eastAsia="Times New Roman"/>
          <w:iCs/>
          <w:noProof/>
          <w:lang w:val="en-US" w:eastAsia="en-GB"/>
        </w:rPr>
        <w:t xml:space="preserve"> </w:t>
      </w:r>
      <w:r w:rsidR="001F4DEB" w:rsidRPr="00B105E2">
        <w:rPr>
          <w:rFonts w:eastAsia="Times New Roman"/>
          <w:noProof/>
          <w:lang w:val="en-US" w:eastAsia="en-GB"/>
        </w:rPr>
        <w:t>Bryson</w:t>
      </w:r>
      <w:r w:rsidR="001F4DEB">
        <w:rPr>
          <w:rFonts w:eastAsia="Times New Roman"/>
          <w:noProof/>
          <w:lang w:val="en-US" w:eastAsia="en-GB"/>
        </w:rPr>
        <w:t xml:space="preserve"> </w:t>
      </w:r>
      <w:sdt>
        <w:sdtPr>
          <w:rPr>
            <w:rFonts w:eastAsia="Times New Roman"/>
            <w:noProof/>
            <w:lang w:val="en-US" w:eastAsia="en-GB"/>
          </w:rPr>
          <w:id w:val="-313803828"/>
          <w:citation/>
        </w:sdtPr>
        <w:sdtEndPr/>
        <w:sdtContent>
          <w:r w:rsidR="001F4DEB">
            <w:rPr>
              <w:rFonts w:eastAsia="Times New Roman"/>
              <w:noProof/>
              <w:lang w:val="en-US" w:eastAsia="en-GB"/>
            </w:rPr>
            <w:fldChar w:fldCharType="begin"/>
          </w:r>
          <w:r w:rsidR="001F4DEB">
            <w:rPr>
              <w:rFonts w:eastAsia="Times New Roman"/>
              <w:noProof/>
              <w:lang w:val="en-US" w:eastAsia="en-GB"/>
            </w:rPr>
            <w:instrText xml:space="preserve">CITATION Bry181 \n  \l 1033 </w:instrText>
          </w:r>
          <w:r w:rsidR="001F4DEB">
            <w:rPr>
              <w:rFonts w:eastAsia="Times New Roman"/>
              <w:noProof/>
              <w:lang w:val="en-US" w:eastAsia="en-GB"/>
            </w:rPr>
            <w:fldChar w:fldCharType="separate"/>
          </w:r>
          <w:r w:rsidR="002E53A1" w:rsidRPr="002E53A1">
            <w:rPr>
              <w:rFonts w:eastAsia="Times New Roman"/>
              <w:noProof/>
              <w:lang w:val="en-US" w:eastAsia="en-GB"/>
            </w:rPr>
            <w:t>(2018)</w:t>
          </w:r>
          <w:r w:rsidR="001F4DEB">
            <w:rPr>
              <w:rFonts w:eastAsia="Times New Roman"/>
              <w:noProof/>
              <w:lang w:val="en-US" w:eastAsia="en-GB"/>
            </w:rPr>
            <w:fldChar w:fldCharType="end"/>
          </w:r>
        </w:sdtContent>
      </w:sdt>
      <w:r w:rsidR="001F4DEB">
        <w:rPr>
          <w:rFonts w:eastAsia="Times New Roman"/>
          <w:noProof/>
          <w:lang w:val="en-US" w:eastAsia="en-GB"/>
        </w:rPr>
        <w:t xml:space="preserve">; SHP </w:t>
      </w:r>
      <w:sdt>
        <w:sdtPr>
          <w:rPr>
            <w:rFonts w:eastAsia="Times New Roman"/>
            <w:noProof/>
            <w:lang w:val="en-US" w:eastAsia="en-GB"/>
          </w:rPr>
          <w:id w:val="-894495333"/>
          <w:citation/>
        </w:sdtPr>
        <w:sdtEndPr/>
        <w:sdtContent>
          <w:r w:rsidR="001F4DEB">
            <w:rPr>
              <w:rFonts w:eastAsia="Times New Roman"/>
              <w:noProof/>
              <w:lang w:val="en-US" w:eastAsia="en-GB"/>
            </w:rPr>
            <w:fldChar w:fldCharType="begin"/>
          </w:r>
          <w:r w:rsidR="001F4DEB">
            <w:rPr>
              <w:rFonts w:eastAsia="Times New Roman"/>
              <w:noProof/>
              <w:lang w:val="en-US" w:eastAsia="en-GB"/>
            </w:rPr>
            <w:instrText xml:space="preserve">CITATION SHP253 \n  \l 1033 </w:instrText>
          </w:r>
          <w:r w:rsidR="001F4DEB">
            <w:rPr>
              <w:rFonts w:eastAsia="Times New Roman"/>
              <w:noProof/>
              <w:lang w:val="en-US" w:eastAsia="en-GB"/>
            </w:rPr>
            <w:fldChar w:fldCharType="separate"/>
          </w:r>
          <w:r w:rsidR="002E53A1" w:rsidRPr="002E53A1">
            <w:rPr>
              <w:rFonts w:eastAsia="Times New Roman"/>
              <w:noProof/>
              <w:lang w:val="en-US" w:eastAsia="en-GB"/>
            </w:rPr>
            <w:t>(2025)</w:t>
          </w:r>
          <w:r w:rsidR="001F4DEB">
            <w:rPr>
              <w:rFonts w:eastAsia="Times New Roman"/>
              <w:noProof/>
              <w:lang w:val="en-US" w:eastAsia="en-GB"/>
            </w:rPr>
            <w:fldChar w:fldCharType="end"/>
          </w:r>
        </w:sdtContent>
      </w:sdt>
      <w:r w:rsidR="00DA0447">
        <w:rPr>
          <w:rFonts w:eastAsia="Times New Roman"/>
          <w:noProof/>
          <w:lang w:val="en-US" w:eastAsia="en-GB"/>
        </w:rPr>
        <w:t>.</w:t>
      </w:r>
    </w:p>
    <w:p w14:paraId="318F2F0F" w14:textId="31E61DB4" w:rsidR="00205781" w:rsidRPr="00205781" w:rsidRDefault="00205781" w:rsidP="00444ECA">
      <w:pPr>
        <w:pStyle w:val="Heading2"/>
      </w:pPr>
      <w:bookmarkStart w:id="41" w:name="_Toc216130287"/>
      <w:r w:rsidRPr="00205781">
        <w:t>6.4 Strategic Implications</w:t>
      </w:r>
      <w:bookmarkEnd w:id="41"/>
    </w:p>
    <w:p w14:paraId="2050F6F4" w14:textId="15AB8DE0" w:rsidR="00C43B3E" w:rsidRPr="00C43B3E" w:rsidRDefault="00C43B3E" w:rsidP="00C43B3E">
      <w:pPr>
        <w:pStyle w:val="NormalWeb"/>
        <w:spacing w:line="360" w:lineRule="auto"/>
        <w:jc w:val="both"/>
        <w:rPr>
          <w:rFonts w:ascii="Arial" w:hAnsi="Arial"/>
          <w:i w:val="0"/>
          <w:iCs w:val="0"/>
          <w:sz w:val="22"/>
        </w:rPr>
      </w:pPr>
      <w:r w:rsidRPr="00C43B3E">
        <w:rPr>
          <w:rFonts w:ascii="Arial" w:hAnsi="Arial"/>
          <w:i w:val="0"/>
          <w:iCs w:val="0"/>
          <w:sz w:val="22"/>
        </w:rPr>
        <w:t>Using stakeholder insights</w:t>
      </w:r>
      <w:r w:rsidR="007D788C">
        <w:rPr>
          <w:rFonts w:ascii="Arial" w:hAnsi="Arial"/>
          <w:i w:val="0"/>
          <w:iCs w:val="0"/>
          <w:sz w:val="22"/>
        </w:rPr>
        <w:t xml:space="preserve"> </w:t>
      </w:r>
      <w:sdt>
        <w:sdtPr>
          <w:rPr>
            <w:rFonts w:ascii="Arial" w:hAnsi="Arial"/>
            <w:i w:val="0"/>
            <w:iCs w:val="0"/>
            <w:sz w:val="22"/>
          </w:rPr>
          <w:id w:val="-1974206809"/>
          <w:citation/>
        </w:sdtPr>
        <w:sdtEndPr/>
        <w:sdtContent>
          <w:r w:rsidR="007D788C" w:rsidRPr="000A2C64">
            <w:rPr>
              <w:rFonts w:ascii="Arial" w:hAnsi="Arial"/>
              <w:i w:val="0"/>
              <w:iCs w:val="0"/>
              <w:sz w:val="22"/>
            </w:rPr>
            <w:fldChar w:fldCharType="begin"/>
          </w:r>
          <w:r w:rsidR="007D788C" w:rsidRPr="000A2C64">
            <w:rPr>
              <w:rFonts w:ascii="Arial" w:hAnsi="Arial"/>
              <w:i w:val="0"/>
              <w:iCs w:val="0"/>
              <w:sz w:val="22"/>
              <w:lang w:val="en-US"/>
            </w:rPr>
            <w:instrText xml:space="preserve"> CITATION Whi19 \l 1033 </w:instrText>
          </w:r>
          <w:r w:rsidR="007D788C" w:rsidRPr="000A2C64">
            <w:rPr>
              <w:rFonts w:ascii="Arial" w:hAnsi="Arial"/>
              <w:i w:val="0"/>
              <w:iCs w:val="0"/>
              <w:sz w:val="22"/>
            </w:rPr>
            <w:fldChar w:fldCharType="separate"/>
          </w:r>
          <w:r w:rsidR="002E53A1" w:rsidRPr="000A2C64">
            <w:rPr>
              <w:rFonts w:ascii="Arial" w:hAnsi="Arial"/>
              <w:i w:val="0"/>
              <w:iCs w:val="0"/>
              <w:noProof/>
              <w:sz w:val="22"/>
              <w:lang w:val="en-US"/>
            </w:rPr>
            <w:t>(Whittington, et al., 2019)</w:t>
          </w:r>
          <w:r w:rsidR="007D788C" w:rsidRPr="000A2C64">
            <w:rPr>
              <w:rFonts w:ascii="Arial" w:hAnsi="Arial"/>
              <w:i w:val="0"/>
              <w:iCs w:val="0"/>
              <w:sz w:val="22"/>
            </w:rPr>
            <w:fldChar w:fldCharType="end"/>
          </w:r>
        </w:sdtContent>
      </w:sdt>
      <w:r w:rsidRPr="00C43B3E">
        <w:rPr>
          <w:rFonts w:ascii="Arial" w:hAnsi="Arial"/>
          <w:i w:val="0"/>
          <w:iCs w:val="0"/>
          <w:sz w:val="22"/>
        </w:rPr>
        <w:t xml:space="preserve">, the </w:t>
      </w:r>
      <w:r w:rsidRPr="00C43B3E">
        <w:rPr>
          <w:rFonts w:ascii="Arial" w:hAnsi="Arial"/>
          <w:b/>
          <w:bCs/>
          <w:i w:val="0"/>
          <w:iCs w:val="0"/>
          <w:sz w:val="22"/>
        </w:rPr>
        <w:t>Sustainable Homes and Communities Strategy</w:t>
      </w:r>
      <w:r w:rsidRPr="00C43B3E">
        <w:rPr>
          <w:rFonts w:ascii="Arial" w:hAnsi="Arial"/>
          <w:i w:val="0"/>
          <w:iCs w:val="0"/>
          <w:sz w:val="22"/>
        </w:rPr>
        <w:t xml:space="preserve"> demonstrate:</w:t>
      </w:r>
    </w:p>
    <w:p w14:paraId="7CE7976D" w14:textId="5C435D22" w:rsidR="00C43B3E" w:rsidRPr="004C40E1" w:rsidRDefault="00C43B3E" w:rsidP="00CE3569">
      <w:pPr>
        <w:pStyle w:val="ListParagraph"/>
        <w:numPr>
          <w:ilvl w:val="0"/>
          <w:numId w:val="8"/>
        </w:numPr>
        <w:rPr>
          <w:lang w:eastAsia="en-GB"/>
        </w:rPr>
      </w:pPr>
      <w:r w:rsidRPr="003464F4">
        <w:rPr>
          <w:b/>
          <w:bCs/>
          <w:lang w:eastAsia="en-GB"/>
        </w:rPr>
        <w:t>Suitability</w:t>
      </w:r>
      <w:r w:rsidR="004C40E1" w:rsidRPr="003464F4">
        <w:rPr>
          <w:b/>
          <w:bCs/>
          <w:lang w:eastAsia="en-GB"/>
        </w:rPr>
        <w:t>:</w:t>
      </w:r>
      <w:r w:rsidR="004C40E1">
        <w:rPr>
          <w:lang w:eastAsia="en-GB"/>
        </w:rPr>
        <w:t xml:space="preserve"> </w:t>
      </w:r>
      <w:r w:rsidRPr="004C40E1">
        <w:rPr>
          <w:rFonts w:eastAsia="Times New Roman"/>
          <w:lang w:eastAsia="en-GB"/>
        </w:rPr>
        <w:t>It addresses the needs of all high-power stakeholders by improving regulatory compliance, safety, and asset sustainability.</w:t>
      </w:r>
    </w:p>
    <w:p w14:paraId="05463446" w14:textId="79F958F2" w:rsidR="00C43B3E" w:rsidRPr="004C40E1" w:rsidRDefault="00C43B3E" w:rsidP="00CE3569">
      <w:pPr>
        <w:pStyle w:val="ListParagraph"/>
        <w:numPr>
          <w:ilvl w:val="0"/>
          <w:numId w:val="8"/>
        </w:numPr>
        <w:rPr>
          <w:lang w:eastAsia="en-GB"/>
        </w:rPr>
      </w:pPr>
      <w:r w:rsidRPr="003464F4">
        <w:rPr>
          <w:b/>
          <w:bCs/>
          <w:lang w:eastAsia="en-GB"/>
        </w:rPr>
        <w:t>Feasibility</w:t>
      </w:r>
      <w:r w:rsidR="004C40E1" w:rsidRPr="003464F4">
        <w:rPr>
          <w:b/>
          <w:bCs/>
          <w:lang w:eastAsia="en-GB"/>
        </w:rPr>
        <w:t>:</w:t>
      </w:r>
      <w:r w:rsidR="004C40E1">
        <w:rPr>
          <w:lang w:eastAsia="en-GB"/>
        </w:rPr>
        <w:t xml:space="preserve"> </w:t>
      </w:r>
      <w:r w:rsidRPr="004C40E1">
        <w:rPr>
          <w:rFonts w:eastAsia="Times New Roman"/>
          <w:lang w:eastAsia="en-GB"/>
        </w:rPr>
        <w:t>It aligns with SHP’s SME characteristics</w:t>
      </w:r>
      <w:r w:rsidR="004C40E1">
        <w:rPr>
          <w:rFonts w:eastAsia="Times New Roman"/>
          <w:lang w:eastAsia="en-GB"/>
        </w:rPr>
        <w:t>-</w:t>
      </w:r>
      <w:r w:rsidRPr="004C40E1">
        <w:rPr>
          <w:rFonts w:eastAsia="Times New Roman"/>
          <w:lang w:eastAsia="en-GB"/>
        </w:rPr>
        <w:t>small workforce, limited capital</w:t>
      </w:r>
      <w:r w:rsidR="004C40E1">
        <w:rPr>
          <w:rFonts w:eastAsia="Times New Roman"/>
          <w:lang w:eastAsia="en-GB"/>
        </w:rPr>
        <w:t>-</w:t>
      </w:r>
      <w:r w:rsidRPr="004C40E1">
        <w:rPr>
          <w:rFonts w:eastAsia="Times New Roman"/>
          <w:lang w:eastAsia="en-GB"/>
        </w:rPr>
        <w:t>by using phased implementation, partnerships, and external funding streams.</w:t>
      </w:r>
    </w:p>
    <w:p w14:paraId="298F2AD3" w14:textId="0EC2C53E" w:rsidR="00C43B3E" w:rsidRPr="004C40E1" w:rsidRDefault="00C43B3E" w:rsidP="00CE3569">
      <w:pPr>
        <w:pStyle w:val="ListParagraph"/>
        <w:numPr>
          <w:ilvl w:val="0"/>
          <w:numId w:val="8"/>
        </w:numPr>
        <w:rPr>
          <w:lang w:eastAsia="en-GB"/>
        </w:rPr>
      </w:pPr>
      <w:r w:rsidRPr="003464F4">
        <w:rPr>
          <w:b/>
          <w:bCs/>
          <w:lang w:eastAsia="en-GB"/>
        </w:rPr>
        <w:t>Acceptability</w:t>
      </w:r>
      <w:r w:rsidR="004C40E1" w:rsidRPr="003464F4">
        <w:rPr>
          <w:b/>
          <w:bCs/>
          <w:lang w:eastAsia="en-GB"/>
        </w:rPr>
        <w:t>:</w:t>
      </w:r>
      <w:r w:rsidR="004C40E1">
        <w:rPr>
          <w:lang w:eastAsia="en-GB"/>
        </w:rPr>
        <w:t xml:space="preserve"> </w:t>
      </w:r>
      <w:r w:rsidRPr="004C40E1">
        <w:rPr>
          <w:rFonts w:eastAsia="Times New Roman"/>
          <w:lang w:eastAsia="en-GB"/>
        </w:rPr>
        <w:t>It balances resident expectations for transparency and involvement with the organisational mandate for safety, efficiency, and governance assurance.</w:t>
      </w:r>
    </w:p>
    <w:p w14:paraId="0A68CB44" w14:textId="5987E8EF" w:rsidR="00793F7E" w:rsidRDefault="00C43B3E" w:rsidP="00793F7E">
      <w:pPr>
        <w:rPr>
          <w:rFonts w:eastAsia="Times New Roman"/>
          <w:lang w:eastAsia="en-GB"/>
        </w:rPr>
      </w:pPr>
      <w:r w:rsidRPr="00C43B3E">
        <w:rPr>
          <w:rFonts w:eastAsia="Times New Roman"/>
          <w:lang w:eastAsia="en-GB"/>
        </w:rPr>
        <w:t xml:space="preserve">Thus, stakeholder analysis reinforces that the SHC Strategy is the </w:t>
      </w:r>
      <w:r w:rsidRPr="00C43B3E">
        <w:rPr>
          <w:rFonts w:eastAsia="Times New Roman"/>
          <w:b/>
          <w:bCs/>
          <w:lang w:eastAsia="en-GB"/>
        </w:rPr>
        <w:t>most balanced, low-risk, and organisationally legitimate</w:t>
      </w:r>
      <w:r w:rsidRPr="00C43B3E">
        <w:rPr>
          <w:rFonts w:eastAsia="Times New Roman"/>
          <w:lang w:eastAsia="en-GB"/>
        </w:rPr>
        <w:t xml:space="preserve"> option.</w:t>
      </w:r>
    </w:p>
    <w:p w14:paraId="4F19A064" w14:textId="77777777" w:rsidR="00605419" w:rsidRDefault="00605419" w:rsidP="00793F7E">
      <w:pPr>
        <w:rPr>
          <w:rFonts w:eastAsia="Times New Roman"/>
          <w:lang w:eastAsia="en-GB"/>
        </w:rPr>
      </w:pPr>
    </w:p>
    <w:p w14:paraId="7A9A73A7" w14:textId="77777777" w:rsidR="00605419" w:rsidRDefault="00605419" w:rsidP="00793F7E">
      <w:pPr>
        <w:rPr>
          <w:rFonts w:eastAsia="Times New Roman"/>
          <w:lang w:eastAsia="en-GB"/>
        </w:rPr>
      </w:pPr>
    </w:p>
    <w:p w14:paraId="37D0B486" w14:textId="77777777" w:rsidR="00605419" w:rsidRDefault="00605419" w:rsidP="00793F7E">
      <w:pPr>
        <w:rPr>
          <w:rFonts w:eastAsia="Times New Roman"/>
          <w:lang w:eastAsia="en-GB"/>
        </w:rPr>
      </w:pPr>
    </w:p>
    <w:p w14:paraId="4BEEF99D" w14:textId="77777777" w:rsidR="00605419" w:rsidRDefault="00605419" w:rsidP="00793F7E">
      <w:pPr>
        <w:rPr>
          <w:rFonts w:eastAsia="Times New Roman"/>
          <w:lang w:eastAsia="en-GB"/>
        </w:rPr>
      </w:pPr>
    </w:p>
    <w:p w14:paraId="431A1518" w14:textId="77777777" w:rsidR="00605419" w:rsidRDefault="00605419" w:rsidP="00793F7E">
      <w:pPr>
        <w:rPr>
          <w:rFonts w:eastAsia="Times New Roman"/>
          <w:lang w:eastAsia="en-GB"/>
        </w:rPr>
      </w:pPr>
    </w:p>
    <w:p w14:paraId="569A77E3" w14:textId="77777777" w:rsidR="00605419" w:rsidRDefault="00605419" w:rsidP="00793F7E">
      <w:pPr>
        <w:rPr>
          <w:rFonts w:eastAsia="Times New Roman"/>
          <w:lang w:eastAsia="en-GB"/>
        </w:rPr>
      </w:pPr>
    </w:p>
    <w:p w14:paraId="730CCB40" w14:textId="77777777" w:rsidR="00605419" w:rsidRDefault="00605419" w:rsidP="00793F7E">
      <w:pPr>
        <w:rPr>
          <w:rFonts w:eastAsia="Times New Roman"/>
          <w:lang w:eastAsia="en-GB"/>
        </w:rPr>
      </w:pPr>
    </w:p>
    <w:p w14:paraId="5CF5024E" w14:textId="77777777" w:rsidR="00605419" w:rsidRDefault="00605419" w:rsidP="00793F7E">
      <w:pPr>
        <w:rPr>
          <w:rFonts w:eastAsia="Times New Roman"/>
          <w:lang w:eastAsia="en-GB"/>
        </w:rPr>
      </w:pPr>
    </w:p>
    <w:p w14:paraId="7BACD011" w14:textId="77777777" w:rsidR="00605419" w:rsidRDefault="00605419" w:rsidP="00793F7E">
      <w:pPr>
        <w:rPr>
          <w:rFonts w:eastAsia="Times New Roman"/>
          <w:lang w:eastAsia="en-GB"/>
        </w:rPr>
      </w:pPr>
    </w:p>
    <w:p w14:paraId="632288D3" w14:textId="77777777" w:rsidR="00605419" w:rsidRDefault="00605419" w:rsidP="00793F7E">
      <w:pPr>
        <w:rPr>
          <w:rFonts w:eastAsia="Times New Roman"/>
          <w:lang w:eastAsia="en-GB"/>
        </w:rPr>
      </w:pPr>
    </w:p>
    <w:p w14:paraId="3BCF997D" w14:textId="77777777" w:rsidR="00605419" w:rsidRDefault="00605419" w:rsidP="00793F7E">
      <w:pPr>
        <w:rPr>
          <w:rFonts w:eastAsia="Times New Roman"/>
          <w:lang w:eastAsia="en-GB"/>
        </w:rPr>
      </w:pPr>
    </w:p>
    <w:p w14:paraId="33CA38BC" w14:textId="77777777" w:rsidR="00605419" w:rsidRDefault="00605419" w:rsidP="00793F7E">
      <w:pPr>
        <w:rPr>
          <w:rFonts w:eastAsia="Times New Roman"/>
          <w:lang w:eastAsia="en-GB"/>
        </w:rPr>
      </w:pPr>
    </w:p>
    <w:p w14:paraId="562C6953" w14:textId="77777777" w:rsidR="00605419" w:rsidRDefault="00605419" w:rsidP="00793F7E">
      <w:pPr>
        <w:rPr>
          <w:rFonts w:eastAsia="Times New Roman"/>
          <w:lang w:eastAsia="en-GB"/>
        </w:rPr>
      </w:pPr>
    </w:p>
    <w:p w14:paraId="6DA74CE5" w14:textId="77777777" w:rsidR="00605419" w:rsidRDefault="00605419" w:rsidP="00793F7E">
      <w:pPr>
        <w:rPr>
          <w:rFonts w:eastAsia="Times New Roman"/>
          <w:lang w:eastAsia="en-GB"/>
        </w:rPr>
      </w:pPr>
    </w:p>
    <w:p w14:paraId="3F2769DF" w14:textId="77777777" w:rsidR="00605419" w:rsidRDefault="00605419" w:rsidP="00793F7E">
      <w:pPr>
        <w:rPr>
          <w:rFonts w:eastAsia="Times New Roman"/>
          <w:lang w:eastAsia="en-GB"/>
        </w:rPr>
      </w:pPr>
    </w:p>
    <w:p w14:paraId="55807AE6" w14:textId="77777777" w:rsidR="00605419" w:rsidRDefault="00605419" w:rsidP="00793F7E">
      <w:pPr>
        <w:rPr>
          <w:rFonts w:eastAsia="Times New Roman"/>
          <w:lang w:eastAsia="en-GB"/>
        </w:rPr>
      </w:pPr>
    </w:p>
    <w:p w14:paraId="55AC57AE" w14:textId="5BBE92CC" w:rsidR="00FB43BD" w:rsidRPr="00FB43BD" w:rsidRDefault="006B7A51" w:rsidP="001E14B1">
      <w:pPr>
        <w:pStyle w:val="Heading1"/>
        <w:numPr>
          <w:ilvl w:val="0"/>
          <w:numId w:val="16"/>
        </w:numPr>
        <w:rPr>
          <w:rFonts w:eastAsia="Times New Roman"/>
          <w:lang w:eastAsia="en-GB"/>
        </w:rPr>
      </w:pPr>
      <w:bookmarkStart w:id="42" w:name="_Toc216130288"/>
      <w:r>
        <w:t>Strategic Recommendations</w:t>
      </w:r>
      <w:bookmarkEnd w:id="42"/>
    </w:p>
    <w:p w14:paraId="01965B61" w14:textId="6A7AED3B" w:rsidR="006D0094" w:rsidRPr="006D0094" w:rsidRDefault="006D0094" w:rsidP="006D0094">
      <w:pPr>
        <w:pStyle w:val="NormalWeb"/>
        <w:spacing w:line="360" w:lineRule="auto"/>
        <w:jc w:val="both"/>
        <w:rPr>
          <w:rFonts w:ascii="Arial" w:hAnsi="Arial" w:cs="Arial"/>
          <w:i w:val="0"/>
          <w:iCs w:val="0"/>
          <w:kern w:val="0"/>
          <w:sz w:val="22"/>
          <w:szCs w:val="22"/>
          <w14:ligatures w14:val="none"/>
        </w:rPr>
      </w:pPr>
      <w:r w:rsidRPr="006D0094">
        <w:rPr>
          <w:rFonts w:ascii="Arial" w:hAnsi="Arial" w:cs="Arial"/>
          <w:i w:val="0"/>
          <w:iCs w:val="0"/>
          <w:kern w:val="0"/>
          <w:sz w:val="22"/>
          <w:szCs w:val="22"/>
          <w14:ligatures w14:val="none"/>
        </w:rPr>
        <w:t>To ensure long-term resilience, regulatory compliance, and improved tenant outcomes, SHP should implement targeted initiatives aligned with the Sustainable Homes and Communities (SHC) Strategy (Section 5) and informed by strategic analysis (Sections 3</w:t>
      </w:r>
      <w:r w:rsidR="009153DD">
        <w:rPr>
          <w:rFonts w:ascii="Arial" w:hAnsi="Arial" w:cs="Arial"/>
          <w:i w:val="0"/>
          <w:iCs w:val="0"/>
          <w:kern w:val="0"/>
          <w:sz w:val="22"/>
          <w:szCs w:val="22"/>
          <w14:ligatures w14:val="none"/>
        </w:rPr>
        <w:t>-</w:t>
      </w:r>
      <w:r w:rsidRPr="006D0094">
        <w:rPr>
          <w:rFonts w:ascii="Arial" w:hAnsi="Arial" w:cs="Arial"/>
          <w:i w:val="0"/>
          <w:iCs w:val="0"/>
          <w:kern w:val="0"/>
          <w:sz w:val="22"/>
          <w:szCs w:val="22"/>
          <w14:ligatures w14:val="none"/>
        </w:rPr>
        <w:t>4).</w:t>
      </w:r>
    </w:p>
    <w:p w14:paraId="003C3FF5" w14:textId="3E9396D5"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Decarbonisation and Asset Investment (Section 5.1)</w:t>
      </w:r>
      <w:r w:rsidRPr="006D0094">
        <w:rPr>
          <w:rFonts w:eastAsia="Times New Roman" w:cs="Arial"/>
          <w:kern w:val="0"/>
          <w:szCs w:val="22"/>
          <w:lang w:eastAsia="en-GB"/>
          <w14:ligatures w14:val="none"/>
        </w:rPr>
        <w:t xml:space="preserve"> </w:t>
      </w:r>
      <w:r w:rsidR="00610796">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Phased retrofits, low-carbon heating and insulation upgrades, and collaboration with specialist contractors using grants will enhance Net Zero compliance, reduce costs, and mitigate health and safety risks </w:t>
      </w:r>
      <w:sdt>
        <w:sdtPr>
          <w:rPr>
            <w:rFonts w:eastAsia="Times New Roman" w:cs="Arial"/>
            <w:kern w:val="0"/>
            <w:szCs w:val="22"/>
            <w:lang w:eastAsia="en-GB"/>
            <w14:ligatures w14:val="none"/>
          </w:rPr>
          <w:id w:val="854471080"/>
          <w:citation/>
        </w:sdtPr>
        <w:sdtEndPr/>
        <w:sdtContent>
          <w:r w:rsidR="00610796">
            <w:rPr>
              <w:rFonts w:eastAsia="Times New Roman" w:cs="Arial"/>
              <w:kern w:val="0"/>
              <w:szCs w:val="22"/>
              <w:lang w:eastAsia="en-GB"/>
              <w14:ligatures w14:val="none"/>
            </w:rPr>
            <w:fldChar w:fldCharType="begin"/>
          </w:r>
          <w:r w:rsidR="00610796">
            <w:rPr>
              <w:rFonts w:eastAsia="Times New Roman" w:cs="Arial"/>
              <w:kern w:val="0"/>
              <w:szCs w:val="22"/>
              <w:lang w:val="en-US" w:eastAsia="en-GB"/>
              <w14:ligatures w14:val="none"/>
            </w:rPr>
            <w:instrText xml:space="preserve"> CITATION Shw24 \l 1033  \m Dep251</w:instrText>
          </w:r>
          <w:r w:rsidR="00610796">
            <w:rPr>
              <w:rFonts w:eastAsia="Times New Roman" w:cs="Arial"/>
              <w:kern w:val="0"/>
              <w:szCs w:val="22"/>
              <w:lang w:eastAsia="en-GB"/>
              <w14:ligatures w14:val="none"/>
            </w:rPr>
            <w:fldChar w:fldCharType="separate"/>
          </w:r>
          <w:r w:rsidR="00610796" w:rsidRPr="00610796">
            <w:rPr>
              <w:rFonts w:eastAsia="Times New Roman" w:cs="Arial"/>
              <w:noProof/>
              <w:kern w:val="0"/>
              <w:szCs w:val="22"/>
              <w:lang w:val="en-US" w:eastAsia="en-GB"/>
              <w14:ligatures w14:val="none"/>
            </w:rPr>
            <w:t>(Shwashreh, et al., 2024; DESNZ, 2025)</w:t>
          </w:r>
          <w:r w:rsidR="00610796">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226E4875" w14:textId="462CACC8"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Digital Transformation (Section 5.2)</w:t>
      </w:r>
      <w:r w:rsidRPr="006D0094">
        <w:rPr>
          <w:rFonts w:eastAsia="Times New Roman" w:cs="Arial"/>
          <w:kern w:val="0"/>
          <w:szCs w:val="22"/>
          <w:lang w:eastAsia="en-GB"/>
          <w14:ligatures w14:val="none"/>
        </w:rPr>
        <w:t xml:space="preserve"> </w:t>
      </w:r>
      <w:r w:rsidR="00610796">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Deploy integrated housing management systems, predictive maintenance tools, and tenant portals, with staff training in digital skills and data governance, to improve efficiency, transparency, compliance, and tenant engagement </w:t>
      </w:r>
      <w:sdt>
        <w:sdtPr>
          <w:rPr>
            <w:rFonts w:eastAsia="Times New Roman" w:cs="Arial"/>
            <w:kern w:val="0"/>
            <w:szCs w:val="22"/>
            <w:lang w:eastAsia="en-GB"/>
            <w14:ligatures w14:val="none"/>
          </w:rPr>
          <w:id w:val="630679821"/>
          <w:citation/>
        </w:sdtPr>
        <w:sdtEndPr/>
        <w:sdtContent>
          <w:r w:rsidR="00610796">
            <w:rPr>
              <w:rFonts w:eastAsia="Times New Roman" w:cs="Arial"/>
              <w:kern w:val="0"/>
              <w:szCs w:val="22"/>
              <w:lang w:eastAsia="en-GB"/>
              <w14:ligatures w14:val="none"/>
            </w:rPr>
            <w:fldChar w:fldCharType="begin"/>
          </w:r>
          <w:r w:rsidR="00610796">
            <w:rPr>
              <w:rFonts w:eastAsia="Times New Roman" w:cs="Arial"/>
              <w:kern w:val="0"/>
              <w:szCs w:val="22"/>
              <w:lang w:val="en-US" w:eastAsia="en-GB"/>
              <w14:ligatures w14:val="none"/>
            </w:rPr>
            <w:instrText xml:space="preserve"> CITATION Din24 \l 1033 </w:instrText>
          </w:r>
          <w:r w:rsidR="00610796">
            <w:rPr>
              <w:rFonts w:eastAsia="Times New Roman" w:cs="Arial"/>
              <w:kern w:val="0"/>
              <w:szCs w:val="22"/>
              <w:lang w:eastAsia="en-GB"/>
              <w14:ligatures w14:val="none"/>
            </w:rPr>
            <w:fldChar w:fldCharType="separate"/>
          </w:r>
          <w:r w:rsidR="00610796" w:rsidRPr="00610796">
            <w:rPr>
              <w:rFonts w:eastAsia="Times New Roman" w:cs="Arial"/>
              <w:noProof/>
              <w:kern w:val="0"/>
              <w:szCs w:val="22"/>
              <w:lang w:val="en-US" w:eastAsia="en-GB"/>
              <w14:ligatures w14:val="none"/>
            </w:rPr>
            <w:t>(Ding &amp; Sun, 2024)</w:t>
          </w:r>
          <w:r w:rsidR="00610796">
            <w:rPr>
              <w:rFonts w:eastAsia="Times New Roman" w:cs="Arial"/>
              <w:kern w:val="0"/>
              <w:szCs w:val="22"/>
              <w:lang w:eastAsia="en-GB"/>
              <w14:ligatures w14:val="none"/>
            </w:rPr>
            <w:fldChar w:fldCharType="end"/>
          </w:r>
        </w:sdtContent>
      </w:sdt>
      <w:r w:rsidR="00610796">
        <w:rPr>
          <w:rFonts w:eastAsia="Times New Roman" w:cs="Arial"/>
          <w:kern w:val="0"/>
          <w:szCs w:val="22"/>
          <w:lang w:eastAsia="en-GB"/>
          <w14:ligatures w14:val="none"/>
        </w:rPr>
        <w:t>.</w:t>
      </w:r>
    </w:p>
    <w:p w14:paraId="7BDE6887" w14:textId="794AEE19"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 xml:space="preserve">Repairs Service Enhancement (Sections 3.4 </w:t>
      </w:r>
      <w:r w:rsidR="00610796">
        <w:rPr>
          <w:rFonts w:eastAsia="Times New Roman" w:cs="Arial"/>
          <w:b/>
          <w:bCs/>
          <w:kern w:val="0"/>
          <w:szCs w:val="22"/>
          <w:lang w:eastAsia="en-GB"/>
          <w14:ligatures w14:val="none"/>
        </w:rPr>
        <w:t>and</w:t>
      </w:r>
      <w:r w:rsidRPr="006D0094">
        <w:rPr>
          <w:rFonts w:eastAsia="Times New Roman" w:cs="Arial"/>
          <w:b/>
          <w:bCs/>
          <w:kern w:val="0"/>
          <w:szCs w:val="22"/>
          <w:lang w:eastAsia="en-GB"/>
          <w14:ligatures w14:val="none"/>
        </w:rPr>
        <w:t xml:space="preserve"> 5.1)</w:t>
      </w:r>
      <w:r w:rsidRPr="006D0094">
        <w:rPr>
          <w:rFonts w:eastAsia="Times New Roman" w:cs="Arial"/>
          <w:kern w:val="0"/>
          <w:szCs w:val="22"/>
          <w:lang w:eastAsia="en-GB"/>
          <w14:ligatures w14:val="none"/>
        </w:rPr>
        <w:t xml:space="preserve"> </w:t>
      </w:r>
      <w:r w:rsidR="00610796">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Workforce training, scheduling dashboards, and contractor optimisation will strengthen reliability, resident satisfaction, and regulatory performance </w:t>
      </w:r>
      <w:sdt>
        <w:sdtPr>
          <w:rPr>
            <w:rFonts w:eastAsia="Times New Roman" w:cs="Arial"/>
            <w:kern w:val="0"/>
            <w:szCs w:val="22"/>
            <w:lang w:eastAsia="en-GB"/>
            <w14:ligatures w14:val="none"/>
          </w:rPr>
          <w:id w:val="1813913461"/>
          <w:citation/>
        </w:sdtPr>
        <w:sdtEndPr/>
        <w:sdtContent>
          <w:r w:rsidR="00610796">
            <w:rPr>
              <w:rFonts w:eastAsia="Times New Roman" w:cs="Arial"/>
              <w:kern w:val="0"/>
              <w:szCs w:val="22"/>
              <w:lang w:eastAsia="en-GB"/>
              <w14:ligatures w14:val="none"/>
            </w:rPr>
            <w:fldChar w:fldCharType="begin"/>
          </w:r>
          <w:r w:rsidR="00610796">
            <w:rPr>
              <w:rFonts w:eastAsia="Times New Roman" w:cs="Arial"/>
              <w:kern w:val="0"/>
              <w:szCs w:val="22"/>
              <w:lang w:val="en-US" w:eastAsia="en-GB"/>
              <w14:ligatures w14:val="none"/>
            </w:rPr>
            <w:instrText xml:space="preserve"> CITATION Lev24 \l 1033 </w:instrText>
          </w:r>
          <w:r w:rsidR="00610796">
            <w:rPr>
              <w:rFonts w:eastAsia="Times New Roman" w:cs="Arial"/>
              <w:kern w:val="0"/>
              <w:szCs w:val="22"/>
              <w:lang w:eastAsia="en-GB"/>
              <w14:ligatures w14:val="none"/>
            </w:rPr>
            <w:fldChar w:fldCharType="separate"/>
          </w:r>
          <w:r w:rsidR="00610796" w:rsidRPr="00610796">
            <w:rPr>
              <w:rFonts w:eastAsia="Times New Roman" w:cs="Arial"/>
              <w:noProof/>
              <w:kern w:val="0"/>
              <w:szCs w:val="22"/>
              <w:lang w:val="en-US" w:eastAsia="en-GB"/>
              <w14:ligatures w14:val="none"/>
            </w:rPr>
            <w:t>(Levelling UP, Housing and Communities Committee, 2024)</w:t>
          </w:r>
          <w:r w:rsidR="00610796">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1E5D08DE" w14:textId="63A30D85"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Resident Co-Production (Section 5.3)</w:t>
      </w:r>
      <w:r w:rsidRPr="006D0094">
        <w:rPr>
          <w:rFonts w:eastAsia="Times New Roman" w:cs="Arial"/>
          <w:kern w:val="0"/>
          <w:szCs w:val="22"/>
          <w:lang w:eastAsia="en-GB"/>
          <w14:ligatures w14:val="none"/>
        </w:rPr>
        <w:t xml:space="preserve"> </w:t>
      </w:r>
      <w:r w:rsidR="00610796">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Establish co-production panels, participatory budgeting, and transparent digital reporting to build tenant trust, engagement, and compliance </w:t>
      </w:r>
      <w:sdt>
        <w:sdtPr>
          <w:rPr>
            <w:rFonts w:eastAsia="Times New Roman" w:cs="Arial"/>
            <w:kern w:val="0"/>
            <w:szCs w:val="22"/>
            <w:lang w:eastAsia="en-GB"/>
            <w14:ligatures w14:val="none"/>
          </w:rPr>
          <w:id w:val="212168654"/>
          <w:citation/>
        </w:sdtPr>
        <w:sdtEndPr/>
        <w:sdtContent>
          <w:r w:rsidR="00610796">
            <w:rPr>
              <w:rFonts w:eastAsia="Times New Roman" w:cs="Arial"/>
              <w:kern w:val="0"/>
              <w:szCs w:val="22"/>
              <w:lang w:eastAsia="en-GB"/>
              <w14:ligatures w14:val="none"/>
            </w:rPr>
            <w:fldChar w:fldCharType="begin"/>
          </w:r>
          <w:r w:rsidR="00610796">
            <w:rPr>
              <w:rFonts w:eastAsia="Times New Roman" w:cs="Arial"/>
              <w:kern w:val="0"/>
              <w:szCs w:val="22"/>
              <w:lang w:val="en-US" w:eastAsia="en-GB"/>
              <w14:ligatures w14:val="none"/>
            </w:rPr>
            <w:instrText xml:space="preserve"> CITATION Fur25 \l 1033  \m Car22</w:instrText>
          </w:r>
          <w:r w:rsidR="00610796">
            <w:rPr>
              <w:rFonts w:eastAsia="Times New Roman" w:cs="Arial"/>
              <w:kern w:val="0"/>
              <w:szCs w:val="22"/>
              <w:lang w:eastAsia="en-GB"/>
              <w14:ligatures w14:val="none"/>
            </w:rPr>
            <w:fldChar w:fldCharType="separate"/>
          </w:r>
          <w:r w:rsidR="00610796" w:rsidRPr="00610796">
            <w:rPr>
              <w:rFonts w:eastAsia="Times New Roman" w:cs="Arial"/>
              <w:noProof/>
              <w:kern w:val="0"/>
              <w:szCs w:val="22"/>
              <w:lang w:val="en-US" w:eastAsia="en-GB"/>
              <w14:ligatures w14:val="none"/>
            </w:rPr>
            <w:t>(Furman, et al., 2025; Carr, et al., 2022)</w:t>
          </w:r>
          <w:r w:rsidR="00610796">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7229F002" w14:textId="0855A98A"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 xml:space="preserve">Governance and Data Assurance (Sections 3.3 </w:t>
      </w:r>
      <w:r w:rsidR="00610796">
        <w:rPr>
          <w:rFonts w:eastAsia="Times New Roman" w:cs="Arial"/>
          <w:b/>
          <w:bCs/>
          <w:kern w:val="0"/>
          <w:szCs w:val="22"/>
          <w:lang w:eastAsia="en-GB"/>
          <w14:ligatures w14:val="none"/>
        </w:rPr>
        <w:t>and</w:t>
      </w:r>
      <w:r w:rsidRPr="006D0094">
        <w:rPr>
          <w:rFonts w:eastAsia="Times New Roman" w:cs="Arial"/>
          <w:b/>
          <w:bCs/>
          <w:kern w:val="0"/>
          <w:szCs w:val="22"/>
          <w:lang w:eastAsia="en-GB"/>
          <w14:ligatures w14:val="none"/>
        </w:rPr>
        <w:t xml:space="preserve"> 6)</w:t>
      </w:r>
      <w:r w:rsidRPr="006D0094">
        <w:rPr>
          <w:rFonts w:eastAsia="Times New Roman" w:cs="Arial"/>
          <w:kern w:val="0"/>
          <w:szCs w:val="22"/>
          <w:lang w:eastAsia="en-GB"/>
          <w14:ligatures w14:val="none"/>
        </w:rPr>
        <w:t xml:space="preserve"> </w:t>
      </w:r>
      <w:r w:rsidR="00610796">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Implement strategic KPIs, audits, and cross-organisational governance, supported by Board and tenant training, to ensure accountability and regulatory confidence </w:t>
      </w:r>
      <w:sdt>
        <w:sdtPr>
          <w:rPr>
            <w:rFonts w:eastAsia="Times New Roman" w:cs="Arial"/>
            <w:kern w:val="0"/>
            <w:szCs w:val="22"/>
            <w:lang w:eastAsia="en-GB"/>
            <w14:ligatures w14:val="none"/>
          </w:rPr>
          <w:id w:val="-1819176576"/>
          <w:citation/>
        </w:sdtPr>
        <w:sdtEndPr/>
        <w:sdtContent>
          <w:r w:rsidR="00A60682">
            <w:rPr>
              <w:rFonts w:eastAsia="Times New Roman" w:cs="Arial"/>
              <w:kern w:val="0"/>
              <w:szCs w:val="22"/>
              <w:lang w:eastAsia="en-GB"/>
              <w14:ligatures w14:val="none"/>
            </w:rPr>
            <w:fldChar w:fldCharType="begin"/>
          </w:r>
          <w:r w:rsidR="00A60682">
            <w:rPr>
              <w:rFonts w:eastAsia="Times New Roman" w:cs="Arial"/>
              <w:kern w:val="0"/>
              <w:szCs w:val="22"/>
              <w:lang w:val="en-US" w:eastAsia="en-GB"/>
              <w14:ligatures w14:val="none"/>
            </w:rPr>
            <w:instrText xml:space="preserve"> CITATION Cha25 \l 1033 </w:instrText>
          </w:r>
          <w:r w:rsidR="00A60682">
            <w:rPr>
              <w:rFonts w:eastAsia="Times New Roman" w:cs="Arial"/>
              <w:kern w:val="0"/>
              <w:szCs w:val="22"/>
              <w:lang w:eastAsia="en-GB"/>
              <w14:ligatures w14:val="none"/>
            </w:rPr>
            <w:fldChar w:fldCharType="separate"/>
          </w:r>
          <w:r w:rsidR="00A60682" w:rsidRPr="00A60682">
            <w:rPr>
              <w:rFonts w:eastAsia="Times New Roman" w:cs="Arial"/>
              <w:noProof/>
              <w:kern w:val="0"/>
              <w:szCs w:val="22"/>
              <w:lang w:val="en-US" w:eastAsia="en-GB"/>
              <w14:ligatures w14:val="none"/>
            </w:rPr>
            <w:t>(Charles, 2025)</w:t>
          </w:r>
          <w:r w:rsidR="00A60682">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4DE961E1" w14:textId="2733AEFE"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Strategic Partnerships (Section 4.2)</w:t>
      </w:r>
      <w:r w:rsidRPr="006D0094">
        <w:rPr>
          <w:rFonts w:eastAsia="Times New Roman" w:cs="Arial"/>
          <w:kern w:val="0"/>
          <w:szCs w:val="22"/>
          <w:lang w:eastAsia="en-GB"/>
          <w14:ligatures w14:val="none"/>
        </w:rPr>
        <w:t xml:space="preserve"> </w:t>
      </w:r>
      <w:r w:rsidR="00A60682">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Collaborate with housing associations, colleges, and community organisations to expand capacity, reduce costs, and enhance social outcomes </w:t>
      </w:r>
      <w:sdt>
        <w:sdtPr>
          <w:rPr>
            <w:rFonts w:eastAsia="Times New Roman" w:cs="Arial"/>
            <w:kern w:val="0"/>
            <w:szCs w:val="22"/>
            <w:lang w:eastAsia="en-GB"/>
            <w14:ligatures w14:val="none"/>
          </w:rPr>
          <w:id w:val="834648389"/>
          <w:citation/>
        </w:sdtPr>
        <w:sdtEndPr/>
        <w:sdtContent>
          <w:r w:rsidR="00A60682">
            <w:rPr>
              <w:rFonts w:eastAsia="Times New Roman" w:cs="Arial"/>
              <w:kern w:val="0"/>
              <w:szCs w:val="22"/>
              <w:lang w:eastAsia="en-GB"/>
              <w14:ligatures w14:val="none"/>
            </w:rPr>
            <w:fldChar w:fldCharType="begin"/>
          </w:r>
          <w:r w:rsidR="00A60682">
            <w:rPr>
              <w:rFonts w:eastAsia="Times New Roman" w:cs="Arial"/>
              <w:kern w:val="0"/>
              <w:szCs w:val="22"/>
              <w:lang w:val="en-US" w:eastAsia="en-GB"/>
              <w14:ligatures w14:val="none"/>
            </w:rPr>
            <w:instrText xml:space="preserve"> CITATION Car19 \l 1033  \m Phi24</w:instrText>
          </w:r>
          <w:r w:rsidR="00A60682">
            <w:rPr>
              <w:rFonts w:eastAsia="Times New Roman" w:cs="Arial"/>
              <w:kern w:val="0"/>
              <w:szCs w:val="22"/>
              <w:lang w:eastAsia="en-GB"/>
              <w14:ligatures w14:val="none"/>
            </w:rPr>
            <w:fldChar w:fldCharType="separate"/>
          </w:r>
          <w:r w:rsidR="00A60682" w:rsidRPr="00A60682">
            <w:rPr>
              <w:rFonts w:eastAsia="Times New Roman" w:cs="Arial"/>
              <w:noProof/>
              <w:kern w:val="0"/>
              <w:szCs w:val="22"/>
              <w:lang w:val="en-US" w:eastAsia="en-GB"/>
              <w14:ligatures w14:val="none"/>
            </w:rPr>
            <w:t>(Carvalho &amp; Sabino, 2019; Phillips, et al., 2024)</w:t>
          </w:r>
          <w:r w:rsidR="00A60682">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0D5CD6F9" w14:textId="21449379" w:rsidR="006D0094" w:rsidRPr="006D0094" w:rsidRDefault="006D0094" w:rsidP="006D0094">
      <w:pPr>
        <w:numPr>
          <w:ilvl w:val="0"/>
          <w:numId w:val="26"/>
        </w:numPr>
        <w:rPr>
          <w:rFonts w:eastAsia="Times New Roman" w:cs="Arial"/>
          <w:kern w:val="0"/>
          <w:szCs w:val="22"/>
          <w:lang w:eastAsia="en-GB"/>
          <w14:ligatures w14:val="none"/>
        </w:rPr>
      </w:pPr>
      <w:r w:rsidRPr="006D0094">
        <w:rPr>
          <w:rFonts w:eastAsia="Times New Roman" w:cs="Arial"/>
          <w:b/>
          <w:bCs/>
          <w:kern w:val="0"/>
          <w:szCs w:val="22"/>
          <w:lang w:eastAsia="en-GB"/>
          <w14:ligatures w14:val="none"/>
        </w:rPr>
        <w:t>Phased Change Management (Section 5.4)</w:t>
      </w:r>
      <w:r w:rsidRPr="006D0094">
        <w:rPr>
          <w:rFonts w:eastAsia="Times New Roman" w:cs="Arial"/>
          <w:kern w:val="0"/>
          <w:szCs w:val="22"/>
          <w:lang w:eastAsia="en-GB"/>
          <w14:ligatures w14:val="none"/>
        </w:rPr>
        <w:t xml:space="preserve"> </w:t>
      </w:r>
      <w:r w:rsidR="00A60682">
        <w:rPr>
          <w:rFonts w:eastAsia="Times New Roman" w:cs="Arial"/>
          <w:kern w:val="0"/>
          <w:szCs w:val="22"/>
          <w:lang w:eastAsia="en-GB"/>
          <w14:ligatures w14:val="none"/>
        </w:rPr>
        <w:t>-</w:t>
      </w:r>
      <w:r w:rsidRPr="006D0094">
        <w:rPr>
          <w:rFonts w:eastAsia="Times New Roman" w:cs="Arial"/>
          <w:kern w:val="0"/>
          <w:szCs w:val="22"/>
          <w:lang w:eastAsia="en-GB"/>
          <w14:ligatures w14:val="none"/>
        </w:rPr>
        <w:t xml:space="preserve"> Apply structured, milestone-driven implementation with clear communication and feedback loops to minimise resistance and support scalable transformation </w:t>
      </w:r>
      <w:sdt>
        <w:sdtPr>
          <w:rPr>
            <w:rFonts w:eastAsia="Times New Roman" w:cs="Arial"/>
            <w:kern w:val="0"/>
            <w:szCs w:val="22"/>
            <w:lang w:eastAsia="en-GB"/>
            <w14:ligatures w14:val="none"/>
          </w:rPr>
          <w:id w:val="520749828"/>
          <w:citation/>
        </w:sdtPr>
        <w:sdtEndPr/>
        <w:sdtContent>
          <w:r w:rsidR="00A60682">
            <w:rPr>
              <w:rFonts w:eastAsia="Times New Roman" w:cs="Arial"/>
              <w:kern w:val="0"/>
              <w:szCs w:val="22"/>
              <w:lang w:eastAsia="en-GB"/>
              <w14:ligatures w14:val="none"/>
            </w:rPr>
            <w:fldChar w:fldCharType="begin"/>
          </w:r>
          <w:r w:rsidR="00A60682">
            <w:rPr>
              <w:rFonts w:eastAsia="Times New Roman" w:cs="Arial"/>
              <w:kern w:val="0"/>
              <w:szCs w:val="22"/>
              <w:lang w:val="en-US" w:eastAsia="en-GB"/>
              <w14:ligatures w14:val="none"/>
            </w:rPr>
            <w:instrText xml:space="preserve"> CITATION Bry181 \l 1033 </w:instrText>
          </w:r>
          <w:r w:rsidR="00A60682">
            <w:rPr>
              <w:rFonts w:eastAsia="Times New Roman" w:cs="Arial"/>
              <w:kern w:val="0"/>
              <w:szCs w:val="22"/>
              <w:lang w:eastAsia="en-GB"/>
              <w14:ligatures w14:val="none"/>
            </w:rPr>
            <w:fldChar w:fldCharType="separate"/>
          </w:r>
          <w:r w:rsidR="00A60682" w:rsidRPr="00A60682">
            <w:rPr>
              <w:rFonts w:eastAsia="Times New Roman" w:cs="Arial"/>
              <w:noProof/>
              <w:kern w:val="0"/>
              <w:szCs w:val="22"/>
              <w:lang w:val="en-US" w:eastAsia="en-GB"/>
              <w14:ligatures w14:val="none"/>
            </w:rPr>
            <w:t>(Bryson, 2018)</w:t>
          </w:r>
          <w:r w:rsidR="00A60682">
            <w:rPr>
              <w:rFonts w:eastAsia="Times New Roman" w:cs="Arial"/>
              <w:kern w:val="0"/>
              <w:szCs w:val="22"/>
              <w:lang w:eastAsia="en-GB"/>
              <w14:ligatures w14:val="none"/>
            </w:rPr>
            <w:fldChar w:fldCharType="end"/>
          </w:r>
        </w:sdtContent>
      </w:sdt>
      <w:r w:rsidRPr="006D0094">
        <w:rPr>
          <w:rFonts w:eastAsia="Times New Roman" w:cs="Arial"/>
          <w:kern w:val="0"/>
          <w:szCs w:val="22"/>
          <w:lang w:eastAsia="en-GB"/>
          <w14:ligatures w14:val="none"/>
        </w:rPr>
        <w:t>.</w:t>
      </w:r>
    </w:p>
    <w:p w14:paraId="3DAFC6F4" w14:textId="77777777" w:rsidR="006D0094" w:rsidRPr="006D0094" w:rsidRDefault="006D0094" w:rsidP="006D0094">
      <w:pPr>
        <w:rPr>
          <w:rFonts w:eastAsia="Times New Roman" w:cs="Arial"/>
          <w:kern w:val="0"/>
          <w:szCs w:val="22"/>
          <w:lang w:eastAsia="en-GB"/>
          <w14:ligatures w14:val="none"/>
        </w:rPr>
      </w:pPr>
      <w:r w:rsidRPr="006D0094">
        <w:rPr>
          <w:rFonts w:eastAsia="Times New Roman" w:cs="Arial"/>
          <w:kern w:val="0"/>
          <w:szCs w:val="22"/>
          <w:lang w:eastAsia="en-GB"/>
          <w14:ligatures w14:val="none"/>
        </w:rPr>
        <w:t xml:space="preserve">These recommendations provide a </w:t>
      </w:r>
      <w:r w:rsidRPr="006D0094">
        <w:rPr>
          <w:rFonts w:eastAsia="Times New Roman" w:cs="Arial"/>
          <w:b/>
          <w:bCs/>
          <w:kern w:val="0"/>
          <w:szCs w:val="22"/>
          <w:lang w:eastAsia="en-GB"/>
          <w14:ligatures w14:val="none"/>
        </w:rPr>
        <w:t>phased, measurable, and stakeholder-aligned pathway</w:t>
      </w:r>
      <w:r w:rsidRPr="006D0094">
        <w:rPr>
          <w:rFonts w:eastAsia="Times New Roman" w:cs="Arial"/>
          <w:kern w:val="0"/>
          <w:szCs w:val="22"/>
          <w:lang w:eastAsia="en-GB"/>
          <w14:ligatures w14:val="none"/>
        </w:rPr>
        <w:t xml:space="preserve"> to deliver SHP’s SHC Strategy, addressing compliance, digital modernisation, asset sustainability, tenant engagement, and SME-specific constraints.</w:t>
      </w:r>
    </w:p>
    <w:p w14:paraId="409BAF45" w14:textId="77777777" w:rsidR="008C1893" w:rsidRPr="008A313C" w:rsidRDefault="008C1893" w:rsidP="00333D40"/>
    <w:p w14:paraId="22848A45" w14:textId="4E8C010B" w:rsidR="00D12031" w:rsidRPr="00D12031" w:rsidRDefault="00D12031" w:rsidP="00605419">
      <w:pPr>
        <w:pStyle w:val="Heading1"/>
        <w:numPr>
          <w:ilvl w:val="0"/>
          <w:numId w:val="16"/>
        </w:numPr>
        <w:rPr>
          <w:rFonts w:eastAsia="Times New Roman"/>
          <w:lang w:eastAsia="en-GB"/>
        </w:rPr>
      </w:pPr>
      <w:bookmarkStart w:id="43" w:name="_Toc216130289"/>
      <w:r w:rsidRPr="00D12031">
        <w:rPr>
          <w:rFonts w:eastAsia="Times New Roman"/>
          <w:lang w:eastAsia="en-GB"/>
        </w:rPr>
        <w:t>Conclusion</w:t>
      </w:r>
      <w:bookmarkEnd w:id="43"/>
    </w:p>
    <w:p w14:paraId="77D12F5A" w14:textId="0355F1A9" w:rsidR="00BC6BC6" w:rsidRPr="00BC6BC6" w:rsidRDefault="00BC6BC6" w:rsidP="00446F99">
      <w:pPr>
        <w:rPr>
          <w:rFonts w:eastAsia="Times New Roman" w:cs="Arial"/>
          <w:szCs w:val="22"/>
          <w:lang w:eastAsia="en-GB"/>
        </w:rPr>
      </w:pPr>
      <w:r w:rsidRPr="00BC6BC6">
        <w:rPr>
          <w:rFonts w:eastAsia="Times New Roman" w:cs="Arial"/>
          <w:szCs w:val="22"/>
          <w:lang w:eastAsia="en-GB"/>
        </w:rPr>
        <w:t>SHP faces a highly regulated, resource-constrained, and quality-sensitive operating environment. Strategic analysis demonstrates that SME limitations</w:t>
      </w:r>
      <w:r w:rsidR="00446F99">
        <w:rPr>
          <w:rFonts w:eastAsia="Times New Roman"/>
          <w:lang w:eastAsia="en-GB"/>
        </w:rPr>
        <w:t xml:space="preserve">, </w:t>
      </w:r>
      <w:r w:rsidRPr="00BC6BC6">
        <w:rPr>
          <w:rFonts w:eastAsia="Times New Roman" w:cs="Arial"/>
          <w:szCs w:val="22"/>
          <w:lang w:eastAsia="en-GB"/>
        </w:rPr>
        <w:t>such as ageing stock, fragmented digital systems, and limited workforce capacity</w:t>
      </w:r>
      <w:r w:rsidR="00446F99">
        <w:rPr>
          <w:rFonts w:eastAsia="Times New Roman"/>
          <w:lang w:eastAsia="en-GB"/>
        </w:rPr>
        <w:t>-</w:t>
      </w:r>
      <w:r w:rsidRPr="00BC6BC6">
        <w:rPr>
          <w:rFonts w:eastAsia="Times New Roman" w:cs="Arial"/>
          <w:szCs w:val="22"/>
          <w:lang w:eastAsia="en-GB"/>
        </w:rPr>
        <w:t>amplify external pressures from regulation, tenant expectations, and decarbonisation mandates.</w:t>
      </w:r>
    </w:p>
    <w:p w14:paraId="2F128303" w14:textId="146051FB" w:rsidR="00BC6BC6" w:rsidRPr="00BC6BC6" w:rsidRDefault="00BC6BC6" w:rsidP="00446F99">
      <w:pPr>
        <w:rPr>
          <w:rFonts w:eastAsia="Times New Roman" w:cs="Arial"/>
          <w:szCs w:val="22"/>
          <w:lang w:eastAsia="en-GB"/>
        </w:rPr>
      </w:pPr>
      <w:r w:rsidRPr="00BC6BC6">
        <w:rPr>
          <w:rFonts w:eastAsia="Times New Roman" w:cs="Arial"/>
          <w:szCs w:val="22"/>
          <w:lang w:eastAsia="en-GB"/>
        </w:rPr>
        <w:t xml:space="preserve">Cost-based or high-risk growth strategies are not viable; instead, differentiation-focused, digitally enabled, and resident-centred approaches offer sustainable avenues for long-term resilience. The </w:t>
      </w:r>
      <w:r w:rsidRPr="00BC6BC6">
        <w:rPr>
          <w:rFonts w:eastAsia="Times New Roman" w:cs="Arial"/>
          <w:b/>
          <w:bCs/>
          <w:szCs w:val="22"/>
          <w:lang w:eastAsia="en-GB"/>
        </w:rPr>
        <w:t xml:space="preserve">Sustainable Homes </w:t>
      </w:r>
      <w:r w:rsidR="00E74271">
        <w:rPr>
          <w:rFonts w:eastAsia="Times New Roman" w:cs="Arial"/>
          <w:b/>
          <w:bCs/>
          <w:szCs w:val="22"/>
          <w:lang w:eastAsia="en-GB"/>
        </w:rPr>
        <w:t>and</w:t>
      </w:r>
      <w:r w:rsidRPr="00BC6BC6">
        <w:rPr>
          <w:rFonts w:eastAsia="Times New Roman" w:cs="Arial"/>
          <w:b/>
          <w:bCs/>
          <w:szCs w:val="22"/>
          <w:lang w:eastAsia="en-GB"/>
        </w:rPr>
        <w:t xml:space="preserve"> Communities (SHC) Strategy</w:t>
      </w:r>
      <w:r w:rsidRPr="00BC6BC6">
        <w:rPr>
          <w:rFonts w:eastAsia="Times New Roman" w:cs="Arial"/>
          <w:szCs w:val="22"/>
          <w:lang w:eastAsia="en-GB"/>
        </w:rPr>
        <w:t xml:space="preserve"> provides a phased roadmap linking decarbonisation, digital transformation, and service differentiation to measurable outcomes: improved EPC ratings, 15</w:t>
      </w:r>
      <w:r w:rsidR="00E74271">
        <w:rPr>
          <w:rFonts w:eastAsia="Times New Roman" w:cs="Arial"/>
          <w:szCs w:val="22"/>
          <w:lang w:eastAsia="en-GB"/>
        </w:rPr>
        <w:t xml:space="preserve"> per cent</w:t>
      </w:r>
      <w:r w:rsidRPr="00BC6BC6">
        <w:rPr>
          <w:rFonts w:eastAsia="Times New Roman" w:cs="Arial"/>
          <w:szCs w:val="22"/>
          <w:lang w:eastAsia="en-GB"/>
        </w:rPr>
        <w:t xml:space="preserve"> reduction in emergency repairs, 75</w:t>
      </w:r>
      <w:r w:rsidR="00E74271">
        <w:rPr>
          <w:rFonts w:eastAsia="Times New Roman" w:cs="Arial"/>
          <w:szCs w:val="22"/>
          <w:lang w:eastAsia="en-GB"/>
        </w:rPr>
        <w:t xml:space="preserve"> per cent</w:t>
      </w:r>
      <w:r w:rsidRPr="00BC6BC6">
        <w:rPr>
          <w:rFonts w:eastAsia="Times New Roman" w:cs="Arial"/>
          <w:szCs w:val="22"/>
          <w:lang w:eastAsia="en-GB"/>
        </w:rPr>
        <w:t xml:space="preserve"> digital adoption, and 70</w:t>
      </w:r>
      <w:r w:rsidR="00E74271">
        <w:rPr>
          <w:rFonts w:eastAsia="Times New Roman" w:cs="Arial"/>
          <w:szCs w:val="22"/>
          <w:lang w:eastAsia="en-GB"/>
        </w:rPr>
        <w:t xml:space="preserve"> per cent</w:t>
      </w:r>
      <w:r w:rsidRPr="00BC6BC6">
        <w:rPr>
          <w:rFonts w:eastAsia="Times New Roman" w:cs="Arial"/>
          <w:szCs w:val="22"/>
          <w:lang w:eastAsia="en-GB"/>
        </w:rPr>
        <w:t xml:space="preserve"> resident engagement in priority estates.</w:t>
      </w:r>
    </w:p>
    <w:p w14:paraId="7438D28B" w14:textId="77777777" w:rsidR="00BC6BC6" w:rsidRPr="00BC6BC6" w:rsidRDefault="00BC6BC6" w:rsidP="00446F99">
      <w:pPr>
        <w:rPr>
          <w:rFonts w:eastAsia="Times New Roman" w:cs="Arial"/>
          <w:szCs w:val="22"/>
          <w:lang w:eastAsia="en-GB"/>
        </w:rPr>
      </w:pPr>
      <w:r w:rsidRPr="00BC6BC6">
        <w:rPr>
          <w:rFonts w:eastAsia="Times New Roman" w:cs="Arial"/>
          <w:szCs w:val="22"/>
          <w:lang w:eastAsia="en-GB"/>
        </w:rPr>
        <w:t xml:space="preserve">Stakeholder-aligned implementation, robust governance, and KPI-driven monitoring ensure that SHP can navigate SME constraints while enhancing competitiveness, compliance, and tenant satisfaction. If executed effectively, the strategy positions SHP as a </w:t>
      </w:r>
      <w:r w:rsidRPr="00BC6BC6">
        <w:rPr>
          <w:rFonts w:eastAsia="Times New Roman" w:cs="Arial"/>
          <w:b/>
          <w:bCs/>
          <w:szCs w:val="22"/>
          <w:lang w:eastAsia="en-GB"/>
        </w:rPr>
        <w:t>high-performing, socially responsible, and resilient SME in the UK social housing sector</w:t>
      </w:r>
      <w:r w:rsidRPr="00BC6BC6">
        <w:rPr>
          <w:rFonts w:eastAsia="Times New Roman" w:cs="Arial"/>
          <w:szCs w:val="22"/>
          <w:lang w:eastAsia="en-GB"/>
        </w:rPr>
        <w:t>, delivering measurable benefits to residents, regulators, and partners over the next five years.</w:t>
      </w:r>
    </w:p>
    <w:p w14:paraId="48B35C36" w14:textId="77777777" w:rsidR="00BC6BC6" w:rsidRPr="00F20A04" w:rsidRDefault="00BC6BC6" w:rsidP="00F20A04">
      <w:pPr>
        <w:rPr>
          <w:rFonts w:eastAsia="Times New Roman" w:cs="Arial"/>
          <w:szCs w:val="22"/>
          <w:lang w:eastAsia="en-GB"/>
        </w:rPr>
      </w:pPr>
    </w:p>
    <w:p w14:paraId="4E3FD6CC" w14:textId="6FE4AE87" w:rsidR="00EC2C6D" w:rsidRPr="00E94780" w:rsidRDefault="00EC2C6D" w:rsidP="00F20A04">
      <w:pPr>
        <w:pStyle w:val="NormalWeb"/>
        <w:spacing w:line="360" w:lineRule="auto"/>
        <w:jc w:val="both"/>
        <w:rPr>
          <w:rFonts w:ascii="Arial" w:hAnsi="Arial" w:cs="Arial"/>
          <w:i w:val="0"/>
          <w:iCs w:val="0"/>
          <w:sz w:val="22"/>
          <w:szCs w:val="22"/>
        </w:rPr>
      </w:pPr>
    </w:p>
    <w:p w14:paraId="02F54D11" w14:textId="725DF006" w:rsidR="00D12031" w:rsidRPr="00D12031" w:rsidRDefault="00D12031" w:rsidP="00F61AF5">
      <w:pPr>
        <w:rPr>
          <w:rFonts w:eastAsia="Times New Roman"/>
          <w:lang w:eastAsia="en-GB"/>
        </w:rPr>
      </w:pPr>
    </w:p>
    <w:p w14:paraId="637FEA11" w14:textId="77777777" w:rsidR="0067761F" w:rsidRPr="0067761F" w:rsidRDefault="0067761F" w:rsidP="00333D40"/>
    <w:p w14:paraId="2B71D609" w14:textId="77777777" w:rsidR="0067761F" w:rsidRDefault="0067761F"/>
    <w:p w14:paraId="6819F9F2" w14:textId="77777777" w:rsidR="00306920" w:rsidRDefault="00306920"/>
    <w:p w14:paraId="794BE7F8" w14:textId="77777777" w:rsidR="00306920" w:rsidRDefault="00306920"/>
    <w:p w14:paraId="0B2CF354" w14:textId="77777777" w:rsidR="00306920" w:rsidRDefault="00306920"/>
    <w:p w14:paraId="7843226C" w14:textId="77777777" w:rsidR="00306920" w:rsidRDefault="00306920"/>
    <w:p w14:paraId="251118F8" w14:textId="77777777" w:rsidR="00306920" w:rsidRDefault="00306920"/>
    <w:bookmarkStart w:id="44" w:name="_Toc216130290" w:displacedByCustomXml="next"/>
    <w:sdt>
      <w:sdtPr>
        <w:rPr>
          <w:rFonts w:eastAsiaTheme="minorHAnsi" w:cstheme="minorBidi"/>
          <w:color w:val="auto"/>
          <w:sz w:val="22"/>
          <w:szCs w:val="22"/>
        </w:rPr>
        <w:id w:val="132847155"/>
        <w:docPartObj>
          <w:docPartGallery w:val="Bibliographies"/>
          <w:docPartUnique/>
        </w:docPartObj>
      </w:sdtPr>
      <w:sdtEndPr/>
      <w:sdtContent>
        <w:p w14:paraId="0F54CFD9" w14:textId="1F11ABBB" w:rsidR="00E83B95" w:rsidRPr="00E83B95" w:rsidRDefault="00E83B95" w:rsidP="007E4945">
          <w:pPr>
            <w:pStyle w:val="Heading1"/>
            <w:numPr>
              <w:ilvl w:val="0"/>
              <w:numId w:val="14"/>
            </w:numPr>
          </w:pPr>
          <w:r w:rsidRPr="00E83B95">
            <w:t>References</w:t>
          </w:r>
          <w:bookmarkEnd w:id="44"/>
        </w:p>
        <w:sdt>
          <w:sdtPr>
            <w:rPr>
              <w:szCs w:val="22"/>
            </w:rPr>
            <w:id w:val="-573587230"/>
            <w:bibliography/>
          </w:sdtPr>
          <w:sdtEndPr/>
          <w:sdtContent>
            <w:p w14:paraId="07857A2E" w14:textId="2C2175B3" w:rsidR="002E53A1" w:rsidRDefault="00E83B95" w:rsidP="007E4945">
              <w:pPr>
                <w:pStyle w:val="Bibliography"/>
                <w:jc w:val="left"/>
                <w:rPr>
                  <w:noProof/>
                  <w:kern w:val="0"/>
                  <w:sz w:val="24"/>
                  <w14:ligatures w14:val="none"/>
                </w:rPr>
              </w:pPr>
              <w:r w:rsidRPr="00E83B95">
                <w:rPr>
                  <w:szCs w:val="22"/>
                </w:rPr>
                <w:fldChar w:fldCharType="begin"/>
              </w:r>
              <w:r w:rsidRPr="00E83B95">
                <w:rPr>
                  <w:szCs w:val="22"/>
                </w:rPr>
                <w:instrText xml:space="preserve"> BIBLIOGRAPHY </w:instrText>
              </w:r>
              <w:r w:rsidRPr="00E83B95">
                <w:rPr>
                  <w:szCs w:val="22"/>
                </w:rPr>
                <w:fldChar w:fldCharType="separate"/>
              </w:r>
              <w:r w:rsidR="002E53A1">
                <w:rPr>
                  <w:noProof/>
                </w:rPr>
                <w:t>Ansoff, H. I.</w:t>
              </w:r>
              <w:r w:rsidR="007E4945">
                <w:rPr>
                  <w:noProof/>
                </w:rPr>
                <w:t xml:space="preserve"> (</w:t>
              </w:r>
              <w:r w:rsidR="002E53A1">
                <w:rPr>
                  <w:noProof/>
                </w:rPr>
                <w:t>1957</w:t>
              </w:r>
              <w:r w:rsidR="007E4945">
                <w:rPr>
                  <w:noProof/>
                </w:rPr>
                <w:t>)</w:t>
              </w:r>
              <w:r w:rsidR="002E53A1">
                <w:rPr>
                  <w:noProof/>
                </w:rPr>
                <w:t xml:space="preserve"> </w:t>
              </w:r>
              <w:r w:rsidR="003E77A3">
                <w:rPr>
                  <w:noProof/>
                </w:rPr>
                <w:t>'</w:t>
              </w:r>
              <w:r w:rsidR="002E53A1">
                <w:rPr>
                  <w:noProof/>
                </w:rPr>
                <w:t>Strategies for Diversification</w:t>
              </w:r>
              <w:r w:rsidR="003E77A3">
                <w:rPr>
                  <w:noProof/>
                </w:rPr>
                <w:t>'</w:t>
              </w:r>
              <w:r w:rsidR="002E53A1">
                <w:rPr>
                  <w:noProof/>
                </w:rPr>
                <w:t xml:space="preserve">. </w:t>
              </w:r>
              <w:r w:rsidR="002E53A1">
                <w:rPr>
                  <w:i/>
                  <w:iCs/>
                  <w:noProof/>
                </w:rPr>
                <w:t xml:space="preserve">Harvard Business Review, </w:t>
              </w:r>
              <w:r w:rsidR="002E53A1">
                <w:rPr>
                  <w:noProof/>
                </w:rPr>
                <w:t>35(5), p. 113–124.</w:t>
              </w:r>
            </w:p>
            <w:p w14:paraId="26ACFA60" w14:textId="2D88D2B1" w:rsidR="002E53A1" w:rsidRDefault="002E53A1" w:rsidP="007E4945">
              <w:pPr>
                <w:pStyle w:val="Bibliography"/>
                <w:jc w:val="left"/>
                <w:rPr>
                  <w:noProof/>
                </w:rPr>
              </w:pPr>
              <w:r>
                <w:rPr>
                  <w:noProof/>
                </w:rPr>
                <w:t>Ansoff, H. I.</w:t>
              </w:r>
              <w:r w:rsidR="007E4945">
                <w:rPr>
                  <w:noProof/>
                </w:rPr>
                <w:t xml:space="preserve"> (</w:t>
              </w:r>
              <w:r>
                <w:rPr>
                  <w:noProof/>
                </w:rPr>
                <w:t>1988</w:t>
              </w:r>
              <w:r w:rsidR="007E4945">
                <w:rPr>
                  <w:noProof/>
                </w:rPr>
                <w:t>)</w:t>
              </w:r>
              <w:r>
                <w:rPr>
                  <w:noProof/>
                </w:rPr>
                <w:t xml:space="preserve"> </w:t>
              </w:r>
              <w:r>
                <w:rPr>
                  <w:i/>
                  <w:iCs/>
                  <w:noProof/>
                </w:rPr>
                <w:t xml:space="preserve">Corporate Strategy. </w:t>
              </w:r>
              <w:r>
                <w:rPr>
                  <w:noProof/>
                </w:rPr>
                <w:t>London: Penguin Books.</w:t>
              </w:r>
            </w:p>
            <w:p w14:paraId="550DE92D" w14:textId="36B424D5" w:rsidR="002E53A1" w:rsidRDefault="002E53A1" w:rsidP="007E4945">
              <w:pPr>
                <w:pStyle w:val="Bibliography"/>
                <w:jc w:val="left"/>
                <w:rPr>
                  <w:noProof/>
                </w:rPr>
              </w:pPr>
              <w:r>
                <w:rPr>
                  <w:noProof/>
                </w:rPr>
                <w:t>Barney, J. &amp; Hesterly, W.</w:t>
              </w:r>
              <w:r w:rsidR="007E4945">
                <w:rPr>
                  <w:noProof/>
                </w:rPr>
                <w:t xml:space="preserve"> (</w:t>
              </w:r>
              <w:r>
                <w:rPr>
                  <w:noProof/>
                </w:rPr>
                <w:t>2019</w:t>
              </w:r>
              <w:r w:rsidR="007E4945">
                <w:rPr>
                  <w:noProof/>
                </w:rPr>
                <w:t>)</w:t>
              </w:r>
              <w:r>
                <w:rPr>
                  <w:noProof/>
                </w:rPr>
                <w:t xml:space="preserve"> </w:t>
              </w:r>
              <w:r>
                <w:rPr>
                  <w:i/>
                  <w:iCs/>
                  <w:noProof/>
                </w:rPr>
                <w:t xml:space="preserve">Strategic management and competitive advantage : concepts and cases. </w:t>
              </w:r>
              <w:r>
                <w:rPr>
                  <w:noProof/>
                </w:rPr>
                <w:t>6th ed. Harlow: Pearson Education Limited.</w:t>
              </w:r>
            </w:p>
            <w:p w14:paraId="11B734F3" w14:textId="75093ABB" w:rsidR="002E53A1" w:rsidRDefault="002E53A1" w:rsidP="007E4945">
              <w:pPr>
                <w:pStyle w:val="Bibliography"/>
                <w:jc w:val="left"/>
                <w:rPr>
                  <w:noProof/>
                </w:rPr>
              </w:pPr>
              <w:r>
                <w:rPr>
                  <w:noProof/>
                </w:rPr>
                <w:t>Bowman, C. &amp; Faulkner, D.</w:t>
              </w:r>
              <w:r w:rsidR="007E4945">
                <w:rPr>
                  <w:noProof/>
                </w:rPr>
                <w:t xml:space="preserve"> (</w:t>
              </w:r>
              <w:r>
                <w:rPr>
                  <w:noProof/>
                </w:rPr>
                <w:t>1997</w:t>
              </w:r>
              <w:r w:rsidR="007E4945">
                <w:rPr>
                  <w:noProof/>
                </w:rPr>
                <w:t>)</w:t>
              </w:r>
              <w:r>
                <w:rPr>
                  <w:noProof/>
                </w:rPr>
                <w:t xml:space="preserve"> </w:t>
              </w:r>
              <w:r>
                <w:rPr>
                  <w:i/>
                  <w:iCs/>
                  <w:noProof/>
                </w:rPr>
                <w:t xml:space="preserve">Competitive and Corporate Strategy. </w:t>
              </w:r>
              <w:r>
                <w:rPr>
                  <w:noProof/>
                </w:rPr>
                <w:t>London: Irwin.</w:t>
              </w:r>
            </w:p>
            <w:p w14:paraId="3C76FA56" w14:textId="5DB79B07" w:rsidR="002E53A1" w:rsidRDefault="002E53A1" w:rsidP="007E4945">
              <w:pPr>
                <w:pStyle w:val="Bibliography"/>
                <w:jc w:val="left"/>
                <w:rPr>
                  <w:noProof/>
                </w:rPr>
              </w:pPr>
              <w:r>
                <w:rPr>
                  <w:noProof/>
                </w:rPr>
                <w:t>Bryson, J.</w:t>
              </w:r>
              <w:r w:rsidR="007E4945">
                <w:rPr>
                  <w:noProof/>
                </w:rPr>
                <w:t xml:space="preserve"> (</w:t>
              </w:r>
              <w:r>
                <w:rPr>
                  <w:noProof/>
                </w:rPr>
                <w:t>2018</w:t>
              </w:r>
              <w:r w:rsidR="007E4945">
                <w:rPr>
                  <w:noProof/>
                </w:rPr>
                <w:t>)</w:t>
              </w:r>
              <w:r>
                <w:rPr>
                  <w:noProof/>
                </w:rPr>
                <w:t xml:space="preserve"> </w:t>
              </w:r>
              <w:r>
                <w:rPr>
                  <w:i/>
                  <w:iCs/>
                  <w:noProof/>
                </w:rPr>
                <w:t xml:space="preserve">Strategic planning for public and nonprofit organizations : a guide to strengthening and sustaining organizational achievement. </w:t>
              </w:r>
              <w:r>
                <w:rPr>
                  <w:noProof/>
                </w:rPr>
                <w:t>5th ed. Hoboken, New Jersey: Wiley.</w:t>
              </w:r>
            </w:p>
            <w:p w14:paraId="3B6E8797" w14:textId="16AE43A0" w:rsidR="002E53A1" w:rsidRDefault="002E53A1" w:rsidP="007E4945">
              <w:pPr>
                <w:pStyle w:val="Bibliography"/>
                <w:jc w:val="left"/>
                <w:rPr>
                  <w:noProof/>
                </w:rPr>
              </w:pPr>
              <w:r>
                <w:rPr>
                  <w:noProof/>
                </w:rPr>
                <w:t>Burns, P.</w:t>
              </w:r>
              <w:r w:rsidR="00A37041">
                <w:rPr>
                  <w:noProof/>
                </w:rPr>
                <w:t xml:space="preserve"> (</w:t>
              </w:r>
              <w:r>
                <w:rPr>
                  <w:noProof/>
                </w:rPr>
                <w:t>2022</w:t>
              </w:r>
              <w:r w:rsidR="00A37041">
                <w:rPr>
                  <w:noProof/>
                </w:rPr>
                <w:t>)</w:t>
              </w:r>
              <w:r>
                <w:rPr>
                  <w:noProof/>
                </w:rPr>
                <w:t xml:space="preserve"> </w:t>
              </w:r>
              <w:r>
                <w:rPr>
                  <w:i/>
                  <w:iCs/>
                  <w:noProof/>
                </w:rPr>
                <w:t xml:space="preserve">Entrepreneurship and Small Business. </w:t>
              </w:r>
              <w:r>
                <w:rPr>
                  <w:noProof/>
                </w:rPr>
                <w:t>5th ed. London: Bloomsbury Publishing.</w:t>
              </w:r>
            </w:p>
            <w:p w14:paraId="1A54773C" w14:textId="445AFD43" w:rsidR="002E53A1" w:rsidRDefault="002E53A1" w:rsidP="007E4945">
              <w:pPr>
                <w:pStyle w:val="Bibliography"/>
                <w:jc w:val="left"/>
                <w:rPr>
                  <w:noProof/>
                </w:rPr>
              </w:pPr>
              <w:r>
                <w:rPr>
                  <w:noProof/>
                </w:rPr>
                <w:t>Carr, H., Cowan, D. &amp; Kirton-Darling, E.</w:t>
              </w:r>
              <w:r w:rsidR="00A37041">
                <w:rPr>
                  <w:noProof/>
                </w:rPr>
                <w:t xml:space="preserve"> (</w:t>
              </w:r>
              <w:r>
                <w:rPr>
                  <w:noProof/>
                </w:rPr>
                <w:t>2022</w:t>
              </w:r>
              <w:r w:rsidR="00A37041">
                <w:rPr>
                  <w:noProof/>
                </w:rPr>
                <w:t>)</w:t>
              </w:r>
              <w:r>
                <w:rPr>
                  <w:noProof/>
                </w:rPr>
                <w:t xml:space="preserve"> 'Marginalisation, Grenfell Tower and the voice of the social-housing resident: a critical juncture in housing law and policy?'. </w:t>
              </w:r>
              <w:r>
                <w:rPr>
                  <w:i/>
                  <w:iCs/>
                  <w:noProof/>
                </w:rPr>
                <w:t xml:space="preserve">International journal of law in context, </w:t>
              </w:r>
              <w:r>
                <w:rPr>
                  <w:noProof/>
                </w:rPr>
                <w:t>18(1), p. 10–24.</w:t>
              </w:r>
            </w:p>
            <w:p w14:paraId="356F084C" w14:textId="5952ED2F" w:rsidR="002E53A1" w:rsidRDefault="002E53A1" w:rsidP="007E4945">
              <w:pPr>
                <w:pStyle w:val="Bibliography"/>
                <w:jc w:val="left"/>
                <w:rPr>
                  <w:noProof/>
                </w:rPr>
              </w:pPr>
              <w:r w:rsidRPr="00A37041">
                <w:rPr>
                  <w:noProof/>
                </w:rPr>
                <w:t>Carvalho, J. d. A. &amp; Sabino, E.</w:t>
              </w:r>
              <w:r w:rsidR="00A37041" w:rsidRPr="00A37041">
                <w:rPr>
                  <w:noProof/>
                </w:rPr>
                <w:t xml:space="preserve"> (</w:t>
              </w:r>
              <w:r w:rsidRPr="00A37041">
                <w:rPr>
                  <w:noProof/>
                </w:rPr>
                <w:t>2019</w:t>
              </w:r>
              <w:r w:rsidR="00A37041" w:rsidRPr="00A37041">
                <w:rPr>
                  <w:noProof/>
                </w:rPr>
                <w:t>)</w:t>
              </w:r>
              <w:r w:rsidRPr="00A37041">
                <w:rPr>
                  <w:noProof/>
                </w:rPr>
                <w:t xml:space="preserve"> </w:t>
              </w:r>
              <w:r>
                <w:rPr>
                  <w:i/>
                  <w:iCs/>
                  <w:noProof/>
                </w:rPr>
                <w:t xml:space="preserve">Strategy and Superior Performance of Micro and Small Businesses in Volatile Economies. </w:t>
              </w:r>
              <w:r>
                <w:rPr>
                  <w:noProof/>
                </w:rPr>
                <w:t>1st ed. Hershey: IGI Global.</w:t>
              </w:r>
            </w:p>
            <w:p w14:paraId="7F9E1ABB" w14:textId="4DBDAF78" w:rsidR="002E53A1" w:rsidRDefault="002E53A1" w:rsidP="007E4945">
              <w:pPr>
                <w:pStyle w:val="Bibliography"/>
                <w:jc w:val="left"/>
                <w:rPr>
                  <w:noProof/>
                </w:rPr>
              </w:pPr>
              <w:r>
                <w:rPr>
                  <w:noProof/>
                </w:rPr>
                <w:t>Charles, H.</w:t>
              </w:r>
              <w:r w:rsidR="00A37041">
                <w:rPr>
                  <w:noProof/>
                </w:rPr>
                <w:t xml:space="preserve"> (</w:t>
              </w:r>
              <w:r>
                <w:rPr>
                  <w:noProof/>
                </w:rPr>
                <w:t>2025</w:t>
              </w:r>
              <w:r w:rsidR="00A37041">
                <w:rPr>
                  <w:noProof/>
                </w:rPr>
                <w:t>)</w:t>
              </w:r>
              <w:r>
                <w:rPr>
                  <w:noProof/>
                </w:rPr>
                <w:t xml:space="preserve"> 'Beyond the building: governance challenges in social housing retrofit'. </w:t>
              </w:r>
              <w:r>
                <w:rPr>
                  <w:i/>
                  <w:iCs/>
                  <w:noProof/>
                </w:rPr>
                <w:t xml:space="preserve">Buildings &amp; cities, </w:t>
              </w:r>
              <w:r>
                <w:rPr>
                  <w:noProof/>
                </w:rPr>
                <w:t>6(1), p. 433–449.</w:t>
              </w:r>
            </w:p>
            <w:p w14:paraId="6F7470F1" w14:textId="0E169B51" w:rsidR="002E53A1" w:rsidRDefault="002E53A1" w:rsidP="007E4945">
              <w:pPr>
                <w:pStyle w:val="Bibliography"/>
                <w:jc w:val="left"/>
                <w:rPr>
                  <w:noProof/>
                </w:rPr>
              </w:pPr>
              <w:r>
                <w:rPr>
                  <w:noProof/>
                </w:rPr>
                <w:t>DESNZ</w:t>
              </w:r>
              <w:r w:rsidR="001A72E3">
                <w:rPr>
                  <w:noProof/>
                </w:rPr>
                <w:t xml:space="preserve"> (</w:t>
              </w:r>
              <w:r>
                <w:rPr>
                  <w:noProof/>
                </w:rPr>
                <w:t>2025</w:t>
              </w:r>
              <w:r w:rsidR="001A72E3">
                <w:rPr>
                  <w:noProof/>
                </w:rPr>
                <w:t>)</w:t>
              </w:r>
              <w:r>
                <w:rPr>
                  <w:noProof/>
                </w:rPr>
                <w:t xml:space="preserve"> </w:t>
              </w:r>
              <w:r>
                <w:rPr>
                  <w:i/>
                  <w:iCs/>
                  <w:noProof/>
                </w:rPr>
                <w:t xml:space="preserve">Improving the Energy Efficiency of Socially Rented Homes in England. </w:t>
              </w:r>
              <w:r>
                <w:rPr>
                  <w:noProof/>
                </w:rPr>
                <w:t xml:space="preserve">[Online] </w:t>
              </w:r>
              <w:r>
                <w:rPr>
                  <w:noProof/>
                </w:rPr>
                <w:br/>
                <w:t xml:space="preserve">Available at: </w:t>
              </w:r>
              <w:r>
                <w:rPr>
                  <w:noProof/>
                  <w:u w:val="single"/>
                </w:rPr>
                <w:t>https://www.gov.uk/government/consultations/improving-the-energy-efficiency-of-socially-rented-homes-in-england</w:t>
              </w:r>
              <w:r>
                <w:rPr>
                  <w:noProof/>
                </w:rPr>
                <w:br/>
                <w:t>[Accessed 26 November 2025].</w:t>
              </w:r>
            </w:p>
            <w:p w14:paraId="611DB4E0" w14:textId="67653220" w:rsidR="002E53A1" w:rsidRDefault="002E53A1" w:rsidP="007E4945">
              <w:pPr>
                <w:pStyle w:val="Bibliography"/>
                <w:jc w:val="left"/>
                <w:rPr>
                  <w:noProof/>
                </w:rPr>
              </w:pPr>
              <w:r>
                <w:rPr>
                  <w:noProof/>
                </w:rPr>
                <w:t>Ding, H. &amp; Sun, J.</w:t>
              </w:r>
              <w:r w:rsidR="001A72E3">
                <w:rPr>
                  <w:noProof/>
                </w:rPr>
                <w:t xml:space="preserve"> (</w:t>
              </w:r>
              <w:r>
                <w:rPr>
                  <w:noProof/>
                </w:rPr>
                <w:t>2024</w:t>
              </w:r>
              <w:r w:rsidR="001A72E3">
                <w:rPr>
                  <w:noProof/>
                </w:rPr>
                <w:t>)</w:t>
              </w:r>
              <w:r>
                <w:rPr>
                  <w:noProof/>
                </w:rPr>
                <w:t xml:space="preserve"> ‘A Systematic Review of Technology Innovations in Housing Management in Scotland’. </w:t>
              </w:r>
              <w:r>
                <w:rPr>
                  <w:i/>
                  <w:iCs/>
                  <w:noProof/>
                </w:rPr>
                <w:t xml:space="preserve">SAGE open, </w:t>
              </w:r>
              <w:r>
                <w:rPr>
                  <w:noProof/>
                </w:rPr>
                <w:t>14(2), p. 16.</w:t>
              </w:r>
            </w:p>
            <w:p w14:paraId="4BB0E1CC" w14:textId="35FC35BE" w:rsidR="002E53A1" w:rsidRDefault="002E53A1" w:rsidP="007E4945">
              <w:pPr>
                <w:pStyle w:val="Bibliography"/>
                <w:jc w:val="left"/>
                <w:rPr>
                  <w:noProof/>
                </w:rPr>
              </w:pPr>
              <w:r>
                <w:rPr>
                  <w:noProof/>
                </w:rPr>
                <w:t>Freeman, E. R.</w:t>
              </w:r>
              <w:r w:rsidR="001A72E3">
                <w:rPr>
                  <w:noProof/>
                </w:rPr>
                <w:t xml:space="preserve"> (</w:t>
              </w:r>
              <w:r>
                <w:rPr>
                  <w:noProof/>
                </w:rPr>
                <w:t>1984</w:t>
              </w:r>
              <w:r w:rsidR="001A72E3">
                <w:rPr>
                  <w:noProof/>
                </w:rPr>
                <w:t>)</w:t>
              </w:r>
              <w:r>
                <w:rPr>
                  <w:noProof/>
                </w:rPr>
                <w:t xml:space="preserve"> </w:t>
              </w:r>
              <w:r>
                <w:rPr>
                  <w:i/>
                  <w:iCs/>
                  <w:noProof/>
                </w:rPr>
                <w:t xml:space="preserve">Strategic Management: A Stakeholder Approach. </w:t>
              </w:r>
              <w:r>
                <w:rPr>
                  <w:noProof/>
                </w:rPr>
                <w:t>New York: Cambridge University Press.</w:t>
              </w:r>
            </w:p>
            <w:p w14:paraId="5BD32294" w14:textId="5485F6CC" w:rsidR="002E53A1" w:rsidRDefault="002E53A1" w:rsidP="007E4945">
              <w:pPr>
                <w:pStyle w:val="Bibliography"/>
                <w:jc w:val="left"/>
                <w:rPr>
                  <w:noProof/>
                </w:rPr>
              </w:pPr>
              <w:r>
                <w:rPr>
                  <w:noProof/>
                </w:rPr>
                <w:t>Furman, S., Hadjri, K., Martínez Duran, A. &amp; Martín Tost, X.</w:t>
              </w:r>
              <w:r w:rsidR="001A72E3">
                <w:rPr>
                  <w:noProof/>
                </w:rPr>
                <w:t xml:space="preserve"> (</w:t>
              </w:r>
              <w:r>
                <w:rPr>
                  <w:noProof/>
                </w:rPr>
                <w:t>2025</w:t>
              </w:r>
              <w:r w:rsidR="001A72E3">
                <w:rPr>
                  <w:noProof/>
                </w:rPr>
                <w:t>)</w:t>
              </w:r>
              <w:r>
                <w:rPr>
                  <w:noProof/>
                </w:rPr>
                <w:t xml:space="preserve"> 'Residents’ Values: Co-Designing Social Housing Retrofit'. </w:t>
              </w:r>
              <w:r>
                <w:rPr>
                  <w:i/>
                  <w:iCs/>
                  <w:noProof/>
                </w:rPr>
                <w:t xml:space="preserve">Architecture (Basel), </w:t>
              </w:r>
              <w:r>
                <w:rPr>
                  <w:noProof/>
                </w:rPr>
                <w:t>5(3), p. 58.</w:t>
              </w:r>
            </w:p>
            <w:p w14:paraId="4DE26EF1" w14:textId="79A29832" w:rsidR="002E53A1" w:rsidRDefault="002E53A1" w:rsidP="007E4945">
              <w:pPr>
                <w:pStyle w:val="Bibliography"/>
                <w:jc w:val="left"/>
                <w:rPr>
                  <w:noProof/>
                </w:rPr>
              </w:pPr>
              <w:r>
                <w:rPr>
                  <w:noProof/>
                </w:rPr>
                <w:t>Housing Ombudsman Service</w:t>
              </w:r>
              <w:r w:rsidR="001A72E3">
                <w:rPr>
                  <w:noProof/>
                </w:rPr>
                <w:t xml:space="preserve"> (</w:t>
              </w:r>
              <w:r>
                <w:rPr>
                  <w:noProof/>
                </w:rPr>
                <w:t>2025</w:t>
              </w:r>
              <w:r w:rsidR="001A72E3">
                <w:rPr>
                  <w:noProof/>
                </w:rPr>
                <w:t>)</w:t>
              </w:r>
              <w:r>
                <w:rPr>
                  <w:noProof/>
                </w:rPr>
                <w:t xml:space="preserve"> </w:t>
              </w:r>
              <w:r>
                <w:rPr>
                  <w:i/>
                  <w:iCs/>
                  <w:noProof/>
                </w:rPr>
                <w:t xml:space="preserve">Annual Complaints Review 2024-25. </w:t>
              </w:r>
              <w:r>
                <w:rPr>
                  <w:noProof/>
                </w:rPr>
                <w:t xml:space="preserve">[Online] </w:t>
              </w:r>
              <w:r>
                <w:rPr>
                  <w:noProof/>
                </w:rPr>
                <w:br/>
                <w:t xml:space="preserve">Available at: </w:t>
              </w:r>
              <w:r>
                <w:rPr>
                  <w:noProof/>
                  <w:u w:val="single"/>
                </w:rPr>
                <w:t>https://www.housing-ombudsman.org.uk/annual-complaint-review-reports/annual-complaints-review-2024-25/</w:t>
              </w:r>
              <w:r>
                <w:rPr>
                  <w:noProof/>
                </w:rPr>
                <w:br/>
                <w:t>[Accessed 4 December 2025].</w:t>
              </w:r>
            </w:p>
            <w:p w14:paraId="02C6F1F7" w14:textId="29E160C7" w:rsidR="002E53A1" w:rsidRDefault="002E53A1" w:rsidP="007E4945">
              <w:pPr>
                <w:pStyle w:val="Bibliography"/>
                <w:jc w:val="left"/>
                <w:rPr>
                  <w:noProof/>
                </w:rPr>
              </w:pPr>
              <w:r>
                <w:rPr>
                  <w:noProof/>
                </w:rPr>
                <w:t>Huisman, C. &amp; Czischke, D.</w:t>
              </w:r>
              <w:r w:rsidR="001A72E3">
                <w:rPr>
                  <w:noProof/>
                </w:rPr>
                <w:t xml:space="preserve"> (</w:t>
              </w:r>
              <w:r>
                <w:rPr>
                  <w:noProof/>
                </w:rPr>
                <w:t>2023</w:t>
              </w:r>
              <w:r w:rsidR="001A72E3">
                <w:rPr>
                  <w:noProof/>
                </w:rPr>
                <w:t>)</w:t>
              </w:r>
              <w:r>
                <w:rPr>
                  <w:noProof/>
                </w:rPr>
                <w:t xml:space="preserve"> ‘Between Self-organization and Formal Participation: Increasing Tenants’ Influence through Self-management? - A Dutch Case-study’. </w:t>
              </w:r>
              <w:r>
                <w:rPr>
                  <w:i/>
                  <w:iCs/>
                  <w:noProof/>
                </w:rPr>
                <w:t xml:space="preserve">Housing, theory, and society, </w:t>
              </w:r>
              <w:r>
                <w:rPr>
                  <w:noProof/>
                </w:rPr>
                <w:t>40(2), p. 219–237.</w:t>
              </w:r>
            </w:p>
            <w:p w14:paraId="253D3F1D" w14:textId="2A21CBE6" w:rsidR="002E53A1" w:rsidRDefault="002E53A1" w:rsidP="007E4945">
              <w:pPr>
                <w:pStyle w:val="Bibliography"/>
                <w:jc w:val="left"/>
                <w:rPr>
                  <w:noProof/>
                </w:rPr>
              </w:pPr>
              <w:r>
                <w:rPr>
                  <w:noProof/>
                </w:rPr>
                <w:t>Levelling UP, Housing and Communities Committee</w:t>
              </w:r>
              <w:r w:rsidR="001A72E3">
                <w:rPr>
                  <w:noProof/>
                </w:rPr>
                <w:t xml:space="preserve"> (</w:t>
              </w:r>
              <w:r>
                <w:rPr>
                  <w:noProof/>
                </w:rPr>
                <w:t>2024</w:t>
              </w:r>
              <w:r w:rsidR="001A72E3">
                <w:rPr>
                  <w:noProof/>
                </w:rPr>
                <w:t>)</w:t>
              </w:r>
              <w:r>
                <w:rPr>
                  <w:noProof/>
                </w:rPr>
                <w:t xml:space="preserve"> </w:t>
              </w:r>
              <w:r>
                <w:rPr>
                  <w:i/>
                  <w:iCs/>
                  <w:noProof/>
                </w:rPr>
                <w:t xml:space="preserve">The Finances and Sustainability of the Social Housing Sector – Report Summary. </w:t>
              </w:r>
              <w:r>
                <w:rPr>
                  <w:noProof/>
                </w:rPr>
                <w:t xml:space="preserve">[Online] </w:t>
              </w:r>
              <w:r>
                <w:rPr>
                  <w:noProof/>
                </w:rPr>
                <w:br/>
                <w:t xml:space="preserve">Available at: </w:t>
              </w:r>
              <w:r>
                <w:rPr>
                  <w:noProof/>
                  <w:u w:val="single"/>
                </w:rPr>
                <w:t>https://publications.parliament.uk/pa/cm5804/cmselect/cmcomloc/60/summary.html</w:t>
              </w:r>
              <w:r>
                <w:rPr>
                  <w:noProof/>
                </w:rPr>
                <w:br/>
                <w:t>[Accessed 25 November 2025].</w:t>
              </w:r>
            </w:p>
            <w:p w14:paraId="39AAFFB9" w14:textId="26F49AA4" w:rsidR="002E53A1" w:rsidRDefault="002E53A1" w:rsidP="007E4945">
              <w:pPr>
                <w:pStyle w:val="Bibliography"/>
                <w:jc w:val="left"/>
                <w:rPr>
                  <w:noProof/>
                </w:rPr>
              </w:pPr>
              <w:r>
                <w:rPr>
                  <w:noProof/>
                </w:rPr>
                <w:t>Mendelow, A.</w:t>
              </w:r>
              <w:r w:rsidR="001A72E3">
                <w:rPr>
                  <w:noProof/>
                </w:rPr>
                <w:t xml:space="preserve"> (</w:t>
              </w:r>
              <w:r>
                <w:rPr>
                  <w:noProof/>
                </w:rPr>
                <w:t>1981</w:t>
              </w:r>
              <w:r w:rsidR="001A72E3">
                <w:rPr>
                  <w:noProof/>
                </w:rPr>
                <w:t>)</w:t>
              </w:r>
              <w:r>
                <w:rPr>
                  <w:noProof/>
                </w:rPr>
                <w:t xml:space="preserve"> </w:t>
              </w:r>
              <w:r>
                <w:rPr>
                  <w:i/>
                  <w:iCs/>
                  <w:noProof/>
                </w:rPr>
                <w:t xml:space="preserve">Environmental Scanning: The Impact of the Stakeholder Concept. </w:t>
              </w:r>
              <w:r>
                <w:rPr>
                  <w:noProof/>
                </w:rPr>
                <w:t>New York, ICIS Proceedings.</w:t>
              </w:r>
            </w:p>
            <w:p w14:paraId="702131EC" w14:textId="35570DCD" w:rsidR="002E53A1" w:rsidRDefault="002E53A1" w:rsidP="007E4945">
              <w:pPr>
                <w:pStyle w:val="Bibliography"/>
                <w:jc w:val="left"/>
                <w:rPr>
                  <w:noProof/>
                </w:rPr>
              </w:pPr>
              <w:r>
                <w:rPr>
                  <w:noProof/>
                </w:rPr>
                <w:t>MHCLG</w:t>
              </w:r>
              <w:r w:rsidR="001A72E3">
                <w:rPr>
                  <w:noProof/>
                </w:rPr>
                <w:t xml:space="preserve"> (</w:t>
              </w:r>
              <w:r>
                <w:rPr>
                  <w:noProof/>
                </w:rPr>
                <w:t>2025</w:t>
              </w:r>
              <w:r w:rsidR="001A72E3">
                <w:rPr>
                  <w:noProof/>
                </w:rPr>
                <w:t>)</w:t>
              </w:r>
              <w:r>
                <w:rPr>
                  <w:noProof/>
                </w:rPr>
                <w:t xml:space="preserve"> </w:t>
              </w:r>
              <w:r>
                <w:rPr>
                  <w:i/>
                  <w:iCs/>
                  <w:noProof/>
                </w:rPr>
                <w:t xml:space="preserve">Awaab’s Law: Guidance for social landlords. </w:t>
              </w:r>
              <w:r>
                <w:rPr>
                  <w:noProof/>
                </w:rPr>
                <w:t xml:space="preserve">[Online] </w:t>
              </w:r>
              <w:r>
                <w:rPr>
                  <w:noProof/>
                </w:rPr>
                <w:br/>
                <w:t xml:space="preserve">Available at: </w:t>
              </w:r>
              <w:r>
                <w:rPr>
                  <w:noProof/>
                  <w:u w:val="single"/>
                </w:rPr>
                <w:t>https://www.gov.uk/government/publications/awaabs-law-guidance-for-social-landlords</w:t>
              </w:r>
              <w:r>
                <w:rPr>
                  <w:noProof/>
                </w:rPr>
                <w:br/>
                <w:t>[Accessed 26 November 2025].</w:t>
              </w:r>
            </w:p>
            <w:p w14:paraId="44852325" w14:textId="5867861A" w:rsidR="002E53A1" w:rsidRDefault="002E53A1" w:rsidP="007E4945">
              <w:pPr>
                <w:pStyle w:val="Bibliography"/>
                <w:jc w:val="left"/>
                <w:rPr>
                  <w:noProof/>
                </w:rPr>
              </w:pPr>
              <w:r>
                <w:rPr>
                  <w:noProof/>
                </w:rPr>
                <w:t>Milligan, V.</w:t>
              </w:r>
              <w:r w:rsidR="008D783A">
                <w:rPr>
                  <w:noProof/>
                </w:rPr>
                <w:t xml:space="preserve"> (</w:t>
              </w:r>
              <w:r>
                <w:rPr>
                  <w:noProof/>
                </w:rPr>
                <w:t>2019</w:t>
              </w:r>
              <w:r w:rsidR="008D783A">
                <w:rPr>
                  <w:noProof/>
                </w:rPr>
                <w:t>)</w:t>
              </w:r>
              <w:r>
                <w:rPr>
                  <w:noProof/>
                </w:rPr>
                <w:t xml:space="preserve"> 'Affordable housing governance and finance: innovation, partnerships and comparative perspectives'. </w:t>
              </w:r>
              <w:r>
                <w:rPr>
                  <w:i/>
                  <w:iCs/>
                  <w:noProof/>
                </w:rPr>
                <w:t xml:space="preserve">Journal of housing and the built environment, </w:t>
              </w:r>
              <w:r>
                <w:rPr>
                  <w:noProof/>
                </w:rPr>
                <w:t>12(1), p. 1173–1175.</w:t>
              </w:r>
            </w:p>
            <w:p w14:paraId="42A21862" w14:textId="54564F06" w:rsidR="002E53A1" w:rsidRDefault="002E53A1" w:rsidP="007E4945">
              <w:pPr>
                <w:pStyle w:val="Bibliography"/>
                <w:jc w:val="left"/>
                <w:rPr>
                  <w:noProof/>
                </w:rPr>
              </w:pPr>
              <w:r>
                <w:rPr>
                  <w:noProof/>
                </w:rPr>
                <w:t>Monwabisi S. Xegwana, Twum-Darko, M. &amp; Tengeh, R. K.</w:t>
              </w:r>
              <w:r w:rsidR="008D783A">
                <w:rPr>
                  <w:noProof/>
                </w:rPr>
                <w:t xml:space="preserve"> (</w:t>
              </w:r>
              <w:r>
                <w:rPr>
                  <w:noProof/>
                </w:rPr>
                <w:t>2025</w:t>
              </w:r>
              <w:r w:rsidR="008D783A">
                <w:rPr>
                  <w:noProof/>
                </w:rPr>
                <w:t>)</w:t>
              </w:r>
              <w:r>
                <w:rPr>
                  <w:noProof/>
                </w:rPr>
                <w:t xml:space="preserve"> ‘Stakeholder engagement framework to improve public housing delivery: A Stellenbosch case study’. </w:t>
              </w:r>
              <w:r>
                <w:rPr>
                  <w:i/>
                  <w:iCs/>
                  <w:noProof/>
                </w:rPr>
                <w:t xml:space="preserve">Journal of local government research and innovation (Online), </w:t>
              </w:r>
              <w:r>
                <w:rPr>
                  <w:noProof/>
                </w:rPr>
                <w:t>Volume 6, p. e1–e9.</w:t>
              </w:r>
            </w:p>
            <w:p w14:paraId="5F8E4E8D" w14:textId="3395E1CE" w:rsidR="002E53A1" w:rsidRDefault="002E53A1" w:rsidP="007E4945">
              <w:pPr>
                <w:pStyle w:val="Bibliography"/>
                <w:jc w:val="left"/>
                <w:rPr>
                  <w:noProof/>
                </w:rPr>
              </w:pPr>
              <w:r>
                <w:rPr>
                  <w:noProof/>
                </w:rPr>
                <w:t>Mullins, D. &amp; Moore, T.</w:t>
              </w:r>
              <w:r w:rsidR="008D783A">
                <w:rPr>
                  <w:noProof/>
                </w:rPr>
                <w:t xml:space="preserve"> (</w:t>
              </w:r>
              <w:r>
                <w:rPr>
                  <w:noProof/>
                </w:rPr>
                <w:t>2018</w:t>
              </w:r>
              <w:r w:rsidR="008D783A">
                <w:rPr>
                  <w:noProof/>
                </w:rPr>
                <w:t>)</w:t>
              </w:r>
              <w:r>
                <w:rPr>
                  <w:noProof/>
                </w:rPr>
                <w:t xml:space="preserve"> ‘Self-organised and civil society participation in housing provision’. </w:t>
              </w:r>
              <w:r>
                <w:rPr>
                  <w:i/>
                  <w:iCs/>
                  <w:noProof/>
                </w:rPr>
                <w:t xml:space="preserve">European journal of housing policy, </w:t>
              </w:r>
              <w:r>
                <w:rPr>
                  <w:noProof/>
                </w:rPr>
                <w:t>18(1), pp. 1-14.</w:t>
              </w:r>
            </w:p>
            <w:p w14:paraId="71686717" w14:textId="5ABD6D60" w:rsidR="002E53A1" w:rsidRDefault="002E53A1" w:rsidP="007E4945">
              <w:pPr>
                <w:pStyle w:val="Bibliography"/>
                <w:jc w:val="left"/>
                <w:rPr>
                  <w:noProof/>
                </w:rPr>
              </w:pPr>
              <w:r w:rsidRPr="008D783A">
                <w:rPr>
                  <w:noProof/>
                </w:rPr>
                <w:t>Perobelli, E., Cappellaro, G. &amp; Saporito, R.</w:t>
              </w:r>
              <w:r w:rsidR="008D783A" w:rsidRPr="008D783A">
                <w:rPr>
                  <w:noProof/>
                </w:rPr>
                <w:t xml:space="preserve"> (</w:t>
              </w:r>
              <w:r w:rsidRPr="008D783A">
                <w:rPr>
                  <w:noProof/>
                </w:rPr>
                <w:t>2025</w:t>
              </w:r>
              <w:r w:rsidR="008D783A" w:rsidRPr="008D783A">
                <w:rPr>
                  <w:noProof/>
                </w:rPr>
                <w:t>)</w:t>
              </w:r>
              <w:r w:rsidRPr="008D783A">
                <w:rPr>
                  <w:noProof/>
                </w:rPr>
                <w:t xml:space="preserve"> </w:t>
              </w:r>
              <w:r>
                <w:rPr>
                  <w:noProof/>
                </w:rPr>
                <w:t xml:space="preserve">‘Public-private hybrid organisations in the public sector: Evidence and future directions from a systematic literature review’. </w:t>
              </w:r>
              <w:r>
                <w:rPr>
                  <w:i/>
                  <w:iCs/>
                  <w:noProof/>
                </w:rPr>
                <w:t xml:space="preserve">Public management review, </w:t>
              </w:r>
              <w:r>
                <w:rPr>
                  <w:noProof/>
                </w:rPr>
                <w:t>27(11), p. 2615–2642.</w:t>
              </w:r>
            </w:p>
            <w:p w14:paraId="4D47BE76" w14:textId="5DFAF7CC" w:rsidR="002E53A1" w:rsidRDefault="002E53A1" w:rsidP="007E4945">
              <w:pPr>
                <w:pStyle w:val="Bibliography"/>
                <w:jc w:val="left"/>
                <w:rPr>
                  <w:noProof/>
                </w:rPr>
              </w:pPr>
              <w:r w:rsidRPr="00F26D59">
                <w:rPr>
                  <w:noProof/>
                </w:rPr>
                <w:t>Phillips, O. R. et al.</w:t>
              </w:r>
              <w:r w:rsidR="008D783A" w:rsidRPr="00F26D59">
                <w:rPr>
                  <w:noProof/>
                </w:rPr>
                <w:t xml:space="preserve"> </w:t>
              </w:r>
              <w:r w:rsidR="008D783A" w:rsidRPr="008D783A">
                <w:rPr>
                  <w:noProof/>
                </w:rPr>
                <w:t>(</w:t>
              </w:r>
              <w:r w:rsidRPr="008D783A">
                <w:rPr>
                  <w:noProof/>
                </w:rPr>
                <w:t>2024</w:t>
              </w:r>
              <w:r w:rsidR="008D783A" w:rsidRPr="008D783A">
                <w:rPr>
                  <w:noProof/>
                </w:rPr>
                <w:t>)</w:t>
              </w:r>
              <w:r w:rsidRPr="008D783A">
                <w:rPr>
                  <w:noProof/>
                </w:rPr>
                <w:t xml:space="preserve"> </w:t>
              </w:r>
              <w:r>
                <w:rPr>
                  <w:noProof/>
                </w:rPr>
                <w:t xml:space="preserve">‘Bringing the voice of social housing tenants into shaping the health and care research agenda’. </w:t>
              </w:r>
              <w:r>
                <w:rPr>
                  <w:i/>
                  <w:iCs/>
                  <w:noProof/>
                </w:rPr>
                <w:t xml:space="preserve">Research involvement and engagement, </w:t>
              </w:r>
              <w:r>
                <w:rPr>
                  <w:noProof/>
                </w:rPr>
                <w:t>10(1), pp. 85-12.</w:t>
              </w:r>
            </w:p>
            <w:p w14:paraId="54629E4A" w14:textId="5341EC30" w:rsidR="002E53A1" w:rsidRDefault="002E53A1" w:rsidP="007E4945">
              <w:pPr>
                <w:pStyle w:val="Bibliography"/>
                <w:jc w:val="left"/>
                <w:rPr>
                  <w:noProof/>
                </w:rPr>
              </w:pPr>
              <w:r>
                <w:rPr>
                  <w:noProof/>
                </w:rPr>
                <w:t>Porter, M. E.</w:t>
              </w:r>
              <w:r w:rsidR="008D783A">
                <w:rPr>
                  <w:noProof/>
                </w:rPr>
                <w:t xml:space="preserve"> (</w:t>
              </w:r>
              <w:r>
                <w:rPr>
                  <w:noProof/>
                </w:rPr>
                <w:t>2008</w:t>
              </w:r>
              <w:r w:rsidR="008D783A">
                <w:rPr>
                  <w:noProof/>
                </w:rPr>
                <w:t>)</w:t>
              </w:r>
              <w:r>
                <w:rPr>
                  <w:noProof/>
                </w:rPr>
                <w:t xml:space="preserve"> </w:t>
              </w:r>
              <w:r>
                <w:rPr>
                  <w:i/>
                  <w:iCs/>
                  <w:noProof/>
                </w:rPr>
                <w:t xml:space="preserve">On competition. </w:t>
              </w:r>
              <w:r>
                <w:rPr>
                  <w:noProof/>
                </w:rPr>
                <w:t>Updated and expanded ed. Boston, Massachusetts: Harvard Business School Publishing Corporation.</w:t>
              </w:r>
            </w:p>
            <w:p w14:paraId="665F6C86" w14:textId="4E15F020" w:rsidR="002E53A1" w:rsidRDefault="002E53A1" w:rsidP="007E4945">
              <w:pPr>
                <w:pStyle w:val="Bibliography"/>
                <w:jc w:val="left"/>
                <w:rPr>
                  <w:noProof/>
                </w:rPr>
              </w:pPr>
              <w:r>
                <w:rPr>
                  <w:noProof/>
                </w:rPr>
                <w:t>Proctor, T.</w:t>
              </w:r>
              <w:r w:rsidR="008D783A">
                <w:rPr>
                  <w:noProof/>
                </w:rPr>
                <w:t xml:space="preserve"> (</w:t>
              </w:r>
              <w:r>
                <w:rPr>
                  <w:noProof/>
                </w:rPr>
                <w:t>2018</w:t>
              </w:r>
              <w:r w:rsidR="008D783A">
                <w:rPr>
                  <w:noProof/>
                </w:rPr>
                <w:t>)</w:t>
              </w:r>
              <w:r>
                <w:rPr>
                  <w:noProof/>
                </w:rPr>
                <w:t xml:space="preserve"> </w:t>
              </w:r>
              <w:r>
                <w:rPr>
                  <w:i/>
                  <w:iCs/>
                  <w:noProof/>
                </w:rPr>
                <w:t xml:space="preserve">Creative problem solving for managers: developing skills for decision making and innovation. </w:t>
              </w:r>
              <w:r>
                <w:rPr>
                  <w:noProof/>
                </w:rPr>
                <w:t>5th ed. New York: Routledge.</w:t>
              </w:r>
            </w:p>
            <w:p w14:paraId="75D3433E" w14:textId="6DF19D8C" w:rsidR="002E53A1" w:rsidRDefault="002E53A1" w:rsidP="007E4945">
              <w:pPr>
                <w:pStyle w:val="Bibliography"/>
                <w:jc w:val="left"/>
                <w:rPr>
                  <w:noProof/>
                </w:rPr>
              </w:pPr>
              <w:r>
                <w:rPr>
                  <w:noProof/>
                </w:rPr>
                <w:t>RSH</w:t>
              </w:r>
              <w:r w:rsidR="008D783A">
                <w:rPr>
                  <w:noProof/>
                </w:rPr>
                <w:t xml:space="preserve"> (</w:t>
              </w:r>
              <w:r>
                <w:rPr>
                  <w:noProof/>
                </w:rPr>
                <w:t>2024</w:t>
              </w:r>
              <w:r w:rsidR="008D783A">
                <w:rPr>
                  <w:noProof/>
                </w:rPr>
                <w:t>)</w:t>
              </w:r>
              <w:r>
                <w:rPr>
                  <w:noProof/>
                </w:rPr>
                <w:t xml:space="preserve"> </w:t>
              </w:r>
              <w:r>
                <w:rPr>
                  <w:i/>
                  <w:iCs/>
                  <w:noProof/>
                </w:rPr>
                <w:t xml:space="preserve">Consumer standards Code of Practice. </w:t>
              </w:r>
              <w:r>
                <w:rPr>
                  <w:noProof/>
                </w:rPr>
                <w:t xml:space="preserve">[Online] </w:t>
              </w:r>
              <w:r>
                <w:rPr>
                  <w:noProof/>
                </w:rPr>
                <w:br/>
                <w:t xml:space="preserve">Available at: </w:t>
              </w:r>
              <w:r>
                <w:rPr>
                  <w:noProof/>
                  <w:u w:val="single"/>
                </w:rPr>
                <w:t>https://www.gov.uk/government/publications/consumer-standards-code-of-practice</w:t>
              </w:r>
              <w:r>
                <w:rPr>
                  <w:noProof/>
                </w:rPr>
                <w:br/>
                <w:t>[Accessed 22 November 2025].</w:t>
              </w:r>
            </w:p>
            <w:p w14:paraId="44C79750" w14:textId="62CEDE88" w:rsidR="002E53A1" w:rsidRDefault="002E53A1" w:rsidP="007E4945">
              <w:pPr>
                <w:pStyle w:val="Bibliography"/>
                <w:jc w:val="left"/>
                <w:rPr>
                  <w:noProof/>
                </w:rPr>
              </w:pPr>
              <w:r>
                <w:rPr>
                  <w:noProof/>
                </w:rPr>
                <w:t>RSH</w:t>
              </w:r>
              <w:r w:rsidR="008D783A">
                <w:rPr>
                  <w:noProof/>
                </w:rPr>
                <w:t xml:space="preserve"> (</w:t>
              </w:r>
              <w:r>
                <w:rPr>
                  <w:noProof/>
                </w:rPr>
                <w:t>2025</w:t>
              </w:r>
              <w:r w:rsidR="008D783A">
                <w:rPr>
                  <w:noProof/>
                </w:rPr>
                <w:t>)</w:t>
              </w:r>
              <w:r>
                <w:rPr>
                  <w:noProof/>
                </w:rPr>
                <w:t xml:space="preserve"> </w:t>
              </w:r>
              <w:r>
                <w:rPr>
                  <w:i/>
                  <w:iCs/>
                  <w:noProof/>
                </w:rPr>
                <w:t xml:space="preserve">Social housing providers' finances impacted by rising repairs and remediation spend. </w:t>
              </w:r>
              <w:r>
                <w:rPr>
                  <w:noProof/>
                </w:rPr>
                <w:t xml:space="preserve">[Online] </w:t>
              </w:r>
              <w:r>
                <w:rPr>
                  <w:noProof/>
                </w:rPr>
                <w:br/>
                <w:t xml:space="preserve">Available at: </w:t>
              </w:r>
              <w:r>
                <w:rPr>
                  <w:noProof/>
                  <w:u w:val="single"/>
                </w:rPr>
                <w:t>https://www.gov.uk/government/news/social-housing-providers-finances-impacted-by-rising-repairs-and-remediation-spend</w:t>
              </w:r>
              <w:r>
                <w:rPr>
                  <w:noProof/>
                </w:rPr>
                <w:br/>
                <w:t>[Accessed 26 November 2025].</w:t>
              </w:r>
            </w:p>
            <w:p w14:paraId="3804A038" w14:textId="100E2B43" w:rsidR="002E53A1" w:rsidRDefault="002E53A1" w:rsidP="007E4945">
              <w:pPr>
                <w:pStyle w:val="Bibliography"/>
                <w:jc w:val="left"/>
                <w:rPr>
                  <w:noProof/>
                </w:rPr>
              </w:pPr>
              <w:r>
                <w:rPr>
                  <w:noProof/>
                </w:rPr>
                <w:t>SHP</w:t>
              </w:r>
              <w:r w:rsidR="008D783A">
                <w:rPr>
                  <w:noProof/>
                </w:rPr>
                <w:t xml:space="preserve"> (</w:t>
              </w:r>
              <w:r>
                <w:rPr>
                  <w:noProof/>
                </w:rPr>
                <w:t>2025</w:t>
              </w:r>
              <w:r w:rsidR="008D783A">
                <w:rPr>
                  <w:noProof/>
                </w:rPr>
                <w:t>)</w:t>
              </w:r>
              <w:r>
                <w:rPr>
                  <w:noProof/>
                </w:rPr>
                <w:t xml:space="preserve"> </w:t>
              </w:r>
              <w:r>
                <w:rPr>
                  <w:i/>
                  <w:iCs/>
                  <w:noProof/>
                </w:rPr>
                <w:t xml:space="preserve">About Us. </w:t>
              </w:r>
              <w:r>
                <w:rPr>
                  <w:noProof/>
                </w:rPr>
                <w:t xml:space="preserve">[Online] </w:t>
              </w:r>
              <w:r>
                <w:rPr>
                  <w:noProof/>
                </w:rPr>
                <w:br/>
                <w:t xml:space="preserve">Available at: </w:t>
              </w:r>
              <w:r>
                <w:rPr>
                  <w:noProof/>
                  <w:u w:val="single"/>
                </w:rPr>
                <w:t>https://www.suttonhousingpartnership.org.uk/about-us</w:t>
              </w:r>
              <w:r>
                <w:rPr>
                  <w:noProof/>
                </w:rPr>
                <w:br/>
                <w:t>[Accessed 22 November 2025].</w:t>
              </w:r>
            </w:p>
            <w:p w14:paraId="24835B1D" w14:textId="440D6404" w:rsidR="002E53A1" w:rsidRDefault="002E53A1" w:rsidP="007E4945">
              <w:pPr>
                <w:pStyle w:val="Bibliography"/>
                <w:jc w:val="left"/>
                <w:rPr>
                  <w:noProof/>
                </w:rPr>
              </w:pPr>
              <w:r>
                <w:rPr>
                  <w:noProof/>
                </w:rPr>
                <w:t>SHP</w:t>
              </w:r>
              <w:r w:rsidR="008D783A">
                <w:rPr>
                  <w:noProof/>
                </w:rPr>
                <w:t xml:space="preserve"> (</w:t>
              </w:r>
              <w:r>
                <w:rPr>
                  <w:noProof/>
                </w:rPr>
                <w:t>2025</w:t>
              </w:r>
              <w:r w:rsidR="008D783A">
                <w:rPr>
                  <w:noProof/>
                </w:rPr>
                <w:t>)</w:t>
              </w:r>
              <w:r>
                <w:rPr>
                  <w:noProof/>
                </w:rPr>
                <w:t xml:space="preserve"> </w:t>
              </w:r>
              <w:r>
                <w:rPr>
                  <w:i/>
                  <w:iCs/>
                  <w:noProof/>
                </w:rPr>
                <w:t xml:space="preserve">Plans &amp; Performance. </w:t>
              </w:r>
              <w:r>
                <w:rPr>
                  <w:noProof/>
                </w:rPr>
                <w:t xml:space="preserve">[Online] </w:t>
              </w:r>
              <w:r>
                <w:rPr>
                  <w:noProof/>
                </w:rPr>
                <w:br/>
                <w:t xml:space="preserve">Available at: </w:t>
              </w:r>
              <w:r>
                <w:rPr>
                  <w:noProof/>
                  <w:u w:val="single"/>
                </w:rPr>
                <w:t>https://www.suttonhousingpartnership.org.uk/our-plans-performance/</w:t>
              </w:r>
              <w:r>
                <w:rPr>
                  <w:noProof/>
                </w:rPr>
                <w:br/>
                <w:t>[Accessed 30 November 2025].</w:t>
              </w:r>
            </w:p>
            <w:p w14:paraId="5E4B280C" w14:textId="61F93A6C" w:rsidR="002E53A1" w:rsidRDefault="002E53A1" w:rsidP="007E4945">
              <w:pPr>
                <w:pStyle w:val="Bibliography"/>
                <w:jc w:val="left"/>
                <w:rPr>
                  <w:noProof/>
                </w:rPr>
              </w:pPr>
              <w:r>
                <w:rPr>
                  <w:noProof/>
                </w:rPr>
                <w:t>SHP</w:t>
              </w:r>
              <w:r w:rsidR="008D783A">
                <w:rPr>
                  <w:noProof/>
                </w:rPr>
                <w:t xml:space="preserve"> (</w:t>
              </w:r>
              <w:r>
                <w:rPr>
                  <w:noProof/>
                </w:rPr>
                <w:t>2025</w:t>
              </w:r>
              <w:r w:rsidR="008D783A">
                <w:rPr>
                  <w:noProof/>
                </w:rPr>
                <w:t>)</w:t>
              </w:r>
              <w:r>
                <w:rPr>
                  <w:noProof/>
                </w:rPr>
                <w:t xml:space="preserve"> </w:t>
              </w:r>
              <w:r>
                <w:rPr>
                  <w:i/>
                  <w:iCs/>
                  <w:noProof/>
                </w:rPr>
                <w:t xml:space="preserve">Sutton Housing Partnership Delivery Plan 2024 - 2027. </w:t>
              </w:r>
              <w:r>
                <w:rPr>
                  <w:noProof/>
                </w:rPr>
                <w:t xml:space="preserve">[Online] </w:t>
              </w:r>
              <w:r>
                <w:rPr>
                  <w:noProof/>
                </w:rPr>
                <w:br/>
                <w:t xml:space="preserve">Available at: </w:t>
              </w:r>
              <w:r>
                <w:rPr>
                  <w:noProof/>
                  <w:u w:val="single"/>
                </w:rPr>
                <w:t>https://www.suttonhousingpartnership.org.uk/download/sutton-housing-partnership-delivery-plan-2024-2027-4pdf.pdf?ver=8919&amp;doc=docm93jijm4n6316</w:t>
              </w:r>
              <w:r>
                <w:rPr>
                  <w:noProof/>
                </w:rPr>
                <w:br/>
                <w:t>[Accessed 26 November 2025].</w:t>
              </w:r>
            </w:p>
            <w:p w14:paraId="044C3D43" w14:textId="252FEE4C" w:rsidR="002E53A1" w:rsidRDefault="002E53A1" w:rsidP="007E4945">
              <w:pPr>
                <w:pStyle w:val="Bibliography"/>
                <w:jc w:val="left"/>
                <w:rPr>
                  <w:noProof/>
                </w:rPr>
              </w:pPr>
              <w:r>
                <w:rPr>
                  <w:noProof/>
                </w:rPr>
                <w:t>Shwashreh, L., Taki, A. &amp; Kagioglou, M.</w:t>
              </w:r>
              <w:r w:rsidR="008D783A">
                <w:rPr>
                  <w:noProof/>
                </w:rPr>
                <w:t xml:space="preserve"> (</w:t>
              </w:r>
              <w:r>
                <w:rPr>
                  <w:noProof/>
                </w:rPr>
                <w:t>2024</w:t>
              </w:r>
              <w:r w:rsidR="008D783A">
                <w:rPr>
                  <w:noProof/>
                </w:rPr>
                <w:t>)</w:t>
              </w:r>
              <w:r>
                <w:rPr>
                  <w:noProof/>
                </w:rPr>
                <w:t xml:space="preserve"> 'Retrofit Strategies for Alleviating Fuel Poverty and Improving Subjective Well-Being in the UK’s Social Housing'. </w:t>
              </w:r>
              <w:r>
                <w:rPr>
                  <w:i/>
                  <w:iCs/>
                  <w:noProof/>
                </w:rPr>
                <w:t xml:space="preserve">Buildings (Basel), </w:t>
              </w:r>
              <w:r>
                <w:rPr>
                  <w:noProof/>
                </w:rPr>
                <w:t>14(2), p. 316.</w:t>
              </w:r>
            </w:p>
            <w:p w14:paraId="7BD6F234" w14:textId="131AF709" w:rsidR="002E53A1" w:rsidRDefault="002E53A1" w:rsidP="007E4945">
              <w:pPr>
                <w:pStyle w:val="Bibliography"/>
                <w:jc w:val="left"/>
                <w:rPr>
                  <w:noProof/>
                </w:rPr>
              </w:pPr>
              <w:r>
                <w:rPr>
                  <w:noProof/>
                </w:rPr>
                <w:t>Whittington, R. et al.</w:t>
              </w:r>
              <w:r w:rsidR="008D783A">
                <w:rPr>
                  <w:noProof/>
                </w:rPr>
                <w:t xml:space="preserve"> (</w:t>
              </w:r>
              <w:r>
                <w:rPr>
                  <w:noProof/>
                </w:rPr>
                <w:t>2019</w:t>
              </w:r>
              <w:r w:rsidR="008D783A">
                <w:rPr>
                  <w:noProof/>
                </w:rPr>
                <w:t>)</w:t>
              </w:r>
              <w:r>
                <w:rPr>
                  <w:noProof/>
                </w:rPr>
                <w:t xml:space="preserve"> </w:t>
              </w:r>
              <w:r>
                <w:rPr>
                  <w:i/>
                  <w:iCs/>
                  <w:noProof/>
                </w:rPr>
                <w:t xml:space="preserve">Exploring Strategy, Text and Cases. </w:t>
              </w:r>
              <w:r>
                <w:rPr>
                  <w:noProof/>
                </w:rPr>
                <w:t>12t ed. Harlow: Pearson Higher Education &amp; Professional Group.</w:t>
              </w:r>
            </w:p>
            <w:p w14:paraId="43B66085" w14:textId="53C3F16C" w:rsidR="00E83B95" w:rsidRDefault="00E83B95" w:rsidP="007E4945">
              <w:pPr>
                <w:jc w:val="left"/>
              </w:pPr>
              <w:r w:rsidRPr="00E83B95">
                <w:rPr>
                  <w:b/>
                  <w:bCs/>
                  <w:noProof/>
                  <w:szCs w:val="22"/>
                </w:rPr>
                <w:fldChar w:fldCharType="end"/>
              </w:r>
            </w:p>
          </w:sdtContent>
        </w:sdt>
      </w:sdtContent>
    </w:sdt>
    <w:p w14:paraId="3F53498A" w14:textId="441A34F1" w:rsidR="0027136D" w:rsidRDefault="0027136D" w:rsidP="0027136D">
      <w:pPr>
        <w:jc w:val="left"/>
      </w:pPr>
    </w:p>
    <w:p w14:paraId="2B7E2306" w14:textId="5D21209D" w:rsidR="00CF76C0" w:rsidRDefault="00CF76C0" w:rsidP="00CF76C0">
      <w:pPr>
        <w:jc w:val="left"/>
      </w:pPr>
    </w:p>
    <w:p w14:paraId="08C97ED2" w14:textId="77777777" w:rsidR="00306920" w:rsidRPr="00165E58" w:rsidRDefault="00306920"/>
    <w:sectPr w:rsidR="00306920" w:rsidRPr="00165E58" w:rsidSect="005F1429">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63F0E" w14:textId="77777777" w:rsidR="00433E22" w:rsidRDefault="00433E22" w:rsidP="00AC61FD">
      <w:pPr>
        <w:spacing w:before="0" w:after="0" w:line="240" w:lineRule="auto"/>
      </w:pPr>
      <w:r>
        <w:separator/>
      </w:r>
    </w:p>
  </w:endnote>
  <w:endnote w:type="continuationSeparator" w:id="0">
    <w:p w14:paraId="0FF57FC5" w14:textId="77777777" w:rsidR="00433E22" w:rsidRDefault="00433E22" w:rsidP="00AC61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039F8" w14:textId="7AFEF1C7" w:rsidR="005F1429" w:rsidRDefault="005F1429">
    <w:pPr>
      <w:pStyle w:val="Footer"/>
      <w:jc w:val="right"/>
    </w:pPr>
  </w:p>
  <w:p w14:paraId="3E143E5B" w14:textId="77777777" w:rsidR="005F1429" w:rsidRDefault="005F14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13032" w14:textId="77777777" w:rsidR="00755B67" w:rsidRDefault="00755B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962604"/>
      <w:docPartObj>
        <w:docPartGallery w:val="Page Numbers (Bottom of Page)"/>
        <w:docPartUnique/>
      </w:docPartObj>
    </w:sdtPr>
    <w:sdtEndPr>
      <w:rPr>
        <w:rFonts w:ascii="Arial" w:hAnsi="Arial" w:cs="Arial"/>
        <w:noProof/>
        <w:sz w:val="22"/>
        <w:szCs w:val="22"/>
      </w:rPr>
    </w:sdtEndPr>
    <w:sdtContent>
      <w:p w14:paraId="33A92C98" w14:textId="77777777" w:rsidR="00385AB5" w:rsidRPr="0075334D" w:rsidRDefault="00385AB5">
        <w:pPr>
          <w:pStyle w:val="Footer"/>
          <w:jc w:val="right"/>
          <w:rPr>
            <w:rFonts w:ascii="Arial" w:hAnsi="Arial" w:cs="Arial"/>
            <w:sz w:val="22"/>
            <w:szCs w:val="22"/>
          </w:rPr>
        </w:pPr>
        <w:r w:rsidRPr="0075334D">
          <w:rPr>
            <w:rFonts w:ascii="Arial" w:hAnsi="Arial" w:cs="Arial"/>
            <w:sz w:val="22"/>
            <w:szCs w:val="22"/>
          </w:rPr>
          <w:fldChar w:fldCharType="begin"/>
        </w:r>
        <w:r w:rsidRPr="0075334D">
          <w:rPr>
            <w:rFonts w:ascii="Arial" w:hAnsi="Arial" w:cs="Arial"/>
            <w:sz w:val="22"/>
            <w:szCs w:val="22"/>
          </w:rPr>
          <w:instrText xml:space="preserve"> PAGE   \* MERGEFORMAT </w:instrText>
        </w:r>
        <w:r w:rsidRPr="0075334D">
          <w:rPr>
            <w:rFonts w:ascii="Arial" w:hAnsi="Arial" w:cs="Arial"/>
            <w:sz w:val="22"/>
            <w:szCs w:val="22"/>
          </w:rPr>
          <w:fldChar w:fldCharType="separate"/>
        </w:r>
        <w:r w:rsidRPr="0075334D">
          <w:rPr>
            <w:rFonts w:ascii="Arial" w:hAnsi="Arial" w:cs="Arial"/>
            <w:noProof/>
            <w:sz w:val="22"/>
            <w:szCs w:val="22"/>
          </w:rPr>
          <w:t>2</w:t>
        </w:r>
        <w:r w:rsidRPr="0075334D">
          <w:rPr>
            <w:rFonts w:ascii="Arial" w:hAnsi="Arial" w:cs="Arial"/>
            <w:noProof/>
            <w:sz w:val="22"/>
            <w:szCs w:val="22"/>
          </w:rPr>
          <w:fldChar w:fldCharType="end"/>
        </w:r>
      </w:p>
    </w:sdtContent>
  </w:sdt>
  <w:p w14:paraId="7C20951D" w14:textId="77777777" w:rsidR="00385AB5" w:rsidRDefault="00385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9F17C" w14:textId="77777777" w:rsidR="00433E22" w:rsidRDefault="00433E22" w:rsidP="00AC61FD">
      <w:pPr>
        <w:spacing w:before="0" w:after="0" w:line="240" w:lineRule="auto"/>
      </w:pPr>
      <w:r>
        <w:separator/>
      </w:r>
    </w:p>
  </w:footnote>
  <w:footnote w:type="continuationSeparator" w:id="0">
    <w:p w14:paraId="51FC1AEB" w14:textId="77777777" w:rsidR="00433E22" w:rsidRDefault="00433E22" w:rsidP="00AC61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E643A"/>
    <w:multiLevelType w:val="hybridMultilevel"/>
    <w:tmpl w:val="951E2028"/>
    <w:lvl w:ilvl="0" w:tplc="AD867DE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60350"/>
    <w:multiLevelType w:val="multilevel"/>
    <w:tmpl w:val="766C8D16"/>
    <w:lvl w:ilvl="0">
      <w:start w:val="1"/>
      <w:numFmt w:val="decimal"/>
      <w:lvlText w:val="%1."/>
      <w:lvlJc w:val="left"/>
      <w:pPr>
        <w:tabs>
          <w:tab w:val="num" w:pos="720"/>
        </w:tabs>
        <w:ind w:left="720" w:hanging="360"/>
      </w:pPr>
    </w:lvl>
    <w:lvl w:ilvl="1">
      <w:start w:val="1"/>
      <w:numFmt w:val="bullet"/>
      <w:lvlText w:val=""/>
      <w:lvlJc w:val="righ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506DF1"/>
    <w:multiLevelType w:val="multilevel"/>
    <w:tmpl w:val="20E2E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186603"/>
    <w:multiLevelType w:val="multilevel"/>
    <w:tmpl w:val="7EBC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72572"/>
    <w:multiLevelType w:val="hybridMultilevel"/>
    <w:tmpl w:val="AC74525A"/>
    <w:lvl w:ilvl="0" w:tplc="A5DC9AE4">
      <w:start w:val="1"/>
      <w:numFmt w:val="decimal"/>
      <w:lvlText w:val="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C54CB7"/>
    <w:multiLevelType w:val="hybridMultilevel"/>
    <w:tmpl w:val="88603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5A74EA"/>
    <w:multiLevelType w:val="multilevel"/>
    <w:tmpl w:val="1B281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4678C1"/>
    <w:multiLevelType w:val="multilevel"/>
    <w:tmpl w:val="978E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F85DC8"/>
    <w:multiLevelType w:val="hybridMultilevel"/>
    <w:tmpl w:val="51349362"/>
    <w:lvl w:ilvl="0" w:tplc="9E56DAFE">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5A07B1"/>
    <w:multiLevelType w:val="multilevel"/>
    <w:tmpl w:val="9500C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8A513C"/>
    <w:multiLevelType w:val="multilevel"/>
    <w:tmpl w:val="3ED0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847D4F"/>
    <w:multiLevelType w:val="hybridMultilevel"/>
    <w:tmpl w:val="CA5E038E"/>
    <w:lvl w:ilvl="0" w:tplc="FCE6AB7A">
      <w:start w:val="1"/>
      <w:numFmt w:val="decimal"/>
      <w:lvlText w:val="%1."/>
      <w:lvlJc w:val="left"/>
      <w:pPr>
        <w:ind w:left="720" w:hanging="360"/>
      </w:pPr>
      <w:rPr>
        <w:rFonts w:ascii="Arial" w:hAnsi="Arial" w:hint="default"/>
        <w:b w:val="0"/>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0F54E0"/>
    <w:multiLevelType w:val="hybridMultilevel"/>
    <w:tmpl w:val="53348C60"/>
    <w:lvl w:ilvl="0" w:tplc="CD48FDCE">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D51FA5"/>
    <w:multiLevelType w:val="hybridMultilevel"/>
    <w:tmpl w:val="3510F83A"/>
    <w:lvl w:ilvl="0" w:tplc="954857A8">
      <w:start w:val="1"/>
      <w:numFmt w:val="decimal"/>
      <w:lvlText w:val="3.%1"/>
      <w:lvlJc w:val="left"/>
      <w:pPr>
        <w:ind w:left="360" w:hanging="360"/>
      </w:pPr>
      <w:rPr>
        <w:rFonts w:ascii="Arial" w:hAnsi="Arial" w:hint="default"/>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A283754"/>
    <w:multiLevelType w:val="hybridMultilevel"/>
    <w:tmpl w:val="3E6C0C6C"/>
    <w:lvl w:ilvl="0" w:tplc="E1540156">
      <w:start w:val="1"/>
      <w:numFmt w:val="decimal"/>
      <w:lvlText w:val="2.%1"/>
      <w:lvlJc w:val="left"/>
      <w:pPr>
        <w:ind w:left="720" w:hanging="360"/>
      </w:pPr>
      <w:rPr>
        <w:rFonts w:ascii="Arial" w:hAnsi="Aria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AF282D"/>
    <w:multiLevelType w:val="hybridMultilevel"/>
    <w:tmpl w:val="495A6D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0B73F4D"/>
    <w:multiLevelType w:val="hybridMultilevel"/>
    <w:tmpl w:val="6BF07860"/>
    <w:lvl w:ilvl="0" w:tplc="498E2778">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11269E0"/>
    <w:multiLevelType w:val="multilevel"/>
    <w:tmpl w:val="0652D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457929"/>
    <w:multiLevelType w:val="multilevel"/>
    <w:tmpl w:val="4A086722"/>
    <w:lvl w:ilvl="0">
      <w:start w:val="1"/>
      <w:numFmt w:val="bullet"/>
      <w:lvlText w:val=""/>
      <w:lvlJc w:val="right"/>
      <w:pPr>
        <w:tabs>
          <w:tab w:val="num" w:pos="720"/>
        </w:tabs>
        <w:ind w:left="720" w:hanging="360"/>
      </w:pPr>
      <w:rPr>
        <w:rFonts w:ascii="Symbol" w:hAnsi="Symbol" w:hint="default"/>
      </w:rPr>
    </w:lvl>
    <w:lvl w:ilvl="1">
      <w:start w:val="1"/>
      <w:numFmt w:val="bullet"/>
      <w:lvlText w:val=""/>
      <w:lvlJc w:val="righ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027D71"/>
    <w:multiLevelType w:val="hybridMultilevel"/>
    <w:tmpl w:val="87B82CCC"/>
    <w:lvl w:ilvl="0" w:tplc="D8302F9C">
      <w:start w:val="1"/>
      <w:numFmt w:val="decimal"/>
      <w:lvlText w:val="2.%1"/>
      <w:lvlJc w:val="left"/>
      <w:pPr>
        <w:ind w:left="1080" w:hanging="360"/>
      </w:pPr>
      <w:rPr>
        <w:rFonts w:ascii="Arial" w:hAnsi="Arial"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ADA07B3"/>
    <w:multiLevelType w:val="hybridMultilevel"/>
    <w:tmpl w:val="728CD6D2"/>
    <w:lvl w:ilvl="0" w:tplc="27A2E750">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5A062C"/>
    <w:multiLevelType w:val="hybridMultilevel"/>
    <w:tmpl w:val="7C3EBF4C"/>
    <w:lvl w:ilvl="0" w:tplc="584E048C">
      <w:start w:val="1"/>
      <w:numFmt w:val="decimal"/>
      <w:lvlText w:val="2.%1"/>
      <w:lvlJc w:val="left"/>
      <w:pPr>
        <w:ind w:left="720" w:hanging="360"/>
      </w:pPr>
      <w:rPr>
        <w:rFonts w:ascii="Arial" w:hAnsi="Aria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D4232C"/>
    <w:multiLevelType w:val="hybridMultilevel"/>
    <w:tmpl w:val="6E18E608"/>
    <w:lvl w:ilvl="0" w:tplc="D3609118">
      <w:start w:val="1"/>
      <w:numFmt w:val="decimal"/>
      <w:lvlText w:val="3.%1"/>
      <w:lvlJc w:val="left"/>
      <w:pPr>
        <w:ind w:left="720" w:hanging="360"/>
      </w:pPr>
      <w:rPr>
        <w:rFonts w:ascii="Arial" w:hAnsi="Arial"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EA25DA"/>
    <w:multiLevelType w:val="hybridMultilevel"/>
    <w:tmpl w:val="B838CEFE"/>
    <w:lvl w:ilvl="0" w:tplc="6212E4CA">
      <w:start w:val="1"/>
      <w:numFmt w:val="decimal"/>
      <w:lvlText w:val="2.%1"/>
      <w:lvlJc w:val="left"/>
      <w:pPr>
        <w:ind w:left="-1800" w:hanging="360"/>
      </w:pPr>
      <w:rPr>
        <w:rFonts w:ascii="Arial" w:hAnsi="Arial" w:hint="default"/>
        <w:sz w:val="32"/>
        <w:szCs w:val="32"/>
      </w:rPr>
    </w:lvl>
    <w:lvl w:ilvl="1" w:tplc="08090019" w:tentative="1">
      <w:start w:val="1"/>
      <w:numFmt w:val="lowerLetter"/>
      <w:lvlText w:val="%2."/>
      <w:lvlJc w:val="left"/>
      <w:pPr>
        <w:ind w:left="-862" w:hanging="360"/>
      </w:pPr>
    </w:lvl>
    <w:lvl w:ilvl="2" w:tplc="0809001B" w:tentative="1">
      <w:start w:val="1"/>
      <w:numFmt w:val="lowerRoman"/>
      <w:lvlText w:val="%3."/>
      <w:lvlJc w:val="right"/>
      <w:pPr>
        <w:ind w:left="-142" w:hanging="180"/>
      </w:pPr>
    </w:lvl>
    <w:lvl w:ilvl="3" w:tplc="0809000F" w:tentative="1">
      <w:start w:val="1"/>
      <w:numFmt w:val="decimal"/>
      <w:lvlText w:val="%4."/>
      <w:lvlJc w:val="left"/>
      <w:pPr>
        <w:ind w:left="578" w:hanging="360"/>
      </w:pPr>
    </w:lvl>
    <w:lvl w:ilvl="4" w:tplc="08090019" w:tentative="1">
      <w:start w:val="1"/>
      <w:numFmt w:val="lowerLetter"/>
      <w:lvlText w:val="%5."/>
      <w:lvlJc w:val="left"/>
      <w:pPr>
        <w:ind w:left="1298" w:hanging="360"/>
      </w:pPr>
    </w:lvl>
    <w:lvl w:ilvl="5" w:tplc="0809001B" w:tentative="1">
      <w:start w:val="1"/>
      <w:numFmt w:val="lowerRoman"/>
      <w:lvlText w:val="%6."/>
      <w:lvlJc w:val="right"/>
      <w:pPr>
        <w:ind w:left="2018" w:hanging="180"/>
      </w:pPr>
    </w:lvl>
    <w:lvl w:ilvl="6" w:tplc="0809000F" w:tentative="1">
      <w:start w:val="1"/>
      <w:numFmt w:val="decimal"/>
      <w:lvlText w:val="%7."/>
      <w:lvlJc w:val="left"/>
      <w:pPr>
        <w:ind w:left="2738" w:hanging="360"/>
      </w:pPr>
    </w:lvl>
    <w:lvl w:ilvl="7" w:tplc="08090019" w:tentative="1">
      <w:start w:val="1"/>
      <w:numFmt w:val="lowerLetter"/>
      <w:lvlText w:val="%8."/>
      <w:lvlJc w:val="left"/>
      <w:pPr>
        <w:ind w:left="3458" w:hanging="360"/>
      </w:pPr>
    </w:lvl>
    <w:lvl w:ilvl="8" w:tplc="0809001B" w:tentative="1">
      <w:start w:val="1"/>
      <w:numFmt w:val="lowerRoman"/>
      <w:lvlText w:val="%9."/>
      <w:lvlJc w:val="right"/>
      <w:pPr>
        <w:ind w:left="4178" w:hanging="180"/>
      </w:pPr>
    </w:lvl>
  </w:abstractNum>
  <w:abstractNum w:abstractNumId="24" w15:restartNumberingAfterBreak="0">
    <w:nsid w:val="72410635"/>
    <w:multiLevelType w:val="multilevel"/>
    <w:tmpl w:val="A824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D6561A"/>
    <w:multiLevelType w:val="hybridMultilevel"/>
    <w:tmpl w:val="80D04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600434">
    <w:abstractNumId w:val="11"/>
  </w:num>
  <w:num w:numId="2" w16cid:durableId="945427545">
    <w:abstractNumId w:val="13"/>
  </w:num>
  <w:num w:numId="3" w16cid:durableId="17851337">
    <w:abstractNumId w:val="20"/>
  </w:num>
  <w:num w:numId="4" w16cid:durableId="600377374">
    <w:abstractNumId w:val="4"/>
  </w:num>
  <w:num w:numId="5" w16cid:durableId="1660500285">
    <w:abstractNumId w:val="1"/>
  </w:num>
  <w:num w:numId="6" w16cid:durableId="1757899415">
    <w:abstractNumId w:val="10"/>
  </w:num>
  <w:num w:numId="7" w16cid:durableId="194001915">
    <w:abstractNumId w:val="24"/>
  </w:num>
  <w:num w:numId="8" w16cid:durableId="478574248">
    <w:abstractNumId w:val="18"/>
  </w:num>
  <w:num w:numId="9" w16cid:durableId="1167945239">
    <w:abstractNumId w:val="7"/>
  </w:num>
  <w:num w:numId="10" w16cid:durableId="1531912245">
    <w:abstractNumId w:val="8"/>
  </w:num>
  <w:num w:numId="11" w16cid:durableId="1534150964">
    <w:abstractNumId w:val="16"/>
  </w:num>
  <w:num w:numId="12" w16cid:durableId="1518352175">
    <w:abstractNumId w:val="15"/>
  </w:num>
  <w:num w:numId="13" w16cid:durableId="1583298233">
    <w:abstractNumId w:val="2"/>
  </w:num>
  <w:num w:numId="14" w16cid:durableId="567031575">
    <w:abstractNumId w:val="12"/>
  </w:num>
  <w:num w:numId="15" w16cid:durableId="1535267409">
    <w:abstractNumId w:val="5"/>
  </w:num>
  <w:num w:numId="16" w16cid:durableId="1005131062">
    <w:abstractNumId w:val="25"/>
  </w:num>
  <w:num w:numId="17" w16cid:durableId="2084133410">
    <w:abstractNumId w:val="0"/>
  </w:num>
  <w:num w:numId="18" w16cid:durableId="586381202">
    <w:abstractNumId w:val="21"/>
  </w:num>
  <w:num w:numId="19" w16cid:durableId="14236824">
    <w:abstractNumId w:val="19"/>
  </w:num>
  <w:num w:numId="20" w16cid:durableId="1672637399">
    <w:abstractNumId w:val="23"/>
  </w:num>
  <w:num w:numId="21" w16cid:durableId="1090735238">
    <w:abstractNumId w:val="22"/>
  </w:num>
  <w:num w:numId="22" w16cid:durableId="974335710">
    <w:abstractNumId w:val="17"/>
  </w:num>
  <w:num w:numId="23" w16cid:durableId="1794211765">
    <w:abstractNumId w:val="3"/>
  </w:num>
  <w:num w:numId="24" w16cid:durableId="303507463">
    <w:abstractNumId w:val="14"/>
  </w:num>
  <w:num w:numId="25" w16cid:durableId="369915201">
    <w:abstractNumId w:val="6"/>
  </w:num>
  <w:num w:numId="26" w16cid:durableId="107159907">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563"/>
    <w:rsid w:val="00000A1E"/>
    <w:rsid w:val="00000B08"/>
    <w:rsid w:val="00000D40"/>
    <w:rsid w:val="00000D73"/>
    <w:rsid w:val="00003355"/>
    <w:rsid w:val="0000367F"/>
    <w:rsid w:val="000037BA"/>
    <w:rsid w:val="00003A1B"/>
    <w:rsid w:val="00004529"/>
    <w:rsid w:val="00004F66"/>
    <w:rsid w:val="00005D5F"/>
    <w:rsid w:val="00006215"/>
    <w:rsid w:val="00007AD2"/>
    <w:rsid w:val="00010A02"/>
    <w:rsid w:val="00010F2D"/>
    <w:rsid w:val="0001132A"/>
    <w:rsid w:val="0001234C"/>
    <w:rsid w:val="00012901"/>
    <w:rsid w:val="00013D7B"/>
    <w:rsid w:val="0001489F"/>
    <w:rsid w:val="00014A92"/>
    <w:rsid w:val="00014C43"/>
    <w:rsid w:val="00014F6C"/>
    <w:rsid w:val="00015BFC"/>
    <w:rsid w:val="00015FAF"/>
    <w:rsid w:val="00016DA3"/>
    <w:rsid w:val="0001732A"/>
    <w:rsid w:val="00017808"/>
    <w:rsid w:val="000216CB"/>
    <w:rsid w:val="00022D22"/>
    <w:rsid w:val="00023968"/>
    <w:rsid w:val="00023B7A"/>
    <w:rsid w:val="0002465A"/>
    <w:rsid w:val="000273C6"/>
    <w:rsid w:val="00027DA3"/>
    <w:rsid w:val="00031A14"/>
    <w:rsid w:val="00031BF9"/>
    <w:rsid w:val="000320E7"/>
    <w:rsid w:val="000332F6"/>
    <w:rsid w:val="00034061"/>
    <w:rsid w:val="00035302"/>
    <w:rsid w:val="00035CF6"/>
    <w:rsid w:val="000363C6"/>
    <w:rsid w:val="000363E7"/>
    <w:rsid w:val="00036845"/>
    <w:rsid w:val="00037ED3"/>
    <w:rsid w:val="000416E2"/>
    <w:rsid w:val="0004199E"/>
    <w:rsid w:val="0004403D"/>
    <w:rsid w:val="000440F3"/>
    <w:rsid w:val="000442DA"/>
    <w:rsid w:val="00044569"/>
    <w:rsid w:val="000446FE"/>
    <w:rsid w:val="00045096"/>
    <w:rsid w:val="00045212"/>
    <w:rsid w:val="00047282"/>
    <w:rsid w:val="000514A0"/>
    <w:rsid w:val="000515AA"/>
    <w:rsid w:val="000522D4"/>
    <w:rsid w:val="00053A97"/>
    <w:rsid w:val="00053C37"/>
    <w:rsid w:val="00054173"/>
    <w:rsid w:val="00054503"/>
    <w:rsid w:val="00054B9C"/>
    <w:rsid w:val="0005507D"/>
    <w:rsid w:val="0005756E"/>
    <w:rsid w:val="00057C22"/>
    <w:rsid w:val="00060410"/>
    <w:rsid w:val="00060936"/>
    <w:rsid w:val="00063435"/>
    <w:rsid w:val="000639E3"/>
    <w:rsid w:val="0006495A"/>
    <w:rsid w:val="00065F07"/>
    <w:rsid w:val="00067A19"/>
    <w:rsid w:val="00070017"/>
    <w:rsid w:val="000707AC"/>
    <w:rsid w:val="00071008"/>
    <w:rsid w:val="00071192"/>
    <w:rsid w:val="00072356"/>
    <w:rsid w:val="000726A8"/>
    <w:rsid w:val="00072AB2"/>
    <w:rsid w:val="00072C42"/>
    <w:rsid w:val="0007552A"/>
    <w:rsid w:val="0007712D"/>
    <w:rsid w:val="00077935"/>
    <w:rsid w:val="00080002"/>
    <w:rsid w:val="0008129E"/>
    <w:rsid w:val="000819FA"/>
    <w:rsid w:val="000827E7"/>
    <w:rsid w:val="000835AA"/>
    <w:rsid w:val="00086217"/>
    <w:rsid w:val="00090BF5"/>
    <w:rsid w:val="00090D05"/>
    <w:rsid w:val="000922E7"/>
    <w:rsid w:val="00092A79"/>
    <w:rsid w:val="00096F0E"/>
    <w:rsid w:val="000A06FC"/>
    <w:rsid w:val="000A0F58"/>
    <w:rsid w:val="000A0F81"/>
    <w:rsid w:val="000A22A5"/>
    <w:rsid w:val="000A2A77"/>
    <w:rsid w:val="000A2C64"/>
    <w:rsid w:val="000A3479"/>
    <w:rsid w:val="000A386D"/>
    <w:rsid w:val="000A6A98"/>
    <w:rsid w:val="000A6BFD"/>
    <w:rsid w:val="000A6C05"/>
    <w:rsid w:val="000B014B"/>
    <w:rsid w:val="000B0753"/>
    <w:rsid w:val="000B076F"/>
    <w:rsid w:val="000B07A5"/>
    <w:rsid w:val="000B198E"/>
    <w:rsid w:val="000B1B56"/>
    <w:rsid w:val="000B2045"/>
    <w:rsid w:val="000B403A"/>
    <w:rsid w:val="000B4084"/>
    <w:rsid w:val="000B42EA"/>
    <w:rsid w:val="000B50B5"/>
    <w:rsid w:val="000B50BF"/>
    <w:rsid w:val="000B54E4"/>
    <w:rsid w:val="000B6774"/>
    <w:rsid w:val="000B694F"/>
    <w:rsid w:val="000C0414"/>
    <w:rsid w:val="000C0C8A"/>
    <w:rsid w:val="000C151F"/>
    <w:rsid w:val="000C1D4E"/>
    <w:rsid w:val="000C1DE1"/>
    <w:rsid w:val="000C2A1C"/>
    <w:rsid w:val="000C4147"/>
    <w:rsid w:val="000C437A"/>
    <w:rsid w:val="000C585A"/>
    <w:rsid w:val="000C5CFD"/>
    <w:rsid w:val="000C6272"/>
    <w:rsid w:val="000C6841"/>
    <w:rsid w:val="000C6D54"/>
    <w:rsid w:val="000C754C"/>
    <w:rsid w:val="000D06B1"/>
    <w:rsid w:val="000D2544"/>
    <w:rsid w:val="000D26DA"/>
    <w:rsid w:val="000D2781"/>
    <w:rsid w:val="000D3782"/>
    <w:rsid w:val="000D55C0"/>
    <w:rsid w:val="000E1767"/>
    <w:rsid w:val="000E18B8"/>
    <w:rsid w:val="000E2885"/>
    <w:rsid w:val="000E3479"/>
    <w:rsid w:val="000E5DEC"/>
    <w:rsid w:val="000E6C31"/>
    <w:rsid w:val="000F03B0"/>
    <w:rsid w:val="000F0918"/>
    <w:rsid w:val="000F1320"/>
    <w:rsid w:val="000F187E"/>
    <w:rsid w:val="000F251F"/>
    <w:rsid w:val="000F45CC"/>
    <w:rsid w:val="000F5D57"/>
    <w:rsid w:val="000F5E88"/>
    <w:rsid w:val="000F62C9"/>
    <w:rsid w:val="00100436"/>
    <w:rsid w:val="00100900"/>
    <w:rsid w:val="001039E8"/>
    <w:rsid w:val="0010532E"/>
    <w:rsid w:val="001060C3"/>
    <w:rsid w:val="001062B8"/>
    <w:rsid w:val="001079DF"/>
    <w:rsid w:val="001105A7"/>
    <w:rsid w:val="00111E37"/>
    <w:rsid w:val="0011261B"/>
    <w:rsid w:val="00112638"/>
    <w:rsid w:val="001147F3"/>
    <w:rsid w:val="00115D94"/>
    <w:rsid w:val="00115E9C"/>
    <w:rsid w:val="00117486"/>
    <w:rsid w:val="00117EA2"/>
    <w:rsid w:val="0012026B"/>
    <w:rsid w:val="00121C20"/>
    <w:rsid w:val="00122DE6"/>
    <w:rsid w:val="00125014"/>
    <w:rsid w:val="00126E59"/>
    <w:rsid w:val="00127476"/>
    <w:rsid w:val="00130498"/>
    <w:rsid w:val="0013084A"/>
    <w:rsid w:val="00131B37"/>
    <w:rsid w:val="00131F73"/>
    <w:rsid w:val="00132A04"/>
    <w:rsid w:val="00132B82"/>
    <w:rsid w:val="00133144"/>
    <w:rsid w:val="0013316D"/>
    <w:rsid w:val="00134D44"/>
    <w:rsid w:val="00135CDA"/>
    <w:rsid w:val="00137A2E"/>
    <w:rsid w:val="00141363"/>
    <w:rsid w:val="001419BB"/>
    <w:rsid w:val="0014385B"/>
    <w:rsid w:val="00143CEE"/>
    <w:rsid w:val="0014427F"/>
    <w:rsid w:val="00146CE3"/>
    <w:rsid w:val="00146DC6"/>
    <w:rsid w:val="001471D8"/>
    <w:rsid w:val="00147E1F"/>
    <w:rsid w:val="00150F6B"/>
    <w:rsid w:val="0015113E"/>
    <w:rsid w:val="001515E8"/>
    <w:rsid w:val="00152C84"/>
    <w:rsid w:val="00152FBA"/>
    <w:rsid w:val="001530B3"/>
    <w:rsid w:val="001535AB"/>
    <w:rsid w:val="001535F7"/>
    <w:rsid w:val="00154FDD"/>
    <w:rsid w:val="00155704"/>
    <w:rsid w:val="00155F38"/>
    <w:rsid w:val="001561ED"/>
    <w:rsid w:val="001563F4"/>
    <w:rsid w:val="0015789E"/>
    <w:rsid w:val="00160CF3"/>
    <w:rsid w:val="001629E3"/>
    <w:rsid w:val="00164418"/>
    <w:rsid w:val="00164792"/>
    <w:rsid w:val="0016551A"/>
    <w:rsid w:val="00165E58"/>
    <w:rsid w:val="00165F48"/>
    <w:rsid w:val="0016648B"/>
    <w:rsid w:val="00166605"/>
    <w:rsid w:val="00170B3B"/>
    <w:rsid w:val="001713C9"/>
    <w:rsid w:val="00171DD6"/>
    <w:rsid w:val="00172532"/>
    <w:rsid w:val="00172D1F"/>
    <w:rsid w:val="0017375E"/>
    <w:rsid w:val="001760BC"/>
    <w:rsid w:val="001761EA"/>
    <w:rsid w:val="0017633B"/>
    <w:rsid w:val="00176F7E"/>
    <w:rsid w:val="00177234"/>
    <w:rsid w:val="00177757"/>
    <w:rsid w:val="001804C0"/>
    <w:rsid w:val="0018078A"/>
    <w:rsid w:val="001827FC"/>
    <w:rsid w:val="001833A4"/>
    <w:rsid w:val="0018344E"/>
    <w:rsid w:val="0018354E"/>
    <w:rsid w:val="00184612"/>
    <w:rsid w:val="0018531C"/>
    <w:rsid w:val="00185754"/>
    <w:rsid w:val="001864AB"/>
    <w:rsid w:val="00190903"/>
    <w:rsid w:val="00190E8A"/>
    <w:rsid w:val="0019129C"/>
    <w:rsid w:val="001917B2"/>
    <w:rsid w:val="0019194D"/>
    <w:rsid w:val="001946AE"/>
    <w:rsid w:val="001947A0"/>
    <w:rsid w:val="00194FA0"/>
    <w:rsid w:val="00195A9B"/>
    <w:rsid w:val="00197808"/>
    <w:rsid w:val="001A1D5C"/>
    <w:rsid w:val="001A200D"/>
    <w:rsid w:val="001A3046"/>
    <w:rsid w:val="001A34EA"/>
    <w:rsid w:val="001A53B8"/>
    <w:rsid w:val="001A5625"/>
    <w:rsid w:val="001A57F3"/>
    <w:rsid w:val="001A666B"/>
    <w:rsid w:val="001A72E3"/>
    <w:rsid w:val="001A7CDF"/>
    <w:rsid w:val="001B06D9"/>
    <w:rsid w:val="001B2161"/>
    <w:rsid w:val="001B257F"/>
    <w:rsid w:val="001B282C"/>
    <w:rsid w:val="001B3BA4"/>
    <w:rsid w:val="001B4F07"/>
    <w:rsid w:val="001B63B5"/>
    <w:rsid w:val="001B669F"/>
    <w:rsid w:val="001B6A57"/>
    <w:rsid w:val="001B78BB"/>
    <w:rsid w:val="001B793E"/>
    <w:rsid w:val="001B7AFD"/>
    <w:rsid w:val="001C2320"/>
    <w:rsid w:val="001C2620"/>
    <w:rsid w:val="001C3C50"/>
    <w:rsid w:val="001C3F58"/>
    <w:rsid w:val="001C4372"/>
    <w:rsid w:val="001C5DB0"/>
    <w:rsid w:val="001C71ED"/>
    <w:rsid w:val="001D03C0"/>
    <w:rsid w:val="001D08E5"/>
    <w:rsid w:val="001D0957"/>
    <w:rsid w:val="001D3C89"/>
    <w:rsid w:val="001D4172"/>
    <w:rsid w:val="001D4392"/>
    <w:rsid w:val="001D4A78"/>
    <w:rsid w:val="001D57D7"/>
    <w:rsid w:val="001D67A5"/>
    <w:rsid w:val="001D6DD9"/>
    <w:rsid w:val="001D789E"/>
    <w:rsid w:val="001D7F6E"/>
    <w:rsid w:val="001E06B0"/>
    <w:rsid w:val="001E14B1"/>
    <w:rsid w:val="001E21C8"/>
    <w:rsid w:val="001E2ADE"/>
    <w:rsid w:val="001E4958"/>
    <w:rsid w:val="001E58DE"/>
    <w:rsid w:val="001E703C"/>
    <w:rsid w:val="001E789D"/>
    <w:rsid w:val="001F13C6"/>
    <w:rsid w:val="001F162C"/>
    <w:rsid w:val="001F2A96"/>
    <w:rsid w:val="001F2D67"/>
    <w:rsid w:val="001F3019"/>
    <w:rsid w:val="001F38CB"/>
    <w:rsid w:val="001F481B"/>
    <w:rsid w:val="001F4DEB"/>
    <w:rsid w:val="001F4DF4"/>
    <w:rsid w:val="001F5016"/>
    <w:rsid w:val="001F560A"/>
    <w:rsid w:val="001F5E72"/>
    <w:rsid w:val="001F6689"/>
    <w:rsid w:val="001F723C"/>
    <w:rsid w:val="001F783E"/>
    <w:rsid w:val="00201C03"/>
    <w:rsid w:val="002023B6"/>
    <w:rsid w:val="00205781"/>
    <w:rsid w:val="002059D3"/>
    <w:rsid w:val="00206498"/>
    <w:rsid w:val="00207A3E"/>
    <w:rsid w:val="00210D30"/>
    <w:rsid w:val="002119E4"/>
    <w:rsid w:val="002126AE"/>
    <w:rsid w:val="00212B48"/>
    <w:rsid w:val="00213B8C"/>
    <w:rsid w:val="002158FA"/>
    <w:rsid w:val="0021693C"/>
    <w:rsid w:val="00216AA9"/>
    <w:rsid w:val="00220981"/>
    <w:rsid w:val="00221F4A"/>
    <w:rsid w:val="00221FC3"/>
    <w:rsid w:val="00223057"/>
    <w:rsid w:val="0022398D"/>
    <w:rsid w:val="002249A4"/>
    <w:rsid w:val="002249F8"/>
    <w:rsid w:val="00225519"/>
    <w:rsid w:val="0022709E"/>
    <w:rsid w:val="00227154"/>
    <w:rsid w:val="0023056F"/>
    <w:rsid w:val="0023073A"/>
    <w:rsid w:val="00230CD0"/>
    <w:rsid w:val="00231DD0"/>
    <w:rsid w:val="00232D88"/>
    <w:rsid w:val="002334B0"/>
    <w:rsid w:val="0023496F"/>
    <w:rsid w:val="00235165"/>
    <w:rsid w:val="002353E0"/>
    <w:rsid w:val="002356E8"/>
    <w:rsid w:val="00235705"/>
    <w:rsid w:val="00235F0E"/>
    <w:rsid w:val="00236B3B"/>
    <w:rsid w:val="00236BE0"/>
    <w:rsid w:val="0023703E"/>
    <w:rsid w:val="0023703F"/>
    <w:rsid w:val="00237D4A"/>
    <w:rsid w:val="00237F28"/>
    <w:rsid w:val="00240CAD"/>
    <w:rsid w:val="00240D14"/>
    <w:rsid w:val="002416B2"/>
    <w:rsid w:val="00241D32"/>
    <w:rsid w:val="00243492"/>
    <w:rsid w:val="00250B57"/>
    <w:rsid w:val="00251CD8"/>
    <w:rsid w:val="002527ED"/>
    <w:rsid w:val="002544BE"/>
    <w:rsid w:val="00256BCD"/>
    <w:rsid w:val="00257534"/>
    <w:rsid w:val="002601A2"/>
    <w:rsid w:val="00260F40"/>
    <w:rsid w:val="00262FA7"/>
    <w:rsid w:val="00265100"/>
    <w:rsid w:val="002665B4"/>
    <w:rsid w:val="002674D5"/>
    <w:rsid w:val="0026753E"/>
    <w:rsid w:val="0027136D"/>
    <w:rsid w:val="00271DBA"/>
    <w:rsid w:val="00271F96"/>
    <w:rsid w:val="00271F9D"/>
    <w:rsid w:val="00274306"/>
    <w:rsid w:val="00274C05"/>
    <w:rsid w:val="00275B4F"/>
    <w:rsid w:val="00276246"/>
    <w:rsid w:val="00276C16"/>
    <w:rsid w:val="002801E0"/>
    <w:rsid w:val="00281489"/>
    <w:rsid w:val="002822F6"/>
    <w:rsid w:val="00283290"/>
    <w:rsid w:val="00283440"/>
    <w:rsid w:val="00283486"/>
    <w:rsid w:val="002837ED"/>
    <w:rsid w:val="00283B42"/>
    <w:rsid w:val="00284DEF"/>
    <w:rsid w:val="00285D9B"/>
    <w:rsid w:val="00285E97"/>
    <w:rsid w:val="00286666"/>
    <w:rsid w:val="002871E0"/>
    <w:rsid w:val="00290224"/>
    <w:rsid w:val="00291DD2"/>
    <w:rsid w:val="002923CD"/>
    <w:rsid w:val="00292D87"/>
    <w:rsid w:val="00293671"/>
    <w:rsid w:val="0029701F"/>
    <w:rsid w:val="00297554"/>
    <w:rsid w:val="002A0238"/>
    <w:rsid w:val="002A045F"/>
    <w:rsid w:val="002A06AE"/>
    <w:rsid w:val="002A0985"/>
    <w:rsid w:val="002A1B12"/>
    <w:rsid w:val="002A1FD6"/>
    <w:rsid w:val="002A2325"/>
    <w:rsid w:val="002A291E"/>
    <w:rsid w:val="002A30E6"/>
    <w:rsid w:val="002A3385"/>
    <w:rsid w:val="002A35BA"/>
    <w:rsid w:val="002A3A9A"/>
    <w:rsid w:val="002A43DA"/>
    <w:rsid w:val="002A4E7D"/>
    <w:rsid w:val="002A535C"/>
    <w:rsid w:val="002A5718"/>
    <w:rsid w:val="002A5CE7"/>
    <w:rsid w:val="002A5EC9"/>
    <w:rsid w:val="002A7203"/>
    <w:rsid w:val="002A7A55"/>
    <w:rsid w:val="002A7B87"/>
    <w:rsid w:val="002A7E17"/>
    <w:rsid w:val="002B140B"/>
    <w:rsid w:val="002B1460"/>
    <w:rsid w:val="002B2071"/>
    <w:rsid w:val="002B2754"/>
    <w:rsid w:val="002B2AB2"/>
    <w:rsid w:val="002B3854"/>
    <w:rsid w:val="002B397C"/>
    <w:rsid w:val="002B3C11"/>
    <w:rsid w:val="002B3D92"/>
    <w:rsid w:val="002B4635"/>
    <w:rsid w:val="002B6A27"/>
    <w:rsid w:val="002B6AD9"/>
    <w:rsid w:val="002B7140"/>
    <w:rsid w:val="002C4588"/>
    <w:rsid w:val="002C499A"/>
    <w:rsid w:val="002C59BC"/>
    <w:rsid w:val="002C5C2F"/>
    <w:rsid w:val="002C6629"/>
    <w:rsid w:val="002C7785"/>
    <w:rsid w:val="002C785F"/>
    <w:rsid w:val="002C7A71"/>
    <w:rsid w:val="002D16E1"/>
    <w:rsid w:val="002D1CE7"/>
    <w:rsid w:val="002D208C"/>
    <w:rsid w:val="002D3339"/>
    <w:rsid w:val="002D37D2"/>
    <w:rsid w:val="002D689C"/>
    <w:rsid w:val="002D6E2E"/>
    <w:rsid w:val="002D6FEA"/>
    <w:rsid w:val="002E097F"/>
    <w:rsid w:val="002E1CD8"/>
    <w:rsid w:val="002E292A"/>
    <w:rsid w:val="002E3EF1"/>
    <w:rsid w:val="002E53A1"/>
    <w:rsid w:val="002E7886"/>
    <w:rsid w:val="002E7DCF"/>
    <w:rsid w:val="002E7F39"/>
    <w:rsid w:val="002F28B7"/>
    <w:rsid w:val="002F31A8"/>
    <w:rsid w:val="002F33C9"/>
    <w:rsid w:val="002F4871"/>
    <w:rsid w:val="002F4C73"/>
    <w:rsid w:val="002F5539"/>
    <w:rsid w:val="002F5745"/>
    <w:rsid w:val="002F62BD"/>
    <w:rsid w:val="002F6C03"/>
    <w:rsid w:val="002F7C00"/>
    <w:rsid w:val="00300009"/>
    <w:rsid w:val="003018EC"/>
    <w:rsid w:val="00302445"/>
    <w:rsid w:val="00302C06"/>
    <w:rsid w:val="00302E0C"/>
    <w:rsid w:val="00303B07"/>
    <w:rsid w:val="00303C54"/>
    <w:rsid w:val="003046C4"/>
    <w:rsid w:val="00305F59"/>
    <w:rsid w:val="003064C7"/>
    <w:rsid w:val="00306920"/>
    <w:rsid w:val="00307993"/>
    <w:rsid w:val="00311DEA"/>
    <w:rsid w:val="00312538"/>
    <w:rsid w:val="00312C33"/>
    <w:rsid w:val="00313E68"/>
    <w:rsid w:val="00314957"/>
    <w:rsid w:val="00316292"/>
    <w:rsid w:val="0031711A"/>
    <w:rsid w:val="003178AC"/>
    <w:rsid w:val="0032047B"/>
    <w:rsid w:val="00320558"/>
    <w:rsid w:val="00320F62"/>
    <w:rsid w:val="00321105"/>
    <w:rsid w:val="003219F5"/>
    <w:rsid w:val="00322369"/>
    <w:rsid w:val="0032489C"/>
    <w:rsid w:val="00325C53"/>
    <w:rsid w:val="00326FDF"/>
    <w:rsid w:val="003301EE"/>
    <w:rsid w:val="003303E5"/>
    <w:rsid w:val="00330B22"/>
    <w:rsid w:val="0033102B"/>
    <w:rsid w:val="003312E3"/>
    <w:rsid w:val="003319CB"/>
    <w:rsid w:val="00331C8F"/>
    <w:rsid w:val="003323DC"/>
    <w:rsid w:val="00332AF0"/>
    <w:rsid w:val="00333302"/>
    <w:rsid w:val="003335A1"/>
    <w:rsid w:val="00333779"/>
    <w:rsid w:val="00333AA9"/>
    <w:rsid w:val="00333D40"/>
    <w:rsid w:val="00334C41"/>
    <w:rsid w:val="0033636E"/>
    <w:rsid w:val="00336AE3"/>
    <w:rsid w:val="00336B21"/>
    <w:rsid w:val="00341046"/>
    <w:rsid w:val="00341CF6"/>
    <w:rsid w:val="00342149"/>
    <w:rsid w:val="003427D2"/>
    <w:rsid w:val="00343470"/>
    <w:rsid w:val="0034410B"/>
    <w:rsid w:val="003458C2"/>
    <w:rsid w:val="003464F4"/>
    <w:rsid w:val="00346EFB"/>
    <w:rsid w:val="00347E6E"/>
    <w:rsid w:val="00350B5B"/>
    <w:rsid w:val="00350C26"/>
    <w:rsid w:val="0035162A"/>
    <w:rsid w:val="00351BF6"/>
    <w:rsid w:val="00352519"/>
    <w:rsid w:val="00352724"/>
    <w:rsid w:val="0035458C"/>
    <w:rsid w:val="00354B06"/>
    <w:rsid w:val="003550D8"/>
    <w:rsid w:val="00355B36"/>
    <w:rsid w:val="003570E2"/>
    <w:rsid w:val="00357DE3"/>
    <w:rsid w:val="00360584"/>
    <w:rsid w:val="0036059A"/>
    <w:rsid w:val="0036137C"/>
    <w:rsid w:val="00361961"/>
    <w:rsid w:val="003658E6"/>
    <w:rsid w:val="00366BD8"/>
    <w:rsid w:val="00366F97"/>
    <w:rsid w:val="00367278"/>
    <w:rsid w:val="00370C5E"/>
    <w:rsid w:val="00370DCC"/>
    <w:rsid w:val="00371ECE"/>
    <w:rsid w:val="00372D77"/>
    <w:rsid w:val="003739C5"/>
    <w:rsid w:val="0037402D"/>
    <w:rsid w:val="00376224"/>
    <w:rsid w:val="00376825"/>
    <w:rsid w:val="00376AD1"/>
    <w:rsid w:val="003778FA"/>
    <w:rsid w:val="00377F62"/>
    <w:rsid w:val="003808E7"/>
    <w:rsid w:val="00381EC2"/>
    <w:rsid w:val="00383888"/>
    <w:rsid w:val="00383B93"/>
    <w:rsid w:val="00384B0C"/>
    <w:rsid w:val="00385AB5"/>
    <w:rsid w:val="003860D7"/>
    <w:rsid w:val="0038685F"/>
    <w:rsid w:val="00386ABF"/>
    <w:rsid w:val="0038773B"/>
    <w:rsid w:val="0038785F"/>
    <w:rsid w:val="00387F03"/>
    <w:rsid w:val="003902E8"/>
    <w:rsid w:val="0039147C"/>
    <w:rsid w:val="00395AB2"/>
    <w:rsid w:val="00396AB7"/>
    <w:rsid w:val="003A06C6"/>
    <w:rsid w:val="003A0BF8"/>
    <w:rsid w:val="003A1CE1"/>
    <w:rsid w:val="003A2211"/>
    <w:rsid w:val="003A2B8F"/>
    <w:rsid w:val="003A3947"/>
    <w:rsid w:val="003A3E3C"/>
    <w:rsid w:val="003A45CA"/>
    <w:rsid w:val="003A52AD"/>
    <w:rsid w:val="003A5D8F"/>
    <w:rsid w:val="003A687A"/>
    <w:rsid w:val="003A6DEB"/>
    <w:rsid w:val="003A6F1A"/>
    <w:rsid w:val="003B00A9"/>
    <w:rsid w:val="003B292C"/>
    <w:rsid w:val="003B2A7A"/>
    <w:rsid w:val="003B2DE8"/>
    <w:rsid w:val="003B39B1"/>
    <w:rsid w:val="003B439C"/>
    <w:rsid w:val="003B4437"/>
    <w:rsid w:val="003B4796"/>
    <w:rsid w:val="003B5D47"/>
    <w:rsid w:val="003B6F82"/>
    <w:rsid w:val="003B736A"/>
    <w:rsid w:val="003B7CD9"/>
    <w:rsid w:val="003C0204"/>
    <w:rsid w:val="003C358F"/>
    <w:rsid w:val="003C38F3"/>
    <w:rsid w:val="003D0A4C"/>
    <w:rsid w:val="003D12C7"/>
    <w:rsid w:val="003D35F4"/>
    <w:rsid w:val="003D3CA2"/>
    <w:rsid w:val="003D6441"/>
    <w:rsid w:val="003D6E70"/>
    <w:rsid w:val="003E1993"/>
    <w:rsid w:val="003E2A9E"/>
    <w:rsid w:val="003E31B8"/>
    <w:rsid w:val="003E3DD2"/>
    <w:rsid w:val="003E3E65"/>
    <w:rsid w:val="003E5352"/>
    <w:rsid w:val="003E6121"/>
    <w:rsid w:val="003E66CE"/>
    <w:rsid w:val="003E77A3"/>
    <w:rsid w:val="003E783F"/>
    <w:rsid w:val="003E7883"/>
    <w:rsid w:val="003F0EFE"/>
    <w:rsid w:val="003F1BFB"/>
    <w:rsid w:val="003F2166"/>
    <w:rsid w:val="003F23C2"/>
    <w:rsid w:val="003F2FB0"/>
    <w:rsid w:val="003F30DC"/>
    <w:rsid w:val="003F3925"/>
    <w:rsid w:val="003F3939"/>
    <w:rsid w:val="003F41A9"/>
    <w:rsid w:val="003F4E72"/>
    <w:rsid w:val="003F54DA"/>
    <w:rsid w:val="00401AC2"/>
    <w:rsid w:val="004037D3"/>
    <w:rsid w:val="00403D56"/>
    <w:rsid w:val="00405A0A"/>
    <w:rsid w:val="004068E8"/>
    <w:rsid w:val="0040769E"/>
    <w:rsid w:val="00407BEF"/>
    <w:rsid w:val="00407F45"/>
    <w:rsid w:val="00410833"/>
    <w:rsid w:val="00411103"/>
    <w:rsid w:val="00411820"/>
    <w:rsid w:val="00411AE1"/>
    <w:rsid w:val="004126AD"/>
    <w:rsid w:val="00412FAE"/>
    <w:rsid w:val="00413344"/>
    <w:rsid w:val="00413467"/>
    <w:rsid w:val="004134DE"/>
    <w:rsid w:val="0041356F"/>
    <w:rsid w:val="00413C67"/>
    <w:rsid w:val="0041482A"/>
    <w:rsid w:val="00415528"/>
    <w:rsid w:val="00417C5B"/>
    <w:rsid w:val="00422952"/>
    <w:rsid w:val="00422CA0"/>
    <w:rsid w:val="00424312"/>
    <w:rsid w:val="00424B30"/>
    <w:rsid w:val="0042513F"/>
    <w:rsid w:val="00425275"/>
    <w:rsid w:val="00425D71"/>
    <w:rsid w:val="00426E6B"/>
    <w:rsid w:val="00427DFF"/>
    <w:rsid w:val="004304A0"/>
    <w:rsid w:val="00430EF3"/>
    <w:rsid w:val="00431B0B"/>
    <w:rsid w:val="004325CA"/>
    <w:rsid w:val="00432FD7"/>
    <w:rsid w:val="0043325A"/>
    <w:rsid w:val="004332BC"/>
    <w:rsid w:val="00433E22"/>
    <w:rsid w:val="00434CA7"/>
    <w:rsid w:val="004369B9"/>
    <w:rsid w:val="00436D68"/>
    <w:rsid w:val="004400CD"/>
    <w:rsid w:val="004415FE"/>
    <w:rsid w:val="00441AC9"/>
    <w:rsid w:val="0044289F"/>
    <w:rsid w:val="004429C6"/>
    <w:rsid w:val="00442A9F"/>
    <w:rsid w:val="00444A41"/>
    <w:rsid w:val="00444ECA"/>
    <w:rsid w:val="0044514B"/>
    <w:rsid w:val="004455D7"/>
    <w:rsid w:val="00446C18"/>
    <w:rsid w:val="00446DF1"/>
    <w:rsid w:val="00446E22"/>
    <w:rsid w:val="00446ECC"/>
    <w:rsid w:val="00446F6A"/>
    <w:rsid w:val="00446F99"/>
    <w:rsid w:val="00447128"/>
    <w:rsid w:val="0044788B"/>
    <w:rsid w:val="00447D1F"/>
    <w:rsid w:val="00450484"/>
    <w:rsid w:val="0045330C"/>
    <w:rsid w:val="004539E0"/>
    <w:rsid w:val="00457C92"/>
    <w:rsid w:val="00460363"/>
    <w:rsid w:val="0046066C"/>
    <w:rsid w:val="00461D2D"/>
    <w:rsid w:val="00461D2E"/>
    <w:rsid w:val="00462A5D"/>
    <w:rsid w:val="00463013"/>
    <w:rsid w:val="00463342"/>
    <w:rsid w:val="00465C51"/>
    <w:rsid w:val="00466D63"/>
    <w:rsid w:val="00466E73"/>
    <w:rsid w:val="004675BE"/>
    <w:rsid w:val="0046779D"/>
    <w:rsid w:val="00467DDC"/>
    <w:rsid w:val="00467F26"/>
    <w:rsid w:val="00473D36"/>
    <w:rsid w:val="00475FE4"/>
    <w:rsid w:val="0047647D"/>
    <w:rsid w:val="004768F6"/>
    <w:rsid w:val="00480073"/>
    <w:rsid w:val="00480A1E"/>
    <w:rsid w:val="00482D2D"/>
    <w:rsid w:val="004834B0"/>
    <w:rsid w:val="00483E95"/>
    <w:rsid w:val="00483FC2"/>
    <w:rsid w:val="00485E67"/>
    <w:rsid w:val="004871DA"/>
    <w:rsid w:val="004873AF"/>
    <w:rsid w:val="00487577"/>
    <w:rsid w:val="004907BA"/>
    <w:rsid w:val="004915C0"/>
    <w:rsid w:val="00491D94"/>
    <w:rsid w:val="00491D95"/>
    <w:rsid w:val="00491F09"/>
    <w:rsid w:val="00492495"/>
    <w:rsid w:val="004929B4"/>
    <w:rsid w:val="00493370"/>
    <w:rsid w:val="00494442"/>
    <w:rsid w:val="0049484A"/>
    <w:rsid w:val="0049569A"/>
    <w:rsid w:val="00496496"/>
    <w:rsid w:val="00496898"/>
    <w:rsid w:val="004969B7"/>
    <w:rsid w:val="00496DFB"/>
    <w:rsid w:val="00496FEB"/>
    <w:rsid w:val="00497AF5"/>
    <w:rsid w:val="004A103D"/>
    <w:rsid w:val="004A190A"/>
    <w:rsid w:val="004A20FF"/>
    <w:rsid w:val="004A229A"/>
    <w:rsid w:val="004A2AF3"/>
    <w:rsid w:val="004A45B4"/>
    <w:rsid w:val="004A6FA0"/>
    <w:rsid w:val="004A7CFD"/>
    <w:rsid w:val="004A7FC2"/>
    <w:rsid w:val="004B0D33"/>
    <w:rsid w:val="004B2C0F"/>
    <w:rsid w:val="004B341A"/>
    <w:rsid w:val="004B347A"/>
    <w:rsid w:val="004B3A4A"/>
    <w:rsid w:val="004B3D8E"/>
    <w:rsid w:val="004B3F94"/>
    <w:rsid w:val="004B4235"/>
    <w:rsid w:val="004B42CE"/>
    <w:rsid w:val="004B4684"/>
    <w:rsid w:val="004B6677"/>
    <w:rsid w:val="004B6EDD"/>
    <w:rsid w:val="004B6FF0"/>
    <w:rsid w:val="004B7E41"/>
    <w:rsid w:val="004C0D54"/>
    <w:rsid w:val="004C1535"/>
    <w:rsid w:val="004C1A1E"/>
    <w:rsid w:val="004C2DCC"/>
    <w:rsid w:val="004C30BD"/>
    <w:rsid w:val="004C30DA"/>
    <w:rsid w:val="004C3B8B"/>
    <w:rsid w:val="004C3F25"/>
    <w:rsid w:val="004C40E1"/>
    <w:rsid w:val="004C5C4C"/>
    <w:rsid w:val="004C7820"/>
    <w:rsid w:val="004C783A"/>
    <w:rsid w:val="004D109F"/>
    <w:rsid w:val="004D1357"/>
    <w:rsid w:val="004D1417"/>
    <w:rsid w:val="004D15DD"/>
    <w:rsid w:val="004D1FE9"/>
    <w:rsid w:val="004D281F"/>
    <w:rsid w:val="004D3415"/>
    <w:rsid w:val="004D36A9"/>
    <w:rsid w:val="004D40C2"/>
    <w:rsid w:val="004D4434"/>
    <w:rsid w:val="004D4476"/>
    <w:rsid w:val="004D4C89"/>
    <w:rsid w:val="004D4CBF"/>
    <w:rsid w:val="004D60AE"/>
    <w:rsid w:val="004D6BA9"/>
    <w:rsid w:val="004D7762"/>
    <w:rsid w:val="004E1108"/>
    <w:rsid w:val="004E32C8"/>
    <w:rsid w:val="004E6030"/>
    <w:rsid w:val="004E6AD2"/>
    <w:rsid w:val="004F012D"/>
    <w:rsid w:val="004F1ABA"/>
    <w:rsid w:val="004F3BE9"/>
    <w:rsid w:val="004F40CE"/>
    <w:rsid w:val="004F56C5"/>
    <w:rsid w:val="004F64C0"/>
    <w:rsid w:val="004F65EB"/>
    <w:rsid w:val="004F6787"/>
    <w:rsid w:val="004F6A13"/>
    <w:rsid w:val="004F7581"/>
    <w:rsid w:val="004F7B7C"/>
    <w:rsid w:val="004F7FF0"/>
    <w:rsid w:val="00501378"/>
    <w:rsid w:val="005025AF"/>
    <w:rsid w:val="00503027"/>
    <w:rsid w:val="0050317D"/>
    <w:rsid w:val="00503F8A"/>
    <w:rsid w:val="005047C6"/>
    <w:rsid w:val="00506072"/>
    <w:rsid w:val="00506A86"/>
    <w:rsid w:val="00506C54"/>
    <w:rsid w:val="00507361"/>
    <w:rsid w:val="00507A22"/>
    <w:rsid w:val="005120BF"/>
    <w:rsid w:val="005123B7"/>
    <w:rsid w:val="005133ED"/>
    <w:rsid w:val="005139F9"/>
    <w:rsid w:val="00513B1E"/>
    <w:rsid w:val="00513B7B"/>
    <w:rsid w:val="00514297"/>
    <w:rsid w:val="005145D1"/>
    <w:rsid w:val="005145F1"/>
    <w:rsid w:val="00514EBC"/>
    <w:rsid w:val="005154BF"/>
    <w:rsid w:val="00515E17"/>
    <w:rsid w:val="005175F3"/>
    <w:rsid w:val="00520387"/>
    <w:rsid w:val="005203F2"/>
    <w:rsid w:val="005214F8"/>
    <w:rsid w:val="005230F5"/>
    <w:rsid w:val="00523507"/>
    <w:rsid w:val="00523832"/>
    <w:rsid w:val="00523FF2"/>
    <w:rsid w:val="0052471F"/>
    <w:rsid w:val="005254CA"/>
    <w:rsid w:val="00525810"/>
    <w:rsid w:val="005258A5"/>
    <w:rsid w:val="00525B00"/>
    <w:rsid w:val="00525DBB"/>
    <w:rsid w:val="00525DD1"/>
    <w:rsid w:val="00526CC6"/>
    <w:rsid w:val="00527207"/>
    <w:rsid w:val="005309CC"/>
    <w:rsid w:val="00530CD7"/>
    <w:rsid w:val="00531004"/>
    <w:rsid w:val="00531006"/>
    <w:rsid w:val="00531C54"/>
    <w:rsid w:val="00531DE0"/>
    <w:rsid w:val="00533CE7"/>
    <w:rsid w:val="005343FF"/>
    <w:rsid w:val="00534A3E"/>
    <w:rsid w:val="00534BFA"/>
    <w:rsid w:val="00535084"/>
    <w:rsid w:val="0053553F"/>
    <w:rsid w:val="005355A3"/>
    <w:rsid w:val="0054098E"/>
    <w:rsid w:val="00541E5B"/>
    <w:rsid w:val="00542C6C"/>
    <w:rsid w:val="00543C8A"/>
    <w:rsid w:val="0054466F"/>
    <w:rsid w:val="0054620D"/>
    <w:rsid w:val="0054710B"/>
    <w:rsid w:val="00547C16"/>
    <w:rsid w:val="00550082"/>
    <w:rsid w:val="0055050D"/>
    <w:rsid w:val="00550FC2"/>
    <w:rsid w:val="005523CF"/>
    <w:rsid w:val="00552764"/>
    <w:rsid w:val="00552806"/>
    <w:rsid w:val="0055379F"/>
    <w:rsid w:val="005551F7"/>
    <w:rsid w:val="00556A2E"/>
    <w:rsid w:val="00556A9F"/>
    <w:rsid w:val="00556BB4"/>
    <w:rsid w:val="00557818"/>
    <w:rsid w:val="00557DEF"/>
    <w:rsid w:val="005607A7"/>
    <w:rsid w:val="00560CBD"/>
    <w:rsid w:val="0056136E"/>
    <w:rsid w:val="00561580"/>
    <w:rsid w:val="00561C32"/>
    <w:rsid w:val="00563138"/>
    <w:rsid w:val="0056429C"/>
    <w:rsid w:val="0056444B"/>
    <w:rsid w:val="00565618"/>
    <w:rsid w:val="0056590C"/>
    <w:rsid w:val="00565FFC"/>
    <w:rsid w:val="00571927"/>
    <w:rsid w:val="00572078"/>
    <w:rsid w:val="005720EC"/>
    <w:rsid w:val="0057284A"/>
    <w:rsid w:val="00573555"/>
    <w:rsid w:val="00574EA2"/>
    <w:rsid w:val="00576112"/>
    <w:rsid w:val="0057768A"/>
    <w:rsid w:val="0057792D"/>
    <w:rsid w:val="00577B2A"/>
    <w:rsid w:val="00577FDF"/>
    <w:rsid w:val="00580167"/>
    <w:rsid w:val="005811A8"/>
    <w:rsid w:val="00582585"/>
    <w:rsid w:val="00582B55"/>
    <w:rsid w:val="00583015"/>
    <w:rsid w:val="005832C9"/>
    <w:rsid w:val="00583CAF"/>
    <w:rsid w:val="00583F4F"/>
    <w:rsid w:val="0059017A"/>
    <w:rsid w:val="005907C8"/>
    <w:rsid w:val="00590CD5"/>
    <w:rsid w:val="00590F7F"/>
    <w:rsid w:val="00591936"/>
    <w:rsid w:val="00592BC1"/>
    <w:rsid w:val="00595125"/>
    <w:rsid w:val="0059736B"/>
    <w:rsid w:val="00597762"/>
    <w:rsid w:val="00597E79"/>
    <w:rsid w:val="005A0F30"/>
    <w:rsid w:val="005A16B3"/>
    <w:rsid w:val="005A2005"/>
    <w:rsid w:val="005A2B11"/>
    <w:rsid w:val="005A3143"/>
    <w:rsid w:val="005A3A9D"/>
    <w:rsid w:val="005A481B"/>
    <w:rsid w:val="005A56CD"/>
    <w:rsid w:val="005A5C82"/>
    <w:rsid w:val="005A6166"/>
    <w:rsid w:val="005A76C6"/>
    <w:rsid w:val="005A7C0F"/>
    <w:rsid w:val="005B0D73"/>
    <w:rsid w:val="005B1592"/>
    <w:rsid w:val="005B1CF6"/>
    <w:rsid w:val="005B2C46"/>
    <w:rsid w:val="005B47C4"/>
    <w:rsid w:val="005B4B24"/>
    <w:rsid w:val="005B4F54"/>
    <w:rsid w:val="005B68C9"/>
    <w:rsid w:val="005C052C"/>
    <w:rsid w:val="005C0A7C"/>
    <w:rsid w:val="005C0B34"/>
    <w:rsid w:val="005C1929"/>
    <w:rsid w:val="005C313D"/>
    <w:rsid w:val="005C322C"/>
    <w:rsid w:val="005C376B"/>
    <w:rsid w:val="005C4A9E"/>
    <w:rsid w:val="005C51E8"/>
    <w:rsid w:val="005C52BF"/>
    <w:rsid w:val="005C69B1"/>
    <w:rsid w:val="005C6DC3"/>
    <w:rsid w:val="005D146C"/>
    <w:rsid w:val="005D1ADE"/>
    <w:rsid w:val="005D3B4F"/>
    <w:rsid w:val="005D3FB5"/>
    <w:rsid w:val="005D6B3F"/>
    <w:rsid w:val="005D6FD0"/>
    <w:rsid w:val="005E0638"/>
    <w:rsid w:val="005E1172"/>
    <w:rsid w:val="005E17F6"/>
    <w:rsid w:val="005E19A3"/>
    <w:rsid w:val="005E19D1"/>
    <w:rsid w:val="005E29F6"/>
    <w:rsid w:val="005E2A05"/>
    <w:rsid w:val="005E37E3"/>
    <w:rsid w:val="005E3BB8"/>
    <w:rsid w:val="005E4781"/>
    <w:rsid w:val="005E4866"/>
    <w:rsid w:val="005E4AA9"/>
    <w:rsid w:val="005E5257"/>
    <w:rsid w:val="005E572E"/>
    <w:rsid w:val="005E63D6"/>
    <w:rsid w:val="005E71BE"/>
    <w:rsid w:val="005E7927"/>
    <w:rsid w:val="005F0329"/>
    <w:rsid w:val="005F0FD8"/>
    <w:rsid w:val="005F1052"/>
    <w:rsid w:val="005F1429"/>
    <w:rsid w:val="005F24C7"/>
    <w:rsid w:val="005F2721"/>
    <w:rsid w:val="005F32F0"/>
    <w:rsid w:val="005F44A2"/>
    <w:rsid w:val="005F5321"/>
    <w:rsid w:val="005F5BF2"/>
    <w:rsid w:val="005F6334"/>
    <w:rsid w:val="005F6B50"/>
    <w:rsid w:val="005F6B75"/>
    <w:rsid w:val="00600229"/>
    <w:rsid w:val="00600482"/>
    <w:rsid w:val="00601AA6"/>
    <w:rsid w:val="0060202F"/>
    <w:rsid w:val="00602420"/>
    <w:rsid w:val="00602BEA"/>
    <w:rsid w:val="006030F0"/>
    <w:rsid w:val="00605419"/>
    <w:rsid w:val="006067AE"/>
    <w:rsid w:val="006078FC"/>
    <w:rsid w:val="00607F46"/>
    <w:rsid w:val="00610796"/>
    <w:rsid w:val="00610DFD"/>
    <w:rsid w:val="006148A0"/>
    <w:rsid w:val="00614960"/>
    <w:rsid w:val="006151F1"/>
    <w:rsid w:val="00615A31"/>
    <w:rsid w:val="006172FA"/>
    <w:rsid w:val="0061764E"/>
    <w:rsid w:val="00617791"/>
    <w:rsid w:val="00620D55"/>
    <w:rsid w:val="00621948"/>
    <w:rsid w:val="00623FBF"/>
    <w:rsid w:val="006246C6"/>
    <w:rsid w:val="00624885"/>
    <w:rsid w:val="00624A9C"/>
    <w:rsid w:val="00626DE6"/>
    <w:rsid w:val="00630ED1"/>
    <w:rsid w:val="006313D5"/>
    <w:rsid w:val="00631C69"/>
    <w:rsid w:val="006322BE"/>
    <w:rsid w:val="00632AA1"/>
    <w:rsid w:val="0063356F"/>
    <w:rsid w:val="0063375D"/>
    <w:rsid w:val="006344A2"/>
    <w:rsid w:val="00634C28"/>
    <w:rsid w:val="00634D4C"/>
    <w:rsid w:val="00635755"/>
    <w:rsid w:val="00636AE1"/>
    <w:rsid w:val="00640E23"/>
    <w:rsid w:val="006412FD"/>
    <w:rsid w:val="0064176A"/>
    <w:rsid w:val="006424C1"/>
    <w:rsid w:val="006440D9"/>
    <w:rsid w:val="00644ED2"/>
    <w:rsid w:val="006454E3"/>
    <w:rsid w:val="00645F18"/>
    <w:rsid w:val="006475AB"/>
    <w:rsid w:val="006506B9"/>
    <w:rsid w:val="006508F2"/>
    <w:rsid w:val="0065131D"/>
    <w:rsid w:val="006520D8"/>
    <w:rsid w:val="00652FDD"/>
    <w:rsid w:val="00656263"/>
    <w:rsid w:val="00656E6D"/>
    <w:rsid w:val="006603BC"/>
    <w:rsid w:val="0066063B"/>
    <w:rsid w:val="00660665"/>
    <w:rsid w:val="00662E90"/>
    <w:rsid w:val="00663701"/>
    <w:rsid w:val="00665D48"/>
    <w:rsid w:val="006661DA"/>
    <w:rsid w:val="00666ADA"/>
    <w:rsid w:val="00666BDA"/>
    <w:rsid w:val="00666EA2"/>
    <w:rsid w:val="00666F94"/>
    <w:rsid w:val="00667432"/>
    <w:rsid w:val="00667476"/>
    <w:rsid w:val="006679B2"/>
    <w:rsid w:val="00670821"/>
    <w:rsid w:val="006709F6"/>
    <w:rsid w:val="006721BD"/>
    <w:rsid w:val="00674AB6"/>
    <w:rsid w:val="006771EF"/>
    <w:rsid w:val="0067749E"/>
    <w:rsid w:val="0067761F"/>
    <w:rsid w:val="0068065D"/>
    <w:rsid w:val="00680CF0"/>
    <w:rsid w:val="00680FE7"/>
    <w:rsid w:val="0068241F"/>
    <w:rsid w:val="0068264D"/>
    <w:rsid w:val="00683709"/>
    <w:rsid w:val="0068376C"/>
    <w:rsid w:val="00683788"/>
    <w:rsid w:val="006841AF"/>
    <w:rsid w:val="006842E5"/>
    <w:rsid w:val="006849E8"/>
    <w:rsid w:val="00686108"/>
    <w:rsid w:val="00686BE5"/>
    <w:rsid w:val="006872B1"/>
    <w:rsid w:val="00687783"/>
    <w:rsid w:val="00692672"/>
    <w:rsid w:val="00692B23"/>
    <w:rsid w:val="00693D2C"/>
    <w:rsid w:val="00694252"/>
    <w:rsid w:val="0069426B"/>
    <w:rsid w:val="006944CD"/>
    <w:rsid w:val="0069536F"/>
    <w:rsid w:val="006953BD"/>
    <w:rsid w:val="006960C2"/>
    <w:rsid w:val="0069655F"/>
    <w:rsid w:val="006967B1"/>
    <w:rsid w:val="00697476"/>
    <w:rsid w:val="006A0520"/>
    <w:rsid w:val="006A0637"/>
    <w:rsid w:val="006A0755"/>
    <w:rsid w:val="006A0E84"/>
    <w:rsid w:val="006A1340"/>
    <w:rsid w:val="006A1B0B"/>
    <w:rsid w:val="006A1C8F"/>
    <w:rsid w:val="006A5DFE"/>
    <w:rsid w:val="006A6B95"/>
    <w:rsid w:val="006A6BFE"/>
    <w:rsid w:val="006B145D"/>
    <w:rsid w:val="006B228F"/>
    <w:rsid w:val="006B274D"/>
    <w:rsid w:val="006B3762"/>
    <w:rsid w:val="006B40E9"/>
    <w:rsid w:val="006B52CE"/>
    <w:rsid w:val="006B6599"/>
    <w:rsid w:val="006B6DB6"/>
    <w:rsid w:val="006B7297"/>
    <w:rsid w:val="006B7541"/>
    <w:rsid w:val="006B78B1"/>
    <w:rsid w:val="006B7A51"/>
    <w:rsid w:val="006C06D9"/>
    <w:rsid w:val="006C0CDC"/>
    <w:rsid w:val="006C0EFD"/>
    <w:rsid w:val="006C23B2"/>
    <w:rsid w:val="006C43B8"/>
    <w:rsid w:val="006C4AD7"/>
    <w:rsid w:val="006C4B48"/>
    <w:rsid w:val="006C52F7"/>
    <w:rsid w:val="006C540D"/>
    <w:rsid w:val="006C57F9"/>
    <w:rsid w:val="006C5A0C"/>
    <w:rsid w:val="006C61E8"/>
    <w:rsid w:val="006C6B5B"/>
    <w:rsid w:val="006C7A29"/>
    <w:rsid w:val="006D0094"/>
    <w:rsid w:val="006D02B6"/>
    <w:rsid w:val="006D11F6"/>
    <w:rsid w:val="006D2484"/>
    <w:rsid w:val="006D2A3D"/>
    <w:rsid w:val="006D335E"/>
    <w:rsid w:val="006D35C0"/>
    <w:rsid w:val="006D44A1"/>
    <w:rsid w:val="006D5AA1"/>
    <w:rsid w:val="006D704C"/>
    <w:rsid w:val="006D7A0F"/>
    <w:rsid w:val="006E012A"/>
    <w:rsid w:val="006E02F8"/>
    <w:rsid w:val="006E0C14"/>
    <w:rsid w:val="006E17C0"/>
    <w:rsid w:val="006E2A18"/>
    <w:rsid w:val="006E2AAF"/>
    <w:rsid w:val="006E2BD1"/>
    <w:rsid w:val="006E2ED8"/>
    <w:rsid w:val="006E6C9B"/>
    <w:rsid w:val="006E7EC0"/>
    <w:rsid w:val="006F1006"/>
    <w:rsid w:val="006F35CA"/>
    <w:rsid w:val="006F3A9D"/>
    <w:rsid w:val="006F4736"/>
    <w:rsid w:val="006F59C6"/>
    <w:rsid w:val="006F613C"/>
    <w:rsid w:val="006F77CD"/>
    <w:rsid w:val="00701138"/>
    <w:rsid w:val="007011FD"/>
    <w:rsid w:val="0070201A"/>
    <w:rsid w:val="007020F2"/>
    <w:rsid w:val="00702646"/>
    <w:rsid w:val="007033F1"/>
    <w:rsid w:val="00703502"/>
    <w:rsid w:val="00703B14"/>
    <w:rsid w:val="00703D04"/>
    <w:rsid w:val="0070455F"/>
    <w:rsid w:val="00704FBC"/>
    <w:rsid w:val="00704FDC"/>
    <w:rsid w:val="00705123"/>
    <w:rsid w:val="007071B7"/>
    <w:rsid w:val="00707437"/>
    <w:rsid w:val="00712392"/>
    <w:rsid w:val="00713D84"/>
    <w:rsid w:val="007154F7"/>
    <w:rsid w:val="00716191"/>
    <w:rsid w:val="00717198"/>
    <w:rsid w:val="007174FE"/>
    <w:rsid w:val="007175D4"/>
    <w:rsid w:val="0072127E"/>
    <w:rsid w:val="0072176E"/>
    <w:rsid w:val="00722EB5"/>
    <w:rsid w:val="00722EBF"/>
    <w:rsid w:val="007231E4"/>
    <w:rsid w:val="0072389D"/>
    <w:rsid w:val="00727ABE"/>
    <w:rsid w:val="00727EDA"/>
    <w:rsid w:val="00731455"/>
    <w:rsid w:val="007315B1"/>
    <w:rsid w:val="007340B9"/>
    <w:rsid w:val="0073469D"/>
    <w:rsid w:val="0073549B"/>
    <w:rsid w:val="00735CE6"/>
    <w:rsid w:val="00736091"/>
    <w:rsid w:val="007365D0"/>
    <w:rsid w:val="0073711D"/>
    <w:rsid w:val="00737CAD"/>
    <w:rsid w:val="00737CCB"/>
    <w:rsid w:val="007420CC"/>
    <w:rsid w:val="00742D23"/>
    <w:rsid w:val="00743092"/>
    <w:rsid w:val="00743B88"/>
    <w:rsid w:val="00745C42"/>
    <w:rsid w:val="00745DC9"/>
    <w:rsid w:val="00746981"/>
    <w:rsid w:val="00747B97"/>
    <w:rsid w:val="00750411"/>
    <w:rsid w:val="007532A8"/>
    <w:rsid w:val="0075334D"/>
    <w:rsid w:val="007542F9"/>
    <w:rsid w:val="00754E38"/>
    <w:rsid w:val="00755982"/>
    <w:rsid w:val="007559E9"/>
    <w:rsid w:val="00755B67"/>
    <w:rsid w:val="00756858"/>
    <w:rsid w:val="00757052"/>
    <w:rsid w:val="007608DF"/>
    <w:rsid w:val="007613EC"/>
    <w:rsid w:val="0076218A"/>
    <w:rsid w:val="0076237B"/>
    <w:rsid w:val="0076253A"/>
    <w:rsid w:val="0076270F"/>
    <w:rsid w:val="007629FA"/>
    <w:rsid w:val="00762E05"/>
    <w:rsid w:val="007631FC"/>
    <w:rsid w:val="00763365"/>
    <w:rsid w:val="007635E1"/>
    <w:rsid w:val="007637EF"/>
    <w:rsid w:val="00764BF5"/>
    <w:rsid w:val="0076676D"/>
    <w:rsid w:val="00766785"/>
    <w:rsid w:val="00770B77"/>
    <w:rsid w:val="00770D15"/>
    <w:rsid w:val="00771974"/>
    <w:rsid w:val="00772B2E"/>
    <w:rsid w:val="00772EC6"/>
    <w:rsid w:val="007731A6"/>
    <w:rsid w:val="00773FE4"/>
    <w:rsid w:val="007741A1"/>
    <w:rsid w:val="00775205"/>
    <w:rsid w:val="00775EE3"/>
    <w:rsid w:val="00776A0C"/>
    <w:rsid w:val="007777EA"/>
    <w:rsid w:val="00777D31"/>
    <w:rsid w:val="00781379"/>
    <w:rsid w:val="00783B06"/>
    <w:rsid w:val="007852F8"/>
    <w:rsid w:val="00785ED3"/>
    <w:rsid w:val="007860F5"/>
    <w:rsid w:val="00786449"/>
    <w:rsid w:val="007870FC"/>
    <w:rsid w:val="00787FCA"/>
    <w:rsid w:val="00790123"/>
    <w:rsid w:val="0079201B"/>
    <w:rsid w:val="00792AA5"/>
    <w:rsid w:val="00793C7F"/>
    <w:rsid w:val="00793F7E"/>
    <w:rsid w:val="00794235"/>
    <w:rsid w:val="00794C03"/>
    <w:rsid w:val="00795173"/>
    <w:rsid w:val="00795640"/>
    <w:rsid w:val="00795E42"/>
    <w:rsid w:val="007968AA"/>
    <w:rsid w:val="00796F98"/>
    <w:rsid w:val="0079714F"/>
    <w:rsid w:val="007A0815"/>
    <w:rsid w:val="007A2AC4"/>
    <w:rsid w:val="007A34DF"/>
    <w:rsid w:val="007A44A2"/>
    <w:rsid w:val="007A4561"/>
    <w:rsid w:val="007A6230"/>
    <w:rsid w:val="007A7822"/>
    <w:rsid w:val="007A7A60"/>
    <w:rsid w:val="007B033E"/>
    <w:rsid w:val="007B0E0D"/>
    <w:rsid w:val="007B17FE"/>
    <w:rsid w:val="007B2B9A"/>
    <w:rsid w:val="007B35F5"/>
    <w:rsid w:val="007B36A9"/>
    <w:rsid w:val="007B3B91"/>
    <w:rsid w:val="007B3E5C"/>
    <w:rsid w:val="007B5088"/>
    <w:rsid w:val="007B51E5"/>
    <w:rsid w:val="007B5544"/>
    <w:rsid w:val="007B5BC0"/>
    <w:rsid w:val="007B5F25"/>
    <w:rsid w:val="007B63A1"/>
    <w:rsid w:val="007B6AEA"/>
    <w:rsid w:val="007B6CE2"/>
    <w:rsid w:val="007B700A"/>
    <w:rsid w:val="007B7B5C"/>
    <w:rsid w:val="007B7CE6"/>
    <w:rsid w:val="007B7E6D"/>
    <w:rsid w:val="007C120E"/>
    <w:rsid w:val="007C2116"/>
    <w:rsid w:val="007C2291"/>
    <w:rsid w:val="007C30F1"/>
    <w:rsid w:val="007C3F67"/>
    <w:rsid w:val="007C41D2"/>
    <w:rsid w:val="007C52DB"/>
    <w:rsid w:val="007C5CE1"/>
    <w:rsid w:val="007C5EF1"/>
    <w:rsid w:val="007C7661"/>
    <w:rsid w:val="007C7C8B"/>
    <w:rsid w:val="007C7E4B"/>
    <w:rsid w:val="007D0F56"/>
    <w:rsid w:val="007D2025"/>
    <w:rsid w:val="007D2A94"/>
    <w:rsid w:val="007D33EC"/>
    <w:rsid w:val="007D36FF"/>
    <w:rsid w:val="007D3726"/>
    <w:rsid w:val="007D41A1"/>
    <w:rsid w:val="007D4999"/>
    <w:rsid w:val="007D4C63"/>
    <w:rsid w:val="007D5E7C"/>
    <w:rsid w:val="007D64C7"/>
    <w:rsid w:val="007D788C"/>
    <w:rsid w:val="007E016B"/>
    <w:rsid w:val="007E0E95"/>
    <w:rsid w:val="007E19BD"/>
    <w:rsid w:val="007E2BA3"/>
    <w:rsid w:val="007E2D6D"/>
    <w:rsid w:val="007E4423"/>
    <w:rsid w:val="007E4945"/>
    <w:rsid w:val="007E4EEA"/>
    <w:rsid w:val="007E5D20"/>
    <w:rsid w:val="007E61D9"/>
    <w:rsid w:val="007E74C5"/>
    <w:rsid w:val="007F02CC"/>
    <w:rsid w:val="007F02F8"/>
    <w:rsid w:val="007F061D"/>
    <w:rsid w:val="007F1246"/>
    <w:rsid w:val="007F1884"/>
    <w:rsid w:val="007F18EE"/>
    <w:rsid w:val="007F1C94"/>
    <w:rsid w:val="007F3722"/>
    <w:rsid w:val="007F378B"/>
    <w:rsid w:val="007F3CC3"/>
    <w:rsid w:val="007F4061"/>
    <w:rsid w:val="007F6C80"/>
    <w:rsid w:val="00802B63"/>
    <w:rsid w:val="00803C54"/>
    <w:rsid w:val="00803E2B"/>
    <w:rsid w:val="00804E6F"/>
    <w:rsid w:val="00806CFA"/>
    <w:rsid w:val="00807E8B"/>
    <w:rsid w:val="00810896"/>
    <w:rsid w:val="00810ABC"/>
    <w:rsid w:val="008112E3"/>
    <w:rsid w:val="00811E97"/>
    <w:rsid w:val="00811F7C"/>
    <w:rsid w:val="00812548"/>
    <w:rsid w:val="008125FA"/>
    <w:rsid w:val="0081269D"/>
    <w:rsid w:val="00813DFC"/>
    <w:rsid w:val="00814DC1"/>
    <w:rsid w:val="00815910"/>
    <w:rsid w:val="00816146"/>
    <w:rsid w:val="00817CC6"/>
    <w:rsid w:val="00817CE7"/>
    <w:rsid w:val="0082014F"/>
    <w:rsid w:val="00821152"/>
    <w:rsid w:val="00821C7B"/>
    <w:rsid w:val="00822395"/>
    <w:rsid w:val="00823876"/>
    <w:rsid w:val="0082486A"/>
    <w:rsid w:val="00824CDE"/>
    <w:rsid w:val="00824FDA"/>
    <w:rsid w:val="00825BF8"/>
    <w:rsid w:val="00826EF5"/>
    <w:rsid w:val="008270B6"/>
    <w:rsid w:val="00827CAF"/>
    <w:rsid w:val="0083126A"/>
    <w:rsid w:val="00831BEE"/>
    <w:rsid w:val="008331DB"/>
    <w:rsid w:val="00833272"/>
    <w:rsid w:val="00833DC4"/>
    <w:rsid w:val="00834FBA"/>
    <w:rsid w:val="00836FDE"/>
    <w:rsid w:val="00837967"/>
    <w:rsid w:val="00840593"/>
    <w:rsid w:val="008414E4"/>
    <w:rsid w:val="008429CB"/>
    <w:rsid w:val="00843AD6"/>
    <w:rsid w:val="008440F2"/>
    <w:rsid w:val="00844743"/>
    <w:rsid w:val="00844BEF"/>
    <w:rsid w:val="00845096"/>
    <w:rsid w:val="00845AA6"/>
    <w:rsid w:val="00847C8E"/>
    <w:rsid w:val="00851094"/>
    <w:rsid w:val="0085257C"/>
    <w:rsid w:val="008548F4"/>
    <w:rsid w:val="00854E04"/>
    <w:rsid w:val="00856445"/>
    <w:rsid w:val="008575BE"/>
    <w:rsid w:val="00860E91"/>
    <w:rsid w:val="00861228"/>
    <w:rsid w:val="00862544"/>
    <w:rsid w:val="008625FD"/>
    <w:rsid w:val="008630E4"/>
    <w:rsid w:val="008635A1"/>
    <w:rsid w:val="008644FC"/>
    <w:rsid w:val="0086483E"/>
    <w:rsid w:val="00865C13"/>
    <w:rsid w:val="00867748"/>
    <w:rsid w:val="008702F7"/>
    <w:rsid w:val="0087068F"/>
    <w:rsid w:val="00870921"/>
    <w:rsid w:val="00870BF6"/>
    <w:rsid w:val="00870D88"/>
    <w:rsid w:val="00871F57"/>
    <w:rsid w:val="008726B9"/>
    <w:rsid w:val="0087275A"/>
    <w:rsid w:val="00872C5B"/>
    <w:rsid w:val="008733E0"/>
    <w:rsid w:val="008751A5"/>
    <w:rsid w:val="00875D5F"/>
    <w:rsid w:val="00876F13"/>
    <w:rsid w:val="00877C99"/>
    <w:rsid w:val="00877E4C"/>
    <w:rsid w:val="0088115E"/>
    <w:rsid w:val="0088271C"/>
    <w:rsid w:val="00882B82"/>
    <w:rsid w:val="00884D1F"/>
    <w:rsid w:val="00884D97"/>
    <w:rsid w:val="00884E6E"/>
    <w:rsid w:val="00885B31"/>
    <w:rsid w:val="0088663C"/>
    <w:rsid w:val="00887F4B"/>
    <w:rsid w:val="00892D43"/>
    <w:rsid w:val="008930B7"/>
    <w:rsid w:val="008939C5"/>
    <w:rsid w:val="008947B6"/>
    <w:rsid w:val="00894C84"/>
    <w:rsid w:val="00895FFF"/>
    <w:rsid w:val="008976CA"/>
    <w:rsid w:val="008978CA"/>
    <w:rsid w:val="00897AA5"/>
    <w:rsid w:val="00897B94"/>
    <w:rsid w:val="008A07F9"/>
    <w:rsid w:val="008A313C"/>
    <w:rsid w:val="008A36E0"/>
    <w:rsid w:val="008A50DE"/>
    <w:rsid w:val="008A52B2"/>
    <w:rsid w:val="008A6291"/>
    <w:rsid w:val="008A75DB"/>
    <w:rsid w:val="008A7740"/>
    <w:rsid w:val="008A7CDC"/>
    <w:rsid w:val="008B0F84"/>
    <w:rsid w:val="008B116C"/>
    <w:rsid w:val="008B1769"/>
    <w:rsid w:val="008B1BE4"/>
    <w:rsid w:val="008B1FD2"/>
    <w:rsid w:val="008B21E8"/>
    <w:rsid w:val="008B2A9A"/>
    <w:rsid w:val="008B30FF"/>
    <w:rsid w:val="008B3C8C"/>
    <w:rsid w:val="008B3F59"/>
    <w:rsid w:val="008B40B5"/>
    <w:rsid w:val="008B6570"/>
    <w:rsid w:val="008B6691"/>
    <w:rsid w:val="008B6ADB"/>
    <w:rsid w:val="008B7DF1"/>
    <w:rsid w:val="008C0D95"/>
    <w:rsid w:val="008C133C"/>
    <w:rsid w:val="008C1893"/>
    <w:rsid w:val="008C1987"/>
    <w:rsid w:val="008C24EB"/>
    <w:rsid w:val="008C3601"/>
    <w:rsid w:val="008C4033"/>
    <w:rsid w:val="008C5330"/>
    <w:rsid w:val="008C53AD"/>
    <w:rsid w:val="008C5A74"/>
    <w:rsid w:val="008C6ED3"/>
    <w:rsid w:val="008C6F6A"/>
    <w:rsid w:val="008C76C3"/>
    <w:rsid w:val="008C79D4"/>
    <w:rsid w:val="008D190B"/>
    <w:rsid w:val="008D1C5C"/>
    <w:rsid w:val="008D2060"/>
    <w:rsid w:val="008D247A"/>
    <w:rsid w:val="008D2C95"/>
    <w:rsid w:val="008D3410"/>
    <w:rsid w:val="008D34FB"/>
    <w:rsid w:val="008D39D7"/>
    <w:rsid w:val="008D4A71"/>
    <w:rsid w:val="008D4EFF"/>
    <w:rsid w:val="008D5156"/>
    <w:rsid w:val="008D632A"/>
    <w:rsid w:val="008D6F50"/>
    <w:rsid w:val="008D783A"/>
    <w:rsid w:val="008E04A0"/>
    <w:rsid w:val="008E071A"/>
    <w:rsid w:val="008E093D"/>
    <w:rsid w:val="008E1E47"/>
    <w:rsid w:val="008E1F25"/>
    <w:rsid w:val="008E314D"/>
    <w:rsid w:val="008E32E6"/>
    <w:rsid w:val="008E3EA9"/>
    <w:rsid w:val="008E452E"/>
    <w:rsid w:val="008E46F0"/>
    <w:rsid w:val="008E5D6B"/>
    <w:rsid w:val="008E664F"/>
    <w:rsid w:val="008E7552"/>
    <w:rsid w:val="008E7913"/>
    <w:rsid w:val="008F0B8C"/>
    <w:rsid w:val="008F1F1E"/>
    <w:rsid w:val="008F5111"/>
    <w:rsid w:val="008F56F8"/>
    <w:rsid w:val="008F711A"/>
    <w:rsid w:val="009007DE"/>
    <w:rsid w:val="0090086B"/>
    <w:rsid w:val="00901C7F"/>
    <w:rsid w:val="00902D50"/>
    <w:rsid w:val="0090440B"/>
    <w:rsid w:val="009049EE"/>
    <w:rsid w:val="00904A56"/>
    <w:rsid w:val="009055FC"/>
    <w:rsid w:val="009062EE"/>
    <w:rsid w:val="009067D4"/>
    <w:rsid w:val="00906840"/>
    <w:rsid w:val="009071F8"/>
    <w:rsid w:val="00907EE8"/>
    <w:rsid w:val="00910844"/>
    <w:rsid w:val="009121BA"/>
    <w:rsid w:val="00913AB4"/>
    <w:rsid w:val="00913DA2"/>
    <w:rsid w:val="00913E44"/>
    <w:rsid w:val="009146D1"/>
    <w:rsid w:val="00914A42"/>
    <w:rsid w:val="00914CEB"/>
    <w:rsid w:val="009152A0"/>
    <w:rsid w:val="009153DD"/>
    <w:rsid w:val="00915926"/>
    <w:rsid w:val="00915964"/>
    <w:rsid w:val="0091656D"/>
    <w:rsid w:val="00920EBC"/>
    <w:rsid w:val="00925CE2"/>
    <w:rsid w:val="0092601E"/>
    <w:rsid w:val="00926086"/>
    <w:rsid w:val="009279E0"/>
    <w:rsid w:val="00930632"/>
    <w:rsid w:val="0093070E"/>
    <w:rsid w:val="0093108B"/>
    <w:rsid w:val="00931505"/>
    <w:rsid w:val="00931901"/>
    <w:rsid w:val="00931D86"/>
    <w:rsid w:val="009333C0"/>
    <w:rsid w:val="00933619"/>
    <w:rsid w:val="00933960"/>
    <w:rsid w:val="00934000"/>
    <w:rsid w:val="00934D7B"/>
    <w:rsid w:val="00935FE8"/>
    <w:rsid w:val="00940173"/>
    <w:rsid w:val="009404D6"/>
    <w:rsid w:val="009406D3"/>
    <w:rsid w:val="0094162D"/>
    <w:rsid w:val="00941B56"/>
    <w:rsid w:val="00941F77"/>
    <w:rsid w:val="009438AA"/>
    <w:rsid w:val="0094494D"/>
    <w:rsid w:val="00944B13"/>
    <w:rsid w:val="009473D9"/>
    <w:rsid w:val="00947CDC"/>
    <w:rsid w:val="00950088"/>
    <w:rsid w:val="00950C35"/>
    <w:rsid w:val="00952017"/>
    <w:rsid w:val="009528C0"/>
    <w:rsid w:val="009536C0"/>
    <w:rsid w:val="00953883"/>
    <w:rsid w:val="009552F3"/>
    <w:rsid w:val="00955359"/>
    <w:rsid w:val="00957005"/>
    <w:rsid w:val="009572E0"/>
    <w:rsid w:val="00960E51"/>
    <w:rsid w:val="009613FD"/>
    <w:rsid w:val="00961763"/>
    <w:rsid w:val="009621E3"/>
    <w:rsid w:val="00962AB4"/>
    <w:rsid w:val="00962FEA"/>
    <w:rsid w:val="009636E1"/>
    <w:rsid w:val="00963F6E"/>
    <w:rsid w:val="00964747"/>
    <w:rsid w:val="00965900"/>
    <w:rsid w:val="00966626"/>
    <w:rsid w:val="00966EEA"/>
    <w:rsid w:val="009671AD"/>
    <w:rsid w:val="009675E9"/>
    <w:rsid w:val="0096770C"/>
    <w:rsid w:val="00970B0D"/>
    <w:rsid w:val="0097186B"/>
    <w:rsid w:val="009742BF"/>
    <w:rsid w:val="009744C0"/>
    <w:rsid w:val="00974505"/>
    <w:rsid w:val="0097458F"/>
    <w:rsid w:val="00974AC4"/>
    <w:rsid w:val="009759C0"/>
    <w:rsid w:val="00975C21"/>
    <w:rsid w:val="00975FC9"/>
    <w:rsid w:val="009760C5"/>
    <w:rsid w:val="009771C4"/>
    <w:rsid w:val="00977DC6"/>
    <w:rsid w:val="00980633"/>
    <w:rsid w:val="00980BB6"/>
    <w:rsid w:val="00980E38"/>
    <w:rsid w:val="00981722"/>
    <w:rsid w:val="00981AA3"/>
    <w:rsid w:val="00982DFB"/>
    <w:rsid w:val="0098400C"/>
    <w:rsid w:val="00985FAD"/>
    <w:rsid w:val="0098601C"/>
    <w:rsid w:val="00986084"/>
    <w:rsid w:val="0098639E"/>
    <w:rsid w:val="0099168A"/>
    <w:rsid w:val="00991BD1"/>
    <w:rsid w:val="0099213A"/>
    <w:rsid w:val="0099271D"/>
    <w:rsid w:val="009935C8"/>
    <w:rsid w:val="00994C90"/>
    <w:rsid w:val="0099521A"/>
    <w:rsid w:val="00995B5D"/>
    <w:rsid w:val="00995E12"/>
    <w:rsid w:val="00996499"/>
    <w:rsid w:val="00996DB2"/>
    <w:rsid w:val="009976C1"/>
    <w:rsid w:val="009A0337"/>
    <w:rsid w:val="009A069C"/>
    <w:rsid w:val="009A0BCA"/>
    <w:rsid w:val="009A20A4"/>
    <w:rsid w:val="009A24C8"/>
    <w:rsid w:val="009A4C5D"/>
    <w:rsid w:val="009A52AA"/>
    <w:rsid w:val="009A5B75"/>
    <w:rsid w:val="009A6038"/>
    <w:rsid w:val="009A6B51"/>
    <w:rsid w:val="009A6BAF"/>
    <w:rsid w:val="009A6C27"/>
    <w:rsid w:val="009A6EAC"/>
    <w:rsid w:val="009B0F00"/>
    <w:rsid w:val="009B1047"/>
    <w:rsid w:val="009B1788"/>
    <w:rsid w:val="009B1DD2"/>
    <w:rsid w:val="009B232E"/>
    <w:rsid w:val="009B26D5"/>
    <w:rsid w:val="009B3077"/>
    <w:rsid w:val="009B336D"/>
    <w:rsid w:val="009B3F5D"/>
    <w:rsid w:val="009B4834"/>
    <w:rsid w:val="009B4A6C"/>
    <w:rsid w:val="009B6558"/>
    <w:rsid w:val="009B79E9"/>
    <w:rsid w:val="009B7FB4"/>
    <w:rsid w:val="009C0BDC"/>
    <w:rsid w:val="009C4135"/>
    <w:rsid w:val="009C6C3F"/>
    <w:rsid w:val="009C758A"/>
    <w:rsid w:val="009D132F"/>
    <w:rsid w:val="009D19AC"/>
    <w:rsid w:val="009D3A37"/>
    <w:rsid w:val="009D3C30"/>
    <w:rsid w:val="009D3DFE"/>
    <w:rsid w:val="009D42CE"/>
    <w:rsid w:val="009D4B8D"/>
    <w:rsid w:val="009D5066"/>
    <w:rsid w:val="009D51D4"/>
    <w:rsid w:val="009E0C18"/>
    <w:rsid w:val="009E0E45"/>
    <w:rsid w:val="009E0F90"/>
    <w:rsid w:val="009E19A5"/>
    <w:rsid w:val="009E1E58"/>
    <w:rsid w:val="009E486B"/>
    <w:rsid w:val="009E551B"/>
    <w:rsid w:val="009E6A11"/>
    <w:rsid w:val="009E6DCF"/>
    <w:rsid w:val="009F090A"/>
    <w:rsid w:val="009F115F"/>
    <w:rsid w:val="009F2459"/>
    <w:rsid w:val="009F26AA"/>
    <w:rsid w:val="009F4E32"/>
    <w:rsid w:val="009F526B"/>
    <w:rsid w:val="009F5324"/>
    <w:rsid w:val="009F570C"/>
    <w:rsid w:val="009F60C7"/>
    <w:rsid w:val="009F7408"/>
    <w:rsid w:val="00A00905"/>
    <w:rsid w:val="00A00907"/>
    <w:rsid w:val="00A00FB3"/>
    <w:rsid w:val="00A010AD"/>
    <w:rsid w:val="00A0270B"/>
    <w:rsid w:val="00A027CC"/>
    <w:rsid w:val="00A02C2B"/>
    <w:rsid w:val="00A0322C"/>
    <w:rsid w:val="00A058CC"/>
    <w:rsid w:val="00A05CE3"/>
    <w:rsid w:val="00A0672F"/>
    <w:rsid w:val="00A07CB0"/>
    <w:rsid w:val="00A10740"/>
    <w:rsid w:val="00A10D52"/>
    <w:rsid w:val="00A1111A"/>
    <w:rsid w:val="00A116D5"/>
    <w:rsid w:val="00A128DE"/>
    <w:rsid w:val="00A12DBE"/>
    <w:rsid w:val="00A134BF"/>
    <w:rsid w:val="00A14994"/>
    <w:rsid w:val="00A14F61"/>
    <w:rsid w:val="00A1501D"/>
    <w:rsid w:val="00A166DC"/>
    <w:rsid w:val="00A20D63"/>
    <w:rsid w:val="00A21A57"/>
    <w:rsid w:val="00A2237B"/>
    <w:rsid w:val="00A22653"/>
    <w:rsid w:val="00A22873"/>
    <w:rsid w:val="00A25ACA"/>
    <w:rsid w:val="00A25AE3"/>
    <w:rsid w:val="00A2636F"/>
    <w:rsid w:val="00A269BB"/>
    <w:rsid w:val="00A27D4E"/>
    <w:rsid w:val="00A30644"/>
    <w:rsid w:val="00A332E0"/>
    <w:rsid w:val="00A336EA"/>
    <w:rsid w:val="00A33B32"/>
    <w:rsid w:val="00A34B19"/>
    <w:rsid w:val="00A350FD"/>
    <w:rsid w:val="00A365A9"/>
    <w:rsid w:val="00A37041"/>
    <w:rsid w:val="00A41248"/>
    <w:rsid w:val="00A41E82"/>
    <w:rsid w:val="00A42101"/>
    <w:rsid w:val="00A4218D"/>
    <w:rsid w:val="00A42787"/>
    <w:rsid w:val="00A4294B"/>
    <w:rsid w:val="00A43E3C"/>
    <w:rsid w:val="00A4557E"/>
    <w:rsid w:val="00A45823"/>
    <w:rsid w:val="00A475DB"/>
    <w:rsid w:val="00A47962"/>
    <w:rsid w:val="00A47FA9"/>
    <w:rsid w:val="00A50BD6"/>
    <w:rsid w:val="00A51089"/>
    <w:rsid w:val="00A51501"/>
    <w:rsid w:val="00A51A55"/>
    <w:rsid w:val="00A51DB7"/>
    <w:rsid w:val="00A521D7"/>
    <w:rsid w:val="00A52481"/>
    <w:rsid w:val="00A531BF"/>
    <w:rsid w:val="00A545F6"/>
    <w:rsid w:val="00A5482E"/>
    <w:rsid w:val="00A54CC1"/>
    <w:rsid w:val="00A5540B"/>
    <w:rsid w:val="00A55AFB"/>
    <w:rsid w:val="00A56088"/>
    <w:rsid w:val="00A56476"/>
    <w:rsid w:val="00A56BED"/>
    <w:rsid w:val="00A56ECD"/>
    <w:rsid w:val="00A5746B"/>
    <w:rsid w:val="00A57A78"/>
    <w:rsid w:val="00A60682"/>
    <w:rsid w:val="00A60C13"/>
    <w:rsid w:val="00A60C70"/>
    <w:rsid w:val="00A60CBD"/>
    <w:rsid w:val="00A615B5"/>
    <w:rsid w:val="00A61C3D"/>
    <w:rsid w:val="00A61EEC"/>
    <w:rsid w:val="00A63576"/>
    <w:rsid w:val="00A638A3"/>
    <w:rsid w:val="00A63E93"/>
    <w:rsid w:val="00A6439E"/>
    <w:rsid w:val="00A64D24"/>
    <w:rsid w:val="00A6589E"/>
    <w:rsid w:val="00A6593A"/>
    <w:rsid w:val="00A659F9"/>
    <w:rsid w:val="00A65C4D"/>
    <w:rsid w:val="00A664A5"/>
    <w:rsid w:val="00A720D3"/>
    <w:rsid w:val="00A732B2"/>
    <w:rsid w:val="00A73FDD"/>
    <w:rsid w:val="00A74F5F"/>
    <w:rsid w:val="00A76D56"/>
    <w:rsid w:val="00A776D4"/>
    <w:rsid w:val="00A77D97"/>
    <w:rsid w:val="00A80A95"/>
    <w:rsid w:val="00A81055"/>
    <w:rsid w:val="00A81524"/>
    <w:rsid w:val="00A815E1"/>
    <w:rsid w:val="00A81FAF"/>
    <w:rsid w:val="00A822C0"/>
    <w:rsid w:val="00A83AC1"/>
    <w:rsid w:val="00A84599"/>
    <w:rsid w:val="00A8495E"/>
    <w:rsid w:val="00A85B03"/>
    <w:rsid w:val="00A85D14"/>
    <w:rsid w:val="00A863E9"/>
    <w:rsid w:val="00A870DD"/>
    <w:rsid w:val="00A875FA"/>
    <w:rsid w:val="00A87E23"/>
    <w:rsid w:val="00A90BDF"/>
    <w:rsid w:val="00A9159F"/>
    <w:rsid w:val="00A91AE7"/>
    <w:rsid w:val="00A91D34"/>
    <w:rsid w:val="00A92276"/>
    <w:rsid w:val="00A93B64"/>
    <w:rsid w:val="00A94A1A"/>
    <w:rsid w:val="00A95387"/>
    <w:rsid w:val="00A96BC0"/>
    <w:rsid w:val="00A96E0B"/>
    <w:rsid w:val="00A97126"/>
    <w:rsid w:val="00A97A25"/>
    <w:rsid w:val="00A97A70"/>
    <w:rsid w:val="00AA0E7D"/>
    <w:rsid w:val="00AA138E"/>
    <w:rsid w:val="00AA1814"/>
    <w:rsid w:val="00AA3077"/>
    <w:rsid w:val="00AA31E1"/>
    <w:rsid w:val="00AA4C27"/>
    <w:rsid w:val="00AA4DC6"/>
    <w:rsid w:val="00AA6F1D"/>
    <w:rsid w:val="00AA77B4"/>
    <w:rsid w:val="00AB0978"/>
    <w:rsid w:val="00AB09E4"/>
    <w:rsid w:val="00AB1C21"/>
    <w:rsid w:val="00AB3522"/>
    <w:rsid w:val="00AB3A47"/>
    <w:rsid w:val="00AB4AA9"/>
    <w:rsid w:val="00AB4C37"/>
    <w:rsid w:val="00AB59C0"/>
    <w:rsid w:val="00AB5EAA"/>
    <w:rsid w:val="00AB618E"/>
    <w:rsid w:val="00AB63C5"/>
    <w:rsid w:val="00AB6CE6"/>
    <w:rsid w:val="00AB6E73"/>
    <w:rsid w:val="00AB7879"/>
    <w:rsid w:val="00AC050B"/>
    <w:rsid w:val="00AC1656"/>
    <w:rsid w:val="00AC21FA"/>
    <w:rsid w:val="00AC269B"/>
    <w:rsid w:val="00AC30CA"/>
    <w:rsid w:val="00AC3BA1"/>
    <w:rsid w:val="00AC548A"/>
    <w:rsid w:val="00AC5C9D"/>
    <w:rsid w:val="00AC61FD"/>
    <w:rsid w:val="00AC65FD"/>
    <w:rsid w:val="00AC6E1B"/>
    <w:rsid w:val="00AD02B4"/>
    <w:rsid w:val="00AD1D85"/>
    <w:rsid w:val="00AD2695"/>
    <w:rsid w:val="00AD2922"/>
    <w:rsid w:val="00AD420B"/>
    <w:rsid w:val="00AD4DDA"/>
    <w:rsid w:val="00AD68E0"/>
    <w:rsid w:val="00AD6F74"/>
    <w:rsid w:val="00AD792C"/>
    <w:rsid w:val="00AE06A9"/>
    <w:rsid w:val="00AE1B04"/>
    <w:rsid w:val="00AE1C6B"/>
    <w:rsid w:val="00AE2C75"/>
    <w:rsid w:val="00AE33F8"/>
    <w:rsid w:val="00AE5C4A"/>
    <w:rsid w:val="00AE6E14"/>
    <w:rsid w:val="00AF0FCA"/>
    <w:rsid w:val="00AF334F"/>
    <w:rsid w:val="00AF3EDD"/>
    <w:rsid w:val="00AF4C80"/>
    <w:rsid w:val="00AF6ED8"/>
    <w:rsid w:val="00AF7916"/>
    <w:rsid w:val="00B01B10"/>
    <w:rsid w:val="00B028E0"/>
    <w:rsid w:val="00B0306A"/>
    <w:rsid w:val="00B0416B"/>
    <w:rsid w:val="00B04D92"/>
    <w:rsid w:val="00B05F92"/>
    <w:rsid w:val="00B076D2"/>
    <w:rsid w:val="00B07AA0"/>
    <w:rsid w:val="00B07DBC"/>
    <w:rsid w:val="00B07EA7"/>
    <w:rsid w:val="00B101FE"/>
    <w:rsid w:val="00B1032F"/>
    <w:rsid w:val="00B105E2"/>
    <w:rsid w:val="00B114D8"/>
    <w:rsid w:val="00B127EB"/>
    <w:rsid w:val="00B128DD"/>
    <w:rsid w:val="00B12EC3"/>
    <w:rsid w:val="00B141E9"/>
    <w:rsid w:val="00B14D56"/>
    <w:rsid w:val="00B14E53"/>
    <w:rsid w:val="00B16D02"/>
    <w:rsid w:val="00B16F42"/>
    <w:rsid w:val="00B17519"/>
    <w:rsid w:val="00B17F97"/>
    <w:rsid w:val="00B24FE7"/>
    <w:rsid w:val="00B254C3"/>
    <w:rsid w:val="00B25647"/>
    <w:rsid w:val="00B25AF6"/>
    <w:rsid w:val="00B26522"/>
    <w:rsid w:val="00B26549"/>
    <w:rsid w:val="00B26CAE"/>
    <w:rsid w:val="00B27A87"/>
    <w:rsid w:val="00B32ADA"/>
    <w:rsid w:val="00B345EB"/>
    <w:rsid w:val="00B34B20"/>
    <w:rsid w:val="00B34F77"/>
    <w:rsid w:val="00B36193"/>
    <w:rsid w:val="00B377EB"/>
    <w:rsid w:val="00B404A3"/>
    <w:rsid w:val="00B40766"/>
    <w:rsid w:val="00B40B63"/>
    <w:rsid w:val="00B411CB"/>
    <w:rsid w:val="00B41955"/>
    <w:rsid w:val="00B41AB5"/>
    <w:rsid w:val="00B4203C"/>
    <w:rsid w:val="00B4289F"/>
    <w:rsid w:val="00B42DA2"/>
    <w:rsid w:val="00B43E3C"/>
    <w:rsid w:val="00B44C68"/>
    <w:rsid w:val="00B45E19"/>
    <w:rsid w:val="00B460C0"/>
    <w:rsid w:val="00B461C1"/>
    <w:rsid w:val="00B469E1"/>
    <w:rsid w:val="00B474B6"/>
    <w:rsid w:val="00B47647"/>
    <w:rsid w:val="00B5019A"/>
    <w:rsid w:val="00B5030A"/>
    <w:rsid w:val="00B51CD5"/>
    <w:rsid w:val="00B54138"/>
    <w:rsid w:val="00B541C7"/>
    <w:rsid w:val="00B54275"/>
    <w:rsid w:val="00B549ED"/>
    <w:rsid w:val="00B54FCC"/>
    <w:rsid w:val="00B55563"/>
    <w:rsid w:val="00B55AD1"/>
    <w:rsid w:val="00B55F13"/>
    <w:rsid w:val="00B56013"/>
    <w:rsid w:val="00B56835"/>
    <w:rsid w:val="00B568FF"/>
    <w:rsid w:val="00B5746A"/>
    <w:rsid w:val="00B57769"/>
    <w:rsid w:val="00B6222E"/>
    <w:rsid w:val="00B6225D"/>
    <w:rsid w:val="00B641F3"/>
    <w:rsid w:val="00B6443D"/>
    <w:rsid w:val="00B66FE8"/>
    <w:rsid w:val="00B674E1"/>
    <w:rsid w:val="00B67609"/>
    <w:rsid w:val="00B67B87"/>
    <w:rsid w:val="00B70240"/>
    <w:rsid w:val="00B70A36"/>
    <w:rsid w:val="00B70FCE"/>
    <w:rsid w:val="00B7101C"/>
    <w:rsid w:val="00B7139B"/>
    <w:rsid w:val="00B721BF"/>
    <w:rsid w:val="00B726CF"/>
    <w:rsid w:val="00B72B79"/>
    <w:rsid w:val="00B732B5"/>
    <w:rsid w:val="00B735EA"/>
    <w:rsid w:val="00B74127"/>
    <w:rsid w:val="00B7529E"/>
    <w:rsid w:val="00B75C42"/>
    <w:rsid w:val="00B765D0"/>
    <w:rsid w:val="00B769C3"/>
    <w:rsid w:val="00B76F07"/>
    <w:rsid w:val="00B7707B"/>
    <w:rsid w:val="00B771A5"/>
    <w:rsid w:val="00B7724B"/>
    <w:rsid w:val="00B778EF"/>
    <w:rsid w:val="00B779E6"/>
    <w:rsid w:val="00B80A21"/>
    <w:rsid w:val="00B80DBC"/>
    <w:rsid w:val="00B80ECB"/>
    <w:rsid w:val="00B81DB5"/>
    <w:rsid w:val="00B82BF4"/>
    <w:rsid w:val="00B8305F"/>
    <w:rsid w:val="00B8339F"/>
    <w:rsid w:val="00B83D27"/>
    <w:rsid w:val="00B84545"/>
    <w:rsid w:val="00B84A60"/>
    <w:rsid w:val="00B8583D"/>
    <w:rsid w:val="00B85B08"/>
    <w:rsid w:val="00B87A64"/>
    <w:rsid w:val="00B90863"/>
    <w:rsid w:val="00B90FA5"/>
    <w:rsid w:val="00B915EC"/>
    <w:rsid w:val="00B918CC"/>
    <w:rsid w:val="00B91DB9"/>
    <w:rsid w:val="00B93007"/>
    <w:rsid w:val="00B9448D"/>
    <w:rsid w:val="00B95758"/>
    <w:rsid w:val="00B95D63"/>
    <w:rsid w:val="00B97EF7"/>
    <w:rsid w:val="00BA02AB"/>
    <w:rsid w:val="00BA1535"/>
    <w:rsid w:val="00BA3738"/>
    <w:rsid w:val="00BA3B9E"/>
    <w:rsid w:val="00BA4E25"/>
    <w:rsid w:val="00BA5A94"/>
    <w:rsid w:val="00BA5C71"/>
    <w:rsid w:val="00BA6955"/>
    <w:rsid w:val="00BA74A6"/>
    <w:rsid w:val="00BB036C"/>
    <w:rsid w:val="00BB16D8"/>
    <w:rsid w:val="00BB1894"/>
    <w:rsid w:val="00BB1F53"/>
    <w:rsid w:val="00BB2524"/>
    <w:rsid w:val="00BB276E"/>
    <w:rsid w:val="00BB50EC"/>
    <w:rsid w:val="00BB5301"/>
    <w:rsid w:val="00BB536B"/>
    <w:rsid w:val="00BB55AF"/>
    <w:rsid w:val="00BB5F05"/>
    <w:rsid w:val="00BB67FE"/>
    <w:rsid w:val="00BB7B15"/>
    <w:rsid w:val="00BC025D"/>
    <w:rsid w:val="00BC0518"/>
    <w:rsid w:val="00BC0A25"/>
    <w:rsid w:val="00BC13E8"/>
    <w:rsid w:val="00BC2745"/>
    <w:rsid w:val="00BC5653"/>
    <w:rsid w:val="00BC6B3C"/>
    <w:rsid w:val="00BC6BC6"/>
    <w:rsid w:val="00BC7117"/>
    <w:rsid w:val="00BC757A"/>
    <w:rsid w:val="00BC7743"/>
    <w:rsid w:val="00BC7D9F"/>
    <w:rsid w:val="00BC7FF9"/>
    <w:rsid w:val="00BD0792"/>
    <w:rsid w:val="00BD111C"/>
    <w:rsid w:val="00BD1F02"/>
    <w:rsid w:val="00BD25C4"/>
    <w:rsid w:val="00BD2974"/>
    <w:rsid w:val="00BD3083"/>
    <w:rsid w:val="00BD3145"/>
    <w:rsid w:val="00BD34C5"/>
    <w:rsid w:val="00BD360A"/>
    <w:rsid w:val="00BD438B"/>
    <w:rsid w:val="00BD47FE"/>
    <w:rsid w:val="00BD6708"/>
    <w:rsid w:val="00BD6AEC"/>
    <w:rsid w:val="00BD6F89"/>
    <w:rsid w:val="00BD7B71"/>
    <w:rsid w:val="00BD7F7F"/>
    <w:rsid w:val="00BE0440"/>
    <w:rsid w:val="00BE05D3"/>
    <w:rsid w:val="00BE08D5"/>
    <w:rsid w:val="00BE0B7D"/>
    <w:rsid w:val="00BE1395"/>
    <w:rsid w:val="00BE1554"/>
    <w:rsid w:val="00BE1C77"/>
    <w:rsid w:val="00BE1CB1"/>
    <w:rsid w:val="00BE2484"/>
    <w:rsid w:val="00BE268B"/>
    <w:rsid w:val="00BE2A72"/>
    <w:rsid w:val="00BE2DE4"/>
    <w:rsid w:val="00BE2F45"/>
    <w:rsid w:val="00BE3B7B"/>
    <w:rsid w:val="00BE4659"/>
    <w:rsid w:val="00BE48F6"/>
    <w:rsid w:val="00BE78B7"/>
    <w:rsid w:val="00BE7AA5"/>
    <w:rsid w:val="00BF0B2D"/>
    <w:rsid w:val="00BF0C8D"/>
    <w:rsid w:val="00BF17D5"/>
    <w:rsid w:val="00BF1E1D"/>
    <w:rsid w:val="00BF23DC"/>
    <w:rsid w:val="00BF3132"/>
    <w:rsid w:val="00BF5399"/>
    <w:rsid w:val="00BF6240"/>
    <w:rsid w:val="00BF7905"/>
    <w:rsid w:val="00BF793C"/>
    <w:rsid w:val="00BF7970"/>
    <w:rsid w:val="00BF799A"/>
    <w:rsid w:val="00C00AA8"/>
    <w:rsid w:val="00C01040"/>
    <w:rsid w:val="00C011AF"/>
    <w:rsid w:val="00C019C9"/>
    <w:rsid w:val="00C01AA7"/>
    <w:rsid w:val="00C0238D"/>
    <w:rsid w:val="00C04572"/>
    <w:rsid w:val="00C048E5"/>
    <w:rsid w:val="00C049B9"/>
    <w:rsid w:val="00C056C3"/>
    <w:rsid w:val="00C057CA"/>
    <w:rsid w:val="00C05C50"/>
    <w:rsid w:val="00C06437"/>
    <w:rsid w:val="00C06D9A"/>
    <w:rsid w:val="00C0767C"/>
    <w:rsid w:val="00C07B80"/>
    <w:rsid w:val="00C11323"/>
    <w:rsid w:val="00C12F8C"/>
    <w:rsid w:val="00C157BB"/>
    <w:rsid w:val="00C15C8A"/>
    <w:rsid w:val="00C15E22"/>
    <w:rsid w:val="00C168E3"/>
    <w:rsid w:val="00C16C50"/>
    <w:rsid w:val="00C16CB9"/>
    <w:rsid w:val="00C175D6"/>
    <w:rsid w:val="00C17787"/>
    <w:rsid w:val="00C17DD8"/>
    <w:rsid w:val="00C20148"/>
    <w:rsid w:val="00C2038F"/>
    <w:rsid w:val="00C20A9B"/>
    <w:rsid w:val="00C20D49"/>
    <w:rsid w:val="00C2371B"/>
    <w:rsid w:val="00C2461E"/>
    <w:rsid w:val="00C25393"/>
    <w:rsid w:val="00C259CD"/>
    <w:rsid w:val="00C25BF1"/>
    <w:rsid w:val="00C25D30"/>
    <w:rsid w:val="00C25D66"/>
    <w:rsid w:val="00C27761"/>
    <w:rsid w:val="00C3253E"/>
    <w:rsid w:val="00C331BF"/>
    <w:rsid w:val="00C33EE7"/>
    <w:rsid w:val="00C341CF"/>
    <w:rsid w:val="00C35363"/>
    <w:rsid w:val="00C35C6C"/>
    <w:rsid w:val="00C40C6B"/>
    <w:rsid w:val="00C40D1F"/>
    <w:rsid w:val="00C4132A"/>
    <w:rsid w:val="00C4168B"/>
    <w:rsid w:val="00C43323"/>
    <w:rsid w:val="00C43967"/>
    <w:rsid w:val="00C43B3E"/>
    <w:rsid w:val="00C44949"/>
    <w:rsid w:val="00C44E12"/>
    <w:rsid w:val="00C4644C"/>
    <w:rsid w:val="00C467BE"/>
    <w:rsid w:val="00C467CA"/>
    <w:rsid w:val="00C5305A"/>
    <w:rsid w:val="00C54F03"/>
    <w:rsid w:val="00C55223"/>
    <w:rsid w:val="00C55C01"/>
    <w:rsid w:val="00C56E6D"/>
    <w:rsid w:val="00C56E87"/>
    <w:rsid w:val="00C5785C"/>
    <w:rsid w:val="00C60473"/>
    <w:rsid w:val="00C6063B"/>
    <w:rsid w:val="00C60699"/>
    <w:rsid w:val="00C60E59"/>
    <w:rsid w:val="00C63475"/>
    <w:rsid w:val="00C649C7"/>
    <w:rsid w:val="00C66755"/>
    <w:rsid w:val="00C66F33"/>
    <w:rsid w:val="00C6750F"/>
    <w:rsid w:val="00C67BD6"/>
    <w:rsid w:val="00C67BF0"/>
    <w:rsid w:val="00C67C59"/>
    <w:rsid w:val="00C67DBA"/>
    <w:rsid w:val="00C70513"/>
    <w:rsid w:val="00C70BE8"/>
    <w:rsid w:val="00C714DD"/>
    <w:rsid w:val="00C71559"/>
    <w:rsid w:val="00C715EC"/>
    <w:rsid w:val="00C720A4"/>
    <w:rsid w:val="00C7439D"/>
    <w:rsid w:val="00C74882"/>
    <w:rsid w:val="00C75185"/>
    <w:rsid w:val="00C7787E"/>
    <w:rsid w:val="00C80EC3"/>
    <w:rsid w:val="00C81735"/>
    <w:rsid w:val="00C831D1"/>
    <w:rsid w:val="00C8364A"/>
    <w:rsid w:val="00C839B9"/>
    <w:rsid w:val="00C839ED"/>
    <w:rsid w:val="00C83C88"/>
    <w:rsid w:val="00C84521"/>
    <w:rsid w:val="00C856EF"/>
    <w:rsid w:val="00C865CF"/>
    <w:rsid w:val="00C8668C"/>
    <w:rsid w:val="00C8684F"/>
    <w:rsid w:val="00C87722"/>
    <w:rsid w:val="00C8785C"/>
    <w:rsid w:val="00C87900"/>
    <w:rsid w:val="00C8798C"/>
    <w:rsid w:val="00C90795"/>
    <w:rsid w:val="00C91159"/>
    <w:rsid w:val="00C92147"/>
    <w:rsid w:val="00C928B5"/>
    <w:rsid w:val="00C93226"/>
    <w:rsid w:val="00C93843"/>
    <w:rsid w:val="00C95766"/>
    <w:rsid w:val="00C961A9"/>
    <w:rsid w:val="00C97731"/>
    <w:rsid w:val="00CA1FB4"/>
    <w:rsid w:val="00CA23E6"/>
    <w:rsid w:val="00CA2821"/>
    <w:rsid w:val="00CA3281"/>
    <w:rsid w:val="00CA346E"/>
    <w:rsid w:val="00CA3742"/>
    <w:rsid w:val="00CA3AA7"/>
    <w:rsid w:val="00CA702E"/>
    <w:rsid w:val="00CA72EF"/>
    <w:rsid w:val="00CB1EA1"/>
    <w:rsid w:val="00CB3350"/>
    <w:rsid w:val="00CB4064"/>
    <w:rsid w:val="00CB458D"/>
    <w:rsid w:val="00CB46CF"/>
    <w:rsid w:val="00CB4D92"/>
    <w:rsid w:val="00CB55FF"/>
    <w:rsid w:val="00CB761B"/>
    <w:rsid w:val="00CC1458"/>
    <w:rsid w:val="00CC2F4A"/>
    <w:rsid w:val="00CC3640"/>
    <w:rsid w:val="00CC39B6"/>
    <w:rsid w:val="00CC6E66"/>
    <w:rsid w:val="00CC70A3"/>
    <w:rsid w:val="00CD02D8"/>
    <w:rsid w:val="00CD02F5"/>
    <w:rsid w:val="00CD1278"/>
    <w:rsid w:val="00CD14FB"/>
    <w:rsid w:val="00CD1BCB"/>
    <w:rsid w:val="00CD2D0D"/>
    <w:rsid w:val="00CD3183"/>
    <w:rsid w:val="00CD36EF"/>
    <w:rsid w:val="00CD3860"/>
    <w:rsid w:val="00CD418C"/>
    <w:rsid w:val="00CD41CF"/>
    <w:rsid w:val="00CD5661"/>
    <w:rsid w:val="00CD6699"/>
    <w:rsid w:val="00CD7E6D"/>
    <w:rsid w:val="00CE0C66"/>
    <w:rsid w:val="00CE2A2A"/>
    <w:rsid w:val="00CE3569"/>
    <w:rsid w:val="00CE3ED3"/>
    <w:rsid w:val="00CE4B34"/>
    <w:rsid w:val="00CE4E8E"/>
    <w:rsid w:val="00CE5810"/>
    <w:rsid w:val="00CE5856"/>
    <w:rsid w:val="00CE5F75"/>
    <w:rsid w:val="00CE6058"/>
    <w:rsid w:val="00CE643E"/>
    <w:rsid w:val="00CE6E3B"/>
    <w:rsid w:val="00CE6F77"/>
    <w:rsid w:val="00CE7A56"/>
    <w:rsid w:val="00CF0B0D"/>
    <w:rsid w:val="00CF3572"/>
    <w:rsid w:val="00CF4127"/>
    <w:rsid w:val="00CF43C0"/>
    <w:rsid w:val="00CF45DF"/>
    <w:rsid w:val="00CF47C8"/>
    <w:rsid w:val="00CF4A66"/>
    <w:rsid w:val="00CF534F"/>
    <w:rsid w:val="00CF5BE7"/>
    <w:rsid w:val="00CF76C0"/>
    <w:rsid w:val="00CF7782"/>
    <w:rsid w:val="00CF7C33"/>
    <w:rsid w:val="00D0103D"/>
    <w:rsid w:val="00D0148B"/>
    <w:rsid w:val="00D02D53"/>
    <w:rsid w:val="00D03837"/>
    <w:rsid w:val="00D042E0"/>
    <w:rsid w:val="00D11B3F"/>
    <w:rsid w:val="00D12031"/>
    <w:rsid w:val="00D1220A"/>
    <w:rsid w:val="00D128C2"/>
    <w:rsid w:val="00D13DAC"/>
    <w:rsid w:val="00D14F38"/>
    <w:rsid w:val="00D1541D"/>
    <w:rsid w:val="00D16870"/>
    <w:rsid w:val="00D176FE"/>
    <w:rsid w:val="00D179E9"/>
    <w:rsid w:val="00D17C1A"/>
    <w:rsid w:val="00D21A40"/>
    <w:rsid w:val="00D21BF1"/>
    <w:rsid w:val="00D22F74"/>
    <w:rsid w:val="00D231D4"/>
    <w:rsid w:val="00D234C3"/>
    <w:rsid w:val="00D237E5"/>
    <w:rsid w:val="00D23843"/>
    <w:rsid w:val="00D23FDA"/>
    <w:rsid w:val="00D244C2"/>
    <w:rsid w:val="00D25184"/>
    <w:rsid w:val="00D25656"/>
    <w:rsid w:val="00D25E12"/>
    <w:rsid w:val="00D26985"/>
    <w:rsid w:val="00D26E69"/>
    <w:rsid w:val="00D27EDA"/>
    <w:rsid w:val="00D306F8"/>
    <w:rsid w:val="00D30AE9"/>
    <w:rsid w:val="00D3177F"/>
    <w:rsid w:val="00D330F9"/>
    <w:rsid w:val="00D33686"/>
    <w:rsid w:val="00D347EA"/>
    <w:rsid w:val="00D34A2D"/>
    <w:rsid w:val="00D3587F"/>
    <w:rsid w:val="00D3654E"/>
    <w:rsid w:val="00D3676D"/>
    <w:rsid w:val="00D369F9"/>
    <w:rsid w:val="00D36A39"/>
    <w:rsid w:val="00D37D98"/>
    <w:rsid w:val="00D37FD1"/>
    <w:rsid w:val="00D418B2"/>
    <w:rsid w:val="00D41998"/>
    <w:rsid w:val="00D41BBE"/>
    <w:rsid w:val="00D4360C"/>
    <w:rsid w:val="00D44128"/>
    <w:rsid w:val="00D44662"/>
    <w:rsid w:val="00D45187"/>
    <w:rsid w:val="00D4606B"/>
    <w:rsid w:val="00D46999"/>
    <w:rsid w:val="00D469BD"/>
    <w:rsid w:val="00D46D59"/>
    <w:rsid w:val="00D47612"/>
    <w:rsid w:val="00D478C3"/>
    <w:rsid w:val="00D47D30"/>
    <w:rsid w:val="00D5027A"/>
    <w:rsid w:val="00D506E1"/>
    <w:rsid w:val="00D50A9B"/>
    <w:rsid w:val="00D51108"/>
    <w:rsid w:val="00D513A0"/>
    <w:rsid w:val="00D52202"/>
    <w:rsid w:val="00D5296E"/>
    <w:rsid w:val="00D53CE5"/>
    <w:rsid w:val="00D55652"/>
    <w:rsid w:val="00D556A7"/>
    <w:rsid w:val="00D5649E"/>
    <w:rsid w:val="00D5711B"/>
    <w:rsid w:val="00D602A7"/>
    <w:rsid w:val="00D61589"/>
    <w:rsid w:val="00D636F0"/>
    <w:rsid w:val="00D63B52"/>
    <w:rsid w:val="00D63DE4"/>
    <w:rsid w:val="00D64BCB"/>
    <w:rsid w:val="00D64FAF"/>
    <w:rsid w:val="00D660EC"/>
    <w:rsid w:val="00D668D1"/>
    <w:rsid w:val="00D67388"/>
    <w:rsid w:val="00D67497"/>
    <w:rsid w:val="00D67D4D"/>
    <w:rsid w:val="00D67F8B"/>
    <w:rsid w:val="00D7174C"/>
    <w:rsid w:val="00D719C0"/>
    <w:rsid w:val="00D7348B"/>
    <w:rsid w:val="00D74721"/>
    <w:rsid w:val="00D76113"/>
    <w:rsid w:val="00D778CF"/>
    <w:rsid w:val="00D810CB"/>
    <w:rsid w:val="00D812CE"/>
    <w:rsid w:val="00D8139C"/>
    <w:rsid w:val="00D81DBD"/>
    <w:rsid w:val="00D81F09"/>
    <w:rsid w:val="00D82971"/>
    <w:rsid w:val="00D8326A"/>
    <w:rsid w:val="00D83575"/>
    <w:rsid w:val="00D83870"/>
    <w:rsid w:val="00D84EB7"/>
    <w:rsid w:val="00D86926"/>
    <w:rsid w:val="00D875C1"/>
    <w:rsid w:val="00D878AB"/>
    <w:rsid w:val="00D8793B"/>
    <w:rsid w:val="00D879DA"/>
    <w:rsid w:val="00D87BB6"/>
    <w:rsid w:val="00D87D56"/>
    <w:rsid w:val="00D9087F"/>
    <w:rsid w:val="00D92261"/>
    <w:rsid w:val="00D92771"/>
    <w:rsid w:val="00D9333A"/>
    <w:rsid w:val="00D93BF8"/>
    <w:rsid w:val="00D964C3"/>
    <w:rsid w:val="00D96D7A"/>
    <w:rsid w:val="00DA0447"/>
    <w:rsid w:val="00DA212A"/>
    <w:rsid w:val="00DA22E7"/>
    <w:rsid w:val="00DA28E7"/>
    <w:rsid w:val="00DA2CBF"/>
    <w:rsid w:val="00DA3B14"/>
    <w:rsid w:val="00DA4538"/>
    <w:rsid w:val="00DA45ED"/>
    <w:rsid w:val="00DA63C4"/>
    <w:rsid w:val="00DA6AA9"/>
    <w:rsid w:val="00DA6B23"/>
    <w:rsid w:val="00DA77C9"/>
    <w:rsid w:val="00DB084E"/>
    <w:rsid w:val="00DB12F2"/>
    <w:rsid w:val="00DB18BF"/>
    <w:rsid w:val="00DB1E90"/>
    <w:rsid w:val="00DB23EC"/>
    <w:rsid w:val="00DB2902"/>
    <w:rsid w:val="00DB3E65"/>
    <w:rsid w:val="00DB4BFC"/>
    <w:rsid w:val="00DB5437"/>
    <w:rsid w:val="00DB56F3"/>
    <w:rsid w:val="00DB6B44"/>
    <w:rsid w:val="00DB6E1A"/>
    <w:rsid w:val="00DB71F0"/>
    <w:rsid w:val="00DC0DB4"/>
    <w:rsid w:val="00DC103B"/>
    <w:rsid w:val="00DC1381"/>
    <w:rsid w:val="00DC23EE"/>
    <w:rsid w:val="00DC2673"/>
    <w:rsid w:val="00DC4BDA"/>
    <w:rsid w:val="00DC5410"/>
    <w:rsid w:val="00DC5B0C"/>
    <w:rsid w:val="00DC65CE"/>
    <w:rsid w:val="00DC7289"/>
    <w:rsid w:val="00DC7A95"/>
    <w:rsid w:val="00DD1535"/>
    <w:rsid w:val="00DD3989"/>
    <w:rsid w:val="00DD3D80"/>
    <w:rsid w:val="00DD57BB"/>
    <w:rsid w:val="00DD6411"/>
    <w:rsid w:val="00DD71C9"/>
    <w:rsid w:val="00DD76C8"/>
    <w:rsid w:val="00DE05B6"/>
    <w:rsid w:val="00DE094A"/>
    <w:rsid w:val="00DE0E5A"/>
    <w:rsid w:val="00DE10B7"/>
    <w:rsid w:val="00DE1508"/>
    <w:rsid w:val="00DE1548"/>
    <w:rsid w:val="00DE1D93"/>
    <w:rsid w:val="00DE2011"/>
    <w:rsid w:val="00DE40C6"/>
    <w:rsid w:val="00DE5D54"/>
    <w:rsid w:val="00DE6A86"/>
    <w:rsid w:val="00DE7263"/>
    <w:rsid w:val="00DE7DBB"/>
    <w:rsid w:val="00DF02B0"/>
    <w:rsid w:val="00DF04B2"/>
    <w:rsid w:val="00DF1B61"/>
    <w:rsid w:val="00DF204F"/>
    <w:rsid w:val="00DF3159"/>
    <w:rsid w:val="00DF344F"/>
    <w:rsid w:val="00DF3B7A"/>
    <w:rsid w:val="00DF4685"/>
    <w:rsid w:val="00DF4A2E"/>
    <w:rsid w:val="00DF610A"/>
    <w:rsid w:val="00DF6A4C"/>
    <w:rsid w:val="00DF6CC5"/>
    <w:rsid w:val="00DF70B0"/>
    <w:rsid w:val="00DF7108"/>
    <w:rsid w:val="00E004BA"/>
    <w:rsid w:val="00E008AD"/>
    <w:rsid w:val="00E01F53"/>
    <w:rsid w:val="00E04244"/>
    <w:rsid w:val="00E044FC"/>
    <w:rsid w:val="00E056FE"/>
    <w:rsid w:val="00E057E1"/>
    <w:rsid w:val="00E0596C"/>
    <w:rsid w:val="00E07A6B"/>
    <w:rsid w:val="00E11FCB"/>
    <w:rsid w:val="00E120A7"/>
    <w:rsid w:val="00E125E9"/>
    <w:rsid w:val="00E129D6"/>
    <w:rsid w:val="00E13766"/>
    <w:rsid w:val="00E13B32"/>
    <w:rsid w:val="00E1444F"/>
    <w:rsid w:val="00E14B62"/>
    <w:rsid w:val="00E14E5B"/>
    <w:rsid w:val="00E15532"/>
    <w:rsid w:val="00E172E2"/>
    <w:rsid w:val="00E20215"/>
    <w:rsid w:val="00E202C3"/>
    <w:rsid w:val="00E20DA4"/>
    <w:rsid w:val="00E20F5B"/>
    <w:rsid w:val="00E2115E"/>
    <w:rsid w:val="00E2176B"/>
    <w:rsid w:val="00E2339F"/>
    <w:rsid w:val="00E24284"/>
    <w:rsid w:val="00E249A3"/>
    <w:rsid w:val="00E2638B"/>
    <w:rsid w:val="00E27489"/>
    <w:rsid w:val="00E27775"/>
    <w:rsid w:val="00E32951"/>
    <w:rsid w:val="00E332C6"/>
    <w:rsid w:val="00E3399B"/>
    <w:rsid w:val="00E35249"/>
    <w:rsid w:val="00E35C4E"/>
    <w:rsid w:val="00E36C1B"/>
    <w:rsid w:val="00E42ACC"/>
    <w:rsid w:val="00E42DF1"/>
    <w:rsid w:val="00E43DD1"/>
    <w:rsid w:val="00E451A0"/>
    <w:rsid w:val="00E4523B"/>
    <w:rsid w:val="00E4539A"/>
    <w:rsid w:val="00E461E7"/>
    <w:rsid w:val="00E46374"/>
    <w:rsid w:val="00E46A11"/>
    <w:rsid w:val="00E472D2"/>
    <w:rsid w:val="00E50397"/>
    <w:rsid w:val="00E5049A"/>
    <w:rsid w:val="00E5052D"/>
    <w:rsid w:val="00E52457"/>
    <w:rsid w:val="00E54ACF"/>
    <w:rsid w:val="00E55F44"/>
    <w:rsid w:val="00E602A4"/>
    <w:rsid w:val="00E602E8"/>
    <w:rsid w:val="00E60A06"/>
    <w:rsid w:val="00E60D8D"/>
    <w:rsid w:val="00E63F37"/>
    <w:rsid w:val="00E653D1"/>
    <w:rsid w:val="00E6556C"/>
    <w:rsid w:val="00E66E1E"/>
    <w:rsid w:val="00E671BF"/>
    <w:rsid w:val="00E6783D"/>
    <w:rsid w:val="00E70604"/>
    <w:rsid w:val="00E70CD4"/>
    <w:rsid w:val="00E70DCE"/>
    <w:rsid w:val="00E71037"/>
    <w:rsid w:val="00E71482"/>
    <w:rsid w:val="00E7151E"/>
    <w:rsid w:val="00E722C8"/>
    <w:rsid w:val="00E72D64"/>
    <w:rsid w:val="00E74271"/>
    <w:rsid w:val="00E74671"/>
    <w:rsid w:val="00E75325"/>
    <w:rsid w:val="00E76165"/>
    <w:rsid w:val="00E76775"/>
    <w:rsid w:val="00E7691F"/>
    <w:rsid w:val="00E76AE3"/>
    <w:rsid w:val="00E775A8"/>
    <w:rsid w:val="00E7791A"/>
    <w:rsid w:val="00E81510"/>
    <w:rsid w:val="00E82634"/>
    <w:rsid w:val="00E82DAA"/>
    <w:rsid w:val="00E82FF1"/>
    <w:rsid w:val="00E8373F"/>
    <w:rsid w:val="00E838E9"/>
    <w:rsid w:val="00E83B95"/>
    <w:rsid w:val="00E8471A"/>
    <w:rsid w:val="00E8487D"/>
    <w:rsid w:val="00E85839"/>
    <w:rsid w:val="00E85923"/>
    <w:rsid w:val="00E862DB"/>
    <w:rsid w:val="00E8642B"/>
    <w:rsid w:val="00E87D6A"/>
    <w:rsid w:val="00E9078F"/>
    <w:rsid w:val="00E9120D"/>
    <w:rsid w:val="00E91975"/>
    <w:rsid w:val="00E926ED"/>
    <w:rsid w:val="00E93ED5"/>
    <w:rsid w:val="00E944C2"/>
    <w:rsid w:val="00E94780"/>
    <w:rsid w:val="00E949E2"/>
    <w:rsid w:val="00E94C33"/>
    <w:rsid w:val="00E97238"/>
    <w:rsid w:val="00EA06F4"/>
    <w:rsid w:val="00EA0E03"/>
    <w:rsid w:val="00EA1773"/>
    <w:rsid w:val="00EA19DA"/>
    <w:rsid w:val="00EA1F23"/>
    <w:rsid w:val="00EA396C"/>
    <w:rsid w:val="00EA562E"/>
    <w:rsid w:val="00EA7984"/>
    <w:rsid w:val="00EB1B42"/>
    <w:rsid w:val="00EB2DB9"/>
    <w:rsid w:val="00EB3595"/>
    <w:rsid w:val="00EB395C"/>
    <w:rsid w:val="00EB4817"/>
    <w:rsid w:val="00EB49C0"/>
    <w:rsid w:val="00EB5008"/>
    <w:rsid w:val="00EB55B0"/>
    <w:rsid w:val="00EB5779"/>
    <w:rsid w:val="00EB5C86"/>
    <w:rsid w:val="00EB6586"/>
    <w:rsid w:val="00EB6CBF"/>
    <w:rsid w:val="00EB7A73"/>
    <w:rsid w:val="00EC0027"/>
    <w:rsid w:val="00EC0389"/>
    <w:rsid w:val="00EC1166"/>
    <w:rsid w:val="00EC1888"/>
    <w:rsid w:val="00EC1891"/>
    <w:rsid w:val="00EC1A07"/>
    <w:rsid w:val="00EC242E"/>
    <w:rsid w:val="00EC2C6D"/>
    <w:rsid w:val="00EC2CA4"/>
    <w:rsid w:val="00EC47DC"/>
    <w:rsid w:val="00EC48A1"/>
    <w:rsid w:val="00EC525E"/>
    <w:rsid w:val="00EC5645"/>
    <w:rsid w:val="00EC5ACA"/>
    <w:rsid w:val="00EC65CE"/>
    <w:rsid w:val="00ED0441"/>
    <w:rsid w:val="00ED0E08"/>
    <w:rsid w:val="00ED1105"/>
    <w:rsid w:val="00ED1464"/>
    <w:rsid w:val="00ED1DB8"/>
    <w:rsid w:val="00ED210C"/>
    <w:rsid w:val="00ED4D4E"/>
    <w:rsid w:val="00ED50DE"/>
    <w:rsid w:val="00ED57CE"/>
    <w:rsid w:val="00ED5A22"/>
    <w:rsid w:val="00ED66DD"/>
    <w:rsid w:val="00ED7DB4"/>
    <w:rsid w:val="00EE3B40"/>
    <w:rsid w:val="00EE4EAD"/>
    <w:rsid w:val="00EE562B"/>
    <w:rsid w:val="00EE6CCD"/>
    <w:rsid w:val="00EE79C1"/>
    <w:rsid w:val="00EE7D1B"/>
    <w:rsid w:val="00EF01C6"/>
    <w:rsid w:val="00EF0CFE"/>
    <w:rsid w:val="00EF2F77"/>
    <w:rsid w:val="00EF45B9"/>
    <w:rsid w:val="00EF4B6C"/>
    <w:rsid w:val="00EF4DF6"/>
    <w:rsid w:val="00EF4EE4"/>
    <w:rsid w:val="00EF5F13"/>
    <w:rsid w:val="00EF6001"/>
    <w:rsid w:val="00EF6BA7"/>
    <w:rsid w:val="00EF76FA"/>
    <w:rsid w:val="00EF7B16"/>
    <w:rsid w:val="00EF7F2F"/>
    <w:rsid w:val="00F00E13"/>
    <w:rsid w:val="00F010C8"/>
    <w:rsid w:val="00F01129"/>
    <w:rsid w:val="00F0252C"/>
    <w:rsid w:val="00F02D33"/>
    <w:rsid w:val="00F03255"/>
    <w:rsid w:val="00F04AD9"/>
    <w:rsid w:val="00F052BB"/>
    <w:rsid w:val="00F06D78"/>
    <w:rsid w:val="00F07044"/>
    <w:rsid w:val="00F10FF2"/>
    <w:rsid w:val="00F11C58"/>
    <w:rsid w:val="00F11D52"/>
    <w:rsid w:val="00F127F1"/>
    <w:rsid w:val="00F131BE"/>
    <w:rsid w:val="00F13664"/>
    <w:rsid w:val="00F13E8C"/>
    <w:rsid w:val="00F144D2"/>
    <w:rsid w:val="00F1465C"/>
    <w:rsid w:val="00F147B3"/>
    <w:rsid w:val="00F1540B"/>
    <w:rsid w:val="00F1613A"/>
    <w:rsid w:val="00F16C0B"/>
    <w:rsid w:val="00F17494"/>
    <w:rsid w:val="00F20A04"/>
    <w:rsid w:val="00F21544"/>
    <w:rsid w:val="00F22605"/>
    <w:rsid w:val="00F234FA"/>
    <w:rsid w:val="00F240CC"/>
    <w:rsid w:val="00F25D69"/>
    <w:rsid w:val="00F26169"/>
    <w:rsid w:val="00F26CCC"/>
    <w:rsid w:val="00F26D59"/>
    <w:rsid w:val="00F27D12"/>
    <w:rsid w:val="00F31A03"/>
    <w:rsid w:val="00F32756"/>
    <w:rsid w:val="00F3341A"/>
    <w:rsid w:val="00F33C74"/>
    <w:rsid w:val="00F3456B"/>
    <w:rsid w:val="00F35589"/>
    <w:rsid w:val="00F37053"/>
    <w:rsid w:val="00F37EB3"/>
    <w:rsid w:val="00F41217"/>
    <w:rsid w:val="00F4172E"/>
    <w:rsid w:val="00F45E6C"/>
    <w:rsid w:val="00F461BD"/>
    <w:rsid w:val="00F4641F"/>
    <w:rsid w:val="00F473E2"/>
    <w:rsid w:val="00F51591"/>
    <w:rsid w:val="00F51EFA"/>
    <w:rsid w:val="00F52D60"/>
    <w:rsid w:val="00F54463"/>
    <w:rsid w:val="00F54BA9"/>
    <w:rsid w:val="00F55EAB"/>
    <w:rsid w:val="00F56711"/>
    <w:rsid w:val="00F60259"/>
    <w:rsid w:val="00F60339"/>
    <w:rsid w:val="00F6149B"/>
    <w:rsid w:val="00F61660"/>
    <w:rsid w:val="00F61AF5"/>
    <w:rsid w:val="00F623D6"/>
    <w:rsid w:val="00F63A83"/>
    <w:rsid w:val="00F65273"/>
    <w:rsid w:val="00F653D4"/>
    <w:rsid w:val="00F65768"/>
    <w:rsid w:val="00F66C12"/>
    <w:rsid w:val="00F672B5"/>
    <w:rsid w:val="00F70277"/>
    <w:rsid w:val="00F70B28"/>
    <w:rsid w:val="00F71CE8"/>
    <w:rsid w:val="00F71FD4"/>
    <w:rsid w:val="00F721B7"/>
    <w:rsid w:val="00F721CA"/>
    <w:rsid w:val="00F724B4"/>
    <w:rsid w:val="00F7386C"/>
    <w:rsid w:val="00F7571F"/>
    <w:rsid w:val="00F759DA"/>
    <w:rsid w:val="00F766CD"/>
    <w:rsid w:val="00F76B94"/>
    <w:rsid w:val="00F81294"/>
    <w:rsid w:val="00F813BA"/>
    <w:rsid w:val="00F81F88"/>
    <w:rsid w:val="00F82574"/>
    <w:rsid w:val="00F82CC5"/>
    <w:rsid w:val="00F8310F"/>
    <w:rsid w:val="00F8319F"/>
    <w:rsid w:val="00F84EA3"/>
    <w:rsid w:val="00F85AD8"/>
    <w:rsid w:val="00F85E4E"/>
    <w:rsid w:val="00F86AE4"/>
    <w:rsid w:val="00F87BCA"/>
    <w:rsid w:val="00F91BAB"/>
    <w:rsid w:val="00F91CB5"/>
    <w:rsid w:val="00F92DC4"/>
    <w:rsid w:val="00F936F8"/>
    <w:rsid w:val="00F94DD4"/>
    <w:rsid w:val="00F956E2"/>
    <w:rsid w:val="00F95A9C"/>
    <w:rsid w:val="00F96272"/>
    <w:rsid w:val="00FA0060"/>
    <w:rsid w:val="00FA02B2"/>
    <w:rsid w:val="00FA2C6D"/>
    <w:rsid w:val="00FA3E78"/>
    <w:rsid w:val="00FA415F"/>
    <w:rsid w:val="00FA47C6"/>
    <w:rsid w:val="00FA4CC3"/>
    <w:rsid w:val="00FA5932"/>
    <w:rsid w:val="00FA6A11"/>
    <w:rsid w:val="00FA6DF1"/>
    <w:rsid w:val="00FA7E1A"/>
    <w:rsid w:val="00FB0D3A"/>
    <w:rsid w:val="00FB1138"/>
    <w:rsid w:val="00FB1B87"/>
    <w:rsid w:val="00FB1C40"/>
    <w:rsid w:val="00FB4245"/>
    <w:rsid w:val="00FB43BD"/>
    <w:rsid w:val="00FB459D"/>
    <w:rsid w:val="00FB4B34"/>
    <w:rsid w:val="00FB52E0"/>
    <w:rsid w:val="00FB5C2B"/>
    <w:rsid w:val="00FB601B"/>
    <w:rsid w:val="00FB6440"/>
    <w:rsid w:val="00FB64FE"/>
    <w:rsid w:val="00FB7625"/>
    <w:rsid w:val="00FC040C"/>
    <w:rsid w:val="00FC07C9"/>
    <w:rsid w:val="00FC0AB8"/>
    <w:rsid w:val="00FC1E4B"/>
    <w:rsid w:val="00FC285C"/>
    <w:rsid w:val="00FC3444"/>
    <w:rsid w:val="00FC3599"/>
    <w:rsid w:val="00FC391A"/>
    <w:rsid w:val="00FC4167"/>
    <w:rsid w:val="00FC48ED"/>
    <w:rsid w:val="00FC4AAC"/>
    <w:rsid w:val="00FC5342"/>
    <w:rsid w:val="00FC56B9"/>
    <w:rsid w:val="00FC56FF"/>
    <w:rsid w:val="00FC5E85"/>
    <w:rsid w:val="00FC632F"/>
    <w:rsid w:val="00FC6E32"/>
    <w:rsid w:val="00FD04BA"/>
    <w:rsid w:val="00FD0D67"/>
    <w:rsid w:val="00FD1F43"/>
    <w:rsid w:val="00FD23A0"/>
    <w:rsid w:val="00FD262F"/>
    <w:rsid w:val="00FD271D"/>
    <w:rsid w:val="00FD4705"/>
    <w:rsid w:val="00FD4788"/>
    <w:rsid w:val="00FD589C"/>
    <w:rsid w:val="00FD7433"/>
    <w:rsid w:val="00FE03B9"/>
    <w:rsid w:val="00FE0C17"/>
    <w:rsid w:val="00FE10D2"/>
    <w:rsid w:val="00FE138A"/>
    <w:rsid w:val="00FE15F4"/>
    <w:rsid w:val="00FE3476"/>
    <w:rsid w:val="00FE687A"/>
    <w:rsid w:val="00FE72A2"/>
    <w:rsid w:val="00FE76CE"/>
    <w:rsid w:val="00FF0AF6"/>
    <w:rsid w:val="00FF0C71"/>
    <w:rsid w:val="00FF3108"/>
    <w:rsid w:val="00FF3E43"/>
    <w:rsid w:val="00FF43DE"/>
    <w:rsid w:val="00FF43FE"/>
    <w:rsid w:val="00FF4BD6"/>
    <w:rsid w:val="00FF4D29"/>
    <w:rsid w:val="00FF5363"/>
    <w:rsid w:val="00FF667D"/>
    <w:rsid w:val="00FF687F"/>
    <w:rsid w:val="00FF7493"/>
    <w:rsid w:val="00FF7AA3"/>
    <w:rsid w:val="00FF7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805E8"/>
  <w15:chartTrackingRefBased/>
  <w15:docId w15:val="{C9C864D8-B546-421D-A8C3-360BDA14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2F8"/>
    <w:pPr>
      <w:keepNext/>
      <w:keepLines/>
      <w:spacing w:before="360" w:after="80"/>
      <w:jc w:val="left"/>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DD3989"/>
    <w:pPr>
      <w:keepNext/>
      <w:keepLines/>
      <w:spacing w:before="160" w:after="80"/>
      <w:jc w:val="left"/>
      <w:outlineLvl w:val="1"/>
    </w:pPr>
    <w:rPr>
      <w:rFonts w:eastAsia="Times New Roman" w:cstheme="majorBidi"/>
      <w:color w:val="0F4761" w:themeColor="accent1" w:themeShade="BF"/>
      <w:sz w:val="32"/>
      <w:szCs w:val="32"/>
      <w:lang w:eastAsia="en-GB"/>
    </w:rPr>
  </w:style>
  <w:style w:type="paragraph" w:styleId="Heading3">
    <w:name w:val="heading 3"/>
    <w:basedOn w:val="Normal"/>
    <w:next w:val="Normal"/>
    <w:link w:val="Heading3Char"/>
    <w:uiPriority w:val="9"/>
    <w:unhideWhenUsed/>
    <w:qFormat/>
    <w:rsid w:val="00870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56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5556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555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555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5556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556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CA7"/>
    <w:rPr>
      <w:rFonts w:eastAsiaTheme="majorEastAsia" w:cstheme="majorBidi"/>
      <w:color w:val="0F4761" w:themeColor="accent1" w:themeShade="BF"/>
      <w:sz w:val="40"/>
      <w:szCs w:val="40"/>
    </w:rPr>
  </w:style>
  <w:style w:type="character" w:customStyle="1" w:styleId="Heading2Char">
    <w:name w:val="Heading 2 Char"/>
    <w:basedOn w:val="DefaultParagraphFont"/>
    <w:link w:val="Heading2"/>
    <w:uiPriority w:val="9"/>
    <w:rsid w:val="00DD3989"/>
    <w:rPr>
      <w:rFonts w:eastAsia="Times New Roman" w:cstheme="majorBidi"/>
      <w:color w:val="0F4761" w:themeColor="accent1" w:themeShade="BF"/>
      <w:sz w:val="32"/>
      <w:szCs w:val="32"/>
      <w:lang w:eastAsia="en-GB"/>
    </w:rPr>
  </w:style>
  <w:style w:type="character" w:customStyle="1" w:styleId="Heading3Char">
    <w:name w:val="Heading 3 Char"/>
    <w:basedOn w:val="DefaultParagraphFont"/>
    <w:link w:val="Heading3"/>
    <w:uiPriority w:val="9"/>
    <w:rsid w:val="00870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56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5556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5556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5556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5556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5556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5556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563"/>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B5556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56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555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5563"/>
    <w:rPr>
      <w:i/>
      <w:iCs/>
      <w:color w:val="404040" w:themeColor="text1" w:themeTint="BF"/>
    </w:rPr>
  </w:style>
  <w:style w:type="paragraph" w:styleId="ListParagraph">
    <w:name w:val="List Paragraph"/>
    <w:basedOn w:val="Normal"/>
    <w:uiPriority w:val="34"/>
    <w:qFormat/>
    <w:rsid w:val="00B55563"/>
    <w:pPr>
      <w:ind w:left="720"/>
      <w:contextualSpacing/>
    </w:pPr>
  </w:style>
  <w:style w:type="character" w:styleId="IntenseEmphasis">
    <w:name w:val="Intense Emphasis"/>
    <w:basedOn w:val="DefaultParagraphFont"/>
    <w:uiPriority w:val="21"/>
    <w:qFormat/>
    <w:rsid w:val="00B55563"/>
    <w:rPr>
      <w:i/>
      <w:iCs/>
      <w:color w:val="0F4761" w:themeColor="accent1" w:themeShade="BF"/>
    </w:rPr>
  </w:style>
  <w:style w:type="paragraph" w:styleId="IntenseQuote">
    <w:name w:val="Intense Quote"/>
    <w:basedOn w:val="Normal"/>
    <w:next w:val="Normal"/>
    <w:link w:val="IntenseQuoteChar"/>
    <w:uiPriority w:val="30"/>
    <w:qFormat/>
    <w:rsid w:val="00B555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563"/>
    <w:rPr>
      <w:i/>
      <w:iCs/>
      <w:color w:val="0F4761" w:themeColor="accent1" w:themeShade="BF"/>
    </w:rPr>
  </w:style>
  <w:style w:type="character" w:styleId="IntenseReference">
    <w:name w:val="Intense Reference"/>
    <w:basedOn w:val="DefaultParagraphFont"/>
    <w:uiPriority w:val="32"/>
    <w:qFormat/>
    <w:rsid w:val="00B55563"/>
    <w:rPr>
      <w:b/>
      <w:bCs/>
      <w:smallCaps/>
      <w:color w:val="0F4761" w:themeColor="accent1" w:themeShade="BF"/>
      <w:spacing w:val="5"/>
    </w:rPr>
  </w:style>
  <w:style w:type="paragraph" w:styleId="NormalWeb">
    <w:name w:val="Normal (Web)"/>
    <w:basedOn w:val="Normal"/>
    <w:uiPriority w:val="99"/>
    <w:unhideWhenUsed/>
    <w:rsid w:val="00DB6B44"/>
    <w:pPr>
      <w:spacing w:line="240" w:lineRule="auto"/>
      <w:jc w:val="left"/>
    </w:pPr>
    <w:rPr>
      <w:rFonts w:ascii="Times New Roman" w:eastAsia="Times New Roman" w:hAnsi="Times New Roman"/>
      <w:i/>
      <w:iCs/>
      <w:sz w:val="24"/>
      <w:lang w:eastAsia="en-GB"/>
    </w:rPr>
  </w:style>
  <w:style w:type="character" w:styleId="Strong">
    <w:name w:val="Strong"/>
    <w:basedOn w:val="DefaultParagraphFont"/>
    <w:uiPriority w:val="22"/>
    <w:qFormat/>
    <w:rsid w:val="00DB6B44"/>
    <w:rPr>
      <w:b/>
      <w:bCs/>
    </w:rPr>
  </w:style>
  <w:style w:type="paragraph" w:styleId="Caption">
    <w:name w:val="caption"/>
    <w:basedOn w:val="Normal"/>
    <w:next w:val="Normal"/>
    <w:uiPriority w:val="35"/>
    <w:unhideWhenUsed/>
    <w:qFormat/>
    <w:rsid w:val="00201C03"/>
    <w:pPr>
      <w:spacing w:before="0" w:after="200" w:line="240" w:lineRule="auto"/>
    </w:pPr>
    <w:rPr>
      <w:i/>
      <w:iCs/>
      <w:sz w:val="18"/>
    </w:rPr>
  </w:style>
  <w:style w:type="character" w:styleId="Emphasis">
    <w:name w:val="Emphasis"/>
    <w:basedOn w:val="DefaultParagraphFont"/>
    <w:uiPriority w:val="20"/>
    <w:qFormat/>
    <w:rsid w:val="001D67A5"/>
    <w:rPr>
      <w:i/>
      <w:iCs/>
    </w:rPr>
  </w:style>
  <w:style w:type="table" w:styleId="TableGrid">
    <w:name w:val="Table Grid"/>
    <w:basedOn w:val="TableNormal"/>
    <w:uiPriority w:val="39"/>
    <w:rsid w:val="00E35C4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B4C37"/>
    <w:pPr>
      <w:spacing w:before="0" w:after="0" w:line="240" w:lineRule="auto"/>
    </w:pPr>
    <w:rPr>
      <w:iC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F76C0"/>
  </w:style>
  <w:style w:type="paragraph" w:styleId="TOCHeading">
    <w:name w:val="TOC Heading"/>
    <w:basedOn w:val="Heading1"/>
    <w:next w:val="Normal"/>
    <w:uiPriority w:val="39"/>
    <w:unhideWhenUsed/>
    <w:qFormat/>
    <w:rsid w:val="00D64FAF"/>
    <w:pPr>
      <w:spacing w:before="240" w:beforeAutospacing="0" w:after="0" w:afterAutospacing="0" w:line="259" w:lineRule="auto"/>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E2115E"/>
    <w:pPr>
      <w:tabs>
        <w:tab w:val="left" w:pos="480"/>
        <w:tab w:val="right" w:leader="dot" w:pos="9016"/>
      </w:tabs>
    </w:pPr>
  </w:style>
  <w:style w:type="paragraph" w:styleId="TOC2">
    <w:name w:val="toc 2"/>
    <w:basedOn w:val="Normal"/>
    <w:next w:val="Normal"/>
    <w:autoRedefine/>
    <w:uiPriority w:val="39"/>
    <w:unhideWhenUsed/>
    <w:rsid w:val="00D64FAF"/>
    <w:pPr>
      <w:ind w:left="220"/>
    </w:pPr>
  </w:style>
  <w:style w:type="character" w:styleId="Hyperlink">
    <w:name w:val="Hyperlink"/>
    <w:basedOn w:val="DefaultParagraphFont"/>
    <w:uiPriority w:val="99"/>
    <w:unhideWhenUsed/>
    <w:rsid w:val="00D64FAF"/>
    <w:rPr>
      <w:color w:val="467886" w:themeColor="hyperlink"/>
      <w:u w:val="single"/>
    </w:rPr>
  </w:style>
  <w:style w:type="paragraph" w:styleId="TableofFigures">
    <w:name w:val="table of figures"/>
    <w:basedOn w:val="Normal"/>
    <w:next w:val="Normal"/>
    <w:uiPriority w:val="99"/>
    <w:unhideWhenUsed/>
    <w:rsid w:val="001833A4"/>
    <w:pPr>
      <w:spacing w:after="0"/>
    </w:pPr>
  </w:style>
  <w:style w:type="paragraph" w:styleId="NoSpacing">
    <w:name w:val="No Spacing"/>
    <w:link w:val="NoSpacingChar"/>
    <w:uiPriority w:val="1"/>
    <w:qFormat/>
    <w:rsid w:val="009759C0"/>
    <w:pPr>
      <w:spacing w:before="0" w:beforeAutospacing="0" w:after="0" w:afterAutospacing="0" w:line="240" w:lineRule="auto"/>
      <w:jc w:val="left"/>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9759C0"/>
    <w:rPr>
      <w:rFonts w:asciiTheme="minorHAnsi" w:eastAsiaTheme="minorEastAsia" w:hAnsiTheme="minorHAnsi" w:cstheme="minorBidi"/>
      <w:lang w:val="en-US"/>
    </w:rPr>
  </w:style>
  <w:style w:type="paragraph" w:styleId="Footer">
    <w:name w:val="footer"/>
    <w:basedOn w:val="Normal"/>
    <w:link w:val="FooterChar"/>
    <w:uiPriority w:val="99"/>
    <w:unhideWhenUsed/>
    <w:rsid w:val="000F0918"/>
    <w:pPr>
      <w:tabs>
        <w:tab w:val="center" w:pos="4513"/>
        <w:tab w:val="right" w:pos="9026"/>
      </w:tabs>
      <w:spacing w:before="0" w:beforeAutospacing="0" w:after="0" w:afterAutospacing="0" w:line="240" w:lineRule="auto"/>
      <w:jc w:val="left"/>
    </w:pPr>
    <w:rPr>
      <w:rFonts w:asciiTheme="minorHAnsi" w:hAnsiTheme="minorHAnsi"/>
      <w:sz w:val="24"/>
    </w:rPr>
  </w:style>
  <w:style w:type="character" w:customStyle="1" w:styleId="FooterChar">
    <w:name w:val="Footer Char"/>
    <w:basedOn w:val="DefaultParagraphFont"/>
    <w:link w:val="Footer"/>
    <w:uiPriority w:val="99"/>
    <w:rsid w:val="000F0918"/>
    <w:rPr>
      <w:rFonts w:asciiTheme="minorHAnsi" w:hAnsiTheme="minorHAnsi" w:cstheme="minorBidi"/>
      <w:kern w:val="2"/>
      <w:sz w:val="24"/>
      <w:szCs w:val="24"/>
      <w14:ligatures w14:val="standardContextual"/>
    </w:rPr>
  </w:style>
  <w:style w:type="paragraph" w:styleId="Header">
    <w:name w:val="header"/>
    <w:basedOn w:val="Normal"/>
    <w:link w:val="HeaderChar"/>
    <w:uiPriority w:val="99"/>
    <w:unhideWhenUsed/>
    <w:rsid w:val="00AC61F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C61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5617">
      <w:bodyDiv w:val="1"/>
      <w:marLeft w:val="0"/>
      <w:marRight w:val="0"/>
      <w:marTop w:val="0"/>
      <w:marBottom w:val="0"/>
      <w:divBdr>
        <w:top w:val="none" w:sz="0" w:space="0" w:color="auto"/>
        <w:left w:val="none" w:sz="0" w:space="0" w:color="auto"/>
        <w:bottom w:val="none" w:sz="0" w:space="0" w:color="auto"/>
        <w:right w:val="none" w:sz="0" w:space="0" w:color="auto"/>
      </w:divBdr>
    </w:div>
    <w:div w:id="3291851">
      <w:bodyDiv w:val="1"/>
      <w:marLeft w:val="0"/>
      <w:marRight w:val="0"/>
      <w:marTop w:val="0"/>
      <w:marBottom w:val="0"/>
      <w:divBdr>
        <w:top w:val="none" w:sz="0" w:space="0" w:color="auto"/>
        <w:left w:val="none" w:sz="0" w:space="0" w:color="auto"/>
        <w:bottom w:val="none" w:sz="0" w:space="0" w:color="auto"/>
        <w:right w:val="none" w:sz="0" w:space="0" w:color="auto"/>
      </w:divBdr>
    </w:div>
    <w:div w:id="7145459">
      <w:bodyDiv w:val="1"/>
      <w:marLeft w:val="0"/>
      <w:marRight w:val="0"/>
      <w:marTop w:val="0"/>
      <w:marBottom w:val="0"/>
      <w:divBdr>
        <w:top w:val="none" w:sz="0" w:space="0" w:color="auto"/>
        <w:left w:val="none" w:sz="0" w:space="0" w:color="auto"/>
        <w:bottom w:val="none" w:sz="0" w:space="0" w:color="auto"/>
        <w:right w:val="none" w:sz="0" w:space="0" w:color="auto"/>
      </w:divBdr>
    </w:div>
    <w:div w:id="9988890">
      <w:bodyDiv w:val="1"/>
      <w:marLeft w:val="0"/>
      <w:marRight w:val="0"/>
      <w:marTop w:val="0"/>
      <w:marBottom w:val="0"/>
      <w:divBdr>
        <w:top w:val="none" w:sz="0" w:space="0" w:color="auto"/>
        <w:left w:val="none" w:sz="0" w:space="0" w:color="auto"/>
        <w:bottom w:val="none" w:sz="0" w:space="0" w:color="auto"/>
        <w:right w:val="none" w:sz="0" w:space="0" w:color="auto"/>
      </w:divBdr>
    </w:div>
    <w:div w:id="10037790">
      <w:bodyDiv w:val="1"/>
      <w:marLeft w:val="0"/>
      <w:marRight w:val="0"/>
      <w:marTop w:val="0"/>
      <w:marBottom w:val="0"/>
      <w:divBdr>
        <w:top w:val="none" w:sz="0" w:space="0" w:color="auto"/>
        <w:left w:val="none" w:sz="0" w:space="0" w:color="auto"/>
        <w:bottom w:val="none" w:sz="0" w:space="0" w:color="auto"/>
        <w:right w:val="none" w:sz="0" w:space="0" w:color="auto"/>
      </w:divBdr>
    </w:div>
    <w:div w:id="10424705">
      <w:bodyDiv w:val="1"/>
      <w:marLeft w:val="0"/>
      <w:marRight w:val="0"/>
      <w:marTop w:val="0"/>
      <w:marBottom w:val="0"/>
      <w:divBdr>
        <w:top w:val="none" w:sz="0" w:space="0" w:color="auto"/>
        <w:left w:val="none" w:sz="0" w:space="0" w:color="auto"/>
        <w:bottom w:val="none" w:sz="0" w:space="0" w:color="auto"/>
        <w:right w:val="none" w:sz="0" w:space="0" w:color="auto"/>
      </w:divBdr>
    </w:div>
    <w:div w:id="13776696">
      <w:bodyDiv w:val="1"/>
      <w:marLeft w:val="0"/>
      <w:marRight w:val="0"/>
      <w:marTop w:val="0"/>
      <w:marBottom w:val="0"/>
      <w:divBdr>
        <w:top w:val="none" w:sz="0" w:space="0" w:color="auto"/>
        <w:left w:val="none" w:sz="0" w:space="0" w:color="auto"/>
        <w:bottom w:val="none" w:sz="0" w:space="0" w:color="auto"/>
        <w:right w:val="none" w:sz="0" w:space="0" w:color="auto"/>
      </w:divBdr>
    </w:div>
    <w:div w:id="15272340">
      <w:bodyDiv w:val="1"/>
      <w:marLeft w:val="0"/>
      <w:marRight w:val="0"/>
      <w:marTop w:val="0"/>
      <w:marBottom w:val="0"/>
      <w:divBdr>
        <w:top w:val="none" w:sz="0" w:space="0" w:color="auto"/>
        <w:left w:val="none" w:sz="0" w:space="0" w:color="auto"/>
        <w:bottom w:val="none" w:sz="0" w:space="0" w:color="auto"/>
        <w:right w:val="none" w:sz="0" w:space="0" w:color="auto"/>
      </w:divBdr>
    </w:div>
    <w:div w:id="15355448">
      <w:bodyDiv w:val="1"/>
      <w:marLeft w:val="0"/>
      <w:marRight w:val="0"/>
      <w:marTop w:val="0"/>
      <w:marBottom w:val="0"/>
      <w:divBdr>
        <w:top w:val="none" w:sz="0" w:space="0" w:color="auto"/>
        <w:left w:val="none" w:sz="0" w:space="0" w:color="auto"/>
        <w:bottom w:val="none" w:sz="0" w:space="0" w:color="auto"/>
        <w:right w:val="none" w:sz="0" w:space="0" w:color="auto"/>
      </w:divBdr>
    </w:div>
    <w:div w:id="18362873">
      <w:bodyDiv w:val="1"/>
      <w:marLeft w:val="0"/>
      <w:marRight w:val="0"/>
      <w:marTop w:val="0"/>
      <w:marBottom w:val="0"/>
      <w:divBdr>
        <w:top w:val="none" w:sz="0" w:space="0" w:color="auto"/>
        <w:left w:val="none" w:sz="0" w:space="0" w:color="auto"/>
        <w:bottom w:val="none" w:sz="0" w:space="0" w:color="auto"/>
        <w:right w:val="none" w:sz="0" w:space="0" w:color="auto"/>
      </w:divBdr>
    </w:div>
    <w:div w:id="22748904">
      <w:bodyDiv w:val="1"/>
      <w:marLeft w:val="0"/>
      <w:marRight w:val="0"/>
      <w:marTop w:val="0"/>
      <w:marBottom w:val="0"/>
      <w:divBdr>
        <w:top w:val="none" w:sz="0" w:space="0" w:color="auto"/>
        <w:left w:val="none" w:sz="0" w:space="0" w:color="auto"/>
        <w:bottom w:val="none" w:sz="0" w:space="0" w:color="auto"/>
        <w:right w:val="none" w:sz="0" w:space="0" w:color="auto"/>
      </w:divBdr>
    </w:div>
    <w:div w:id="27029586">
      <w:bodyDiv w:val="1"/>
      <w:marLeft w:val="0"/>
      <w:marRight w:val="0"/>
      <w:marTop w:val="0"/>
      <w:marBottom w:val="0"/>
      <w:divBdr>
        <w:top w:val="none" w:sz="0" w:space="0" w:color="auto"/>
        <w:left w:val="none" w:sz="0" w:space="0" w:color="auto"/>
        <w:bottom w:val="none" w:sz="0" w:space="0" w:color="auto"/>
        <w:right w:val="none" w:sz="0" w:space="0" w:color="auto"/>
      </w:divBdr>
    </w:div>
    <w:div w:id="30498313">
      <w:bodyDiv w:val="1"/>
      <w:marLeft w:val="0"/>
      <w:marRight w:val="0"/>
      <w:marTop w:val="0"/>
      <w:marBottom w:val="0"/>
      <w:divBdr>
        <w:top w:val="none" w:sz="0" w:space="0" w:color="auto"/>
        <w:left w:val="none" w:sz="0" w:space="0" w:color="auto"/>
        <w:bottom w:val="none" w:sz="0" w:space="0" w:color="auto"/>
        <w:right w:val="none" w:sz="0" w:space="0" w:color="auto"/>
      </w:divBdr>
    </w:div>
    <w:div w:id="32930679">
      <w:bodyDiv w:val="1"/>
      <w:marLeft w:val="0"/>
      <w:marRight w:val="0"/>
      <w:marTop w:val="0"/>
      <w:marBottom w:val="0"/>
      <w:divBdr>
        <w:top w:val="none" w:sz="0" w:space="0" w:color="auto"/>
        <w:left w:val="none" w:sz="0" w:space="0" w:color="auto"/>
        <w:bottom w:val="none" w:sz="0" w:space="0" w:color="auto"/>
        <w:right w:val="none" w:sz="0" w:space="0" w:color="auto"/>
      </w:divBdr>
    </w:div>
    <w:div w:id="33236293">
      <w:bodyDiv w:val="1"/>
      <w:marLeft w:val="0"/>
      <w:marRight w:val="0"/>
      <w:marTop w:val="0"/>
      <w:marBottom w:val="0"/>
      <w:divBdr>
        <w:top w:val="none" w:sz="0" w:space="0" w:color="auto"/>
        <w:left w:val="none" w:sz="0" w:space="0" w:color="auto"/>
        <w:bottom w:val="none" w:sz="0" w:space="0" w:color="auto"/>
        <w:right w:val="none" w:sz="0" w:space="0" w:color="auto"/>
      </w:divBdr>
    </w:div>
    <w:div w:id="33775858">
      <w:bodyDiv w:val="1"/>
      <w:marLeft w:val="0"/>
      <w:marRight w:val="0"/>
      <w:marTop w:val="0"/>
      <w:marBottom w:val="0"/>
      <w:divBdr>
        <w:top w:val="none" w:sz="0" w:space="0" w:color="auto"/>
        <w:left w:val="none" w:sz="0" w:space="0" w:color="auto"/>
        <w:bottom w:val="none" w:sz="0" w:space="0" w:color="auto"/>
        <w:right w:val="none" w:sz="0" w:space="0" w:color="auto"/>
      </w:divBdr>
    </w:div>
    <w:div w:id="37628200">
      <w:bodyDiv w:val="1"/>
      <w:marLeft w:val="0"/>
      <w:marRight w:val="0"/>
      <w:marTop w:val="0"/>
      <w:marBottom w:val="0"/>
      <w:divBdr>
        <w:top w:val="none" w:sz="0" w:space="0" w:color="auto"/>
        <w:left w:val="none" w:sz="0" w:space="0" w:color="auto"/>
        <w:bottom w:val="none" w:sz="0" w:space="0" w:color="auto"/>
        <w:right w:val="none" w:sz="0" w:space="0" w:color="auto"/>
      </w:divBdr>
    </w:div>
    <w:div w:id="38676625">
      <w:bodyDiv w:val="1"/>
      <w:marLeft w:val="0"/>
      <w:marRight w:val="0"/>
      <w:marTop w:val="0"/>
      <w:marBottom w:val="0"/>
      <w:divBdr>
        <w:top w:val="none" w:sz="0" w:space="0" w:color="auto"/>
        <w:left w:val="none" w:sz="0" w:space="0" w:color="auto"/>
        <w:bottom w:val="none" w:sz="0" w:space="0" w:color="auto"/>
        <w:right w:val="none" w:sz="0" w:space="0" w:color="auto"/>
      </w:divBdr>
    </w:div>
    <w:div w:id="39017170">
      <w:bodyDiv w:val="1"/>
      <w:marLeft w:val="0"/>
      <w:marRight w:val="0"/>
      <w:marTop w:val="0"/>
      <w:marBottom w:val="0"/>
      <w:divBdr>
        <w:top w:val="none" w:sz="0" w:space="0" w:color="auto"/>
        <w:left w:val="none" w:sz="0" w:space="0" w:color="auto"/>
        <w:bottom w:val="none" w:sz="0" w:space="0" w:color="auto"/>
        <w:right w:val="none" w:sz="0" w:space="0" w:color="auto"/>
      </w:divBdr>
    </w:div>
    <w:div w:id="44111522">
      <w:bodyDiv w:val="1"/>
      <w:marLeft w:val="0"/>
      <w:marRight w:val="0"/>
      <w:marTop w:val="0"/>
      <w:marBottom w:val="0"/>
      <w:divBdr>
        <w:top w:val="none" w:sz="0" w:space="0" w:color="auto"/>
        <w:left w:val="none" w:sz="0" w:space="0" w:color="auto"/>
        <w:bottom w:val="none" w:sz="0" w:space="0" w:color="auto"/>
        <w:right w:val="none" w:sz="0" w:space="0" w:color="auto"/>
      </w:divBdr>
    </w:div>
    <w:div w:id="45181747">
      <w:bodyDiv w:val="1"/>
      <w:marLeft w:val="0"/>
      <w:marRight w:val="0"/>
      <w:marTop w:val="0"/>
      <w:marBottom w:val="0"/>
      <w:divBdr>
        <w:top w:val="none" w:sz="0" w:space="0" w:color="auto"/>
        <w:left w:val="none" w:sz="0" w:space="0" w:color="auto"/>
        <w:bottom w:val="none" w:sz="0" w:space="0" w:color="auto"/>
        <w:right w:val="none" w:sz="0" w:space="0" w:color="auto"/>
      </w:divBdr>
    </w:div>
    <w:div w:id="49882888">
      <w:bodyDiv w:val="1"/>
      <w:marLeft w:val="0"/>
      <w:marRight w:val="0"/>
      <w:marTop w:val="0"/>
      <w:marBottom w:val="0"/>
      <w:divBdr>
        <w:top w:val="none" w:sz="0" w:space="0" w:color="auto"/>
        <w:left w:val="none" w:sz="0" w:space="0" w:color="auto"/>
        <w:bottom w:val="none" w:sz="0" w:space="0" w:color="auto"/>
        <w:right w:val="none" w:sz="0" w:space="0" w:color="auto"/>
      </w:divBdr>
    </w:div>
    <w:div w:id="50428326">
      <w:bodyDiv w:val="1"/>
      <w:marLeft w:val="0"/>
      <w:marRight w:val="0"/>
      <w:marTop w:val="0"/>
      <w:marBottom w:val="0"/>
      <w:divBdr>
        <w:top w:val="none" w:sz="0" w:space="0" w:color="auto"/>
        <w:left w:val="none" w:sz="0" w:space="0" w:color="auto"/>
        <w:bottom w:val="none" w:sz="0" w:space="0" w:color="auto"/>
        <w:right w:val="none" w:sz="0" w:space="0" w:color="auto"/>
      </w:divBdr>
    </w:div>
    <w:div w:id="50463853">
      <w:bodyDiv w:val="1"/>
      <w:marLeft w:val="0"/>
      <w:marRight w:val="0"/>
      <w:marTop w:val="0"/>
      <w:marBottom w:val="0"/>
      <w:divBdr>
        <w:top w:val="none" w:sz="0" w:space="0" w:color="auto"/>
        <w:left w:val="none" w:sz="0" w:space="0" w:color="auto"/>
        <w:bottom w:val="none" w:sz="0" w:space="0" w:color="auto"/>
        <w:right w:val="none" w:sz="0" w:space="0" w:color="auto"/>
      </w:divBdr>
    </w:div>
    <w:div w:id="53696910">
      <w:bodyDiv w:val="1"/>
      <w:marLeft w:val="0"/>
      <w:marRight w:val="0"/>
      <w:marTop w:val="0"/>
      <w:marBottom w:val="0"/>
      <w:divBdr>
        <w:top w:val="none" w:sz="0" w:space="0" w:color="auto"/>
        <w:left w:val="none" w:sz="0" w:space="0" w:color="auto"/>
        <w:bottom w:val="none" w:sz="0" w:space="0" w:color="auto"/>
        <w:right w:val="none" w:sz="0" w:space="0" w:color="auto"/>
      </w:divBdr>
    </w:div>
    <w:div w:id="53697683">
      <w:bodyDiv w:val="1"/>
      <w:marLeft w:val="0"/>
      <w:marRight w:val="0"/>
      <w:marTop w:val="0"/>
      <w:marBottom w:val="0"/>
      <w:divBdr>
        <w:top w:val="none" w:sz="0" w:space="0" w:color="auto"/>
        <w:left w:val="none" w:sz="0" w:space="0" w:color="auto"/>
        <w:bottom w:val="none" w:sz="0" w:space="0" w:color="auto"/>
        <w:right w:val="none" w:sz="0" w:space="0" w:color="auto"/>
      </w:divBdr>
    </w:div>
    <w:div w:id="59060291">
      <w:bodyDiv w:val="1"/>
      <w:marLeft w:val="0"/>
      <w:marRight w:val="0"/>
      <w:marTop w:val="0"/>
      <w:marBottom w:val="0"/>
      <w:divBdr>
        <w:top w:val="none" w:sz="0" w:space="0" w:color="auto"/>
        <w:left w:val="none" w:sz="0" w:space="0" w:color="auto"/>
        <w:bottom w:val="none" w:sz="0" w:space="0" w:color="auto"/>
        <w:right w:val="none" w:sz="0" w:space="0" w:color="auto"/>
      </w:divBdr>
    </w:div>
    <w:div w:id="61417126">
      <w:bodyDiv w:val="1"/>
      <w:marLeft w:val="0"/>
      <w:marRight w:val="0"/>
      <w:marTop w:val="0"/>
      <w:marBottom w:val="0"/>
      <w:divBdr>
        <w:top w:val="none" w:sz="0" w:space="0" w:color="auto"/>
        <w:left w:val="none" w:sz="0" w:space="0" w:color="auto"/>
        <w:bottom w:val="none" w:sz="0" w:space="0" w:color="auto"/>
        <w:right w:val="none" w:sz="0" w:space="0" w:color="auto"/>
      </w:divBdr>
    </w:div>
    <w:div w:id="63261858">
      <w:bodyDiv w:val="1"/>
      <w:marLeft w:val="0"/>
      <w:marRight w:val="0"/>
      <w:marTop w:val="0"/>
      <w:marBottom w:val="0"/>
      <w:divBdr>
        <w:top w:val="none" w:sz="0" w:space="0" w:color="auto"/>
        <w:left w:val="none" w:sz="0" w:space="0" w:color="auto"/>
        <w:bottom w:val="none" w:sz="0" w:space="0" w:color="auto"/>
        <w:right w:val="none" w:sz="0" w:space="0" w:color="auto"/>
      </w:divBdr>
    </w:div>
    <w:div w:id="64112583">
      <w:bodyDiv w:val="1"/>
      <w:marLeft w:val="0"/>
      <w:marRight w:val="0"/>
      <w:marTop w:val="0"/>
      <w:marBottom w:val="0"/>
      <w:divBdr>
        <w:top w:val="none" w:sz="0" w:space="0" w:color="auto"/>
        <w:left w:val="none" w:sz="0" w:space="0" w:color="auto"/>
        <w:bottom w:val="none" w:sz="0" w:space="0" w:color="auto"/>
        <w:right w:val="none" w:sz="0" w:space="0" w:color="auto"/>
      </w:divBdr>
    </w:div>
    <w:div w:id="66266594">
      <w:bodyDiv w:val="1"/>
      <w:marLeft w:val="0"/>
      <w:marRight w:val="0"/>
      <w:marTop w:val="0"/>
      <w:marBottom w:val="0"/>
      <w:divBdr>
        <w:top w:val="none" w:sz="0" w:space="0" w:color="auto"/>
        <w:left w:val="none" w:sz="0" w:space="0" w:color="auto"/>
        <w:bottom w:val="none" w:sz="0" w:space="0" w:color="auto"/>
        <w:right w:val="none" w:sz="0" w:space="0" w:color="auto"/>
      </w:divBdr>
    </w:div>
    <w:div w:id="71195968">
      <w:bodyDiv w:val="1"/>
      <w:marLeft w:val="0"/>
      <w:marRight w:val="0"/>
      <w:marTop w:val="0"/>
      <w:marBottom w:val="0"/>
      <w:divBdr>
        <w:top w:val="none" w:sz="0" w:space="0" w:color="auto"/>
        <w:left w:val="none" w:sz="0" w:space="0" w:color="auto"/>
        <w:bottom w:val="none" w:sz="0" w:space="0" w:color="auto"/>
        <w:right w:val="none" w:sz="0" w:space="0" w:color="auto"/>
      </w:divBdr>
    </w:div>
    <w:div w:id="71976502">
      <w:bodyDiv w:val="1"/>
      <w:marLeft w:val="0"/>
      <w:marRight w:val="0"/>
      <w:marTop w:val="0"/>
      <w:marBottom w:val="0"/>
      <w:divBdr>
        <w:top w:val="none" w:sz="0" w:space="0" w:color="auto"/>
        <w:left w:val="none" w:sz="0" w:space="0" w:color="auto"/>
        <w:bottom w:val="none" w:sz="0" w:space="0" w:color="auto"/>
        <w:right w:val="none" w:sz="0" w:space="0" w:color="auto"/>
      </w:divBdr>
    </w:div>
    <w:div w:id="73284245">
      <w:bodyDiv w:val="1"/>
      <w:marLeft w:val="0"/>
      <w:marRight w:val="0"/>
      <w:marTop w:val="0"/>
      <w:marBottom w:val="0"/>
      <w:divBdr>
        <w:top w:val="none" w:sz="0" w:space="0" w:color="auto"/>
        <w:left w:val="none" w:sz="0" w:space="0" w:color="auto"/>
        <w:bottom w:val="none" w:sz="0" w:space="0" w:color="auto"/>
        <w:right w:val="none" w:sz="0" w:space="0" w:color="auto"/>
      </w:divBdr>
    </w:div>
    <w:div w:id="75131858">
      <w:bodyDiv w:val="1"/>
      <w:marLeft w:val="0"/>
      <w:marRight w:val="0"/>
      <w:marTop w:val="0"/>
      <w:marBottom w:val="0"/>
      <w:divBdr>
        <w:top w:val="none" w:sz="0" w:space="0" w:color="auto"/>
        <w:left w:val="none" w:sz="0" w:space="0" w:color="auto"/>
        <w:bottom w:val="none" w:sz="0" w:space="0" w:color="auto"/>
        <w:right w:val="none" w:sz="0" w:space="0" w:color="auto"/>
      </w:divBdr>
    </w:div>
    <w:div w:id="80757317">
      <w:bodyDiv w:val="1"/>
      <w:marLeft w:val="0"/>
      <w:marRight w:val="0"/>
      <w:marTop w:val="0"/>
      <w:marBottom w:val="0"/>
      <w:divBdr>
        <w:top w:val="none" w:sz="0" w:space="0" w:color="auto"/>
        <w:left w:val="none" w:sz="0" w:space="0" w:color="auto"/>
        <w:bottom w:val="none" w:sz="0" w:space="0" w:color="auto"/>
        <w:right w:val="none" w:sz="0" w:space="0" w:color="auto"/>
      </w:divBdr>
    </w:div>
    <w:div w:id="81532837">
      <w:bodyDiv w:val="1"/>
      <w:marLeft w:val="0"/>
      <w:marRight w:val="0"/>
      <w:marTop w:val="0"/>
      <w:marBottom w:val="0"/>
      <w:divBdr>
        <w:top w:val="none" w:sz="0" w:space="0" w:color="auto"/>
        <w:left w:val="none" w:sz="0" w:space="0" w:color="auto"/>
        <w:bottom w:val="none" w:sz="0" w:space="0" w:color="auto"/>
        <w:right w:val="none" w:sz="0" w:space="0" w:color="auto"/>
      </w:divBdr>
    </w:div>
    <w:div w:id="84765809">
      <w:bodyDiv w:val="1"/>
      <w:marLeft w:val="0"/>
      <w:marRight w:val="0"/>
      <w:marTop w:val="0"/>
      <w:marBottom w:val="0"/>
      <w:divBdr>
        <w:top w:val="none" w:sz="0" w:space="0" w:color="auto"/>
        <w:left w:val="none" w:sz="0" w:space="0" w:color="auto"/>
        <w:bottom w:val="none" w:sz="0" w:space="0" w:color="auto"/>
        <w:right w:val="none" w:sz="0" w:space="0" w:color="auto"/>
      </w:divBdr>
    </w:div>
    <w:div w:id="93138827">
      <w:bodyDiv w:val="1"/>
      <w:marLeft w:val="0"/>
      <w:marRight w:val="0"/>
      <w:marTop w:val="0"/>
      <w:marBottom w:val="0"/>
      <w:divBdr>
        <w:top w:val="none" w:sz="0" w:space="0" w:color="auto"/>
        <w:left w:val="none" w:sz="0" w:space="0" w:color="auto"/>
        <w:bottom w:val="none" w:sz="0" w:space="0" w:color="auto"/>
        <w:right w:val="none" w:sz="0" w:space="0" w:color="auto"/>
      </w:divBdr>
    </w:div>
    <w:div w:id="94593024">
      <w:bodyDiv w:val="1"/>
      <w:marLeft w:val="0"/>
      <w:marRight w:val="0"/>
      <w:marTop w:val="0"/>
      <w:marBottom w:val="0"/>
      <w:divBdr>
        <w:top w:val="none" w:sz="0" w:space="0" w:color="auto"/>
        <w:left w:val="none" w:sz="0" w:space="0" w:color="auto"/>
        <w:bottom w:val="none" w:sz="0" w:space="0" w:color="auto"/>
        <w:right w:val="none" w:sz="0" w:space="0" w:color="auto"/>
      </w:divBdr>
    </w:div>
    <w:div w:id="99879681">
      <w:bodyDiv w:val="1"/>
      <w:marLeft w:val="0"/>
      <w:marRight w:val="0"/>
      <w:marTop w:val="0"/>
      <w:marBottom w:val="0"/>
      <w:divBdr>
        <w:top w:val="none" w:sz="0" w:space="0" w:color="auto"/>
        <w:left w:val="none" w:sz="0" w:space="0" w:color="auto"/>
        <w:bottom w:val="none" w:sz="0" w:space="0" w:color="auto"/>
        <w:right w:val="none" w:sz="0" w:space="0" w:color="auto"/>
      </w:divBdr>
    </w:div>
    <w:div w:id="106851455">
      <w:bodyDiv w:val="1"/>
      <w:marLeft w:val="0"/>
      <w:marRight w:val="0"/>
      <w:marTop w:val="0"/>
      <w:marBottom w:val="0"/>
      <w:divBdr>
        <w:top w:val="none" w:sz="0" w:space="0" w:color="auto"/>
        <w:left w:val="none" w:sz="0" w:space="0" w:color="auto"/>
        <w:bottom w:val="none" w:sz="0" w:space="0" w:color="auto"/>
        <w:right w:val="none" w:sz="0" w:space="0" w:color="auto"/>
      </w:divBdr>
    </w:div>
    <w:div w:id="108090506">
      <w:bodyDiv w:val="1"/>
      <w:marLeft w:val="0"/>
      <w:marRight w:val="0"/>
      <w:marTop w:val="0"/>
      <w:marBottom w:val="0"/>
      <w:divBdr>
        <w:top w:val="none" w:sz="0" w:space="0" w:color="auto"/>
        <w:left w:val="none" w:sz="0" w:space="0" w:color="auto"/>
        <w:bottom w:val="none" w:sz="0" w:space="0" w:color="auto"/>
        <w:right w:val="none" w:sz="0" w:space="0" w:color="auto"/>
      </w:divBdr>
    </w:div>
    <w:div w:id="109864987">
      <w:bodyDiv w:val="1"/>
      <w:marLeft w:val="0"/>
      <w:marRight w:val="0"/>
      <w:marTop w:val="0"/>
      <w:marBottom w:val="0"/>
      <w:divBdr>
        <w:top w:val="none" w:sz="0" w:space="0" w:color="auto"/>
        <w:left w:val="none" w:sz="0" w:space="0" w:color="auto"/>
        <w:bottom w:val="none" w:sz="0" w:space="0" w:color="auto"/>
        <w:right w:val="none" w:sz="0" w:space="0" w:color="auto"/>
      </w:divBdr>
    </w:div>
    <w:div w:id="114060190">
      <w:bodyDiv w:val="1"/>
      <w:marLeft w:val="0"/>
      <w:marRight w:val="0"/>
      <w:marTop w:val="0"/>
      <w:marBottom w:val="0"/>
      <w:divBdr>
        <w:top w:val="none" w:sz="0" w:space="0" w:color="auto"/>
        <w:left w:val="none" w:sz="0" w:space="0" w:color="auto"/>
        <w:bottom w:val="none" w:sz="0" w:space="0" w:color="auto"/>
        <w:right w:val="none" w:sz="0" w:space="0" w:color="auto"/>
      </w:divBdr>
    </w:div>
    <w:div w:id="114368690">
      <w:bodyDiv w:val="1"/>
      <w:marLeft w:val="0"/>
      <w:marRight w:val="0"/>
      <w:marTop w:val="0"/>
      <w:marBottom w:val="0"/>
      <w:divBdr>
        <w:top w:val="none" w:sz="0" w:space="0" w:color="auto"/>
        <w:left w:val="none" w:sz="0" w:space="0" w:color="auto"/>
        <w:bottom w:val="none" w:sz="0" w:space="0" w:color="auto"/>
        <w:right w:val="none" w:sz="0" w:space="0" w:color="auto"/>
      </w:divBdr>
    </w:div>
    <w:div w:id="116721935">
      <w:bodyDiv w:val="1"/>
      <w:marLeft w:val="0"/>
      <w:marRight w:val="0"/>
      <w:marTop w:val="0"/>
      <w:marBottom w:val="0"/>
      <w:divBdr>
        <w:top w:val="none" w:sz="0" w:space="0" w:color="auto"/>
        <w:left w:val="none" w:sz="0" w:space="0" w:color="auto"/>
        <w:bottom w:val="none" w:sz="0" w:space="0" w:color="auto"/>
        <w:right w:val="none" w:sz="0" w:space="0" w:color="auto"/>
      </w:divBdr>
    </w:div>
    <w:div w:id="117800013">
      <w:bodyDiv w:val="1"/>
      <w:marLeft w:val="0"/>
      <w:marRight w:val="0"/>
      <w:marTop w:val="0"/>
      <w:marBottom w:val="0"/>
      <w:divBdr>
        <w:top w:val="none" w:sz="0" w:space="0" w:color="auto"/>
        <w:left w:val="none" w:sz="0" w:space="0" w:color="auto"/>
        <w:bottom w:val="none" w:sz="0" w:space="0" w:color="auto"/>
        <w:right w:val="none" w:sz="0" w:space="0" w:color="auto"/>
      </w:divBdr>
    </w:div>
    <w:div w:id="120655324">
      <w:bodyDiv w:val="1"/>
      <w:marLeft w:val="0"/>
      <w:marRight w:val="0"/>
      <w:marTop w:val="0"/>
      <w:marBottom w:val="0"/>
      <w:divBdr>
        <w:top w:val="none" w:sz="0" w:space="0" w:color="auto"/>
        <w:left w:val="none" w:sz="0" w:space="0" w:color="auto"/>
        <w:bottom w:val="none" w:sz="0" w:space="0" w:color="auto"/>
        <w:right w:val="none" w:sz="0" w:space="0" w:color="auto"/>
      </w:divBdr>
    </w:div>
    <w:div w:id="120803062">
      <w:bodyDiv w:val="1"/>
      <w:marLeft w:val="0"/>
      <w:marRight w:val="0"/>
      <w:marTop w:val="0"/>
      <w:marBottom w:val="0"/>
      <w:divBdr>
        <w:top w:val="none" w:sz="0" w:space="0" w:color="auto"/>
        <w:left w:val="none" w:sz="0" w:space="0" w:color="auto"/>
        <w:bottom w:val="none" w:sz="0" w:space="0" w:color="auto"/>
        <w:right w:val="none" w:sz="0" w:space="0" w:color="auto"/>
      </w:divBdr>
    </w:div>
    <w:div w:id="123545557">
      <w:bodyDiv w:val="1"/>
      <w:marLeft w:val="0"/>
      <w:marRight w:val="0"/>
      <w:marTop w:val="0"/>
      <w:marBottom w:val="0"/>
      <w:divBdr>
        <w:top w:val="none" w:sz="0" w:space="0" w:color="auto"/>
        <w:left w:val="none" w:sz="0" w:space="0" w:color="auto"/>
        <w:bottom w:val="none" w:sz="0" w:space="0" w:color="auto"/>
        <w:right w:val="none" w:sz="0" w:space="0" w:color="auto"/>
      </w:divBdr>
    </w:div>
    <w:div w:id="125052332">
      <w:bodyDiv w:val="1"/>
      <w:marLeft w:val="0"/>
      <w:marRight w:val="0"/>
      <w:marTop w:val="0"/>
      <w:marBottom w:val="0"/>
      <w:divBdr>
        <w:top w:val="none" w:sz="0" w:space="0" w:color="auto"/>
        <w:left w:val="none" w:sz="0" w:space="0" w:color="auto"/>
        <w:bottom w:val="none" w:sz="0" w:space="0" w:color="auto"/>
        <w:right w:val="none" w:sz="0" w:space="0" w:color="auto"/>
      </w:divBdr>
    </w:div>
    <w:div w:id="128599200">
      <w:bodyDiv w:val="1"/>
      <w:marLeft w:val="0"/>
      <w:marRight w:val="0"/>
      <w:marTop w:val="0"/>
      <w:marBottom w:val="0"/>
      <w:divBdr>
        <w:top w:val="none" w:sz="0" w:space="0" w:color="auto"/>
        <w:left w:val="none" w:sz="0" w:space="0" w:color="auto"/>
        <w:bottom w:val="none" w:sz="0" w:space="0" w:color="auto"/>
        <w:right w:val="none" w:sz="0" w:space="0" w:color="auto"/>
      </w:divBdr>
    </w:div>
    <w:div w:id="129328970">
      <w:bodyDiv w:val="1"/>
      <w:marLeft w:val="0"/>
      <w:marRight w:val="0"/>
      <w:marTop w:val="0"/>
      <w:marBottom w:val="0"/>
      <w:divBdr>
        <w:top w:val="none" w:sz="0" w:space="0" w:color="auto"/>
        <w:left w:val="none" w:sz="0" w:space="0" w:color="auto"/>
        <w:bottom w:val="none" w:sz="0" w:space="0" w:color="auto"/>
        <w:right w:val="none" w:sz="0" w:space="0" w:color="auto"/>
      </w:divBdr>
    </w:div>
    <w:div w:id="130296152">
      <w:bodyDiv w:val="1"/>
      <w:marLeft w:val="0"/>
      <w:marRight w:val="0"/>
      <w:marTop w:val="0"/>
      <w:marBottom w:val="0"/>
      <w:divBdr>
        <w:top w:val="none" w:sz="0" w:space="0" w:color="auto"/>
        <w:left w:val="none" w:sz="0" w:space="0" w:color="auto"/>
        <w:bottom w:val="none" w:sz="0" w:space="0" w:color="auto"/>
        <w:right w:val="none" w:sz="0" w:space="0" w:color="auto"/>
      </w:divBdr>
    </w:div>
    <w:div w:id="131676947">
      <w:bodyDiv w:val="1"/>
      <w:marLeft w:val="0"/>
      <w:marRight w:val="0"/>
      <w:marTop w:val="0"/>
      <w:marBottom w:val="0"/>
      <w:divBdr>
        <w:top w:val="none" w:sz="0" w:space="0" w:color="auto"/>
        <w:left w:val="none" w:sz="0" w:space="0" w:color="auto"/>
        <w:bottom w:val="none" w:sz="0" w:space="0" w:color="auto"/>
        <w:right w:val="none" w:sz="0" w:space="0" w:color="auto"/>
      </w:divBdr>
    </w:div>
    <w:div w:id="134808771">
      <w:bodyDiv w:val="1"/>
      <w:marLeft w:val="0"/>
      <w:marRight w:val="0"/>
      <w:marTop w:val="0"/>
      <w:marBottom w:val="0"/>
      <w:divBdr>
        <w:top w:val="none" w:sz="0" w:space="0" w:color="auto"/>
        <w:left w:val="none" w:sz="0" w:space="0" w:color="auto"/>
        <w:bottom w:val="none" w:sz="0" w:space="0" w:color="auto"/>
        <w:right w:val="none" w:sz="0" w:space="0" w:color="auto"/>
      </w:divBdr>
    </w:div>
    <w:div w:id="135728185">
      <w:bodyDiv w:val="1"/>
      <w:marLeft w:val="0"/>
      <w:marRight w:val="0"/>
      <w:marTop w:val="0"/>
      <w:marBottom w:val="0"/>
      <w:divBdr>
        <w:top w:val="none" w:sz="0" w:space="0" w:color="auto"/>
        <w:left w:val="none" w:sz="0" w:space="0" w:color="auto"/>
        <w:bottom w:val="none" w:sz="0" w:space="0" w:color="auto"/>
        <w:right w:val="none" w:sz="0" w:space="0" w:color="auto"/>
      </w:divBdr>
    </w:div>
    <w:div w:id="138771186">
      <w:bodyDiv w:val="1"/>
      <w:marLeft w:val="0"/>
      <w:marRight w:val="0"/>
      <w:marTop w:val="0"/>
      <w:marBottom w:val="0"/>
      <w:divBdr>
        <w:top w:val="none" w:sz="0" w:space="0" w:color="auto"/>
        <w:left w:val="none" w:sz="0" w:space="0" w:color="auto"/>
        <w:bottom w:val="none" w:sz="0" w:space="0" w:color="auto"/>
        <w:right w:val="none" w:sz="0" w:space="0" w:color="auto"/>
      </w:divBdr>
    </w:div>
    <w:div w:id="141625134">
      <w:bodyDiv w:val="1"/>
      <w:marLeft w:val="0"/>
      <w:marRight w:val="0"/>
      <w:marTop w:val="0"/>
      <w:marBottom w:val="0"/>
      <w:divBdr>
        <w:top w:val="none" w:sz="0" w:space="0" w:color="auto"/>
        <w:left w:val="none" w:sz="0" w:space="0" w:color="auto"/>
        <w:bottom w:val="none" w:sz="0" w:space="0" w:color="auto"/>
        <w:right w:val="none" w:sz="0" w:space="0" w:color="auto"/>
      </w:divBdr>
    </w:div>
    <w:div w:id="144204734">
      <w:bodyDiv w:val="1"/>
      <w:marLeft w:val="0"/>
      <w:marRight w:val="0"/>
      <w:marTop w:val="0"/>
      <w:marBottom w:val="0"/>
      <w:divBdr>
        <w:top w:val="none" w:sz="0" w:space="0" w:color="auto"/>
        <w:left w:val="none" w:sz="0" w:space="0" w:color="auto"/>
        <w:bottom w:val="none" w:sz="0" w:space="0" w:color="auto"/>
        <w:right w:val="none" w:sz="0" w:space="0" w:color="auto"/>
      </w:divBdr>
    </w:div>
    <w:div w:id="148329735">
      <w:bodyDiv w:val="1"/>
      <w:marLeft w:val="0"/>
      <w:marRight w:val="0"/>
      <w:marTop w:val="0"/>
      <w:marBottom w:val="0"/>
      <w:divBdr>
        <w:top w:val="none" w:sz="0" w:space="0" w:color="auto"/>
        <w:left w:val="none" w:sz="0" w:space="0" w:color="auto"/>
        <w:bottom w:val="none" w:sz="0" w:space="0" w:color="auto"/>
        <w:right w:val="none" w:sz="0" w:space="0" w:color="auto"/>
      </w:divBdr>
    </w:div>
    <w:div w:id="156191607">
      <w:bodyDiv w:val="1"/>
      <w:marLeft w:val="0"/>
      <w:marRight w:val="0"/>
      <w:marTop w:val="0"/>
      <w:marBottom w:val="0"/>
      <w:divBdr>
        <w:top w:val="none" w:sz="0" w:space="0" w:color="auto"/>
        <w:left w:val="none" w:sz="0" w:space="0" w:color="auto"/>
        <w:bottom w:val="none" w:sz="0" w:space="0" w:color="auto"/>
        <w:right w:val="none" w:sz="0" w:space="0" w:color="auto"/>
      </w:divBdr>
    </w:div>
    <w:div w:id="156656040">
      <w:bodyDiv w:val="1"/>
      <w:marLeft w:val="0"/>
      <w:marRight w:val="0"/>
      <w:marTop w:val="0"/>
      <w:marBottom w:val="0"/>
      <w:divBdr>
        <w:top w:val="none" w:sz="0" w:space="0" w:color="auto"/>
        <w:left w:val="none" w:sz="0" w:space="0" w:color="auto"/>
        <w:bottom w:val="none" w:sz="0" w:space="0" w:color="auto"/>
        <w:right w:val="none" w:sz="0" w:space="0" w:color="auto"/>
      </w:divBdr>
    </w:div>
    <w:div w:id="157576233">
      <w:bodyDiv w:val="1"/>
      <w:marLeft w:val="0"/>
      <w:marRight w:val="0"/>
      <w:marTop w:val="0"/>
      <w:marBottom w:val="0"/>
      <w:divBdr>
        <w:top w:val="none" w:sz="0" w:space="0" w:color="auto"/>
        <w:left w:val="none" w:sz="0" w:space="0" w:color="auto"/>
        <w:bottom w:val="none" w:sz="0" w:space="0" w:color="auto"/>
        <w:right w:val="none" w:sz="0" w:space="0" w:color="auto"/>
      </w:divBdr>
    </w:div>
    <w:div w:id="159195956">
      <w:bodyDiv w:val="1"/>
      <w:marLeft w:val="0"/>
      <w:marRight w:val="0"/>
      <w:marTop w:val="0"/>
      <w:marBottom w:val="0"/>
      <w:divBdr>
        <w:top w:val="none" w:sz="0" w:space="0" w:color="auto"/>
        <w:left w:val="none" w:sz="0" w:space="0" w:color="auto"/>
        <w:bottom w:val="none" w:sz="0" w:space="0" w:color="auto"/>
        <w:right w:val="none" w:sz="0" w:space="0" w:color="auto"/>
      </w:divBdr>
    </w:div>
    <w:div w:id="160702442">
      <w:bodyDiv w:val="1"/>
      <w:marLeft w:val="0"/>
      <w:marRight w:val="0"/>
      <w:marTop w:val="0"/>
      <w:marBottom w:val="0"/>
      <w:divBdr>
        <w:top w:val="none" w:sz="0" w:space="0" w:color="auto"/>
        <w:left w:val="none" w:sz="0" w:space="0" w:color="auto"/>
        <w:bottom w:val="none" w:sz="0" w:space="0" w:color="auto"/>
        <w:right w:val="none" w:sz="0" w:space="0" w:color="auto"/>
      </w:divBdr>
    </w:div>
    <w:div w:id="161511495">
      <w:bodyDiv w:val="1"/>
      <w:marLeft w:val="0"/>
      <w:marRight w:val="0"/>
      <w:marTop w:val="0"/>
      <w:marBottom w:val="0"/>
      <w:divBdr>
        <w:top w:val="none" w:sz="0" w:space="0" w:color="auto"/>
        <w:left w:val="none" w:sz="0" w:space="0" w:color="auto"/>
        <w:bottom w:val="none" w:sz="0" w:space="0" w:color="auto"/>
        <w:right w:val="none" w:sz="0" w:space="0" w:color="auto"/>
      </w:divBdr>
    </w:div>
    <w:div w:id="161555676">
      <w:bodyDiv w:val="1"/>
      <w:marLeft w:val="0"/>
      <w:marRight w:val="0"/>
      <w:marTop w:val="0"/>
      <w:marBottom w:val="0"/>
      <w:divBdr>
        <w:top w:val="none" w:sz="0" w:space="0" w:color="auto"/>
        <w:left w:val="none" w:sz="0" w:space="0" w:color="auto"/>
        <w:bottom w:val="none" w:sz="0" w:space="0" w:color="auto"/>
        <w:right w:val="none" w:sz="0" w:space="0" w:color="auto"/>
      </w:divBdr>
    </w:div>
    <w:div w:id="161626122">
      <w:bodyDiv w:val="1"/>
      <w:marLeft w:val="0"/>
      <w:marRight w:val="0"/>
      <w:marTop w:val="0"/>
      <w:marBottom w:val="0"/>
      <w:divBdr>
        <w:top w:val="none" w:sz="0" w:space="0" w:color="auto"/>
        <w:left w:val="none" w:sz="0" w:space="0" w:color="auto"/>
        <w:bottom w:val="none" w:sz="0" w:space="0" w:color="auto"/>
        <w:right w:val="none" w:sz="0" w:space="0" w:color="auto"/>
      </w:divBdr>
    </w:div>
    <w:div w:id="161816616">
      <w:bodyDiv w:val="1"/>
      <w:marLeft w:val="0"/>
      <w:marRight w:val="0"/>
      <w:marTop w:val="0"/>
      <w:marBottom w:val="0"/>
      <w:divBdr>
        <w:top w:val="none" w:sz="0" w:space="0" w:color="auto"/>
        <w:left w:val="none" w:sz="0" w:space="0" w:color="auto"/>
        <w:bottom w:val="none" w:sz="0" w:space="0" w:color="auto"/>
        <w:right w:val="none" w:sz="0" w:space="0" w:color="auto"/>
      </w:divBdr>
    </w:div>
    <w:div w:id="165024418">
      <w:bodyDiv w:val="1"/>
      <w:marLeft w:val="0"/>
      <w:marRight w:val="0"/>
      <w:marTop w:val="0"/>
      <w:marBottom w:val="0"/>
      <w:divBdr>
        <w:top w:val="none" w:sz="0" w:space="0" w:color="auto"/>
        <w:left w:val="none" w:sz="0" w:space="0" w:color="auto"/>
        <w:bottom w:val="none" w:sz="0" w:space="0" w:color="auto"/>
        <w:right w:val="none" w:sz="0" w:space="0" w:color="auto"/>
      </w:divBdr>
    </w:div>
    <w:div w:id="168371084">
      <w:bodyDiv w:val="1"/>
      <w:marLeft w:val="0"/>
      <w:marRight w:val="0"/>
      <w:marTop w:val="0"/>
      <w:marBottom w:val="0"/>
      <w:divBdr>
        <w:top w:val="none" w:sz="0" w:space="0" w:color="auto"/>
        <w:left w:val="none" w:sz="0" w:space="0" w:color="auto"/>
        <w:bottom w:val="none" w:sz="0" w:space="0" w:color="auto"/>
        <w:right w:val="none" w:sz="0" w:space="0" w:color="auto"/>
      </w:divBdr>
    </w:div>
    <w:div w:id="169225139">
      <w:bodyDiv w:val="1"/>
      <w:marLeft w:val="0"/>
      <w:marRight w:val="0"/>
      <w:marTop w:val="0"/>
      <w:marBottom w:val="0"/>
      <w:divBdr>
        <w:top w:val="none" w:sz="0" w:space="0" w:color="auto"/>
        <w:left w:val="none" w:sz="0" w:space="0" w:color="auto"/>
        <w:bottom w:val="none" w:sz="0" w:space="0" w:color="auto"/>
        <w:right w:val="none" w:sz="0" w:space="0" w:color="auto"/>
      </w:divBdr>
    </w:div>
    <w:div w:id="169754974">
      <w:bodyDiv w:val="1"/>
      <w:marLeft w:val="0"/>
      <w:marRight w:val="0"/>
      <w:marTop w:val="0"/>
      <w:marBottom w:val="0"/>
      <w:divBdr>
        <w:top w:val="none" w:sz="0" w:space="0" w:color="auto"/>
        <w:left w:val="none" w:sz="0" w:space="0" w:color="auto"/>
        <w:bottom w:val="none" w:sz="0" w:space="0" w:color="auto"/>
        <w:right w:val="none" w:sz="0" w:space="0" w:color="auto"/>
      </w:divBdr>
    </w:div>
    <w:div w:id="170142995">
      <w:bodyDiv w:val="1"/>
      <w:marLeft w:val="0"/>
      <w:marRight w:val="0"/>
      <w:marTop w:val="0"/>
      <w:marBottom w:val="0"/>
      <w:divBdr>
        <w:top w:val="none" w:sz="0" w:space="0" w:color="auto"/>
        <w:left w:val="none" w:sz="0" w:space="0" w:color="auto"/>
        <w:bottom w:val="none" w:sz="0" w:space="0" w:color="auto"/>
        <w:right w:val="none" w:sz="0" w:space="0" w:color="auto"/>
      </w:divBdr>
    </w:div>
    <w:div w:id="170222260">
      <w:bodyDiv w:val="1"/>
      <w:marLeft w:val="0"/>
      <w:marRight w:val="0"/>
      <w:marTop w:val="0"/>
      <w:marBottom w:val="0"/>
      <w:divBdr>
        <w:top w:val="none" w:sz="0" w:space="0" w:color="auto"/>
        <w:left w:val="none" w:sz="0" w:space="0" w:color="auto"/>
        <w:bottom w:val="none" w:sz="0" w:space="0" w:color="auto"/>
        <w:right w:val="none" w:sz="0" w:space="0" w:color="auto"/>
      </w:divBdr>
    </w:div>
    <w:div w:id="171146132">
      <w:bodyDiv w:val="1"/>
      <w:marLeft w:val="0"/>
      <w:marRight w:val="0"/>
      <w:marTop w:val="0"/>
      <w:marBottom w:val="0"/>
      <w:divBdr>
        <w:top w:val="none" w:sz="0" w:space="0" w:color="auto"/>
        <w:left w:val="none" w:sz="0" w:space="0" w:color="auto"/>
        <w:bottom w:val="none" w:sz="0" w:space="0" w:color="auto"/>
        <w:right w:val="none" w:sz="0" w:space="0" w:color="auto"/>
      </w:divBdr>
    </w:div>
    <w:div w:id="171532253">
      <w:bodyDiv w:val="1"/>
      <w:marLeft w:val="0"/>
      <w:marRight w:val="0"/>
      <w:marTop w:val="0"/>
      <w:marBottom w:val="0"/>
      <w:divBdr>
        <w:top w:val="none" w:sz="0" w:space="0" w:color="auto"/>
        <w:left w:val="none" w:sz="0" w:space="0" w:color="auto"/>
        <w:bottom w:val="none" w:sz="0" w:space="0" w:color="auto"/>
        <w:right w:val="none" w:sz="0" w:space="0" w:color="auto"/>
      </w:divBdr>
    </w:div>
    <w:div w:id="172842274">
      <w:bodyDiv w:val="1"/>
      <w:marLeft w:val="0"/>
      <w:marRight w:val="0"/>
      <w:marTop w:val="0"/>
      <w:marBottom w:val="0"/>
      <w:divBdr>
        <w:top w:val="none" w:sz="0" w:space="0" w:color="auto"/>
        <w:left w:val="none" w:sz="0" w:space="0" w:color="auto"/>
        <w:bottom w:val="none" w:sz="0" w:space="0" w:color="auto"/>
        <w:right w:val="none" w:sz="0" w:space="0" w:color="auto"/>
      </w:divBdr>
    </w:div>
    <w:div w:id="175192486">
      <w:bodyDiv w:val="1"/>
      <w:marLeft w:val="0"/>
      <w:marRight w:val="0"/>
      <w:marTop w:val="0"/>
      <w:marBottom w:val="0"/>
      <w:divBdr>
        <w:top w:val="none" w:sz="0" w:space="0" w:color="auto"/>
        <w:left w:val="none" w:sz="0" w:space="0" w:color="auto"/>
        <w:bottom w:val="none" w:sz="0" w:space="0" w:color="auto"/>
        <w:right w:val="none" w:sz="0" w:space="0" w:color="auto"/>
      </w:divBdr>
    </w:div>
    <w:div w:id="175847918">
      <w:bodyDiv w:val="1"/>
      <w:marLeft w:val="0"/>
      <w:marRight w:val="0"/>
      <w:marTop w:val="0"/>
      <w:marBottom w:val="0"/>
      <w:divBdr>
        <w:top w:val="none" w:sz="0" w:space="0" w:color="auto"/>
        <w:left w:val="none" w:sz="0" w:space="0" w:color="auto"/>
        <w:bottom w:val="none" w:sz="0" w:space="0" w:color="auto"/>
        <w:right w:val="none" w:sz="0" w:space="0" w:color="auto"/>
      </w:divBdr>
    </w:div>
    <w:div w:id="176042098">
      <w:bodyDiv w:val="1"/>
      <w:marLeft w:val="0"/>
      <w:marRight w:val="0"/>
      <w:marTop w:val="0"/>
      <w:marBottom w:val="0"/>
      <w:divBdr>
        <w:top w:val="none" w:sz="0" w:space="0" w:color="auto"/>
        <w:left w:val="none" w:sz="0" w:space="0" w:color="auto"/>
        <w:bottom w:val="none" w:sz="0" w:space="0" w:color="auto"/>
        <w:right w:val="none" w:sz="0" w:space="0" w:color="auto"/>
      </w:divBdr>
    </w:div>
    <w:div w:id="176427210">
      <w:bodyDiv w:val="1"/>
      <w:marLeft w:val="0"/>
      <w:marRight w:val="0"/>
      <w:marTop w:val="0"/>
      <w:marBottom w:val="0"/>
      <w:divBdr>
        <w:top w:val="none" w:sz="0" w:space="0" w:color="auto"/>
        <w:left w:val="none" w:sz="0" w:space="0" w:color="auto"/>
        <w:bottom w:val="none" w:sz="0" w:space="0" w:color="auto"/>
        <w:right w:val="none" w:sz="0" w:space="0" w:color="auto"/>
      </w:divBdr>
    </w:div>
    <w:div w:id="177275320">
      <w:bodyDiv w:val="1"/>
      <w:marLeft w:val="0"/>
      <w:marRight w:val="0"/>
      <w:marTop w:val="0"/>
      <w:marBottom w:val="0"/>
      <w:divBdr>
        <w:top w:val="none" w:sz="0" w:space="0" w:color="auto"/>
        <w:left w:val="none" w:sz="0" w:space="0" w:color="auto"/>
        <w:bottom w:val="none" w:sz="0" w:space="0" w:color="auto"/>
        <w:right w:val="none" w:sz="0" w:space="0" w:color="auto"/>
      </w:divBdr>
    </w:div>
    <w:div w:id="179049415">
      <w:bodyDiv w:val="1"/>
      <w:marLeft w:val="0"/>
      <w:marRight w:val="0"/>
      <w:marTop w:val="0"/>
      <w:marBottom w:val="0"/>
      <w:divBdr>
        <w:top w:val="none" w:sz="0" w:space="0" w:color="auto"/>
        <w:left w:val="none" w:sz="0" w:space="0" w:color="auto"/>
        <w:bottom w:val="none" w:sz="0" w:space="0" w:color="auto"/>
        <w:right w:val="none" w:sz="0" w:space="0" w:color="auto"/>
      </w:divBdr>
    </w:div>
    <w:div w:id="185289028">
      <w:bodyDiv w:val="1"/>
      <w:marLeft w:val="0"/>
      <w:marRight w:val="0"/>
      <w:marTop w:val="0"/>
      <w:marBottom w:val="0"/>
      <w:divBdr>
        <w:top w:val="none" w:sz="0" w:space="0" w:color="auto"/>
        <w:left w:val="none" w:sz="0" w:space="0" w:color="auto"/>
        <w:bottom w:val="none" w:sz="0" w:space="0" w:color="auto"/>
        <w:right w:val="none" w:sz="0" w:space="0" w:color="auto"/>
      </w:divBdr>
    </w:div>
    <w:div w:id="185405553">
      <w:bodyDiv w:val="1"/>
      <w:marLeft w:val="0"/>
      <w:marRight w:val="0"/>
      <w:marTop w:val="0"/>
      <w:marBottom w:val="0"/>
      <w:divBdr>
        <w:top w:val="none" w:sz="0" w:space="0" w:color="auto"/>
        <w:left w:val="none" w:sz="0" w:space="0" w:color="auto"/>
        <w:bottom w:val="none" w:sz="0" w:space="0" w:color="auto"/>
        <w:right w:val="none" w:sz="0" w:space="0" w:color="auto"/>
      </w:divBdr>
    </w:div>
    <w:div w:id="186451043">
      <w:bodyDiv w:val="1"/>
      <w:marLeft w:val="0"/>
      <w:marRight w:val="0"/>
      <w:marTop w:val="0"/>
      <w:marBottom w:val="0"/>
      <w:divBdr>
        <w:top w:val="none" w:sz="0" w:space="0" w:color="auto"/>
        <w:left w:val="none" w:sz="0" w:space="0" w:color="auto"/>
        <w:bottom w:val="none" w:sz="0" w:space="0" w:color="auto"/>
        <w:right w:val="none" w:sz="0" w:space="0" w:color="auto"/>
      </w:divBdr>
    </w:div>
    <w:div w:id="187254760">
      <w:bodyDiv w:val="1"/>
      <w:marLeft w:val="0"/>
      <w:marRight w:val="0"/>
      <w:marTop w:val="0"/>
      <w:marBottom w:val="0"/>
      <w:divBdr>
        <w:top w:val="none" w:sz="0" w:space="0" w:color="auto"/>
        <w:left w:val="none" w:sz="0" w:space="0" w:color="auto"/>
        <w:bottom w:val="none" w:sz="0" w:space="0" w:color="auto"/>
        <w:right w:val="none" w:sz="0" w:space="0" w:color="auto"/>
      </w:divBdr>
    </w:div>
    <w:div w:id="192233281">
      <w:bodyDiv w:val="1"/>
      <w:marLeft w:val="0"/>
      <w:marRight w:val="0"/>
      <w:marTop w:val="0"/>
      <w:marBottom w:val="0"/>
      <w:divBdr>
        <w:top w:val="none" w:sz="0" w:space="0" w:color="auto"/>
        <w:left w:val="none" w:sz="0" w:space="0" w:color="auto"/>
        <w:bottom w:val="none" w:sz="0" w:space="0" w:color="auto"/>
        <w:right w:val="none" w:sz="0" w:space="0" w:color="auto"/>
      </w:divBdr>
    </w:div>
    <w:div w:id="192957788">
      <w:bodyDiv w:val="1"/>
      <w:marLeft w:val="0"/>
      <w:marRight w:val="0"/>
      <w:marTop w:val="0"/>
      <w:marBottom w:val="0"/>
      <w:divBdr>
        <w:top w:val="none" w:sz="0" w:space="0" w:color="auto"/>
        <w:left w:val="none" w:sz="0" w:space="0" w:color="auto"/>
        <w:bottom w:val="none" w:sz="0" w:space="0" w:color="auto"/>
        <w:right w:val="none" w:sz="0" w:space="0" w:color="auto"/>
      </w:divBdr>
    </w:div>
    <w:div w:id="194122079">
      <w:bodyDiv w:val="1"/>
      <w:marLeft w:val="0"/>
      <w:marRight w:val="0"/>
      <w:marTop w:val="0"/>
      <w:marBottom w:val="0"/>
      <w:divBdr>
        <w:top w:val="none" w:sz="0" w:space="0" w:color="auto"/>
        <w:left w:val="none" w:sz="0" w:space="0" w:color="auto"/>
        <w:bottom w:val="none" w:sz="0" w:space="0" w:color="auto"/>
        <w:right w:val="none" w:sz="0" w:space="0" w:color="auto"/>
      </w:divBdr>
    </w:div>
    <w:div w:id="199636909">
      <w:bodyDiv w:val="1"/>
      <w:marLeft w:val="0"/>
      <w:marRight w:val="0"/>
      <w:marTop w:val="0"/>
      <w:marBottom w:val="0"/>
      <w:divBdr>
        <w:top w:val="none" w:sz="0" w:space="0" w:color="auto"/>
        <w:left w:val="none" w:sz="0" w:space="0" w:color="auto"/>
        <w:bottom w:val="none" w:sz="0" w:space="0" w:color="auto"/>
        <w:right w:val="none" w:sz="0" w:space="0" w:color="auto"/>
      </w:divBdr>
    </w:div>
    <w:div w:id="202642330">
      <w:bodyDiv w:val="1"/>
      <w:marLeft w:val="0"/>
      <w:marRight w:val="0"/>
      <w:marTop w:val="0"/>
      <w:marBottom w:val="0"/>
      <w:divBdr>
        <w:top w:val="none" w:sz="0" w:space="0" w:color="auto"/>
        <w:left w:val="none" w:sz="0" w:space="0" w:color="auto"/>
        <w:bottom w:val="none" w:sz="0" w:space="0" w:color="auto"/>
        <w:right w:val="none" w:sz="0" w:space="0" w:color="auto"/>
      </w:divBdr>
    </w:div>
    <w:div w:id="203718107">
      <w:bodyDiv w:val="1"/>
      <w:marLeft w:val="0"/>
      <w:marRight w:val="0"/>
      <w:marTop w:val="0"/>
      <w:marBottom w:val="0"/>
      <w:divBdr>
        <w:top w:val="none" w:sz="0" w:space="0" w:color="auto"/>
        <w:left w:val="none" w:sz="0" w:space="0" w:color="auto"/>
        <w:bottom w:val="none" w:sz="0" w:space="0" w:color="auto"/>
        <w:right w:val="none" w:sz="0" w:space="0" w:color="auto"/>
      </w:divBdr>
    </w:div>
    <w:div w:id="204566310">
      <w:bodyDiv w:val="1"/>
      <w:marLeft w:val="0"/>
      <w:marRight w:val="0"/>
      <w:marTop w:val="0"/>
      <w:marBottom w:val="0"/>
      <w:divBdr>
        <w:top w:val="none" w:sz="0" w:space="0" w:color="auto"/>
        <w:left w:val="none" w:sz="0" w:space="0" w:color="auto"/>
        <w:bottom w:val="none" w:sz="0" w:space="0" w:color="auto"/>
        <w:right w:val="none" w:sz="0" w:space="0" w:color="auto"/>
      </w:divBdr>
    </w:div>
    <w:div w:id="204606170">
      <w:bodyDiv w:val="1"/>
      <w:marLeft w:val="0"/>
      <w:marRight w:val="0"/>
      <w:marTop w:val="0"/>
      <w:marBottom w:val="0"/>
      <w:divBdr>
        <w:top w:val="none" w:sz="0" w:space="0" w:color="auto"/>
        <w:left w:val="none" w:sz="0" w:space="0" w:color="auto"/>
        <w:bottom w:val="none" w:sz="0" w:space="0" w:color="auto"/>
        <w:right w:val="none" w:sz="0" w:space="0" w:color="auto"/>
      </w:divBdr>
    </w:div>
    <w:div w:id="206450994">
      <w:bodyDiv w:val="1"/>
      <w:marLeft w:val="0"/>
      <w:marRight w:val="0"/>
      <w:marTop w:val="0"/>
      <w:marBottom w:val="0"/>
      <w:divBdr>
        <w:top w:val="none" w:sz="0" w:space="0" w:color="auto"/>
        <w:left w:val="none" w:sz="0" w:space="0" w:color="auto"/>
        <w:bottom w:val="none" w:sz="0" w:space="0" w:color="auto"/>
        <w:right w:val="none" w:sz="0" w:space="0" w:color="auto"/>
      </w:divBdr>
    </w:div>
    <w:div w:id="206915052">
      <w:bodyDiv w:val="1"/>
      <w:marLeft w:val="0"/>
      <w:marRight w:val="0"/>
      <w:marTop w:val="0"/>
      <w:marBottom w:val="0"/>
      <w:divBdr>
        <w:top w:val="none" w:sz="0" w:space="0" w:color="auto"/>
        <w:left w:val="none" w:sz="0" w:space="0" w:color="auto"/>
        <w:bottom w:val="none" w:sz="0" w:space="0" w:color="auto"/>
        <w:right w:val="none" w:sz="0" w:space="0" w:color="auto"/>
      </w:divBdr>
    </w:div>
    <w:div w:id="211582814">
      <w:bodyDiv w:val="1"/>
      <w:marLeft w:val="0"/>
      <w:marRight w:val="0"/>
      <w:marTop w:val="0"/>
      <w:marBottom w:val="0"/>
      <w:divBdr>
        <w:top w:val="none" w:sz="0" w:space="0" w:color="auto"/>
        <w:left w:val="none" w:sz="0" w:space="0" w:color="auto"/>
        <w:bottom w:val="none" w:sz="0" w:space="0" w:color="auto"/>
        <w:right w:val="none" w:sz="0" w:space="0" w:color="auto"/>
      </w:divBdr>
    </w:div>
    <w:div w:id="212078747">
      <w:bodyDiv w:val="1"/>
      <w:marLeft w:val="0"/>
      <w:marRight w:val="0"/>
      <w:marTop w:val="0"/>
      <w:marBottom w:val="0"/>
      <w:divBdr>
        <w:top w:val="none" w:sz="0" w:space="0" w:color="auto"/>
        <w:left w:val="none" w:sz="0" w:space="0" w:color="auto"/>
        <w:bottom w:val="none" w:sz="0" w:space="0" w:color="auto"/>
        <w:right w:val="none" w:sz="0" w:space="0" w:color="auto"/>
      </w:divBdr>
    </w:div>
    <w:div w:id="214050742">
      <w:bodyDiv w:val="1"/>
      <w:marLeft w:val="0"/>
      <w:marRight w:val="0"/>
      <w:marTop w:val="0"/>
      <w:marBottom w:val="0"/>
      <w:divBdr>
        <w:top w:val="none" w:sz="0" w:space="0" w:color="auto"/>
        <w:left w:val="none" w:sz="0" w:space="0" w:color="auto"/>
        <w:bottom w:val="none" w:sz="0" w:space="0" w:color="auto"/>
        <w:right w:val="none" w:sz="0" w:space="0" w:color="auto"/>
      </w:divBdr>
    </w:div>
    <w:div w:id="221790174">
      <w:bodyDiv w:val="1"/>
      <w:marLeft w:val="0"/>
      <w:marRight w:val="0"/>
      <w:marTop w:val="0"/>
      <w:marBottom w:val="0"/>
      <w:divBdr>
        <w:top w:val="none" w:sz="0" w:space="0" w:color="auto"/>
        <w:left w:val="none" w:sz="0" w:space="0" w:color="auto"/>
        <w:bottom w:val="none" w:sz="0" w:space="0" w:color="auto"/>
        <w:right w:val="none" w:sz="0" w:space="0" w:color="auto"/>
      </w:divBdr>
    </w:div>
    <w:div w:id="225339923">
      <w:bodyDiv w:val="1"/>
      <w:marLeft w:val="0"/>
      <w:marRight w:val="0"/>
      <w:marTop w:val="0"/>
      <w:marBottom w:val="0"/>
      <w:divBdr>
        <w:top w:val="none" w:sz="0" w:space="0" w:color="auto"/>
        <w:left w:val="none" w:sz="0" w:space="0" w:color="auto"/>
        <w:bottom w:val="none" w:sz="0" w:space="0" w:color="auto"/>
        <w:right w:val="none" w:sz="0" w:space="0" w:color="auto"/>
      </w:divBdr>
    </w:div>
    <w:div w:id="225530770">
      <w:bodyDiv w:val="1"/>
      <w:marLeft w:val="0"/>
      <w:marRight w:val="0"/>
      <w:marTop w:val="0"/>
      <w:marBottom w:val="0"/>
      <w:divBdr>
        <w:top w:val="none" w:sz="0" w:space="0" w:color="auto"/>
        <w:left w:val="none" w:sz="0" w:space="0" w:color="auto"/>
        <w:bottom w:val="none" w:sz="0" w:space="0" w:color="auto"/>
        <w:right w:val="none" w:sz="0" w:space="0" w:color="auto"/>
      </w:divBdr>
    </w:div>
    <w:div w:id="226696315">
      <w:bodyDiv w:val="1"/>
      <w:marLeft w:val="0"/>
      <w:marRight w:val="0"/>
      <w:marTop w:val="0"/>
      <w:marBottom w:val="0"/>
      <w:divBdr>
        <w:top w:val="none" w:sz="0" w:space="0" w:color="auto"/>
        <w:left w:val="none" w:sz="0" w:space="0" w:color="auto"/>
        <w:bottom w:val="none" w:sz="0" w:space="0" w:color="auto"/>
        <w:right w:val="none" w:sz="0" w:space="0" w:color="auto"/>
      </w:divBdr>
    </w:div>
    <w:div w:id="227108706">
      <w:bodyDiv w:val="1"/>
      <w:marLeft w:val="0"/>
      <w:marRight w:val="0"/>
      <w:marTop w:val="0"/>
      <w:marBottom w:val="0"/>
      <w:divBdr>
        <w:top w:val="none" w:sz="0" w:space="0" w:color="auto"/>
        <w:left w:val="none" w:sz="0" w:space="0" w:color="auto"/>
        <w:bottom w:val="none" w:sz="0" w:space="0" w:color="auto"/>
        <w:right w:val="none" w:sz="0" w:space="0" w:color="auto"/>
      </w:divBdr>
    </w:div>
    <w:div w:id="227541846">
      <w:bodyDiv w:val="1"/>
      <w:marLeft w:val="0"/>
      <w:marRight w:val="0"/>
      <w:marTop w:val="0"/>
      <w:marBottom w:val="0"/>
      <w:divBdr>
        <w:top w:val="none" w:sz="0" w:space="0" w:color="auto"/>
        <w:left w:val="none" w:sz="0" w:space="0" w:color="auto"/>
        <w:bottom w:val="none" w:sz="0" w:space="0" w:color="auto"/>
        <w:right w:val="none" w:sz="0" w:space="0" w:color="auto"/>
      </w:divBdr>
    </w:div>
    <w:div w:id="228657490">
      <w:bodyDiv w:val="1"/>
      <w:marLeft w:val="0"/>
      <w:marRight w:val="0"/>
      <w:marTop w:val="0"/>
      <w:marBottom w:val="0"/>
      <w:divBdr>
        <w:top w:val="none" w:sz="0" w:space="0" w:color="auto"/>
        <w:left w:val="none" w:sz="0" w:space="0" w:color="auto"/>
        <w:bottom w:val="none" w:sz="0" w:space="0" w:color="auto"/>
        <w:right w:val="none" w:sz="0" w:space="0" w:color="auto"/>
      </w:divBdr>
    </w:div>
    <w:div w:id="228880368">
      <w:bodyDiv w:val="1"/>
      <w:marLeft w:val="0"/>
      <w:marRight w:val="0"/>
      <w:marTop w:val="0"/>
      <w:marBottom w:val="0"/>
      <w:divBdr>
        <w:top w:val="none" w:sz="0" w:space="0" w:color="auto"/>
        <w:left w:val="none" w:sz="0" w:space="0" w:color="auto"/>
        <w:bottom w:val="none" w:sz="0" w:space="0" w:color="auto"/>
        <w:right w:val="none" w:sz="0" w:space="0" w:color="auto"/>
      </w:divBdr>
    </w:div>
    <w:div w:id="231626221">
      <w:bodyDiv w:val="1"/>
      <w:marLeft w:val="0"/>
      <w:marRight w:val="0"/>
      <w:marTop w:val="0"/>
      <w:marBottom w:val="0"/>
      <w:divBdr>
        <w:top w:val="none" w:sz="0" w:space="0" w:color="auto"/>
        <w:left w:val="none" w:sz="0" w:space="0" w:color="auto"/>
        <w:bottom w:val="none" w:sz="0" w:space="0" w:color="auto"/>
        <w:right w:val="none" w:sz="0" w:space="0" w:color="auto"/>
      </w:divBdr>
    </w:div>
    <w:div w:id="236668567">
      <w:bodyDiv w:val="1"/>
      <w:marLeft w:val="0"/>
      <w:marRight w:val="0"/>
      <w:marTop w:val="0"/>
      <w:marBottom w:val="0"/>
      <w:divBdr>
        <w:top w:val="none" w:sz="0" w:space="0" w:color="auto"/>
        <w:left w:val="none" w:sz="0" w:space="0" w:color="auto"/>
        <w:bottom w:val="none" w:sz="0" w:space="0" w:color="auto"/>
        <w:right w:val="none" w:sz="0" w:space="0" w:color="auto"/>
      </w:divBdr>
    </w:div>
    <w:div w:id="237250910">
      <w:bodyDiv w:val="1"/>
      <w:marLeft w:val="0"/>
      <w:marRight w:val="0"/>
      <w:marTop w:val="0"/>
      <w:marBottom w:val="0"/>
      <w:divBdr>
        <w:top w:val="none" w:sz="0" w:space="0" w:color="auto"/>
        <w:left w:val="none" w:sz="0" w:space="0" w:color="auto"/>
        <w:bottom w:val="none" w:sz="0" w:space="0" w:color="auto"/>
        <w:right w:val="none" w:sz="0" w:space="0" w:color="auto"/>
      </w:divBdr>
    </w:div>
    <w:div w:id="237251451">
      <w:bodyDiv w:val="1"/>
      <w:marLeft w:val="0"/>
      <w:marRight w:val="0"/>
      <w:marTop w:val="0"/>
      <w:marBottom w:val="0"/>
      <w:divBdr>
        <w:top w:val="none" w:sz="0" w:space="0" w:color="auto"/>
        <w:left w:val="none" w:sz="0" w:space="0" w:color="auto"/>
        <w:bottom w:val="none" w:sz="0" w:space="0" w:color="auto"/>
        <w:right w:val="none" w:sz="0" w:space="0" w:color="auto"/>
      </w:divBdr>
    </w:div>
    <w:div w:id="247662808">
      <w:bodyDiv w:val="1"/>
      <w:marLeft w:val="0"/>
      <w:marRight w:val="0"/>
      <w:marTop w:val="0"/>
      <w:marBottom w:val="0"/>
      <w:divBdr>
        <w:top w:val="none" w:sz="0" w:space="0" w:color="auto"/>
        <w:left w:val="none" w:sz="0" w:space="0" w:color="auto"/>
        <w:bottom w:val="none" w:sz="0" w:space="0" w:color="auto"/>
        <w:right w:val="none" w:sz="0" w:space="0" w:color="auto"/>
      </w:divBdr>
    </w:div>
    <w:div w:id="250088862">
      <w:bodyDiv w:val="1"/>
      <w:marLeft w:val="0"/>
      <w:marRight w:val="0"/>
      <w:marTop w:val="0"/>
      <w:marBottom w:val="0"/>
      <w:divBdr>
        <w:top w:val="none" w:sz="0" w:space="0" w:color="auto"/>
        <w:left w:val="none" w:sz="0" w:space="0" w:color="auto"/>
        <w:bottom w:val="none" w:sz="0" w:space="0" w:color="auto"/>
        <w:right w:val="none" w:sz="0" w:space="0" w:color="auto"/>
      </w:divBdr>
    </w:div>
    <w:div w:id="251669072">
      <w:bodyDiv w:val="1"/>
      <w:marLeft w:val="0"/>
      <w:marRight w:val="0"/>
      <w:marTop w:val="0"/>
      <w:marBottom w:val="0"/>
      <w:divBdr>
        <w:top w:val="none" w:sz="0" w:space="0" w:color="auto"/>
        <w:left w:val="none" w:sz="0" w:space="0" w:color="auto"/>
        <w:bottom w:val="none" w:sz="0" w:space="0" w:color="auto"/>
        <w:right w:val="none" w:sz="0" w:space="0" w:color="auto"/>
      </w:divBdr>
    </w:div>
    <w:div w:id="254287120">
      <w:bodyDiv w:val="1"/>
      <w:marLeft w:val="0"/>
      <w:marRight w:val="0"/>
      <w:marTop w:val="0"/>
      <w:marBottom w:val="0"/>
      <w:divBdr>
        <w:top w:val="none" w:sz="0" w:space="0" w:color="auto"/>
        <w:left w:val="none" w:sz="0" w:space="0" w:color="auto"/>
        <w:bottom w:val="none" w:sz="0" w:space="0" w:color="auto"/>
        <w:right w:val="none" w:sz="0" w:space="0" w:color="auto"/>
      </w:divBdr>
    </w:div>
    <w:div w:id="260838084">
      <w:bodyDiv w:val="1"/>
      <w:marLeft w:val="0"/>
      <w:marRight w:val="0"/>
      <w:marTop w:val="0"/>
      <w:marBottom w:val="0"/>
      <w:divBdr>
        <w:top w:val="none" w:sz="0" w:space="0" w:color="auto"/>
        <w:left w:val="none" w:sz="0" w:space="0" w:color="auto"/>
        <w:bottom w:val="none" w:sz="0" w:space="0" w:color="auto"/>
        <w:right w:val="none" w:sz="0" w:space="0" w:color="auto"/>
      </w:divBdr>
    </w:div>
    <w:div w:id="261299984">
      <w:bodyDiv w:val="1"/>
      <w:marLeft w:val="0"/>
      <w:marRight w:val="0"/>
      <w:marTop w:val="0"/>
      <w:marBottom w:val="0"/>
      <w:divBdr>
        <w:top w:val="none" w:sz="0" w:space="0" w:color="auto"/>
        <w:left w:val="none" w:sz="0" w:space="0" w:color="auto"/>
        <w:bottom w:val="none" w:sz="0" w:space="0" w:color="auto"/>
        <w:right w:val="none" w:sz="0" w:space="0" w:color="auto"/>
      </w:divBdr>
    </w:div>
    <w:div w:id="267006009">
      <w:bodyDiv w:val="1"/>
      <w:marLeft w:val="0"/>
      <w:marRight w:val="0"/>
      <w:marTop w:val="0"/>
      <w:marBottom w:val="0"/>
      <w:divBdr>
        <w:top w:val="none" w:sz="0" w:space="0" w:color="auto"/>
        <w:left w:val="none" w:sz="0" w:space="0" w:color="auto"/>
        <w:bottom w:val="none" w:sz="0" w:space="0" w:color="auto"/>
        <w:right w:val="none" w:sz="0" w:space="0" w:color="auto"/>
      </w:divBdr>
    </w:div>
    <w:div w:id="269555183">
      <w:bodyDiv w:val="1"/>
      <w:marLeft w:val="0"/>
      <w:marRight w:val="0"/>
      <w:marTop w:val="0"/>
      <w:marBottom w:val="0"/>
      <w:divBdr>
        <w:top w:val="none" w:sz="0" w:space="0" w:color="auto"/>
        <w:left w:val="none" w:sz="0" w:space="0" w:color="auto"/>
        <w:bottom w:val="none" w:sz="0" w:space="0" w:color="auto"/>
        <w:right w:val="none" w:sz="0" w:space="0" w:color="auto"/>
      </w:divBdr>
    </w:div>
    <w:div w:id="270861895">
      <w:bodyDiv w:val="1"/>
      <w:marLeft w:val="0"/>
      <w:marRight w:val="0"/>
      <w:marTop w:val="0"/>
      <w:marBottom w:val="0"/>
      <w:divBdr>
        <w:top w:val="none" w:sz="0" w:space="0" w:color="auto"/>
        <w:left w:val="none" w:sz="0" w:space="0" w:color="auto"/>
        <w:bottom w:val="none" w:sz="0" w:space="0" w:color="auto"/>
        <w:right w:val="none" w:sz="0" w:space="0" w:color="auto"/>
      </w:divBdr>
    </w:div>
    <w:div w:id="271402369">
      <w:bodyDiv w:val="1"/>
      <w:marLeft w:val="0"/>
      <w:marRight w:val="0"/>
      <w:marTop w:val="0"/>
      <w:marBottom w:val="0"/>
      <w:divBdr>
        <w:top w:val="none" w:sz="0" w:space="0" w:color="auto"/>
        <w:left w:val="none" w:sz="0" w:space="0" w:color="auto"/>
        <w:bottom w:val="none" w:sz="0" w:space="0" w:color="auto"/>
        <w:right w:val="none" w:sz="0" w:space="0" w:color="auto"/>
      </w:divBdr>
    </w:div>
    <w:div w:id="271669821">
      <w:bodyDiv w:val="1"/>
      <w:marLeft w:val="0"/>
      <w:marRight w:val="0"/>
      <w:marTop w:val="0"/>
      <w:marBottom w:val="0"/>
      <w:divBdr>
        <w:top w:val="none" w:sz="0" w:space="0" w:color="auto"/>
        <w:left w:val="none" w:sz="0" w:space="0" w:color="auto"/>
        <w:bottom w:val="none" w:sz="0" w:space="0" w:color="auto"/>
        <w:right w:val="none" w:sz="0" w:space="0" w:color="auto"/>
      </w:divBdr>
    </w:div>
    <w:div w:id="278532379">
      <w:bodyDiv w:val="1"/>
      <w:marLeft w:val="0"/>
      <w:marRight w:val="0"/>
      <w:marTop w:val="0"/>
      <w:marBottom w:val="0"/>
      <w:divBdr>
        <w:top w:val="none" w:sz="0" w:space="0" w:color="auto"/>
        <w:left w:val="none" w:sz="0" w:space="0" w:color="auto"/>
        <w:bottom w:val="none" w:sz="0" w:space="0" w:color="auto"/>
        <w:right w:val="none" w:sz="0" w:space="0" w:color="auto"/>
      </w:divBdr>
    </w:div>
    <w:div w:id="280305479">
      <w:bodyDiv w:val="1"/>
      <w:marLeft w:val="0"/>
      <w:marRight w:val="0"/>
      <w:marTop w:val="0"/>
      <w:marBottom w:val="0"/>
      <w:divBdr>
        <w:top w:val="none" w:sz="0" w:space="0" w:color="auto"/>
        <w:left w:val="none" w:sz="0" w:space="0" w:color="auto"/>
        <w:bottom w:val="none" w:sz="0" w:space="0" w:color="auto"/>
        <w:right w:val="none" w:sz="0" w:space="0" w:color="auto"/>
      </w:divBdr>
    </w:div>
    <w:div w:id="280495678">
      <w:bodyDiv w:val="1"/>
      <w:marLeft w:val="0"/>
      <w:marRight w:val="0"/>
      <w:marTop w:val="0"/>
      <w:marBottom w:val="0"/>
      <w:divBdr>
        <w:top w:val="none" w:sz="0" w:space="0" w:color="auto"/>
        <w:left w:val="none" w:sz="0" w:space="0" w:color="auto"/>
        <w:bottom w:val="none" w:sz="0" w:space="0" w:color="auto"/>
        <w:right w:val="none" w:sz="0" w:space="0" w:color="auto"/>
      </w:divBdr>
    </w:div>
    <w:div w:id="282076502">
      <w:bodyDiv w:val="1"/>
      <w:marLeft w:val="0"/>
      <w:marRight w:val="0"/>
      <w:marTop w:val="0"/>
      <w:marBottom w:val="0"/>
      <w:divBdr>
        <w:top w:val="none" w:sz="0" w:space="0" w:color="auto"/>
        <w:left w:val="none" w:sz="0" w:space="0" w:color="auto"/>
        <w:bottom w:val="none" w:sz="0" w:space="0" w:color="auto"/>
        <w:right w:val="none" w:sz="0" w:space="0" w:color="auto"/>
      </w:divBdr>
    </w:div>
    <w:div w:id="282998043">
      <w:bodyDiv w:val="1"/>
      <w:marLeft w:val="0"/>
      <w:marRight w:val="0"/>
      <w:marTop w:val="0"/>
      <w:marBottom w:val="0"/>
      <w:divBdr>
        <w:top w:val="none" w:sz="0" w:space="0" w:color="auto"/>
        <w:left w:val="none" w:sz="0" w:space="0" w:color="auto"/>
        <w:bottom w:val="none" w:sz="0" w:space="0" w:color="auto"/>
        <w:right w:val="none" w:sz="0" w:space="0" w:color="auto"/>
      </w:divBdr>
    </w:div>
    <w:div w:id="284584054">
      <w:bodyDiv w:val="1"/>
      <w:marLeft w:val="0"/>
      <w:marRight w:val="0"/>
      <w:marTop w:val="0"/>
      <w:marBottom w:val="0"/>
      <w:divBdr>
        <w:top w:val="none" w:sz="0" w:space="0" w:color="auto"/>
        <w:left w:val="none" w:sz="0" w:space="0" w:color="auto"/>
        <w:bottom w:val="none" w:sz="0" w:space="0" w:color="auto"/>
        <w:right w:val="none" w:sz="0" w:space="0" w:color="auto"/>
      </w:divBdr>
    </w:div>
    <w:div w:id="285937918">
      <w:bodyDiv w:val="1"/>
      <w:marLeft w:val="0"/>
      <w:marRight w:val="0"/>
      <w:marTop w:val="0"/>
      <w:marBottom w:val="0"/>
      <w:divBdr>
        <w:top w:val="none" w:sz="0" w:space="0" w:color="auto"/>
        <w:left w:val="none" w:sz="0" w:space="0" w:color="auto"/>
        <w:bottom w:val="none" w:sz="0" w:space="0" w:color="auto"/>
        <w:right w:val="none" w:sz="0" w:space="0" w:color="auto"/>
      </w:divBdr>
    </w:div>
    <w:div w:id="288055449">
      <w:bodyDiv w:val="1"/>
      <w:marLeft w:val="0"/>
      <w:marRight w:val="0"/>
      <w:marTop w:val="0"/>
      <w:marBottom w:val="0"/>
      <w:divBdr>
        <w:top w:val="none" w:sz="0" w:space="0" w:color="auto"/>
        <w:left w:val="none" w:sz="0" w:space="0" w:color="auto"/>
        <w:bottom w:val="none" w:sz="0" w:space="0" w:color="auto"/>
        <w:right w:val="none" w:sz="0" w:space="0" w:color="auto"/>
      </w:divBdr>
    </w:div>
    <w:div w:id="289216290">
      <w:bodyDiv w:val="1"/>
      <w:marLeft w:val="0"/>
      <w:marRight w:val="0"/>
      <w:marTop w:val="0"/>
      <w:marBottom w:val="0"/>
      <w:divBdr>
        <w:top w:val="none" w:sz="0" w:space="0" w:color="auto"/>
        <w:left w:val="none" w:sz="0" w:space="0" w:color="auto"/>
        <w:bottom w:val="none" w:sz="0" w:space="0" w:color="auto"/>
        <w:right w:val="none" w:sz="0" w:space="0" w:color="auto"/>
      </w:divBdr>
    </w:div>
    <w:div w:id="299384690">
      <w:bodyDiv w:val="1"/>
      <w:marLeft w:val="0"/>
      <w:marRight w:val="0"/>
      <w:marTop w:val="0"/>
      <w:marBottom w:val="0"/>
      <w:divBdr>
        <w:top w:val="none" w:sz="0" w:space="0" w:color="auto"/>
        <w:left w:val="none" w:sz="0" w:space="0" w:color="auto"/>
        <w:bottom w:val="none" w:sz="0" w:space="0" w:color="auto"/>
        <w:right w:val="none" w:sz="0" w:space="0" w:color="auto"/>
      </w:divBdr>
    </w:div>
    <w:div w:id="301468129">
      <w:bodyDiv w:val="1"/>
      <w:marLeft w:val="0"/>
      <w:marRight w:val="0"/>
      <w:marTop w:val="0"/>
      <w:marBottom w:val="0"/>
      <w:divBdr>
        <w:top w:val="none" w:sz="0" w:space="0" w:color="auto"/>
        <w:left w:val="none" w:sz="0" w:space="0" w:color="auto"/>
        <w:bottom w:val="none" w:sz="0" w:space="0" w:color="auto"/>
        <w:right w:val="none" w:sz="0" w:space="0" w:color="auto"/>
      </w:divBdr>
    </w:div>
    <w:div w:id="301883863">
      <w:bodyDiv w:val="1"/>
      <w:marLeft w:val="0"/>
      <w:marRight w:val="0"/>
      <w:marTop w:val="0"/>
      <w:marBottom w:val="0"/>
      <w:divBdr>
        <w:top w:val="none" w:sz="0" w:space="0" w:color="auto"/>
        <w:left w:val="none" w:sz="0" w:space="0" w:color="auto"/>
        <w:bottom w:val="none" w:sz="0" w:space="0" w:color="auto"/>
        <w:right w:val="none" w:sz="0" w:space="0" w:color="auto"/>
      </w:divBdr>
    </w:div>
    <w:div w:id="304118417">
      <w:bodyDiv w:val="1"/>
      <w:marLeft w:val="0"/>
      <w:marRight w:val="0"/>
      <w:marTop w:val="0"/>
      <w:marBottom w:val="0"/>
      <w:divBdr>
        <w:top w:val="none" w:sz="0" w:space="0" w:color="auto"/>
        <w:left w:val="none" w:sz="0" w:space="0" w:color="auto"/>
        <w:bottom w:val="none" w:sz="0" w:space="0" w:color="auto"/>
        <w:right w:val="none" w:sz="0" w:space="0" w:color="auto"/>
      </w:divBdr>
    </w:div>
    <w:div w:id="305279237">
      <w:bodyDiv w:val="1"/>
      <w:marLeft w:val="0"/>
      <w:marRight w:val="0"/>
      <w:marTop w:val="0"/>
      <w:marBottom w:val="0"/>
      <w:divBdr>
        <w:top w:val="none" w:sz="0" w:space="0" w:color="auto"/>
        <w:left w:val="none" w:sz="0" w:space="0" w:color="auto"/>
        <w:bottom w:val="none" w:sz="0" w:space="0" w:color="auto"/>
        <w:right w:val="none" w:sz="0" w:space="0" w:color="auto"/>
      </w:divBdr>
    </w:div>
    <w:div w:id="305746449">
      <w:bodyDiv w:val="1"/>
      <w:marLeft w:val="0"/>
      <w:marRight w:val="0"/>
      <w:marTop w:val="0"/>
      <w:marBottom w:val="0"/>
      <w:divBdr>
        <w:top w:val="none" w:sz="0" w:space="0" w:color="auto"/>
        <w:left w:val="none" w:sz="0" w:space="0" w:color="auto"/>
        <w:bottom w:val="none" w:sz="0" w:space="0" w:color="auto"/>
        <w:right w:val="none" w:sz="0" w:space="0" w:color="auto"/>
      </w:divBdr>
    </w:div>
    <w:div w:id="309789002">
      <w:bodyDiv w:val="1"/>
      <w:marLeft w:val="0"/>
      <w:marRight w:val="0"/>
      <w:marTop w:val="0"/>
      <w:marBottom w:val="0"/>
      <w:divBdr>
        <w:top w:val="none" w:sz="0" w:space="0" w:color="auto"/>
        <w:left w:val="none" w:sz="0" w:space="0" w:color="auto"/>
        <w:bottom w:val="none" w:sz="0" w:space="0" w:color="auto"/>
        <w:right w:val="none" w:sz="0" w:space="0" w:color="auto"/>
      </w:divBdr>
    </w:div>
    <w:div w:id="315304973">
      <w:bodyDiv w:val="1"/>
      <w:marLeft w:val="0"/>
      <w:marRight w:val="0"/>
      <w:marTop w:val="0"/>
      <w:marBottom w:val="0"/>
      <w:divBdr>
        <w:top w:val="none" w:sz="0" w:space="0" w:color="auto"/>
        <w:left w:val="none" w:sz="0" w:space="0" w:color="auto"/>
        <w:bottom w:val="none" w:sz="0" w:space="0" w:color="auto"/>
        <w:right w:val="none" w:sz="0" w:space="0" w:color="auto"/>
      </w:divBdr>
    </w:div>
    <w:div w:id="315770403">
      <w:bodyDiv w:val="1"/>
      <w:marLeft w:val="0"/>
      <w:marRight w:val="0"/>
      <w:marTop w:val="0"/>
      <w:marBottom w:val="0"/>
      <w:divBdr>
        <w:top w:val="none" w:sz="0" w:space="0" w:color="auto"/>
        <w:left w:val="none" w:sz="0" w:space="0" w:color="auto"/>
        <w:bottom w:val="none" w:sz="0" w:space="0" w:color="auto"/>
        <w:right w:val="none" w:sz="0" w:space="0" w:color="auto"/>
      </w:divBdr>
    </w:div>
    <w:div w:id="316081974">
      <w:bodyDiv w:val="1"/>
      <w:marLeft w:val="0"/>
      <w:marRight w:val="0"/>
      <w:marTop w:val="0"/>
      <w:marBottom w:val="0"/>
      <w:divBdr>
        <w:top w:val="none" w:sz="0" w:space="0" w:color="auto"/>
        <w:left w:val="none" w:sz="0" w:space="0" w:color="auto"/>
        <w:bottom w:val="none" w:sz="0" w:space="0" w:color="auto"/>
        <w:right w:val="none" w:sz="0" w:space="0" w:color="auto"/>
      </w:divBdr>
    </w:div>
    <w:div w:id="316342998">
      <w:bodyDiv w:val="1"/>
      <w:marLeft w:val="0"/>
      <w:marRight w:val="0"/>
      <w:marTop w:val="0"/>
      <w:marBottom w:val="0"/>
      <w:divBdr>
        <w:top w:val="none" w:sz="0" w:space="0" w:color="auto"/>
        <w:left w:val="none" w:sz="0" w:space="0" w:color="auto"/>
        <w:bottom w:val="none" w:sz="0" w:space="0" w:color="auto"/>
        <w:right w:val="none" w:sz="0" w:space="0" w:color="auto"/>
      </w:divBdr>
    </w:div>
    <w:div w:id="318659857">
      <w:bodyDiv w:val="1"/>
      <w:marLeft w:val="0"/>
      <w:marRight w:val="0"/>
      <w:marTop w:val="0"/>
      <w:marBottom w:val="0"/>
      <w:divBdr>
        <w:top w:val="none" w:sz="0" w:space="0" w:color="auto"/>
        <w:left w:val="none" w:sz="0" w:space="0" w:color="auto"/>
        <w:bottom w:val="none" w:sz="0" w:space="0" w:color="auto"/>
        <w:right w:val="none" w:sz="0" w:space="0" w:color="auto"/>
      </w:divBdr>
    </w:div>
    <w:div w:id="319504670">
      <w:bodyDiv w:val="1"/>
      <w:marLeft w:val="0"/>
      <w:marRight w:val="0"/>
      <w:marTop w:val="0"/>
      <w:marBottom w:val="0"/>
      <w:divBdr>
        <w:top w:val="none" w:sz="0" w:space="0" w:color="auto"/>
        <w:left w:val="none" w:sz="0" w:space="0" w:color="auto"/>
        <w:bottom w:val="none" w:sz="0" w:space="0" w:color="auto"/>
        <w:right w:val="none" w:sz="0" w:space="0" w:color="auto"/>
      </w:divBdr>
    </w:div>
    <w:div w:id="319847290">
      <w:bodyDiv w:val="1"/>
      <w:marLeft w:val="0"/>
      <w:marRight w:val="0"/>
      <w:marTop w:val="0"/>
      <w:marBottom w:val="0"/>
      <w:divBdr>
        <w:top w:val="none" w:sz="0" w:space="0" w:color="auto"/>
        <w:left w:val="none" w:sz="0" w:space="0" w:color="auto"/>
        <w:bottom w:val="none" w:sz="0" w:space="0" w:color="auto"/>
        <w:right w:val="none" w:sz="0" w:space="0" w:color="auto"/>
      </w:divBdr>
    </w:div>
    <w:div w:id="323827532">
      <w:bodyDiv w:val="1"/>
      <w:marLeft w:val="0"/>
      <w:marRight w:val="0"/>
      <w:marTop w:val="0"/>
      <w:marBottom w:val="0"/>
      <w:divBdr>
        <w:top w:val="none" w:sz="0" w:space="0" w:color="auto"/>
        <w:left w:val="none" w:sz="0" w:space="0" w:color="auto"/>
        <w:bottom w:val="none" w:sz="0" w:space="0" w:color="auto"/>
        <w:right w:val="none" w:sz="0" w:space="0" w:color="auto"/>
      </w:divBdr>
    </w:div>
    <w:div w:id="326203414">
      <w:bodyDiv w:val="1"/>
      <w:marLeft w:val="0"/>
      <w:marRight w:val="0"/>
      <w:marTop w:val="0"/>
      <w:marBottom w:val="0"/>
      <w:divBdr>
        <w:top w:val="none" w:sz="0" w:space="0" w:color="auto"/>
        <w:left w:val="none" w:sz="0" w:space="0" w:color="auto"/>
        <w:bottom w:val="none" w:sz="0" w:space="0" w:color="auto"/>
        <w:right w:val="none" w:sz="0" w:space="0" w:color="auto"/>
      </w:divBdr>
    </w:div>
    <w:div w:id="326834475">
      <w:bodyDiv w:val="1"/>
      <w:marLeft w:val="0"/>
      <w:marRight w:val="0"/>
      <w:marTop w:val="0"/>
      <w:marBottom w:val="0"/>
      <w:divBdr>
        <w:top w:val="none" w:sz="0" w:space="0" w:color="auto"/>
        <w:left w:val="none" w:sz="0" w:space="0" w:color="auto"/>
        <w:bottom w:val="none" w:sz="0" w:space="0" w:color="auto"/>
        <w:right w:val="none" w:sz="0" w:space="0" w:color="auto"/>
      </w:divBdr>
    </w:div>
    <w:div w:id="329022226">
      <w:bodyDiv w:val="1"/>
      <w:marLeft w:val="0"/>
      <w:marRight w:val="0"/>
      <w:marTop w:val="0"/>
      <w:marBottom w:val="0"/>
      <w:divBdr>
        <w:top w:val="none" w:sz="0" w:space="0" w:color="auto"/>
        <w:left w:val="none" w:sz="0" w:space="0" w:color="auto"/>
        <w:bottom w:val="none" w:sz="0" w:space="0" w:color="auto"/>
        <w:right w:val="none" w:sz="0" w:space="0" w:color="auto"/>
      </w:divBdr>
    </w:div>
    <w:div w:id="330498371">
      <w:bodyDiv w:val="1"/>
      <w:marLeft w:val="0"/>
      <w:marRight w:val="0"/>
      <w:marTop w:val="0"/>
      <w:marBottom w:val="0"/>
      <w:divBdr>
        <w:top w:val="none" w:sz="0" w:space="0" w:color="auto"/>
        <w:left w:val="none" w:sz="0" w:space="0" w:color="auto"/>
        <w:bottom w:val="none" w:sz="0" w:space="0" w:color="auto"/>
        <w:right w:val="none" w:sz="0" w:space="0" w:color="auto"/>
      </w:divBdr>
    </w:div>
    <w:div w:id="335765076">
      <w:bodyDiv w:val="1"/>
      <w:marLeft w:val="0"/>
      <w:marRight w:val="0"/>
      <w:marTop w:val="0"/>
      <w:marBottom w:val="0"/>
      <w:divBdr>
        <w:top w:val="none" w:sz="0" w:space="0" w:color="auto"/>
        <w:left w:val="none" w:sz="0" w:space="0" w:color="auto"/>
        <w:bottom w:val="none" w:sz="0" w:space="0" w:color="auto"/>
        <w:right w:val="none" w:sz="0" w:space="0" w:color="auto"/>
      </w:divBdr>
    </w:div>
    <w:div w:id="337344038">
      <w:bodyDiv w:val="1"/>
      <w:marLeft w:val="0"/>
      <w:marRight w:val="0"/>
      <w:marTop w:val="0"/>
      <w:marBottom w:val="0"/>
      <w:divBdr>
        <w:top w:val="none" w:sz="0" w:space="0" w:color="auto"/>
        <w:left w:val="none" w:sz="0" w:space="0" w:color="auto"/>
        <w:bottom w:val="none" w:sz="0" w:space="0" w:color="auto"/>
        <w:right w:val="none" w:sz="0" w:space="0" w:color="auto"/>
      </w:divBdr>
    </w:div>
    <w:div w:id="338119120">
      <w:bodyDiv w:val="1"/>
      <w:marLeft w:val="0"/>
      <w:marRight w:val="0"/>
      <w:marTop w:val="0"/>
      <w:marBottom w:val="0"/>
      <w:divBdr>
        <w:top w:val="none" w:sz="0" w:space="0" w:color="auto"/>
        <w:left w:val="none" w:sz="0" w:space="0" w:color="auto"/>
        <w:bottom w:val="none" w:sz="0" w:space="0" w:color="auto"/>
        <w:right w:val="none" w:sz="0" w:space="0" w:color="auto"/>
      </w:divBdr>
    </w:div>
    <w:div w:id="339159390">
      <w:bodyDiv w:val="1"/>
      <w:marLeft w:val="0"/>
      <w:marRight w:val="0"/>
      <w:marTop w:val="0"/>
      <w:marBottom w:val="0"/>
      <w:divBdr>
        <w:top w:val="none" w:sz="0" w:space="0" w:color="auto"/>
        <w:left w:val="none" w:sz="0" w:space="0" w:color="auto"/>
        <w:bottom w:val="none" w:sz="0" w:space="0" w:color="auto"/>
        <w:right w:val="none" w:sz="0" w:space="0" w:color="auto"/>
      </w:divBdr>
    </w:div>
    <w:div w:id="340283344">
      <w:bodyDiv w:val="1"/>
      <w:marLeft w:val="0"/>
      <w:marRight w:val="0"/>
      <w:marTop w:val="0"/>
      <w:marBottom w:val="0"/>
      <w:divBdr>
        <w:top w:val="none" w:sz="0" w:space="0" w:color="auto"/>
        <w:left w:val="none" w:sz="0" w:space="0" w:color="auto"/>
        <w:bottom w:val="none" w:sz="0" w:space="0" w:color="auto"/>
        <w:right w:val="none" w:sz="0" w:space="0" w:color="auto"/>
      </w:divBdr>
    </w:div>
    <w:div w:id="340472278">
      <w:bodyDiv w:val="1"/>
      <w:marLeft w:val="0"/>
      <w:marRight w:val="0"/>
      <w:marTop w:val="0"/>
      <w:marBottom w:val="0"/>
      <w:divBdr>
        <w:top w:val="none" w:sz="0" w:space="0" w:color="auto"/>
        <w:left w:val="none" w:sz="0" w:space="0" w:color="auto"/>
        <w:bottom w:val="none" w:sz="0" w:space="0" w:color="auto"/>
        <w:right w:val="none" w:sz="0" w:space="0" w:color="auto"/>
      </w:divBdr>
    </w:div>
    <w:div w:id="343632953">
      <w:bodyDiv w:val="1"/>
      <w:marLeft w:val="0"/>
      <w:marRight w:val="0"/>
      <w:marTop w:val="0"/>
      <w:marBottom w:val="0"/>
      <w:divBdr>
        <w:top w:val="none" w:sz="0" w:space="0" w:color="auto"/>
        <w:left w:val="none" w:sz="0" w:space="0" w:color="auto"/>
        <w:bottom w:val="none" w:sz="0" w:space="0" w:color="auto"/>
        <w:right w:val="none" w:sz="0" w:space="0" w:color="auto"/>
      </w:divBdr>
    </w:div>
    <w:div w:id="348485063">
      <w:bodyDiv w:val="1"/>
      <w:marLeft w:val="0"/>
      <w:marRight w:val="0"/>
      <w:marTop w:val="0"/>
      <w:marBottom w:val="0"/>
      <w:divBdr>
        <w:top w:val="none" w:sz="0" w:space="0" w:color="auto"/>
        <w:left w:val="none" w:sz="0" w:space="0" w:color="auto"/>
        <w:bottom w:val="none" w:sz="0" w:space="0" w:color="auto"/>
        <w:right w:val="none" w:sz="0" w:space="0" w:color="auto"/>
      </w:divBdr>
    </w:div>
    <w:div w:id="348533067">
      <w:bodyDiv w:val="1"/>
      <w:marLeft w:val="0"/>
      <w:marRight w:val="0"/>
      <w:marTop w:val="0"/>
      <w:marBottom w:val="0"/>
      <w:divBdr>
        <w:top w:val="none" w:sz="0" w:space="0" w:color="auto"/>
        <w:left w:val="none" w:sz="0" w:space="0" w:color="auto"/>
        <w:bottom w:val="none" w:sz="0" w:space="0" w:color="auto"/>
        <w:right w:val="none" w:sz="0" w:space="0" w:color="auto"/>
      </w:divBdr>
    </w:div>
    <w:div w:id="348875308">
      <w:bodyDiv w:val="1"/>
      <w:marLeft w:val="0"/>
      <w:marRight w:val="0"/>
      <w:marTop w:val="0"/>
      <w:marBottom w:val="0"/>
      <w:divBdr>
        <w:top w:val="none" w:sz="0" w:space="0" w:color="auto"/>
        <w:left w:val="none" w:sz="0" w:space="0" w:color="auto"/>
        <w:bottom w:val="none" w:sz="0" w:space="0" w:color="auto"/>
        <w:right w:val="none" w:sz="0" w:space="0" w:color="auto"/>
      </w:divBdr>
    </w:div>
    <w:div w:id="349307478">
      <w:bodyDiv w:val="1"/>
      <w:marLeft w:val="0"/>
      <w:marRight w:val="0"/>
      <w:marTop w:val="0"/>
      <w:marBottom w:val="0"/>
      <w:divBdr>
        <w:top w:val="none" w:sz="0" w:space="0" w:color="auto"/>
        <w:left w:val="none" w:sz="0" w:space="0" w:color="auto"/>
        <w:bottom w:val="none" w:sz="0" w:space="0" w:color="auto"/>
        <w:right w:val="none" w:sz="0" w:space="0" w:color="auto"/>
      </w:divBdr>
    </w:div>
    <w:div w:id="353726452">
      <w:bodyDiv w:val="1"/>
      <w:marLeft w:val="0"/>
      <w:marRight w:val="0"/>
      <w:marTop w:val="0"/>
      <w:marBottom w:val="0"/>
      <w:divBdr>
        <w:top w:val="none" w:sz="0" w:space="0" w:color="auto"/>
        <w:left w:val="none" w:sz="0" w:space="0" w:color="auto"/>
        <w:bottom w:val="none" w:sz="0" w:space="0" w:color="auto"/>
        <w:right w:val="none" w:sz="0" w:space="0" w:color="auto"/>
      </w:divBdr>
    </w:div>
    <w:div w:id="359281825">
      <w:bodyDiv w:val="1"/>
      <w:marLeft w:val="0"/>
      <w:marRight w:val="0"/>
      <w:marTop w:val="0"/>
      <w:marBottom w:val="0"/>
      <w:divBdr>
        <w:top w:val="none" w:sz="0" w:space="0" w:color="auto"/>
        <w:left w:val="none" w:sz="0" w:space="0" w:color="auto"/>
        <w:bottom w:val="none" w:sz="0" w:space="0" w:color="auto"/>
        <w:right w:val="none" w:sz="0" w:space="0" w:color="auto"/>
      </w:divBdr>
    </w:div>
    <w:div w:id="360282337">
      <w:bodyDiv w:val="1"/>
      <w:marLeft w:val="0"/>
      <w:marRight w:val="0"/>
      <w:marTop w:val="0"/>
      <w:marBottom w:val="0"/>
      <w:divBdr>
        <w:top w:val="none" w:sz="0" w:space="0" w:color="auto"/>
        <w:left w:val="none" w:sz="0" w:space="0" w:color="auto"/>
        <w:bottom w:val="none" w:sz="0" w:space="0" w:color="auto"/>
        <w:right w:val="none" w:sz="0" w:space="0" w:color="auto"/>
      </w:divBdr>
    </w:div>
    <w:div w:id="362362266">
      <w:bodyDiv w:val="1"/>
      <w:marLeft w:val="0"/>
      <w:marRight w:val="0"/>
      <w:marTop w:val="0"/>
      <w:marBottom w:val="0"/>
      <w:divBdr>
        <w:top w:val="none" w:sz="0" w:space="0" w:color="auto"/>
        <w:left w:val="none" w:sz="0" w:space="0" w:color="auto"/>
        <w:bottom w:val="none" w:sz="0" w:space="0" w:color="auto"/>
        <w:right w:val="none" w:sz="0" w:space="0" w:color="auto"/>
      </w:divBdr>
    </w:div>
    <w:div w:id="364330919">
      <w:bodyDiv w:val="1"/>
      <w:marLeft w:val="0"/>
      <w:marRight w:val="0"/>
      <w:marTop w:val="0"/>
      <w:marBottom w:val="0"/>
      <w:divBdr>
        <w:top w:val="none" w:sz="0" w:space="0" w:color="auto"/>
        <w:left w:val="none" w:sz="0" w:space="0" w:color="auto"/>
        <w:bottom w:val="none" w:sz="0" w:space="0" w:color="auto"/>
        <w:right w:val="none" w:sz="0" w:space="0" w:color="auto"/>
      </w:divBdr>
    </w:div>
    <w:div w:id="370040182">
      <w:bodyDiv w:val="1"/>
      <w:marLeft w:val="0"/>
      <w:marRight w:val="0"/>
      <w:marTop w:val="0"/>
      <w:marBottom w:val="0"/>
      <w:divBdr>
        <w:top w:val="none" w:sz="0" w:space="0" w:color="auto"/>
        <w:left w:val="none" w:sz="0" w:space="0" w:color="auto"/>
        <w:bottom w:val="none" w:sz="0" w:space="0" w:color="auto"/>
        <w:right w:val="none" w:sz="0" w:space="0" w:color="auto"/>
      </w:divBdr>
    </w:div>
    <w:div w:id="370617372">
      <w:bodyDiv w:val="1"/>
      <w:marLeft w:val="0"/>
      <w:marRight w:val="0"/>
      <w:marTop w:val="0"/>
      <w:marBottom w:val="0"/>
      <w:divBdr>
        <w:top w:val="none" w:sz="0" w:space="0" w:color="auto"/>
        <w:left w:val="none" w:sz="0" w:space="0" w:color="auto"/>
        <w:bottom w:val="none" w:sz="0" w:space="0" w:color="auto"/>
        <w:right w:val="none" w:sz="0" w:space="0" w:color="auto"/>
      </w:divBdr>
    </w:div>
    <w:div w:id="374737083">
      <w:bodyDiv w:val="1"/>
      <w:marLeft w:val="0"/>
      <w:marRight w:val="0"/>
      <w:marTop w:val="0"/>
      <w:marBottom w:val="0"/>
      <w:divBdr>
        <w:top w:val="none" w:sz="0" w:space="0" w:color="auto"/>
        <w:left w:val="none" w:sz="0" w:space="0" w:color="auto"/>
        <w:bottom w:val="none" w:sz="0" w:space="0" w:color="auto"/>
        <w:right w:val="none" w:sz="0" w:space="0" w:color="auto"/>
      </w:divBdr>
    </w:div>
    <w:div w:id="375547636">
      <w:bodyDiv w:val="1"/>
      <w:marLeft w:val="0"/>
      <w:marRight w:val="0"/>
      <w:marTop w:val="0"/>
      <w:marBottom w:val="0"/>
      <w:divBdr>
        <w:top w:val="none" w:sz="0" w:space="0" w:color="auto"/>
        <w:left w:val="none" w:sz="0" w:space="0" w:color="auto"/>
        <w:bottom w:val="none" w:sz="0" w:space="0" w:color="auto"/>
        <w:right w:val="none" w:sz="0" w:space="0" w:color="auto"/>
      </w:divBdr>
    </w:div>
    <w:div w:id="376321210">
      <w:bodyDiv w:val="1"/>
      <w:marLeft w:val="0"/>
      <w:marRight w:val="0"/>
      <w:marTop w:val="0"/>
      <w:marBottom w:val="0"/>
      <w:divBdr>
        <w:top w:val="none" w:sz="0" w:space="0" w:color="auto"/>
        <w:left w:val="none" w:sz="0" w:space="0" w:color="auto"/>
        <w:bottom w:val="none" w:sz="0" w:space="0" w:color="auto"/>
        <w:right w:val="none" w:sz="0" w:space="0" w:color="auto"/>
      </w:divBdr>
    </w:div>
    <w:div w:id="376468014">
      <w:bodyDiv w:val="1"/>
      <w:marLeft w:val="0"/>
      <w:marRight w:val="0"/>
      <w:marTop w:val="0"/>
      <w:marBottom w:val="0"/>
      <w:divBdr>
        <w:top w:val="none" w:sz="0" w:space="0" w:color="auto"/>
        <w:left w:val="none" w:sz="0" w:space="0" w:color="auto"/>
        <w:bottom w:val="none" w:sz="0" w:space="0" w:color="auto"/>
        <w:right w:val="none" w:sz="0" w:space="0" w:color="auto"/>
      </w:divBdr>
    </w:div>
    <w:div w:id="377168032">
      <w:bodyDiv w:val="1"/>
      <w:marLeft w:val="0"/>
      <w:marRight w:val="0"/>
      <w:marTop w:val="0"/>
      <w:marBottom w:val="0"/>
      <w:divBdr>
        <w:top w:val="none" w:sz="0" w:space="0" w:color="auto"/>
        <w:left w:val="none" w:sz="0" w:space="0" w:color="auto"/>
        <w:bottom w:val="none" w:sz="0" w:space="0" w:color="auto"/>
        <w:right w:val="none" w:sz="0" w:space="0" w:color="auto"/>
      </w:divBdr>
    </w:div>
    <w:div w:id="377511180">
      <w:bodyDiv w:val="1"/>
      <w:marLeft w:val="0"/>
      <w:marRight w:val="0"/>
      <w:marTop w:val="0"/>
      <w:marBottom w:val="0"/>
      <w:divBdr>
        <w:top w:val="none" w:sz="0" w:space="0" w:color="auto"/>
        <w:left w:val="none" w:sz="0" w:space="0" w:color="auto"/>
        <w:bottom w:val="none" w:sz="0" w:space="0" w:color="auto"/>
        <w:right w:val="none" w:sz="0" w:space="0" w:color="auto"/>
      </w:divBdr>
    </w:div>
    <w:div w:id="379020179">
      <w:bodyDiv w:val="1"/>
      <w:marLeft w:val="0"/>
      <w:marRight w:val="0"/>
      <w:marTop w:val="0"/>
      <w:marBottom w:val="0"/>
      <w:divBdr>
        <w:top w:val="none" w:sz="0" w:space="0" w:color="auto"/>
        <w:left w:val="none" w:sz="0" w:space="0" w:color="auto"/>
        <w:bottom w:val="none" w:sz="0" w:space="0" w:color="auto"/>
        <w:right w:val="none" w:sz="0" w:space="0" w:color="auto"/>
      </w:divBdr>
    </w:div>
    <w:div w:id="381097512">
      <w:bodyDiv w:val="1"/>
      <w:marLeft w:val="0"/>
      <w:marRight w:val="0"/>
      <w:marTop w:val="0"/>
      <w:marBottom w:val="0"/>
      <w:divBdr>
        <w:top w:val="none" w:sz="0" w:space="0" w:color="auto"/>
        <w:left w:val="none" w:sz="0" w:space="0" w:color="auto"/>
        <w:bottom w:val="none" w:sz="0" w:space="0" w:color="auto"/>
        <w:right w:val="none" w:sz="0" w:space="0" w:color="auto"/>
      </w:divBdr>
    </w:div>
    <w:div w:id="384454492">
      <w:bodyDiv w:val="1"/>
      <w:marLeft w:val="0"/>
      <w:marRight w:val="0"/>
      <w:marTop w:val="0"/>
      <w:marBottom w:val="0"/>
      <w:divBdr>
        <w:top w:val="none" w:sz="0" w:space="0" w:color="auto"/>
        <w:left w:val="none" w:sz="0" w:space="0" w:color="auto"/>
        <w:bottom w:val="none" w:sz="0" w:space="0" w:color="auto"/>
        <w:right w:val="none" w:sz="0" w:space="0" w:color="auto"/>
      </w:divBdr>
    </w:div>
    <w:div w:id="384913572">
      <w:bodyDiv w:val="1"/>
      <w:marLeft w:val="0"/>
      <w:marRight w:val="0"/>
      <w:marTop w:val="0"/>
      <w:marBottom w:val="0"/>
      <w:divBdr>
        <w:top w:val="none" w:sz="0" w:space="0" w:color="auto"/>
        <w:left w:val="none" w:sz="0" w:space="0" w:color="auto"/>
        <w:bottom w:val="none" w:sz="0" w:space="0" w:color="auto"/>
        <w:right w:val="none" w:sz="0" w:space="0" w:color="auto"/>
      </w:divBdr>
    </w:div>
    <w:div w:id="386340471">
      <w:bodyDiv w:val="1"/>
      <w:marLeft w:val="0"/>
      <w:marRight w:val="0"/>
      <w:marTop w:val="0"/>
      <w:marBottom w:val="0"/>
      <w:divBdr>
        <w:top w:val="none" w:sz="0" w:space="0" w:color="auto"/>
        <w:left w:val="none" w:sz="0" w:space="0" w:color="auto"/>
        <w:bottom w:val="none" w:sz="0" w:space="0" w:color="auto"/>
        <w:right w:val="none" w:sz="0" w:space="0" w:color="auto"/>
      </w:divBdr>
    </w:div>
    <w:div w:id="388697414">
      <w:bodyDiv w:val="1"/>
      <w:marLeft w:val="0"/>
      <w:marRight w:val="0"/>
      <w:marTop w:val="0"/>
      <w:marBottom w:val="0"/>
      <w:divBdr>
        <w:top w:val="none" w:sz="0" w:space="0" w:color="auto"/>
        <w:left w:val="none" w:sz="0" w:space="0" w:color="auto"/>
        <w:bottom w:val="none" w:sz="0" w:space="0" w:color="auto"/>
        <w:right w:val="none" w:sz="0" w:space="0" w:color="auto"/>
      </w:divBdr>
    </w:div>
    <w:div w:id="390540464">
      <w:bodyDiv w:val="1"/>
      <w:marLeft w:val="0"/>
      <w:marRight w:val="0"/>
      <w:marTop w:val="0"/>
      <w:marBottom w:val="0"/>
      <w:divBdr>
        <w:top w:val="none" w:sz="0" w:space="0" w:color="auto"/>
        <w:left w:val="none" w:sz="0" w:space="0" w:color="auto"/>
        <w:bottom w:val="none" w:sz="0" w:space="0" w:color="auto"/>
        <w:right w:val="none" w:sz="0" w:space="0" w:color="auto"/>
      </w:divBdr>
    </w:div>
    <w:div w:id="392781180">
      <w:bodyDiv w:val="1"/>
      <w:marLeft w:val="0"/>
      <w:marRight w:val="0"/>
      <w:marTop w:val="0"/>
      <w:marBottom w:val="0"/>
      <w:divBdr>
        <w:top w:val="none" w:sz="0" w:space="0" w:color="auto"/>
        <w:left w:val="none" w:sz="0" w:space="0" w:color="auto"/>
        <w:bottom w:val="none" w:sz="0" w:space="0" w:color="auto"/>
        <w:right w:val="none" w:sz="0" w:space="0" w:color="auto"/>
      </w:divBdr>
    </w:div>
    <w:div w:id="392897338">
      <w:bodyDiv w:val="1"/>
      <w:marLeft w:val="0"/>
      <w:marRight w:val="0"/>
      <w:marTop w:val="0"/>
      <w:marBottom w:val="0"/>
      <w:divBdr>
        <w:top w:val="none" w:sz="0" w:space="0" w:color="auto"/>
        <w:left w:val="none" w:sz="0" w:space="0" w:color="auto"/>
        <w:bottom w:val="none" w:sz="0" w:space="0" w:color="auto"/>
        <w:right w:val="none" w:sz="0" w:space="0" w:color="auto"/>
      </w:divBdr>
    </w:div>
    <w:div w:id="396324151">
      <w:bodyDiv w:val="1"/>
      <w:marLeft w:val="0"/>
      <w:marRight w:val="0"/>
      <w:marTop w:val="0"/>
      <w:marBottom w:val="0"/>
      <w:divBdr>
        <w:top w:val="none" w:sz="0" w:space="0" w:color="auto"/>
        <w:left w:val="none" w:sz="0" w:space="0" w:color="auto"/>
        <w:bottom w:val="none" w:sz="0" w:space="0" w:color="auto"/>
        <w:right w:val="none" w:sz="0" w:space="0" w:color="auto"/>
      </w:divBdr>
    </w:div>
    <w:div w:id="397245114">
      <w:bodyDiv w:val="1"/>
      <w:marLeft w:val="0"/>
      <w:marRight w:val="0"/>
      <w:marTop w:val="0"/>
      <w:marBottom w:val="0"/>
      <w:divBdr>
        <w:top w:val="none" w:sz="0" w:space="0" w:color="auto"/>
        <w:left w:val="none" w:sz="0" w:space="0" w:color="auto"/>
        <w:bottom w:val="none" w:sz="0" w:space="0" w:color="auto"/>
        <w:right w:val="none" w:sz="0" w:space="0" w:color="auto"/>
      </w:divBdr>
    </w:div>
    <w:div w:id="398477025">
      <w:bodyDiv w:val="1"/>
      <w:marLeft w:val="0"/>
      <w:marRight w:val="0"/>
      <w:marTop w:val="0"/>
      <w:marBottom w:val="0"/>
      <w:divBdr>
        <w:top w:val="none" w:sz="0" w:space="0" w:color="auto"/>
        <w:left w:val="none" w:sz="0" w:space="0" w:color="auto"/>
        <w:bottom w:val="none" w:sz="0" w:space="0" w:color="auto"/>
        <w:right w:val="none" w:sz="0" w:space="0" w:color="auto"/>
      </w:divBdr>
    </w:div>
    <w:div w:id="402073025">
      <w:bodyDiv w:val="1"/>
      <w:marLeft w:val="0"/>
      <w:marRight w:val="0"/>
      <w:marTop w:val="0"/>
      <w:marBottom w:val="0"/>
      <w:divBdr>
        <w:top w:val="none" w:sz="0" w:space="0" w:color="auto"/>
        <w:left w:val="none" w:sz="0" w:space="0" w:color="auto"/>
        <w:bottom w:val="none" w:sz="0" w:space="0" w:color="auto"/>
        <w:right w:val="none" w:sz="0" w:space="0" w:color="auto"/>
      </w:divBdr>
    </w:div>
    <w:div w:id="402142092">
      <w:bodyDiv w:val="1"/>
      <w:marLeft w:val="0"/>
      <w:marRight w:val="0"/>
      <w:marTop w:val="0"/>
      <w:marBottom w:val="0"/>
      <w:divBdr>
        <w:top w:val="none" w:sz="0" w:space="0" w:color="auto"/>
        <w:left w:val="none" w:sz="0" w:space="0" w:color="auto"/>
        <w:bottom w:val="none" w:sz="0" w:space="0" w:color="auto"/>
        <w:right w:val="none" w:sz="0" w:space="0" w:color="auto"/>
      </w:divBdr>
    </w:div>
    <w:div w:id="405616429">
      <w:bodyDiv w:val="1"/>
      <w:marLeft w:val="0"/>
      <w:marRight w:val="0"/>
      <w:marTop w:val="0"/>
      <w:marBottom w:val="0"/>
      <w:divBdr>
        <w:top w:val="none" w:sz="0" w:space="0" w:color="auto"/>
        <w:left w:val="none" w:sz="0" w:space="0" w:color="auto"/>
        <w:bottom w:val="none" w:sz="0" w:space="0" w:color="auto"/>
        <w:right w:val="none" w:sz="0" w:space="0" w:color="auto"/>
      </w:divBdr>
    </w:div>
    <w:div w:id="411779946">
      <w:bodyDiv w:val="1"/>
      <w:marLeft w:val="0"/>
      <w:marRight w:val="0"/>
      <w:marTop w:val="0"/>
      <w:marBottom w:val="0"/>
      <w:divBdr>
        <w:top w:val="none" w:sz="0" w:space="0" w:color="auto"/>
        <w:left w:val="none" w:sz="0" w:space="0" w:color="auto"/>
        <w:bottom w:val="none" w:sz="0" w:space="0" w:color="auto"/>
        <w:right w:val="none" w:sz="0" w:space="0" w:color="auto"/>
      </w:divBdr>
    </w:div>
    <w:div w:id="412624159">
      <w:bodyDiv w:val="1"/>
      <w:marLeft w:val="0"/>
      <w:marRight w:val="0"/>
      <w:marTop w:val="0"/>
      <w:marBottom w:val="0"/>
      <w:divBdr>
        <w:top w:val="none" w:sz="0" w:space="0" w:color="auto"/>
        <w:left w:val="none" w:sz="0" w:space="0" w:color="auto"/>
        <w:bottom w:val="none" w:sz="0" w:space="0" w:color="auto"/>
        <w:right w:val="none" w:sz="0" w:space="0" w:color="auto"/>
      </w:divBdr>
    </w:div>
    <w:div w:id="413473969">
      <w:bodyDiv w:val="1"/>
      <w:marLeft w:val="0"/>
      <w:marRight w:val="0"/>
      <w:marTop w:val="0"/>
      <w:marBottom w:val="0"/>
      <w:divBdr>
        <w:top w:val="none" w:sz="0" w:space="0" w:color="auto"/>
        <w:left w:val="none" w:sz="0" w:space="0" w:color="auto"/>
        <w:bottom w:val="none" w:sz="0" w:space="0" w:color="auto"/>
        <w:right w:val="none" w:sz="0" w:space="0" w:color="auto"/>
      </w:divBdr>
    </w:div>
    <w:div w:id="415984312">
      <w:bodyDiv w:val="1"/>
      <w:marLeft w:val="0"/>
      <w:marRight w:val="0"/>
      <w:marTop w:val="0"/>
      <w:marBottom w:val="0"/>
      <w:divBdr>
        <w:top w:val="none" w:sz="0" w:space="0" w:color="auto"/>
        <w:left w:val="none" w:sz="0" w:space="0" w:color="auto"/>
        <w:bottom w:val="none" w:sz="0" w:space="0" w:color="auto"/>
        <w:right w:val="none" w:sz="0" w:space="0" w:color="auto"/>
      </w:divBdr>
    </w:div>
    <w:div w:id="416026392">
      <w:bodyDiv w:val="1"/>
      <w:marLeft w:val="0"/>
      <w:marRight w:val="0"/>
      <w:marTop w:val="0"/>
      <w:marBottom w:val="0"/>
      <w:divBdr>
        <w:top w:val="none" w:sz="0" w:space="0" w:color="auto"/>
        <w:left w:val="none" w:sz="0" w:space="0" w:color="auto"/>
        <w:bottom w:val="none" w:sz="0" w:space="0" w:color="auto"/>
        <w:right w:val="none" w:sz="0" w:space="0" w:color="auto"/>
      </w:divBdr>
    </w:div>
    <w:div w:id="416169213">
      <w:bodyDiv w:val="1"/>
      <w:marLeft w:val="0"/>
      <w:marRight w:val="0"/>
      <w:marTop w:val="0"/>
      <w:marBottom w:val="0"/>
      <w:divBdr>
        <w:top w:val="none" w:sz="0" w:space="0" w:color="auto"/>
        <w:left w:val="none" w:sz="0" w:space="0" w:color="auto"/>
        <w:bottom w:val="none" w:sz="0" w:space="0" w:color="auto"/>
        <w:right w:val="none" w:sz="0" w:space="0" w:color="auto"/>
      </w:divBdr>
    </w:div>
    <w:div w:id="419984179">
      <w:bodyDiv w:val="1"/>
      <w:marLeft w:val="0"/>
      <w:marRight w:val="0"/>
      <w:marTop w:val="0"/>
      <w:marBottom w:val="0"/>
      <w:divBdr>
        <w:top w:val="none" w:sz="0" w:space="0" w:color="auto"/>
        <w:left w:val="none" w:sz="0" w:space="0" w:color="auto"/>
        <w:bottom w:val="none" w:sz="0" w:space="0" w:color="auto"/>
        <w:right w:val="none" w:sz="0" w:space="0" w:color="auto"/>
      </w:divBdr>
    </w:div>
    <w:div w:id="420758396">
      <w:bodyDiv w:val="1"/>
      <w:marLeft w:val="0"/>
      <w:marRight w:val="0"/>
      <w:marTop w:val="0"/>
      <w:marBottom w:val="0"/>
      <w:divBdr>
        <w:top w:val="none" w:sz="0" w:space="0" w:color="auto"/>
        <w:left w:val="none" w:sz="0" w:space="0" w:color="auto"/>
        <w:bottom w:val="none" w:sz="0" w:space="0" w:color="auto"/>
        <w:right w:val="none" w:sz="0" w:space="0" w:color="auto"/>
      </w:divBdr>
    </w:div>
    <w:div w:id="421100819">
      <w:bodyDiv w:val="1"/>
      <w:marLeft w:val="0"/>
      <w:marRight w:val="0"/>
      <w:marTop w:val="0"/>
      <w:marBottom w:val="0"/>
      <w:divBdr>
        <w:top w:val="none" w:sz="0" w:space="0" w:color="auto"/>
        <w:left w:val="none" w:sz="0" w:space="0" w:color="auto"/>
        <w:bottom w:val="none" w:sz="0" w:space="0" w:color="auto"/>
        <w:right w:val="none" w:sz="0" w:space="0" w:color="auto"/>
      </w:divBdr>
    </w:div>
    <w:div w:id="421756192">
      <w:bodyDiv w:val="1"/>
      <w:marLeft w:val="0"/>
      <w:marRight w:val="0"/>
      <w:marTop w:val="0"/>
      <w:marBottom w:val="0"/>
      <w:divBdr>
        <w:top w:val="none" w:sz="0" w:space="0" w:color="auto"/>
        <w:left w:val="none" w:sz="0" w:space="0" w:color="auto"/>
        <w:bottom w:val="none" w:sz="0" w:space="0" w:color="auto"/>
        <w:right w:val="none" w:sz="0" w:space="0" w:color="auto"/>
      </w:divBdr>
    </w:div>
    <w:div w:id="423457401">
      <w:bodyDiv w:val="1"/>
      <w:marLeft w:val="0"/>
      <w:marRight w:val="0"/>
      <w:marTop w:val="0"/>
      <w:marBottom w:val="0"/>
      <w:divBdr>
        <w:top w:val="none" w:sz="0" w:space="0" w:color="auto"/>
        <w:left w:val="none" w:sz="0" w:space="0" w:color="auto"/>
        <w:bottom w:val="none" w:sz="0" w:space="0" w:color="auto"/>
        <w:right w:val="none" w:sz="0" w:space="0" w:color="auto"/>
      </w:divBdr>
    </w:div>
    <w:div w:id="423503031">
      <w:bodyDiv w:val="1"/>
      <w:marLeft w:val="0"/>
      <w:marRight w:val="0"/>
      <w:marTop w:val="0"/>
      <w:marBottom w:val="0"/>
      <w:divBdr>
        <w:top w:val="none" w:sz="0" w:space="0" w:color="auto"/>
        <w:left w:val="none" w:sz="0" w:space="0" w:color="auto"/>
        <w:bottom w:val="none" w:sz="0" w:space="0" w:color="auto"/>
        <w:right w:val="none" w:sz="0" w:space="0" w:color="auto"/>
      </w:divBdr>
    </w:div>
    <w:div w:id="423838631">
      <w:bodyDiv w:val="1"/>
      <w:marLeft w:val="0"/>
      <w:marRight w:val="0"/>
      <w:marTop w:val="0"/>
      <w:marBottom w:val="0"/>
      <w:divBdr>
        <w:top w:val="none" w:sz="0" w:space="0" w:color="auto"/>
        <w:left w:val="none" w:sz="0" w:space="0" w:color="auto"/>
        <w:bottom w:val="none" w:sz="0" w:space="0" w:color="auto"/>
        <w:right w:val="none" w:sz="0" w:space="0" w:color="auto"/>
      </w:divBdr>
    </w:div>
    <w:div w:id="430931022">
      <w:bodyDiv w:val="1"/>
      <w:marLeft w:val="0"/>
      <w:marRight w:val="0"/>
      <w:marTop w:val="0"/>
      <w:marBottom w:val="0"/>
      <w:divBdr>
        <w:top w:val="none" w:sz="0" w:space="0" w:color="auto"/>
        <w:left w:val="none" w:sz="0" w:space="0" w:color="auto"/>
        <w:bottom w:val="none" w:sz="0" w:space="0" w:color="auto"/>
        <w:right w:val="none" w:sz="0" w:space="0" w:color="auto"/>
      </w:divBdr>
    </w:div>
    <w:div w:id="432744016">
      <w:bodyDiv w:val="1"/>
      <w:marLeft w:val="0"/>
      <w:marRight w:val="0"/>
      <w:marTop w:val="0"/>
      <w:marBottom w:val="0"/>
      <w:divBdr>
        <w:top w:val="none" w:sz="0" w:space="0" w:color="auto"/>
        <w:left w:val="none" w:sz="0" w:space="0" w:color="auto"/>
        <w:bottom w:val="none" w:sz="0" w:space="0" w:color="auto"/>
        <w:right w:val="none" w:sz="0" w:space="0" w:color="auto"/>
      </w:divBdr>
    </w:div>
    <w:div w:id="434060035">
      <w:bodyDiv w:val="1"/>
      <w:marLeft w:val="0"/>
      <w:marRight w:val="0"/>
      <w:marTop w:val="0"/>
      <w:marBottom w:val="0"/>
      <w:divBdr>
        <w:top w:val="none" w:sz="0" w:space="0" w:color="auto"/>
        <w:left w:val="none" w:sz="0" w:space="0" w:color="auto"/>
        <w:bottom w:val="none" w:sz="0" w:space="0" w:color="auto"/>
        <w:right w:val="none" w:sz="0" w:space="0" w:color="auto"/>
      </w:divBdr>
    </w:div>
    <w:div w:id="435836023">
      <w:bodyDiv w:val="1"/>
      <w:marLeft w:val="0"/>
      <w:marRight w:val="0"/>
      <w:marTop w:val="0"/>
      <w:marBottom w:val="0"/>
      <w:divBdr>
        <w:top w:val="none" w:sz="0" w:space="0" w:color="auto"/>
        <w:left w:val="none" w:sz="0" w:space="0" w:color="auto"/>
        <w:bottom w:val="none" w:sz="0" w:space="0" w:color="auto"/>
        <w:right w:val="none" w:sz="0" w:space="0" w:color="auto"/>
      </w:divBdr>
    </w:div>
    <w:div w:id="437870225">
      <w:bodyDiv w:val="1"/>
      <w:marLeft w:val="0"/>
      <w:marRight w:val="0"/>
      <w:marTop w:val="0"/>
      <w:marBottom w:val="0"/>
      <w:divBdr>
        <w:top w:val="none" w:sz="0" w:space="0" w:color="auto"/>
        <w:left w:val="none" w:sz="0" w:space="0" w:color="auto"/>
        <w:bottom w:val="none" w:sz="0" w:space="0" w:color="auto"/>
        <w:right w:val="none" w:sz="0" w:space="0" w:color="auto"/>
      </w:divBdr>
    </w:div>
    <w:div w:id="441147565">
      <w:bodyDiv w:val="1"/>
      <w:marLeft w:val="0"/>
      <w:marRight w:val="0"/>
      <w:marTop w:val="0"/>
      <w:marBottom w:val="0"/>
      <w:divBdr>
        <w:top w:val="none" w:sz="0" w:space="0" w:color="auto"/>
        <w:left w:val="none" w:sz="0" w:space="0" w:color="auto"/>
        <w:bottom w:val="none" w:sz="0" w:space="0" w:color="auto"/>
        <w:right w:val="none" w:sz="0" w:space="0" w:color="auto"/>
      </w:divBdr>
    </w:div>
    <w:div w:id="441656285">
      <w:bodyDiv w:val="1"/>
      <w:marLeft w:val="0"/>
      <w:marRight w:val="0"/>
      <w:marTop w:val="0"/>
      <w:marBottom w:val="0"/>
      <w:divBdr>
        <w:top w:val="none" w:sz="0" w:space="0" w:color="auto"/>
        <w:left w:val="none" w:sz="0" w:space="0" w:color="auto"/>
        <w:bottom w:val="none" w:sz="0" w:space="0" w:color="auto"/>
        <w:right w:val="none" w:sz="0" w:space="0" w:color="auto"/>
      </w:divBdr>
    </w:div>
    <w:div w:id="443424740">
      <w:bodyDiv w:val="1"/>
      <w:marLeft w:val="0"/>
      <w:marRight w:val="0"/>
      <w:marTop w:val="0"/>
      <w:marBottom w:val="0"/>
      <w:divBdr>
        <w:top w:val="none" w:sz="0" w:space="0" w:color="auto"/>
        <w:left w:val="none" w:sz="0" w:space="0" w:color="auto"/>
        <w:bottom w:val="none" w:sz="0" w:space="0" w:color="auto"/>
        <w:right w:val="none" w:sz="0" w:space="0" w:color="auto"/>
      </w:divBdr>
    </w:div>
    <w:div w:id="444157467">
      <w:bodyDiv w:val="1"/>
      <w:marLeft w:val="0"/>
      <w:marRight w:val="0"/>
      <w:marTop w:val="0"/>
      <w:marBottom w:val="0"/>
      <w:divBdr>
        <w:top w:val="none" w:sz="0" w:space="0" w:color="auto"/>
        <w:left w:val="none" w:sz="0" w:space="0" w:color="auto"/>
        <w:bottom w:val="none" w:sz="0" w:space="0" w:color="auto"/>
        <w:right w:val="none" w:sz="0" w:space="0" w:color="auto"/>
      </w:divBdr>
    </w:div>
    <w:div w:id="445004259">
      <w:bodyDiv w:val="1"/>
      <w:marLeft w:val="0"/>
      <w:marRight w:val="0"/>
      <w:marTop w:val="0"/>
      <w:marBottom w:val="0"/>
      <w:divBdr>
        <w:top w:val="none" w:sz="0" w:space="0" w:color="auto"/>
        <w:left w:val="none" w:sz="0" w:space="0" w:color="auto"/>
        <w:bottom w:val="none" w:sz="0" w:space="0" w:color="auto"/>
        <w:right w:val="none" w:sz="0" w:space="0" w:color="auto"/>
      </w:divBdr>
    </w:div>
    <w:div w:id="451050553">
      <w:bodyDiv w:val="1"/>
      <w:marLeft w:val="0"/>
      <w:marRight w:val="0"/>
      <w:marTop w:val="0"/>
      <w:marBottom w:val="0"/>
      <w:divBdr>
        <w:top w:val="none" w:sz="0" w:space="0" w:color="auto"/>
        <w:left w:val="none" w:sz="0" w:space="0" w:color="auto"/>
        <w:bottom w:val="none" w:sz="0" w:space="0" w:color="auto"/>
        <w:right w:val="none" w:sz="0" w:space="0" w:color="auto"/>
      </w:divBdr>
    </w:div>
    <w:div w:id="452331137">
      <w:bodyDiv w:val="1"/>
      <w:marLeft w:val="0"/>
      <w:marRight w:val="0"/>
      <w:marTop w:val="0"/>
      <w:marBottom w:val="0"/>
      <w:divBdr>
        <w:top w:val="none" w:sz="0" w:space="0" w:color="auto"/>
        <w:left w:val="none" w:sz="0" w:space="0" w:color="auto"/>
        <w:bottom w:val="none" w:sz="0" w:space="0" w:color="auto"/>
        <w:right w:val="none" w:sz="0" w:space="0" w:color="auto"/>
      </w:divBdr>
    </w:div>
    <w:div w:id="454563167">
      <w:bodyDiv w:val="1"/>
      <w:marLeft w:val="0"/>
      <w:marRight w:val="0"/>
      <w:marTop w:val="0"/>
      <w:marBottom w:val="0"/>
      <w:divBdr>
        <w:top w:val="none" w:sz="0" w:space="0" w:color="auto"/>
        <w:left w:val="none" w:sz="0" w:space="0" w:color="auto"/>
        <w:bottom w:val="none" w:sz="0" w:space="0" w:color="auto"/>
        <w:right w:val="none" w:sz="0" w:space="0" w:color="auto"/>
      </w:divBdr>
    </w:div>
    <w:div w:id="458843327">
      <w:bodyDiv w:val="1"/>
      <w:marLeft w:val="0"/>
      <w:marRight w:val="0"/>
      <w:marTop w:val="0"/>
      <w:marBottom w:val="0"/>
      <w:divBdr>
        <w:top w:val="none" w:sz="0" w:space="0" w:color="auto"/>
        <w:left w:val="none" w:sz="0" w:space="0" w:color="auto"/>
        <w:bottom w:val="none" w:sz="0" w:space="0" w:color="auto"/>
        <w:right w:val="none" w:sz="0" w:space="0" w:color="auto"/>
      </w:divBdr>
    </w:div>
    <w:div w:id="459227486">
      <w:bodyDiv w:val="1"/>
      <w:marLeft w:val="0"/>
      <w:marRight w:val="0"/>
      <w:marTop w:val="0"/>
      <w:marBottom w:val="0"/>
      <w:divBdr>
        <w:top w:val="none" w:sz="0" w:space="0" w:color="auto"/>
        <w:left w:val="none" w:sz="0" w:space="0" w:color="auto"/>
        <w:bottom w:val="none" w:sz="0" w:space="0" w:color="auto"/>
        <w:right w:val="none" w:sz="0" w:space="0" w:color="auto"/>
      </w:divBdr>
    </w:div>
    <w:div w:id="463423917">
      <w:bodyDiv w:val="1"/>
      <w:marLeft w:val="0"/>
      <w:marRight w:val="0"/>
      <w:marTop w:val="0"/>
      <w:marBottom w:val="0"/>
      <w:divBdr>
        <w:top w:val="none" w:sz="0" w:space="0" w:color="auto"/>
        <w:left w:val="none" w:sz="0" w:space="0" w:color="auto"/>
        <w:bottom w:val="none" w:sz="0" w:space="0" w:color="auto"/>
        <w:right w:val="none" w:sz="0" w:space="0" w:color="auto"/>
      </w:divBdr>
    </w:div>
    <w:div w:id="464548720">
      <w:bodyDiv w:val="1"/>
      <w:marLeft w:val="0"/>
      <w:marRight w:val="0"/>
      <w:marTop w:val="0"/>
      <w:marBottom w:val="0"/>
      <w:divBdr>
        <w:top w:val="none" w:sz="0" w:space="0" w:color="auto"/>
        <w:left w:val="none" w:sz="0" w:space="0" w:color="auto"/>
        <w:bottom w:val="none" w:sz="0" w:space="0" w:color="auto"/>
        <w:right w:val="none" w:sz="0" w:space="0" w:color="auto"/>
      </w:divBdr>
    </w:div>
    <w:div w:id="466162968">
      <w:bodyDiv w:val="1"/>
      <w:marLeft w:val="0"/>
      <w:marRight w:val="0"/>
      <w:marTop w:val="0"/>
      <w:marBottom w:val="0"/>
      <w:divBdr>
        <w:top w:val="none" w:sz="0" w:space="0" w:color="auto"/>
        <w:left w:val="none" w:sz="0" w:space="0" w:color="auto"/>
        <w:bottom w:val="none" w:sz="0" w:space="0" w:color="auto"/>
        <w:right w:val="none" w:sz="0" w:space="0" w:color="auto"/>
      </w:divBdr>
    </w:div>
    <w:div w:id="467667788">
      <w:bodyDiv w:val="1"/>
      <w:marLeft w:val="0"/>
      <w:marRight w:val="0"/>
      <w:marTop w:val="0"/>
      <w:marBottom w:val="0"/>
      <w:divBdr>
        <w:top w:val="none" w:sz="0" w:space="0" w:color="auto"/>
        <w:left w:val="none" w:sz="0" w:space="0" w:color="auto"/>
        <w:bottom w:val="none" w:sz="0" w:space="0" w:color="auto"/>
        <w:right w:val="none" w:sz="0" w:space="0" w:color="auto"/>
      </w:divBdr>
    </w:div>
    <w:div w:id="470246128">
      <w:bodyDiv w:val="1"/>
      <w:marLeft w:val="0"/>
      <w:marRight w:val="0"/>
      <w:marTop w:val="0"/>
      <w:marBottom w:val="0"/>
      <w:divBdr>
        <w:top w:val="none" w:sz="0" w:space="0" w:color="auto"/>
        <w:left w:val="none" w:sz="0" w:space="0" w:color="auto"/>
        <w:bottom w:val="none" w:sz="0" w:space="0" w:color="auto"/>
        <w:right w:val="none" w:sz="0" w:space="0" w:color="auto"/>
      </w:divBdr>
    </w:div>
    <w:div w:id="471024653">
      <w:bodyDiv w:val="1"/>
      <w:marLeft w:val="0"/>
      <w:marRight w:val="0"/>
      <w:marTop w:val="0"/>
      <w:marBottom w:val="0"/>
      <w:divBdr>
        <w:top w:val="none" w:sz="0" w:space="0" w:color="auto"/>
        <w:left w:val="none" w:sz="0" w:space="0" w:color="auto"/>
        <w:bottom w:val="none" w:sz="0" w:space="0" w:color="auto"/>
        <w:right w:val="none" w:sz="0" w:space="0" w:color="auto"/>
      </w:divBdr>
    </w:div>
    <w:div w:id="475336502">
      <w:bodyDiv w:val="1"/>
      <w:marLeft w:val="0"/>
      <w:marRight w:val="0"/>
      <w:marTop w:val="0"/>
      <w:marBottom w:val="0"/>
      <w:divBdr>
        <w:top w:val="none" w:sz="0" w:space="0" w:color="auto"/>
        <w:left w:val="none" w:sz="0" w:space="0" w:color="auto"/>
        <w:bottom w:val="none" w:sz="0" w:space="0" w:color="auto"/>
        <w:right w:val="none" w:sz="0" w:space="0" w:color="auto"/>
      </w:divBdr>
    </w:div>
    <w:div w:id="476648776">
      <w:bodyDiv w:val="1"/>
      <w:marLeft w:val="0"/>
      <w:marRight w:val="0"/>
      <w:marTop w:val="0"/>
      <w:marBottom w:val="0"/>
      <w:divBdr>
        <w:top w:val="none" w:sz="0" w:space="0" w:color="auto"/>
        <w:left w:val="none" w:sz="0" w:space="0" w:color="auto"/>
        <w:bottom w:val="none" w:sz="0" w:space="0" w:color="auto"/>
        <w:right w:val="none" w:sz="0" w:space="0" w:color="auto"/>
      </w:divBdr>
    </w:div>
    <w:div w:id="477262865">
      <w:bodyDiv w:val="1"/>
      <w:marLeft w:val="0"/>
      <w:marRight w:val="0"/>
      <w:marTop w:val="0"/>
      <w:marBottom w:val="0"/>
      <w:divBdr>
        <w:top w:val="none" w:sz="0" w:space="0" w:color="auto"/>
        <w:left w:val="none" w:sz="0" w:space="0" w:color="auto"/>
        <w:bottom w:val="none" w:sz="0" w:space="0" w:color="auto"/>
        <w:right w:val="none" w:sz="0" w:space="0" w:color="auto"/>
      </w:divBdr>
    </w:div>
    <w:div w:id="482166430">
      <w:bodyDiv w:val="1"/>
      <w:marLeft w:val="0"/>
      <w:marRight w:val="0"/>
      <w:marTop w:val="0"/>
      <w:marBottom w:val="0"/>
      <w:divBdr>
        <w:top w:val="none" w:sz="0" w:space="0" w:color="auto"/>
        <w:left w:val="none" w:sz="0" w:space="0" w:color="auto"/>
        <w:bottom w:val="none" w:sz="0" w:space="0" w:color="auto"/>
        <w:right w:val="none" w:sz="0" w:space="0" w:color="auto"/>
      </w:divBdr>
    </w:div>
    <w:div w:id="483010423">
      <w:bodyDiv w:val="1"/>
      <w:marLeft w:val="0"/>
      <w:marRight w:val="0"/>
      <w:marTop w:val="0"/>
      <w:marBottom w:val="0"/>
      <w:divBdr>
        <w:top w:val="none" w:sz="0" w:space="0" w:color="auto"/>
        <w:left w:val="none" w:sz="0" w:space="0" w:color="auto"/>
        <w:bottom w:val="none" w:sz="0" w:space="0" w:color="auto"/>
        <w:right w:val="none" w:sz="0" w:space="0" w:color="auto"/>
      </w:divBdr>
    </w:div>
    <w:div w:id="485166860">
      <w:bodyDiv w:val="1"/>
      <w:marLeft w:val="0"/>
      <w:marRight w:val="0"/>
      <w:marTop w:val="0"/>
      <w:marBottom w:val="0"/>
      <w:divBdr>
        <w:top w:val="none" w:sz="0" w:space="0" w:color="auto"/>
        <w:left w:val="none" w:sz="0" w:space="0" w:color="auto"/>
        <w:bottom w:val="none" w:sz="0" w:space="0" w:color="auto"/>
        <w:right w:val="none" w:sz="0" w:space="0" w:color="auto"/>
      </w:divBdr>
    </w:div>
    <w:div w:id="486022048">
      <w:bodyDiv w:val="1"/>
      <w:marLeft w:val="0"/>
      <w:marRight w:val="0"/>
      <w:marTop w:val="0"/>
      <w:marBottom w:val="0"/>
      <w:divBdr>
        <w:top w:val="none" w:sz="0" w:space="0" w:color="auto"/>
        <w:left w:val="none" w:sz="0" w:space="0" w:color="auto"/>
        <w:bottom w:val="none" w:sz="0" w:space="0" w:color="auto"/>
        <w:right w:val="none" w:sz="0" w:space="0" w:color="auto"/>
      </w:divBdr>
    </w:div>
    <w:div w:id="486438109">
      <w:bodyDiv w:val="1"/>
      <w:marLeft w:val="0"/>
      <w:marRight w:val="0"/>
      <w:marTop w:val="0"/>
      <w:marBottom w:val="0"/>
      <w:divBdr>
        <w:top w:val="none" w:sz="0" w:space="0" w:color="auto"/>
        <w:left w:val="none" w:sz="0" w:space="0" w:color="auto"/>
        <w:bottom w:val="none" w:sz="0" w:space="0" w:color="auto"/>
        <w:right w:val="none" w:sz="0" w:space="0" w:color="auto"/>
      </w:divBdr>
    </w:div>
    <w:div w:id="488181674">
      <w:bodyDiv w:val="1"/>
      <w:marLeft w:val="0"/>
      <w:marRight w:val="0"/>
      <w:marTop w:val="0"/>
      <w:marBottom w:val="0"/>
      <w:divBdr>
        <w:top w:val="none" w:sz="0" w:space="0" w:color="auto"/>
        <w:left w:val="none" w:sz="0" w:space="0" w:color="auto"/>
        <w:bottom w:val="none" w:sz="0" w:space="0" w:color="auto"/>
        <w:right w:val="none" w:sz="0" w:space="0" w:color="auto"/>
      </w:divBdr>
    </w:div>
    <w:div w:id="500050362">
      <w:bodyDiv w:val="1"/>
      <w:marLeft w:val="0"/>
      <w:marRight w:val="0"/>
      <w:marTop w:val="0"/>
      <w:marBottom w:val="0"/>
      <w:divBdr>
        <w:top w:val="none" w:sz="0" w:space="0" w:color="auto"/>
        <w:left w:val="none" w:sz="0" w:space="0" w:color="auto"/>
        <w:bottom w:val="none" w:sz="0" w:space="0" w:color="auto"/>
        <w:right w:val="none" w:sz="0" w:space="0" w:color="auto"/>
      </w:divBdr>
    </w:div>
    <w:div w:id="500969543">
      <w:bodyDiv w:val="1"/>
      <w:marLeft w:val="0"/>
      <w:marRight w:val="0"/>
      <w:marTop w:val="0"/>
      <w:marBottom w:val="0"/>
      <w:divBdr>
        <w:top w:val="none" w:sz="0" w:space="0" w:color="auto"/>
        <w:left w:val="none" w:sz="0" w:space="0" w:color="auto"/>
        <w:bottom w:val="none" w:sz="0" w:space="0" w:color="auto"/>
        <w:right w:val="none" w:sz="0" w:space="0" w:color="auto"/>
      </w:divBdr>
    </w:div>
    <w:div w:id="502088830">
      <w:bodyDiv w:val="1"/>
      <w:marLeft w:val="0"/>
      <w:marRight w:val="0"/>
      <w:marTop w:val="0"/>
      <w:marBottom w:val="0"/>
      <w:divBdr>
        <w:top w:val="none" w:sz="0" w:space="0" w:color="auto"/>
        <w:left w:val="none" w:sz="0" w:space="0" w:color="auto"/>
        <w:bottom w:val="none" w:sz="0" w:space="0" w:color="auto"/>
        <w:right w:val="none" w:sz="0" w:space="0" w:color="auto"/>
      </w:divBdr>
    </w:div>
    <w:div w:id="503057878">
      <w:bodyDiv w:val="1"/>
      <w:marLeft w:val="0"/>
      <w:marRight w:val="0"/>
      <w:marTop w:val="0"/>
      <w:marBottom w:val="0"/>
      <w:divBdr>
        <w:top w:val="none" w:sz="0" w:space="0" w:color="auto"/>
        <w:left w:val="none" w:sz="0" w:space="0" w:color="auto"/>
        <w:bottom w:val="none" w:sz="0" w:space="0" w:color="auto"/>
        <w:right w:val="none" w:sz="0" w:space="0" w:color="auto"/>
      </w:divBdr>
    </w:div>
    <w:div w:id="503936487">
      <w:bodyDiv w:val="1"/>
      <w:marLeft w:val="0"/>
      <w:marRight w:val="0"/>
      <w:marTop w:val="0"/>
      <w:marBottom w:val="0"/>
      <w:divBdr>
        <w:top w:val="none" w:sz="0" w:space="0" w:color="auto"/>
        <w:left w:val="none" w:sz="0" w:space="0" w:color="auto"/>
        <w:bottom w:val="none" w:sz="0" w:space="0" w:color="auto"/>
        <w:right w:val="none" w:sz="0" w:space="0" w:color="auto"/>
      </w:divBdr>
    </w:div>
    <w:div w:id="508444920">
      <w:bodyDiv w:val="1"/>
      <w:marLeft w:val="0"/>
      <w:marRight w:val="0"/>
      <w:marTop w:val="0"/>
      <w:marBottom w:val="0"/>
      <w:divBdr>
        <w:top w:val="none" w:sz="0" w:space="0" w:color="auto"/>
        <w:left w:val="none" w:sz="0" w:space="0" w:color="auto"/>
        <w:bottom w:val="none" w:sz="0" w:space="0" w:color="auto"/>
        <w:right w:val="none" w:sz="0" w:space="0" w:color="auto"/>
      </w:divBdr>
    </w:div>
    <w:div w:id="509023561">
      <w:bodyDiv w:val="1"/>
      <w:marLeft w:val="0"/>
      <w:marRight w:val="0"/>
      <w:marTop w:val="0"/>
      <w:marBottom w:val="0"/>
      <w:divBdr>
        <w:top w:val="none" w:sz="0" w:space="0" w:color="auto"/>
        <w:left w:val="none" w:sz="0" w:space="0" w:color="auto"/>
        <w:bottom w:val="none" w:sz="0" w:space="0" w:color="auto"/>
        <w:right w:val="none" w:sz="0" w:space="0" w:color="auto"/>
      </w:divBdr>
    </w:div>
    <w:div w:id="509107346">
      <w:bodyDiv w:val="1"/>
      <w:marLeft w:val="0"/>
      <w:marRight w:val="0"/>
      <w:marTop w:val="0"/>
      <w:marBottom w:val="0"/>
      <w:divBdr>
        <w:top w:val="none" w:sz="0" w:space="0" w:color="auto"/>
        <w:left w:val="none" w:sz="0" w:space="0" w:color="auto"/>
        <w:bottom w:val="none" w:sz="0" w:space="0" w:color="auto"/>
        <w:right w:val="none" w:sz="0" w:space="0" w:color="auto"/>
      </w:divBdr>
    </w:div>
    <w:div w:id="509880723">
      <w:bodyDiv w:val="1"/>
      <w:marLeft w:val="0"/>
      <w:marRight w:val="0"/>
      <w:marTop w:val="0"/>
      <w:marBottom w:val="0"/>
      <w:divBdr>
        <w:top w:val="none" w:sz="0" w:space="0" w:color="auto"/>
        <w:left w:val="none" w:sz="0" w:space="0" w:color="auto"/>
        <w:bottom w:val="none" w:sz="0" w:space="0" w:color="auto"/>
        <w:right w:val="none" w:sz="0" w:space="0" w:color="auto"/>
      </w:divBdr>
    </w:div>
    <w:div w:id="511720031">
      <w:bodyDiv w:val="1"/>
      <w:marLeft w:val="0"/>
      <w:marRight w:val="0"/>
      <w:marTop w:val="0"/>
      <w:marBottom w:val="0"/>
      <w:divBdr>
        <w:top w:val="none" w:sz="0" w:space="0" w:color="auto"/>
        <w:left w:val="none" w:sz="0" w:space="0" w:color="auto"/>
        <w:bottom w:val="none" w:sz="0" w:space="0" w:color="auto"/>
        <w:right w:val="none" w:sz="0" w:space="0" w:color="auto"/>
      </w:divBdr>
    </w:div>
    <w:div w:id="514806141">
      <w:bodyDiv w:val="1"/>
      <w:marLeft w:val="0"/>
      <w:marRight w:val="0"/>
      <w:marTop w:val="0"/>
      <w:marBottom w:val="0"/>
      <w:divBdr>
        <w:top w:val="none" w:sz="0" w:space="0" w:color="auto"/>
        <w:left w:val="none" w:sz="0" w:space="0" w:color="auto"/>
        <w:bottom w:val="none" w:sz="0" w:space="0" w:color="auto"/>
        <w:right w:val="none" w:sz="0" w:space="0" w:color="auto"/>
      </w:divBdr>
    </w:div>
    <w:div w:id="514996461">
      <w:bodyDiv w:val="1"/>
      <w:marLeft w:val="0"/>
      <w:marRight w:val="0"/>
      <w:marTop w:val="0"/>
      <w:marBottom w:val="0"/>
      <w:divBdr>
        <w:top w:val="none" w:sz="0" w:space="0" w:color="auto"/>
        <w:left w:val="none" w:sz="0" w:space="0" w:color="auto"/>
        <w:bottom w:val="none" w:sz="0" w:space="0" w:color="auto"/>
        <w:right w:val="none" w:sz="0" w:space="0" w:color="auto"/>
      </w:divBdr>
    </w:div>
    <w:div w:id="518784835">
      <w:bodyDiv w:val="1"/>
      <w:marLeft w:val="0"/>
      <w:marRight w:val="0"/>
      <w:marTop w:val="0"/>
      <w:marBottom w:val="0"/>
      <w:divBdr>
        <w:top w:val="none" w:sz="0" w:space="0" w:color="auto"/>
        <w:left w:val="none" w:sz="0" w:space="0" w:color="auto"/>
        <w:bottom w:val="none" w:sz="0" w:space="0" w:color="auto"/>
        <w:right w:val="none" w:sz="0" w:space="0" w:color="auto"/>
      </w:divBdr>
    </w:div>
    <w:div w:id="518936180">
      <w:bodyDiv w:val="1"/>
      <w:marLeft w:val="0"/>
      <w:marRight w:val="0"/>
      <w:marTop w:val="0"/>
      <w:marBottom w:val="0"/>
      <w:divBdr>
        <w:top w:val="none" w:sz="0" w:space="0" w:color="auto"/>
        <w:left w:val="none" w:sz="0" w:space="0" w:color="auto"/>
        <w:bottom w:val="none" w:sz="0" w:space="0" w:color="auto"/>
        <w:right w:val="none" w:sz="0" w:space="0" w:color="auto"/>
      </w:divBdr>
    </w:div>
    <w:div w:id="520709219">
      <w:bodyDiv w:val="1"/>
      <w:marLeft w:val="0"/>
      <w:marRight w:val="0"/>
      <w:marTop w:val="0"/>
      <w:marBottom w:val="0"/>
      <w:divBdr>
        <w:top w:val="none" w:sz="0" w:space="0" w:color="auto"/>
        <w:left w:val="none" w:sz="0" w:space="0" w:color="auto"/>
        <w:bottom w:val="none" w:sz="0" w:space="0" w:color="auto"/>
        <w:right w:val="none" w:sz="0" w:space="0" w:color="auto"/>
      </w:divBdr>
    </w:div>
    <w:div w:id="526406608">
      <w:bodyDiv w:val="1"/>
      <w:marLeft w:val="0"/>
      <w:marRight w:val="0"/>
      <w:marTop w:val="0"/>
      <w:marBottom w:val="0"/>
      <w:divBdr>
        <w:top w:val="none" w:sz="0" w:space="0" w:color="auto"/>
        <w:left w:val="none" w:sz="0" w:space="0" w:color="auto"/>
        <w:bottom w:val="none" w:sz="0" w:space="0" w:color="auto"/>
        <w:right w:val="none" w:sz="0" w:space="0" w:color="auto"/>
      </w:divBdr>
    </w:div>
    <w:div w:id="529032069">
      <w:bodyDiv w:val="1"/>
      <w:marLeft w:val="0"/>
      <w:marRight w:val="0"/>
      <w:marTop w:val="0"/>
      <w:marBottom w:val="0"/>
      <w:divBdr>
        <w:top w:val="none" w:sz="0" w:space="0" w:color="auto"/>
        <w:left w:val="none" w:sz="0" w:space="0" w:color="auto"/>
        <w:bottom w:val="none" w:sz="0" w:space="0" w:color="auto"/>
        <w:right w:val="none" w:sz="0" w:space="0" w:color="auto"/>
      </w:divBdr>
    </w:div>
    <w:div w:id="530995558">
      <w:bodyDiv w:val="1"/>
      <w:marLeft w:val="0"/>
      <w:marRight w:val="0"/>
      <w:marTop w:val="0"/>
      <w:marBottom w:val="0"/>
      <w:divBdr>
        <w:top w:val="none" w:sz="0" w:space="0" w:color="auto"/>
        <w:left w:val="none" w:sz="0" w:space="0" w:color="auto"/>
        <w:bottom w:val="none" w:sz="0" w:space="0" w:color="auto"/>
        <w:right w:val="none" w:sz="0" w:space="0" w:color="auto"/>
      </w:divBdr>
    </w:div>
    <w:div w:id="532614642">
      <w:bodyDiv w:val="1"/>
      <w:marLeft w:val="0"/>
      <w:marRight w:val="0"/>
      <w:marTop w:val="0"/>
      <w:marBottom w:val="0"/>
      <w:divBdr>
        <w:top w:val="none" w:sz="0" w:space="0" w:color="auto"/>
        <w:left w:val="none" w:sz="0" w:space="0" w:color="auto"/>
        <w:bottom w:val="none" w:sz="0" w:space="0" w:color="auto"/>
        <w:right w:val="none" w:sz="0" w:space="0" w:color="auto"/>
      </w:divBdr>
    </w:div>
    <w:div w:id="533082471">
      <w:bodyDiv w:val="1"/>
      <w:marLeft w:val="0"/>
      <w:marRight w:val="0"/>
      <w:marTop w:val="0"/>
      <w:marBottom w:val="0"/>
      <w:divBdr>
        <w:top w:val="none" w:sz="0" w:space="0" w:color="auto"/>
        <w:left w:val="none" w:sz="0" w:space="0" w:color="auto"/>
        <w:bottom w:val="none" w:sz="0" w:space="0" w:color="auto"/>
        <w:right w:val="none" w:sz="0" w:space="0" w:color="auto"/>
      </w:divBdr>
    </w:div>
    <w:div w:id="533465005">
      <w:bodyDiv w:val="1"/>
      <w:marLeft w:val="0"/>
      <w:marRight w:val="0"/>
      <w:marTop w:val="0"/>
      <w:marBottom w:val="0"/>
      <w:divBdr>
        <w:top w:val="none" w:sz="0" w:space="0" w:color="auto"/>
        <w:left w:val="none" w:sz="0" w:space="0" w:color="auto"/>
        <w:bottom w:val="none" w:sz="0" w:space="0" w:color="auto"/>
        <w:right w:val="none" w:sz="0" w:space="0" w:color="auto"/>
      </w:divBdr>
    </w:div>
    <w:div w:id="534196902">
      <w:bodyDiv w:val="1"/>
      <w:marLeft w:val="0"/>
      <w:marRight w:val="0"/>
      <w:marTop w:val="0"/>
      <w:marBottom w:val="0"/>
      <w:divBdr>
        <w:top w:val="none" w:sz="0" w:space="0" w:color="auto"/>
        <w:left w:val="none" w:sz="0" w:space="0" w:color="auto"/>
        <w:bottom w:val="none" w:sz="0" w:space="0" w:color="auto"/>
        <w:right w:val="none" w:sz="0" w:space="0" w:color="auto"/>
      </w:divBdr>
    </w:div>
    <w:div w:id="535627121">
      <w:bodyDiv w:val="1"/>
      <w:marLeft w:val="0"/>
      <w:marRight w:val="0"/>
      <w:marTop w:val="0"/>
      <w:marBottom w:val="0"/>
      <w:divBdr>
        <w:top w:val="none" w:sz="0" w:space="0" w:color="auto"/>
        <w:left w:val="none" w:sz="0" w:space="0" w:color="auto"/>
        <w:bottom w:val="none" w:sz="0" w:space="0" w:color="auto"/>
        <w:right w:val="none" w:sz="0" w:space="0" w:color="auto"/>
      </w:divBdr>
    </w:div>
    <w:div w:id="536771367">
      <w:bodyDiv w:val="1"/>
      <w:marLeft w:val="0"/>
      <w:marRight w:val="0"/>
      <w:marTop w:val="0"/>
      <w:marBottom w:val="0"/>
      <w:divBdr>
        <w:top w:val="none" w:sz="0" w:space="0" w:color="auto"/>
        <w:left w:val="none" w:sz="0" w:space="0" w:color="auto"/>
        <w:bottom w:val="none" w:sz="0" w:space="0" w:color="auto"/>
        <w:right w:val="none" w:sz="0" w:space="0" w:color="auto"/>
      </w:divBdr>
    </w:div>
    <w:div w:id="538057956">
      <w:bodyDiv w:val="1"/>
      <w:marLeft w:val="0"/>
      <w:marRight w:val="0"/>
      <w:marTop w:val="0"/>
      <w:marBottom w:val="0"/>
      <w:divBdr>
        <w:top w:val="none" w:sz="0" w:space="0" w:color="auto"/>
        <w:left w:val="none" w:sz="0" w:space="0" w:color="auto"/>
        <w:bottom w:val="none" w:sz="0" w:space="0" w:color="auto"/>
        <w:right w:val="none" w:sz="0" w:space="0" w:color="auto"/>
      </w:divBdr>
    </w:div>
    <w:div w:id="540215083">
      <w:bodyDiv w:val="1"/>
      <w:marLeft w:val="0"/>
      <w:marRight w:val="0"/>
      <w:marTop w:val="0"/>
      <w:marBottom w:val="0"/>
      <w:divBdr>
        <w:top w:val="none" w:sz="0" w:space="0" w:color="auto"/>
        <w:left w:val="none" w:sz="0" w:space="0" w:color="auto"/>
        <w:bottom w:val="none" w:sz="0" w:space="0" w:color="auto"/>
        <w:right w:val="none" w:sz="0" w:space="0" w:color="auto"/>
      </w:divBdr>
    </w:div>
    <w:div w:id="541555860">
      <w:bodyDiv w:val="1"/>
      <w:marLeft w:val="0"/>
      <w:marRight w:val="0"/>
      <w:marTop w:val="0"/>
      <w:marBottom w:val="0"/>
      <w:divBdr>
        <w:top w:val="none" w:sz="0" w:space="0" w:color="auto"/>
        <w:left w:val="none" w:sz="0" w:space="0" w:color="auto"/>
        <w:bottom w:val="none" w:sz="0" w:space="0" w:color="auto"/>
        <w:right w:val="none" w:sz="0" w:space="0" w:color="auto"/>
      </w:divBdr>
    </w:div>
    <w:div w:id="543755805">
      <w:bodyDiv w:val="1"/>
      <w:marLeft w:val="0"/>
      <w:marRight w:val="0"/>
      <w:marTop w:val="0"/>
      <w:marBottom w:val="0"/>
      <w:divBdr>
        <w:top w:val="none" w:sz="0" w:space="0" w:color="auto"/>
        <w:left w:val="none" w:sz="0" w:space="0" w:color="auto"/>
        <w:bottom w:val="none" w:sz="0" w:space="0" w:color="auto"/>
        <w:right w:val="none" w:sz="0" w:space="0" w:color="auto"/>
      </w:divBdr>
    </w:div>
    <w:div w:id="546910855">
      <w:bodyDiv w:val="1"/>
      <w:marLeft w:val="0"/>
      <w:marRight w:val="0"/>
      <w:marTop w:val="0"/>
      <w:marBottom w:val="0"/>
      <w:divBdr>
        <w:top w:val="none" w:sz="0" w:space="0" w:color="auto"/>
        <w:left w:val="none" w:sz="0" w:space="0" w:color="auto"/>
        <w:bottom w:val="none" w:sz="0" w:space="0" w:color="auto"/>
        <w:right w:val="none" w:sz="0" w:space="0" w:color="auto"/>
      </w:divBdr>
    </w:div>
    <w:div w:id="548346567">
      <w:bodyDiv w:val="1"/>
      <w:marLeft w:val="0"/>
      <w:marRight w:val="0"/>
      <w:marTop w:val="0"/>
      <w:marBottom w:val="0"/>
      <w:divBdr>
        <w:top w:val="none" w:sz="0" w:space="0" w:color="auto"/>
        <w:left w:val="none" w:sz="0" w:space="0" w:color="auto"/>
        <w:bottom w:val="none" w:sz="0" w:space="0" w:color="auto"/>
        <w:right w:val="none" w:sz="0" w:space="0" w:color="auto"/>
      </w:divBdr>
    </w:div>
    <w:div w:id="548958371">
      <w:bodyDiv w:val="1"/>
      <w:marLeft w:val="0"/>
      <w:marRight w:val="0"/>
      <w:marTop w:val="0"/>
      <w:marBottom w:val="0"/>
      <w:divBdr>
        <w:top w:val="none" w:sz="0" w:space="0" w:color="auto"/>
        <w:left w:val="none" w:sz="0" w:space="0" w:color="auto"/>
        <w:bottom w:val="none" w:sz="0" w:space="0" w:color="auto"/>
        <w:right w:val="none" w:sz="0" w:space="0" w:color="auto"/>
      </w:divBdr>
    </w:div>
    <w:div w:id="550385854">
      <w:bodyDiv w:val="1"/>
      <w:marLeft w:val="0"/>
      <w:marRight w:val="0"/>
      <w:marTop w:val="0"/>
      <w:marBottom w:val="0"/>
      <w:divBdr>
        <w:top w:val="none" w:sz="0" w:space="0" w:color="auto"/>
        <w:left w:val="none" w:sz="0" w:space="0" w:color="auto"/>
        <w:bottom w:val="none" w:sz="0" w:space="0" w:color="auto"/>
        <w:right w:val="none" w:sz="0" w:space="0" w:color="auto"/>
      </w:divBdr>
    </w:div>
    <w:div w:id="551815894">
      <w:bodyDiv w:val="1"/>
      <w:marLeft w:val="0"/>
      <w:marRight w:val="0"/>
      <w:marTop w:val="0"/>
      <w:marBottom w:val="0"/>
      <w:divBdr>
        <w:top w:val="none" w:sz="0" w:space="0" w:color="auto"/>
        <w:left w:val="none" w:sz="0" w:space="0" w:color="auto"/>
        <w:bottom w:val="none" w:sz="0" w:space="0" w:color="auto"/>
        <w:right w:val="none" w:sz="0" w:space="0" w:color="auto"/>
      </w:divBdr>
    </w:div>
    <w:div w:id="554589984">
      <w:bodyDiv w:val="1"/>
      <w:marLeft w:val="0"/>
      <w:marRight w:val="0"/>
      <w:marTop w:val="0"/>
      <w:marBottom w:val="0"/>
      <w:divBdr>
        <w:top w:val="none" w:sz="0" w:space="0" w:color="auto"/>
        <w:left w:val="none" w:sz="0" w:space="0" w:color="auto"/>
        <w:bottom w:val="none" w:sz="0" w:space="0" w:color="auto"/>
        <w:right w:val="none" w:sz="0" w:space="0" w:color="auto"/>
      </w:divBdr>
    </w:div>
    <w:div w:id="555433750">
      <w:bodyDiv w:val="1"/>
      <w:marLeft w:val="0"/>
      <w:marRight w:val="0"/>
      <w:marTop w:val="0"/>
      <w:marBottom w:val="0"/>
      <w:divBdr>
        <w:top w:val="none" w:sz="0" w:space="0" w:color="auto"/>
        <w:left w:val="none" w:sz="0" w:space="0" w:color="auto"/>
        <w:bottom w:val="none" w:sz="0" w:space="0" w:color="auto"/>
        <w:right w:val="none" w:sz="0" w:space="0" w:color="auto"/>
      </w:divBdr>
    </w:div>
    <w:div w:id="555973038">
      <w:bodyDiv w:val="1"/>
      <w:marLeft w:val="0"/>
      <w:marRight w:val="0"/>
      <w:marTop w:val="0"/>
      <w:marBottom w:val="0"/>
      <w:divBdr>
        <w:top w:val="none" w:sz="0" w:space="0" w:color="auto"/>
        <w:left w:val="none" w:sz="0" w:space="0" w:color="auto"/>
        <w:bottom w:val="none" w:sz="0" w:space="0" w:color="auto"/>
        <w:right w:val="none" w:sz="0" w:space="0" w:color="auto"/>
      </w:divBdr>
    </w:div>
    <w:div w:id="557210936">
      <w:bodyDiv w:val="1"/>
      <w:marLeft w:val="0"/>
      <w:marRight w:val="0"/>
      <w:marTop w:val="0"/>
      <w:marBottom w:val="0"/>
      <w:divBdr>
        <w:top w:val="none" w:sz="0" w:space="0" w:color="auto"/>
        <w:left w:val="none" w:sz="0" w:space="0" w:color="auto"/>
        <w:bottom w:val="none" w:sz="0" w:space="0" w:color="auto"/>
        <w:right w:val="none" w:sz="0" w:space="0" w:color="auto"/>
      </w:divBdr>
    </w:div>
    <w:div w:id="559629888">
      <w:bodyDiv w:val="1"/>
      <w:marLeft w:val="0"/>
      <w:marRight w:val="0"/>
      <w:marTop w:val="0"/>
      <w:marBottom w:val="0"/>
      <w:divBdr>
        <w:top w:val="none" w:sz="0" w:space="0" w:color="auto"/>
        <w:left w:val="none" w:sz="0" w:space="0" w:color="auto"/>
        <w:bottom w:val="none" w:sz="0" w:space="0" w:color="auto"/>
        <w:right w:val="none" w:sz="0" w:space="0" w:color="auto"/>
      </w:divBdr>
    </w:div>
    <w:div w:id="561912918">
      <w:bodyDiv w:val="1"/>
      <w:marLeft w:val="0"/>
      <w:marRight w:val="0"/>
      <w:marTop w:val="0"/>
      <w:marBottom w:val="0"/>
      <w:divBdr>
        <w:top w:val="none" w:sz="0" w:space="0" w:color="auto"/>
        <w:left w:val="none" w:sz="0" w:space="0" w:color="auto"/>
        <w:bottom w:val="none" w:sz="0" w:space="0" w:color="auto"/>
        <w:right w:val="none" w:sz="0" w:space="0" w:color="auto"/>
      </w:divBdr>
    </w:div>
    <w:div w:id="572664745">
      <w:bodyDiv w:val="1"/>
      <w:marLeft w:val="0"/>
      <w:marRight w:val="0"/>
      <w:marTop w:val="0"/>
      <w:marBottom w:val="0"/>
      <w:divBdr>
        <w:top w:val="none" w:sz="0" w:space="0" w:color="auto"/>
        <w:left w:val="none" w:sz="0" w:space="0" w:color="auto"/>
        <w:bottom w:val="none" w:sz="0" w:space="0" w:color="auto"/>
        <w:right w:val="none" w:sz="0" w:space="0" w:color="auto"/>
      </w:divBdr>
    </w:div>
    <w:div w:id="575212705">
      <w:bodyDiv w:val="1"/>
      <w:marLeft w:val="0"/>
      <w:marRight w:val="0"/>
      <w:marTop w:val="0"/>
      <w:marBottom w:val="0"/>
      <w:divBdr>
        <w:top w:val="none" w:sz="0" w:space="0" w:color="auto"/>
        <w:left w:val="none" w:sz="0" w:space="0" w:color="auto"/>
        <w:bottom w:val="none" w:sz="0" w:space="0" w:color="auto"/>
        <w:right w:val="none" w:sz="0" w:space="0" w:color="auto"/>
      </w:divBdr>
    </w:div>
    <w:div w:id="580260115">
      <w:bodyDiv w:val="1"/>
      <w:marLeft w:val="0"/>
      <w:marRight w:val="0"/>
      <w:marTop w:val="0"/>
      <w:marBottom w:val="0"/>
      <w:divBdr>
        <w:top w:val="none" w:sz="0" w:space="0" w:color="auto"/>
        <w:left w:val="none" w:sz="0" w:space="0" w:color="auto"/>
        <w:bottom w:val="none" w:sz="0" w:space="0" w:color="auto"/>
        <w:right w:val="none" w:sz="0" w:space="0" w:color="auto"/>
      </w:divBdr>
    </w:div>
    <w:div w:id="580988463">
      <w:bodyDiv w:val="1"/>
      <w:marLeft w:val="0"/>
      <w:marRight w:val="0"/>
      <w:marTop w:val="0"/>
      <w:marBottom w:val="0"/>
      <w:divBdr>
        <w:top w:val="none" w:sz="0" w:space="0" w:color="auto"/>
        <w:left w:val="none" w:sz="0" w:space="0" w:color="auto"/>
        <w:bottom w:val="none" w:sz="0" w:space="0" w:color="auto"/>
        <w:right w:val="none" w:sz="0" w:space="0" w:color="auto"/>
      </w:divBdr>
    </w:div>
    <w:div w:id="581184687">
      <w:bodyDiv w:val="1"/>
      <w:marLeft w:val="0"/>
      <w:marRight w:val="0"/>
      <w:marTop w:val="0"/>
      <w:marBottom w:val="0"/>
      <w:divBdr>
        <w:top w:val="none" w:sz="0" w:space="0" w:color="auto"/>
        <w:left w:val="none" w:sz="0" w:space="0" w:color="auto"/>
        <w:bottom w:val="none" w:sz="0" w:space="0" w:color="auto"/>
        <w:right w:val="none" w:sz="0" w:space="0" w:color="auto"/>
      </w:divBdr>
    </w:div>
    <w:div w:id="581376754">
      <w:bodyDiv w:val="1"/>
      <w:marLeft w:val="0"/>
      <w:marRight w:val="0"/>
      <w:marTop w:val="0"/>
      <w:marBottom w:val="0"/>
      <w:divBdr>
        <w:top w:val="none" w:sz="0" w:space="0" w:color="auto"/>
        <w:left w:val="none" w:sz="0" w:space="0" w:color="auto"/>
        <w:bottom w:val="none" w:sz="0" w:space="0" w:color="auto"/>
        <w:right w:val="none" w:sz="0" w:space="0" w:color="auto"/>
      </w:divBdr>
    </w:div>
    <w:div w:id="592516260">
      <w:bodyDiv w:val="1"/>
      <w:marLeft w:val="0"/>
      <w:marRight w:val="0"/>
      <w:marTop w:val="0"/>
      <w:marBottom w:val="0"/>
      <w:divBdr>
        <w:top w:val="none" w:sz="0" w:space="0" w:color="auto"/>
        <w:left w:val="none" w:sz="0" w:space="0" w:color="auto"/>
        <w:bottom w:val="none" w:sz="0" w:space="0" w:color="auto"/>
        <w:right w:val="none" w:sz="0" w:space="0" w:color="auto"/>
      </w:divBdr>
    </w:div>
    <w:div w:id="599870025">
      <w:bodyDiv w:val="1"/>
      <w:marLeft w:val="0"/>
      <w:marRight w:val="0"/>
      <w:marTop w:val="0"/>
      <w:marBottom w:val="0"/>
      <w:divBdr>
        <w:top w:val="none" w:sz="0" w:space="0" w:color="auto"/>
        <w:left w:val="none" w:sz="0" w:space="0" w:color="auto"/>
        <w:bottom w:val="none" w:sz="0" w:space="0" w:color="auto"/>
        <w:right w:val="none" w:sz="0" w:space="0" w:color="auto"/>
      </w:divBdr>
    </w:div>
    <w:div w:id="601954301">
      <w:bodyDiv w:val="1"/>
      <w:marLeft w:val="0"/>
      <w:marRight w:val="0"/>
      <w:marTop w:val="0"/>
      <w:marBottom w:val="0"/>
      <w:divBdr>
        <w:top w:val="none" w:sz="0" w:space="0" w:color="auto"/>
        <w:left w:val="none" w:sz="0" w:space="0" w:color="auto"/>
        <w:bottom w:val="none" w:sz="0" w:space="0" w:color="auto"/>
        <w:right w:val="none" w:sz="0" w:space="0" w:color="auto"/>
      </w:divBdr>
    </w:div>
    <w:div w:id="602881008">
      <w:bodyDiv w:val="1"/>
      <w:marLeft w:val="0"/>
      <w:marRight w:val="0"/>
      <w:marTop w:val="0"/>
      <w:marBottom w:val="0"/>
      <w:divBdr>
        <w:top w:val="none" w:sz="0" w:space="0" w:color="auto"/>
        <w:left w:val="none" w:sz="0" w:space="0" w:color="auto"/>
        <w:bottom w:val="none" w:sz="0" w:space="0" w:color="auto"/>
        <w:right w:val="none" w:sz="0" w:space="0" w:color="auto"/>
      </w:divBdr>
    </w:div>
    <w:div w:id="602953298">
      <w:bodyDiv w:val="1"/>
      <w:marLeft w:val="0"/>
      <w:marRight w:val="0"/>
      <w:marTop w:val="0"/>
      <w:marBottom w:val="0"/>
      <w:divBdr>
        <w:top w:val="none" w:sz="0" w:space="0" w:color="auto"/>
        <w:left w:val="none" w:sz="0" w:space="0" w:color="auto"/>
        <w:bottom w:val="none" w:sz="0" w:space="0" w:color="auto"/>
        <w:right w:val="none" w:sz="0" w:space="0" w:color="auto"/>
      </w:divBdr>
    </w:div>
    <w:div w:id="603000169">
      <w:bodyDiv w:val="1"/>
      <w:marLeft w:val="0"/>
      <w:marRight w:val="0"/>
      <w:marTop w:val="0"/>
      <w:marBottom w:val="0"/>
      <w:divBdr>
        <w:top w:val="none" w:sz="0" w:space="0" w:color="auto"/>
        <w:left w:val="none" w:sz="0" w:space="0" w:color="auto"/>
        <w:bottom w:val="none" w:sz="0" w:space="0" w:color="auto"/>
        <w:right w:val="none" w:sz="0" w:space="0" w:color="auto"/>
      </w:divBdr>
    </w:div>
    <w:div w:id="605235320">
      <w:bodyDiv w:val="1"/>
      <w:marLeft w:val="0"/>
      <w:marRight w:val="0"/>
      <w:marTop w:val="0"/>
      <w:marBottom w:val="0"/>
      <w:divBdr>
        <w:top w:val="none" w:sz="0" w:space="0" w:color="auto"/>
        <w:left w:val="none" w:sz="0" w:space="0" w:color="auto"/>
        <w:bottom w:val="none" w:sz="0" w:space="0" w:color="auto"/>
        <w:right w:val="none" w:sz="0" w:space="0" w:color="auto"/>
      </w:divBdr>
    </w:div>
    <w:div w:id="605506167">
      <w:bodyDiv w:val="1"/>
      <w:marLeft w:val="0"/>
      <w:marRight w:val="0"/>
      <w:marTop w:val="0"/>
      <w:marBottom w:val="0"/>
      <w:divBdr>
        <w:top w:val="none" w:sz="0" w:space="0" w:color="auto"/>
        <w:left w:val="none" w:sz="0" w:space="0" w:color="auto"/>
        <w:bottom w:val="none" w:sz="0" w:space="0" w:color="auto"/>
        <w:right w:val="none" w:sz="0" w:space="0" w:color="auto"/>
      </w:divBdr>
    </w:div>
    <w:div w:id="609358100">
      <w:bodyDiv w:val="1"/>
      <w:marLeft w:val="0"/>
      <w:marRight w:val="0"/>
      <w:marTop w:val="0"/>
      <w:marBottom w:val="0"/>
      <w:divBdr>
        <w:top w:val="none" w:sz="0" w:space="0" w:color="auto"/>
        <w:left w:val="none" w:sz="0" w:space="0" w:color="auto"/>
        <w:bottom w:val="none" w:sz="0" w:space="0" w:color="auto"/>
        <w:right w:val="none" w:sz="0" w:space="0" w:color="auto"/>
      </w:divBdr>
    </w:div>
    <w:div w:id="613053780">
      <w:bodyDiv w:val="1"/>
      <w:marLeft w:val="0"/>
      <w:marRight w:val="0"/>
      <w:marTop w:val="0"/>
      <w:marBottom w:val="0"/>
      <w:divBdr>
        <w:top w:val="none" w:sz="0" w:space="0" w:color="auto"/>
        <w:left w:val="none" w:sz="0" w:space="0" w:color="auto"/>
        <w:bottom w:val="none" w:sz="0" w:space="0" w:color="auto"/>
        <w:right w:val="none" w:sz="0" w:space="0" w:color="auto"/>
      </w:divBdr>
    </w:div>
    <w:div w:id="614597209">
      <w:bodyDiv w:val="1"/>
      <w:marLeft w:val="0"/>
      <w:marRight w:val="0"/>
      <w:marTop w:val="0"/>
      <w:marBottom w:val="0"/>
      <w:divBdr>
        <w:top w:val="none" w:sz="0" w:space="0" w:color="auto"/>
        <w:left w:val="none" w:sz="0" w:space="0" w:color="auto"/>
        <w:bottom w:val="none" w:sz="0" w:space="0" w:color="auto"/>
        <w:right w:val="none" w:sz="0" w:space="0" w:color="auto"/>
      </w:divBdr>
    </w:div>
    <w:div w:id="615602456">
      <w:bodyDiv w:val="1"/>
      <w:marLeft w:val="0"/>
      <w:marRight w:val="0"/>
      <w:marTop w:val="0"/>
      <w:marBottom w:val="0"/>
      <w:divBdr>
        <w:top w:val="none" w:sz="0" w:space="0" w:color="auto"/>
        <w:left w:val="none" w:sz="0" w:space="0" w:color="auto"/>
        <w:bottom w:val="none" w:sz="0" w:space="0" w:color="auto"/>
        <w:right w:val="none" w:sz="0" w:space="0" w:color="auto"/>
      </w:divBdr>
    </w:div>
    <w:div w:id="618494710">
      <w:bodyDiv w:val="1"/>
      <w:marLeft w:val="0"/>
      <w:marRight w:val="0"/>
      <w:marTop w:val="0"/>
      <w:marBottom w:val="0"/>
      <w:divBdr>
        <w:top w:val="none" w:sz="0" w:space="0" w:color="auto"/>
        <w:left w:val="none" w:sz="0" w:space="0" w:color="auto"/>
        <w:bottom w:val="none" w:sz="0" w:space="0" w:color="auto"/>
        <w:right w:val="none" w:sz="0" w:space="0" w:color="auto"/>
      </w:divBdr>
    </w:div>
    <w:div w:id="622854179">
      <w:bodyDiv w:val="1"/>
      <w:marLeft w:val="0"/>
      <w:marRight w:val="0"/>
      <w:marTop w:val="0"/>
      <w:marBottom w:val="0"/>
      <w:divBdr>
        <w:top w:val="none" w:sz="0" w:space="0" w:color="auto"/>
        <w:left w:val="none" w:sz="0" w:space="0" w:color="auto"/>
        <w:bottom w:val="none" w:sz="0" w:space="0" w:color="auto"/>
        <w:right w:val="none" w:sz="0" w:space="0" w:color="auto"/>
      </w:divBdr>
    </w:div>
    <w:div w:id="623775785">
      <w:bodyDiv w:val="1"/>
      <w:marLeft w:val="0"/>
      <w:marRight w:val="0"/>
      <w:marTop w:val="0"/>
      <w:marBottom w:val="0"/>
      <w:divBdr>
        <w:top w:val="none" w:sz="0" w:space="0" w:color="auto"/>
        <w:left w:val="none" w:sz="0" w:space="0" w:color="auto"/>
        <w:bottom w:val="none" w:sz="0" w:space="0" w:color="auto"/>
        <w:right w:val="none" w:sz="0" w:space="0" w:color="auto"/>
      </w:divBdr>
    </w:div>
    <w:div w:id="623922484">
      <w:bodyDiv w:val="1"/>
      <w:marLeft w:val="0"/>
      <w:marRight w:val="0"/>
      <w:marTop w:val="0"/>
      <w:marBottom w:val="0"/>
      <w:divBdr>
        <w:top w:val="none" w:sz="0" w:space="0" w:color="auto"/>
        <w:left w:val="none" w:sz="0" w:space="0" w:color="auto"/>
        <w:bottom w:val="none" w:sz="0" w:space="0" w:color="auto"/>
        <w:right w:val="none" w:sz="0" w:space="0" w:color="auto"/>
      </w:divBdr>
    </w:div>
    <w:div w:id="625697913">
      <w:bodyDiv w:val="1"/>
      <w:marLeft w:val="0"/>
      <w:marRight w:val="0"/>
      <w:marTop w:val="0"/>
      <w:marBottom w:val="0"/>
      <w:divBdr>
        <w:top w:val="none" w:sz="0" w:space="0" w:color="auto"/>
        <w:left w:val="none" w:sz="0" w:space="0" w:color="auto"/>
        <w:bottom w:val="none" w:sz="0" w:space="0" w:color="auto"/>
        <w:right w:val="none" w:sz="0" w:space="0" w:color="auto"/>
      </w:divBdr>
    </w:div>
    <w:div w:id="627248998">
      <w:bodyDiv w:val="1"/>
      <w:marLeft w:val="0"/>
      <w:marRight w:val="0"/>
      <w:marTop w:val="0"/>
      <w:marBottom w:val="0"/>
      <w:divBdr>
        <w:top w:val="none" w:sz="0" w:space="0" w:color="auto"/>
        <w:left w:val="none" w:sz="0" w:space="0" w:color="auto"/>
        <w:bottom w:val="none" w:sz="0" w:space="0" w:color="auto"/>
        <w:right w:val="none" w:sz="0" w:space="0" w:color="auto"/>
      </w:divBdr>
    </w:div>
    <w:div w:id="628364764">
      <w:bodyDiv w:val="1"/>
      <w:marLeft w:val="0"/>
      <w:marRight w:val="0"/>
      <w:marTop w:val="0"/>
      <w:marBottom w:val="0"/>
      <w:divBdr>
        <w:top w:val="none" w:sz="0" w:space="0" w:color="auto"/>
        <w:left w:val="none" w:sz="0" w:space="0" w:color="auto"/>
        <w:bottom w:val="none" w:sz="0" w:space="0" w:color="auto"/>
        <w:right w:val="none" w:sz="0" w:space="0" w:color="auto"/>
      </w:divBdr>
    </w:div>
    <w:div w:id="628635235">
      <w:bodyDiv w:val="1"/>
      <w:marLeft w:val="0"/>
      <w:marRight w:val="0"/>
      <w:marTop w:val="0"/>
      <w:marBottom w:val="0"/>
      <w:divBdr>
        <w:top w:val="none" w:sz="0" w:space="0" w:color="auto"/>
        <w:left w:val="none" w:sz="0" w:space="0" w:color="auto"/>
        <w:bottom w:val="none" w:sz="0" w:space="0" w:color="auto"/>
        <w:right w:val="none" w:sz="0" w:space="0" w:color="auto"/>
      </w:divBdr>
    </w:div>
    <w:div w:id="628822346">
      <w:bodyDiv w:val="1"/>
      <w:marLeft w:val="0"/>
      <w:marRight w:val="0"/>
      <w:marTop w:val="0"/>
      <w:marBottom w:val="0"/>
      <w:divBdr>
        <w:top w:val="none" w:sz="0" w:space="0" w:color="auto"/>
        <w:left w:val="none" w:sz="0" w:space="0" w:color="auto"/>
        <w:bottom w:val="none" w:sz="0" w:space="0" w:color="auto"/>
        <w:right w:val="none" w:sz="0" w:space="0" w:color="auto"/>
      </w:divBdr>
    </w:div>
    <w:div w:id="630206704">
      <w:bodyDiv w:val="1"/>
      <w:marLeft w:val="0"/>
      <w:marRight w:val="0"/>
      <w:marTop w:val="0"/>
      <w:marBottom w:val="0"/>
      <w:divBdr>
        <w:top w:val="none" w:sz="0" w:space="0" w:color="auto"/>
        <w:left w:val="none" w:sz="0" w:space="0" w:color="auto"/>
        <w:bottom w:val="none" w:sz="0" w:space="0" w:color="auto"/>
        <w:right w:val="none" w:sz="0" w:space="0" w:color="auto"/>
      </w:divBdr>
    </w:div>
    <w:div w:id="631060380">
      <w:bodyDiv w:val="1"/>
      <w:marLeft w:val="0"/>
      <w:marRight w:val="0"/>
      <w:marTop w:val="0"/>
      <w:marBottom w:val="0"/>
      <w:divBdr>
        <w:top w:val="none" w:sz="0" w:space="0" w:color="auto"/>
        <w:left w:val="none" w:sz="0" w:space="0" w:color="auto"/>
        <w:bottom w:val="none" w:sz="0" w:space="0" w:color="auto"/>
        <w:right w:val="none" w:sz="0" w:space="0" w:color="auto"/>
      </w:divBdr>
    </w:div>
    <w:div w:id="633020088">
      <w:bodyDiv w:val="1"/>
      <w:marLeft w:val="0"/>
      <w:marRight w:val="0"/>
      <w:marTop w:val="0"/>
      <w:marBottom w:val="0"/>
      <w:divBdr>
        <w:top w:val="none" w:sz="0" w:space="0" w:color="auto"/>
        <w:left w:val="none" w:sz="0" w:space="0" w:color="auto"/>
        <w:bottom w:val="none" w:sz="0" w:space="0" w:color="auto"/>
        <w:right w:val="none" w:sz="0" w:space="0" w:color="auto"/>
      </w:divBdr>
    </w:div>
    <w:div w:id="634262378">
      <w:bodyDiv w:val="1"/>
      <w:marLeft w:val="0"/>
      <w:marRight w:val="0"/>
      <w:marTop w:val="0"/>
      <w:marBottom w:val="0"/>
      <w:divBdr>
        <w:top w:val="none" w:sz="0" w:space="0" w:color="auto"/>
        <w:left w:val="none" w:sz="0" w:space="0" w:color="auto"/>
        <w:bottom w:val="none" w:sz="0" w:space="0" w:color="auto"/>
        <w:right w:val="none" w:sz="0" w:space="0" w:color="auto"/>
      </w:divBdr>
    </w:div>
    <w:div w:id="634794443">
      <w:bodyDiv w:val="1"/>
      <w:marLeft w:val="0"/>
      <w:marRight w:val="0"/>
      <w:marTop w:val="0"/>
      <w:marBottom w:val="0"/>
      <w:divBdr>
        <w:top w:val="none" w:sz="0" w:space="0" w:color="auto"/>
        <w:left w:val="none" w:sz="0" w:space="0" w:color="auto"/>
        <w:bottom w:val="none" w:sz="0" w:space="0" w:color="auto"/>
        <w:right w:val="none" w:sz="0" w:space="0" w:color="auto"/>
      </w:divBdr>
    </w:div>
    <w:div w:id="635062547">
      <w:bodyDiv w:val="1"/>
      <w:marLeft w:val="0"/>
      <w:marRight w:val="0"/>
      <w:marTop w:val="0"/>
      <w:marBottom w:val="0"/>
      <w:divBdr>
        <w:top w:val="none" w:sz="0" w:space="0" w:color="auto"/>
        <w:left w:val="none" w:sz="0" w:space="0" w:color="auto"/>
        <w:bottom w:val="none" w:sz="0" w:space="0" w:color="auto"/>
        <w:right w:val="none" w:sz="0" w:space="0" w:color="auto"/>
      </w:divBdr>
    </w:div>
    <w:div w:id="636647592">
      <w:bodyDiv w:val="1"/>
      <w:marLeft w:val="0"/>
      <w:marRight w:val="0"/>
      <w:marTop w:val="0"/>
      <w:marBottom w:val="0"/>
      <w:divBdr>
        <w:top w:val="none" w:sz="0" w:space="0" w:color="auto"/>
        <w:left w:val="none" w:sz="0" w:space="0" w:color="auto"/>
        <w:bottom w:val="none" w:sz="0" w:space="0" w:color="auto"/>
        <w:right w:val="none" w:sz="0" w:space="0" w:color="auto"/>
      </w:divBdr>
    </w:div>
    <w:div w:id="636959470">
      <w:bodyDiv w:val="1"/>
      <w:marLeft w:val="0"/>
      <w:marRight w:val="0"/>
      <w:marTop w:val="0"/>
      <w:marBottom w:val="0"/>
      <w:divBdr>
        <w:top w:val="none" w:sz="0" w:space="0" w:color="auto"/>
        <w:left w:val="none" w:sz="0" w:space="0" w:color="auto"/>
        <w:bottom w:val="none" w:sz="0" w:space="0" w:color="auto"/>
        <w:right w:val="none" w:sz="0" w:space="0" w:color="auto"/>
      </w:divBdr>
    </w:div>
    <w:div w:id="637149034">
      <w:bodyDiv w:val="1"/>
      <w:marLeft w:val="0"/>
      <w:marRight w:val="0"/>
      <w:marTop w:val="0"/>
      <w:marBottom w:val="0"/>
      <w:divBdr>
        <w:top w:val="none" w:sz="0" w:space="0" w:color="auto"/>
        <w:left w:val="none" w:sz="0" w:space="0" w:color="auto"/>
        <w:bottom w:val="none" w:sz="0" w:space="0" w:color="auto"/>
        <w:right w:val="none" w:sz="0" w:space="0" w:color="auto"/>
      </w:divBdr>
    </w:div>
    <w:div w:id="639963789">
      <w:bodyDiv w:val="1"/>
      <w:marLeft w:val="0"/>
      <w:marRight w:val="0"/>
      <w:marTop w:val="0"/>
      <w:marBottom w:val="0"/>
      <w:divBdr>
        <w:top w:val="none" w:sz="0" w:space="0" w:color="auto"/>
        <w:left w:val="none" w:sz="0" w:space="0" w:color="auto"/>
        <w:bottom w:val="none" w:sz="0" w:space="0" w:color="auto"/>
        <w:right w:val="none" w:sz="0" w:space="0" w:color="auto"/>
      </w:divBdr>
    </w:div>
    <w:div w:id="640232584">
      <w:bodyDiv w:val="1"/>
      <w:marLeft w:val="0"/>
      <w:marRight w:val="0"/>
      <w:marTop w:val="0"/>
      <w:marBottom w:val="0"/>
      <w:divBdr>
        <w:top w:val="none" w:sz="0" w:space="0" w:color="auto"/>
        <w:left w:val="none" w:sz="0" w:space="0" w:color="auto"/>
        <w:bottom w:val="none" w:sz="0" w:space="0" w:color="auto"/>
        <w:right w:val="none" w:sz="0" w:space="0" w:color="auto"/>
      </w:divBdr>
    </w:div>
    <w:div w:id="641233727">
      <w:bodyDiv w:val="1"/>
      <w:marLeft w:val="0"/>
      <w:marRight w:val="0"/>
      <w:marTop w:val="0"/>
      <w:marBottom w:val="0"/>
      <w:divBdr>
        <w:top w:val="none" w:sz="0" w:space="0" w:color="auto"/>
        <w:left w:val="none" w:sz="0" w:space="0" w:color="auto"/>
        <w:bottom w:val="none" w:sz="0" w:space="0" w:color="auto"/>
        <w:right w:val="none" w:sz="0" w:space="0" w:color="auto"/>
      </w:divBdr>
    </w:div>
    <w:div w:id="641889439">
      <w:bodyDiv w:val="1"/>
      <w:marLeft w:val="0"/>
      <w:marRight w:val="0"/>
      <w:marTop w:val="0"/>
      <w:marBottom w:val="0"/>
      <w:divBdr>
        <w:top w:val="none" w:sz="0" w:space="0" w:color="auto"/>
        <w:left w:val="none" w:sz="0" w:space="0" w:color="auto"/>
        <w:bottom w:val="none" w:sz="0" w:space="0" w:color="auto"/>
        <w:right w:val="none" w:sz="0" w:space="0" w:color="auto"/>
      </w:divBdr>
    </w:div>
    <w:div w:id="642613209">
      <w:bodyDiv w:val="1"/>
      <w:marLeft w:val="0"/>
      <w:marRight w:val="0"/>
      <w:marTop w:val="0"/>
      <w:marBottom w:val="0"/>
      <w:divBdr>
        <w:top w:val="none" w:sz="0" w:space="0" w:color="auto"/>
        <w:left w:val="none" w:sz="0" w:space="0" w:color="auto"/>
        <w:bottom w:val="none" w:sz="0" w:space="0" w:color="auto"/>
        <w:right w:val="none" w:sz="0" w:space="0" w:color="auto"/>
      </w:divBdr>
    </w:div>
    <w:div w:id="644042357">
      <w:bodyDiv w:val="1"/>
      <w:marLeft w:val="0"/>
      <w:marRight w:val="0"/>
      <w:marTop w:val="0"/>
      <w:marBottom w:val="0"/>
      <w:divBdr>
        <w:top w:val="none" w:sz="0" w:space="0" w:color="auto"/>
        <w:left w:val="none" w:sz="0" w:space="0" w:color="auto"/>
        <w:bottom w:val="none" w:sz="0" w:space="0" w:color="auto"/>
        <w:right w:val="none" w:sz="0" w:space="0" w:color="auto"/>
      </w:divBdr>
    </w:div>
    <w:div w:id="644285397">
      <w:bodyDiv w:val="1"/>
      <w:marLeft w:val="0"/>
      <w:marRight w:val="0"/>
      <w:marTop w:val="0"/>
      <w:marBottom w:val="0"/>
      <w:divBdr>
        <w:top w:val="none" w:sz="0" w:space="0" w:color="auto"/>
        <w:left w:val="none" w:sz="0" w:space="0" w:color="auto"/>
        <w:bottom w:val="none" w:sz="0" w:space="0" w:color="auto"/>
        <w:right w:val="none" w:sz="0" w:space="0" w:color="auto"/>
      </w:divBdr>
    </w:div>
    <w:div w:id="645473317">
      <w:bodyDiv w:val="1"/>
      <w:marLeft w:val="0"/>
      <w:marRight w:val="0"/>
      <w:marTop w:val="0"/>
      <w:marBottom w:val="0"/>
      <w:divBdr>
        <w:top w:val="none" w:sz="0" w:space="0" w:color="auto"/>
        <w:left w:val="none" w:sz="0" w:space="0" w:color="auto"/>
        <w:bottom w:val="none" w:sz="0" w:space="0" w:color="auto"/>
        <w:right w:val="none" w:sz="0" w:space="0" w:color="auto"/>
      </w:divBdr>
    </w:div>
    <w:div w:id="646280338">
      <w:bodyDiv w:val="1"/>
      <w:marLeft w:val="0"/>
      <w:marRight w:val="0"/>
      <w:marTop w:val="0"/>
      <w:marBottom w:val="0"/>
      <w:divBdr>
        <w:top w:val="none" w:sz="0" w:space="0" w:color="auto"/>
        <w:left w:val="none" w:sz="0" w:space="0" w:color="auto"/>
        <w:bottom w:val="none" w:sz="0" w:space="0" w:color="auto"/>
        <w:right w:val="none" w:sz="0" w:space="0" w:color="auto"/>
      </w:divBdr>
    </w:div>
    <w:div w:id="647829249">
      <w:bodyDiv w:val="1"/>
      <w:marLeft w:val="0"/>
      <w:marRight w:val="0"/>
      <w:marTop w:val="0"/>
      <w:marBottom w:val="0"/>
      <w:divBdr>
        <w:top w:val="none" w:sz="0" w:space="0" w:color="auto"/>
        <w:left w:val="none" w:sz="0" w:space="0" w:color="auto"/>
        <w:bottom w:val="none" w:sz="0" w:space="0" w:color="auto"/>
        <w:right w:val="none" w:sz="0" w:space="0" w:color="auto"/>
      </w:divBdr>
    </w:div>
    <w:div w:id="648555023">
      <w:bodyDiv w:val="1"/>
      <w:marLeft w:val="0"/>
      <w:marRight w:val="0"/>
      <w:marTop w:val="0"/>
      <w:marBottom w:val="0"/>
      <w:divBdr>
        <w:top w:val="none" w:sz="0" w:space="0" w:color="auto"/>
        <w:left w:val="none" w:sz="0" w:space="0" w:color="auto"/>
        <w:bottom w:val="none" w:sz="0" w:space="0" w:color="auto"/>
        <w:right w:val="none" w:sz="0" w:space="0" w:color="auto"/>
      </w:divBdr>
    </w:div>
    <w:div w:id="651180681">
      <w:bodyDiv w:val="1"/>
      <w:marLeft w:val="0"/>
      <w:marRight w:val="0"/>
      <w:marTop w:val="0"/>
      <w:marBottom w:val="0"/>
      <w:divBdr>
        <w:top w:val="none" w:sz="0" w:space="0" w:color="auto"/>
        <w:left w:val="none" w:sz="0" w:space="0" w:color="auto"/>
        <w:bottom w:val="none" w:sz="0" w:space="0" w:color="auto"/>
        <w:right w:val="none" w:sz="0" w:space="0" w:color="auto"/>
      </w:divBdr>
    </w:div>
    <w:div w:id="653998098">
      <w:bodyDiv w:val="1"/>
      <w:marLeft w:val="0"/>
      <w:marRight w:val="0"/>
      <w:marTop w:val="0"/>
      <w:marBottom w:val="0"/>
      <w:divBdr>
        <w:top w:val="none" w:sz="0" w:space="0" w:color="auto"/>
        <w:left w:val="none" w:sz="0" w:space="0" w:color="auto"/>
        <w:bottom w:val="none" w:sz="0" w:space="0" w:color="auto"/>
        <w:right w:val="none" w:sz="0" w:space="0" w:color="auto"/>
      </w:divBdr>
    </w:div>
    <w:div w:id="657923790">
      <w:bodyDiv w:val="1"/>
      <w:marLeft w:val="0"/>
      <w:marRight w:val="0"/>
      <w:marTop w:val="0"/>
      <w:marBottom w:val="0"/>
      <w:divBdr>
        <w:top w:val="none" w:sz="0" w:space="0" w:color="auto"/>
        <w:left w:val="none" w:sz="0" w:space="0" w:color="auto"/>
        <w:bottom w:val="none" w:sz="0" w:space="0" w:color="auto"/>
        <w:right w:val="none" w:sz="0" w:space="0" w:color="auto"/>
      </w:divBdr>
    </w:div>
    <w:div w:id="662006828">
      <w:bodyDiv w:val="1"/>
      <w:marLeft w:val="0"/>
      <w:marRight w:val="0"/>
      <w:marTop w:val="0"/>
      <w:marBottom w:val="0"/>
      <w:divBdr>
        <w:top w:val="none" w:sz="0" w:space="0" w:color="auto"/>
        <w:left w:val="none" w:sz="0" w:space="0" w:color="auto"/>
        <w:bottom w:val="none" w:sz="0" w:space="0" w:color="auto"/>
        <w:right w:val="none" w:sz="0" w:space="0" w:color="auto"/>
      </w:divBdr>
    </w:div>
    <w:div w:id="663749301">
      <w:bodyDiv w:val="1"/>
      <w:marLeft w:val="0"/>
      <w:marRight w:val="0"/>
      <w:marTop w:val="0"/>
      <w:marBottom w:val="0"/>
      <w:divBdr>
        <w:top w:val="none" w:sz="0" w:space="0" w:color="auto"/>
        <w:left w:val="none" w:sz="0" w:space="0" w:color="auto"/>
        <w:bottom w:val="none" w:sz="0" w:space="0" w:color="auto"/>
        <w:right w:val="none" w:sz="0" w:space="0" w:color="auto"/>
      </w:divBdr>
    </w:div>
    <w:div w:id="664090869">
      <w:bodyDiv w:val="1"/>
      <w:marLeft w:val="0"/>
      <w:marRight w:val="0"/>
      <w:marTop w:val="0"/>
      <w:marBottom w:val="0"/>
      <w:divBdr>
        <w:top w:val="none" w:sz="0" w:space="0" w:color="auto"/>
        <w:left w:val="none" w:sz="0" w:space="0" w:color="auto"/>
        <w:bottom w:val="none" w:sz="0" w:space="0" w:color="auto"/>
        <w:right w:val="none" w:sz="0" w:space="0" w:color="auto"/>
      </w:divBdr>
    </w:div>
    <w:div w:id="665592239">
      <w:bodyDiv w:val="1"/>
      <w:marLeft w:val="0"/>
      <w:marRight w:val="0"/>
      <w:marTop w:val="0"/>
      <w:marBottom w:val="0"/>
      <w:divBdr>
        <w:top w:val="none" w:sz="0" w:space="0" w:color="auto"/>
        <w:left w:val="none" w:sz="0" w:space="0" w:color="auto"/>
        <w:bottom w:val="none" w:sz="0" w:space="0" w:color="auto"/>
        <w:right w:val="none" w:sz="0" w:space="0" w:color="auto"/>
      </w:divBdr>
    </w:div>
    <w:div w:id="668555063">
      <w:bodyDiv w:val="1"/>
      <w:marLeft w:val="0"/>
      <w:marRight w:val="0"/>
      <w:marTop w:val="0"/>
      <w:marBottom w:val="0"/>
      <w:divBdr>
        <w:top w:val="none" w:sz="0" w:space="0" w:color="auto"/>
        <w:left w:val="none" w:sz="0" w:space="0" w:color="auto"/>
        <w:bottom w:val="none" w:sz="0" w:space="0" w:color="auto"/>
        <w:right w:val="none" w:sz="0" w:space="0" w:color="auto"/>
      </w:divBdr>
    </w:div>
    <w:div w:id="670179729">
      <w:bodyDiv w:val="1"/>
      <w:marLeft w:val="0"/>
      <w:marRight w:val="0"/>
      <w:marTop w:val="0"/>
      <w:marBottom w:val="0"/>
      <w:divBdr>
        <w:top w:val="none" w:sz="0" w:space="0" w:color="auto"/>
        <w:left w:val="none" w:sz="0" w:space="0" w:color="auto"/>
        <w:bottom w:val="none" w:sz="0" w:space="0" w:color="auto"/>
        <w:right w:val="none" w:sz="0" w:space="0" w:color="auto"/>
      </w:divBdr>
    </w:div>
    <w:div w:id="674504527">
      <w:bodyDiv w:val="1"/>
      <w:marLeft w:val="0"/>
      <w:marRight w:val="0"/>
      <w:marTop w:val="0"/>
      <w:marBottom w:val="0"/>
      <w:divBdr>
        <w:top w:val="none" w:sz="0" w:space="0" w:color="auto"/>
        <w:left w:val="none" w:sz="0" w:space="0" w:color="auto"/>
        <w:bottom w:val="none" w:sz="0" w:space="0" w:color="auto"/>
        <w:right w:val="none" w:sz="0" w:space="0" w:color="auto"/>
      </w:divBdr>
    </w:div>
    <w:div w:id="674957101">
      <w:bodyDiv w:val="1"/>
      <w:marLeft w:val="0"/>
      <w:marRight w:val="0"/>
      <w:marTop w:val="0"/>
      <w:marBottom w:val="0"/>
      <w:divBdr>
        <w:top w:val="none" w:sz="0" w:space="0" w:color="auto"/>
        <w:left w:val="none" w:sz="0" w:space="0" w:color="auto"/>
        <w:bottom w:val="none" w:sz="0" w:space="0" w:color="auto"/>
        <w:right w:val="none" w:sz="0" w:space="0" w:color="auto"/>
      </w:divBdr>
    </w:div>
    <w:div w:id="676421035">
      <w:bodyDiv w:val="1"/>
      <w:marLeft w:val="0"/>
      <w:marRight w:val="0"/>
      <w:marTop w:val="0"/>
      <w:marBottom w:val="0"/>
      <w:divBdr>
        <w:top w:val="none" w:sz="0" w:space="0" w:color="auto"/>
        <w:left w:val="none" w:sz="0" w:space="0" w:color="auto"/>
        <w:bottom w:val="none" w:sz="0" w:space="0" w:color="auto"/>
        <w:right w:val="none" w:sz="0" w:space="0" w:color="auto"/>
      </w:divBdr>
    </w:div>
    <w:div w:id="677849597">
      <w:bodyDiv w:val="1"/>
      <w:marLeft w:val="0"/>
      <w:marRight w:val="0"/>
      <w:marTop w:val="0"/>
      <w:marBottom w:val="0"/>
      <w:divBdr>
        <w:top w:val="none" w:sz="0" w:space="0" w:color="auto"/>
        <w:left w:val="none" w:sz="0" w:space="0" w:color="auto"/>
        <w:bottom w:val="none" w:sz="0" w:space="0" w:color="auto"/>
        <w:right w:val="none" w:sz="0" w:space="0" w:color="auto"/>
      </w:divBdr>
    </w:div>
    <w:div w:id="679241553">
      <w:bodyDiv w:val="1"/>
      <w:marLeft w:val="0"/>
      <w:marRight w:val="0"/>
      <w:marTop w:val="0"/>
      <w:marBottom w:val="0"/>
      <w:divBdr>
        <w:top w:val="none" w:sz="0" w:space="0" w:color="auto"/>
        <w:left w:val="none" w:sz="0" w:space="0" w:color="auto"/>
        <w:bottom w:val="none" w:sz="0" w:space="0" w:color="auto"/>
        <w:right w:val="none" w:sz="0" w:space="0" w:color="auto"/>
      </w:divBdr>
    </w:div>
    <w:div w:id="679818988">
      <w:bodyDiv w:val="1"/>
      <w:marLeft w:val="0"/>
      <w:marRight w:val="0"/>
      <w:marTop w:val="0"/>
      <w:marBottom w:val="0"/>
      <w:divBdr>
        <w:top w:val="none" w:sz="0" w:space="0" w:color="auto"/>
        <w:left w:val="none" w:sz="0" w:space="0" w:color="auto"/>
        <w:bottom w:val="none" w:sz="0" w:space="0" w:color="auto"/>
        <w:right w:val="none" w:sz="0" w:space="0" w:color="auto"/>
      </w:divBdr>
    </w:div>
    <w:div w:id="682174563">
      <w:bodyDiv w:val="1"/>
      <w:marLeft w:val="0"/>
      <w:marRight w:val="0"/>
      <w:marTop w:val="0"/>
      <w:marBottom w:val="0"/>
      <w:divBdr>
        <w:top w:val="none" w:sz="0" w:space="0" w:color="auto"/>
        <w:left w:val="none" w:sz="0" w:space="0" w:color="auto"/>
        <w:bottom w:val="none" w:sz="0" w:space="0" w:color="auto"/>
        <w:right w:val="none" w:sz="0" w:space="0" w:color="auto"/>
      </w:divBdr>
    </w:div>
    <w:div w:id="682829380">
      <w:bodyDiv w:val="1"/>
      <w:marLeft w:val="0"/>
      <w:marRight w:val="0"/>
      <w:marTop w:val="0"/>
      <w:marBottom w:val="0"/>
      <w:divBdr>
        <w:top w:val="none" w:sz="0" w:space="0" w:color="auto"/>
        <w:left w:val="none" w:sz="0" w:space="0" w:color="auto"/>
        <w:bottom w:val="none" w:sz="0" w:space="0" w:color="auto"/>
        <w:right w:val="none" w:sz="0" w:space="0" w:color="auto"/>
      </w:divBdr>
    </w:div>
    <w:div w:id="683287614">
      <w:bodyDiv w:val="1"/>
      <w:marLeft w:val="0"/>
      <w:marRight w:val="0"/>
      <w:marTop w:val="0"/>
      <w:marBottom w:val="0"/>
      <w:divBdr>
        <w:top w:val="none" w:sz="0" w:space="0" w:color="auto"/>
        <w:left w:val="none" w:sz="0" w:space="0" w:color="auto"/>
        <w:bottom w:val="none" w:sz="0" w:space="0" w:color="auto"/>
        <w:right w:val="none" w:sz="0" w:space="0" w:color="auto"/>
      </w:divBdr>
    </w:div>
    <w:div w:id="683826039">
      <w:bodyDiv w:val="1"/>
      <w:marLeft w:val="0"/>
      <w:marRight w:val="0"/>
      <w:marTop w:val="0"/>
      <w:marBottom w:val="0"/>
      <w:divBdr>
        <w:top w:val="none" w:sz="0" w:space="0" w:color="auto"/>
        <w:left w:val="none" w:sz="0" w:space="0" w:color="auto"/>
        <w:bottom w:val="none" w:sz="0" w:space="0" w:color="auto"/>
        <w:right w:val="none" w:sz="0" w:space="0" w:color="auto"/>
      </w:divBdr>
    </w:div>
    <w:div w:id="684752415">
      <w:bodyDiv w:val="1"/>
      <w:marLeft w:val="0"/>
      <w:marRight w:val="0"/>
      <w:marTop w:val="0"/>
      <w:marBottom w:val="0"/>
      <w:divBdr>
        <w:top w:val="none" w:sz="0" w:space="0" w:color="auto"/>
        <w:left w:val="none" w:sz="0" w:space="0" w:color="auto"/>
        <w:bottom w:val="none" w:sz="0" w:space="0" w:color="auto"/>
        <w:right w:val="none" w:sz="0" w:space="0" w:color="auto"/>
      </w:divBdr>
    </w:div>
    <w:div w:id="685599239">
      <w:bodyDiv w:val="1"/>
      <w:marLeft w:val="0"/>
      <w:marRight w:val="0"/>
      <w:marTop w:val="0"/>
      <w:marBottom w:val="0"/>
      <w:divBdr>
        <w:top w:val="none" w:sz="0" w:space="0" w:color="auto"/>
        <w:left w:val="none" w:sz="0" w:space="0" w:color="auto"/>
        <w:bottom w:val="none" w:sz="0" w:space="0" w:color="auto"/>
        <w:right w:val="none" w:sz="0" w:space="0" w:color="auto"/>
      </w:divBdr>
    </w:div>
    <w:div w:id="688528056">
      <w:bodyDiv w:val="1"/>
      <w:marLeft w:val="0"/>
      <w:marRight w:val="0"/>
      <w:marTop w:val="0"/>
      <w:marBottom w:val="0"/>
      <w:divBdr>
        <w:top w:val="none" w:sz="0" w:space="0" w:color="auto"/>
        <w:left w:val="none" w:sz="0" w:space="0" w:color="auto"/>
        <w:bottom w:val="none" w:sz="0" w:space="0" w:color="auto"/>
        <w:right w:val="none" w:sz="0" w:space="0" w:color="auto"/>
      </w:divBdr>
    </w:div>
    <w:div w:id="689993517">
      <w:bodyDiv w:val="1"/>
      <w:marLeft w:val="0"/>
      <w:marRight w:val="0"/>
      <w:marTop w:val="0"/>
      <w:marBottom w:val="0"/>
      <w:divBdr>
        <w:top w:val="none" w:sz="0" w:space="0" w:color="auto"/>
        <w:left w:val="none" w:sz="0" w:space="0" w:color="auto"/>
        <w:bottom w:val="none" w:sz="0" w:space="0" w:color="auto"/>
        <w:right w:val="none" w:sz="0" w:space="0" w:color="auto"/>
      </w:divBdr>
    </w:div>
    <w:div w:id="690759266">
      <w:bodyDiv w:val="1"/>
      <w:marLeft w:val="0"/>
      <w:marRight w:val="0"/>
      <w:marTop w:val="0"/>
      <w:marBottom w:val="0"/>
      <w:divBdr>
        <w:top w:val="none" w:sz="0" w:space="0" w:color="auto"/>
        <w:left w:val="none" w:sz="0" w:space="0" w:color="auto"/>
        <w:bottom w:val="none" w:sz="0" w:space="0" w:color="auto"/>
        <w:right w:val="none" w:sz="0" w:space="0" w:color="auto"/>
      </w:divBdr>
    </w:div>
    <w:div w:id="691035536">
      <w:bodyDiv w:val="1"/>
      <w:marLeft w:val="0"/>
      <w:marRight w:val="0"/>
      <w:marTop w:val="0"/>
      <w:marBottom w:val="0"/>
      <w:divBdr>
        <w:top w:val="none" w:sz="0" w:space="0" w:color="auto"/>
        <w:left w:val="none" w:sz="0" w:space="0" w:color="auto"/>
        <w:bottom w:val="none" w:sz="0" w:space="0" w:color="auto"/>
        <w:right w:val="none" w:sz="0" w:space="0" w:color="auto"/>
      </w:divBdr>
    </w:div>
    <w:div w:id="692808577">
      <w:bodyDiv w:val="1"/>
      <w:marLeft w:val="0"/>
      <w:marRight w:val="0"/>
      <w:marTop w:val="0"/>
      <w:marBottom w:val="0"/>
      <w:divBdr>
        <w:top w:val="none" w:sz="0" w:space="0" w:color="auto"/>
        <w:left w:val="none" w:sz="0" w:space="0" w:color="auto"/>
        <w:bottom w:val="none" w:sz="0" w:space="0" w:color="auto"/>
        <w:right w:val="none" w:sz="0" w:space="0" w:color="auto"/>
      </w:divBdr>
    </w:div>
    <w:div w:id="693387641">
      <w:bodyDiv w:val="1"/>
      <w:marLeft w:val="0"/>
      <w:marRight w:val="0"/>
      <w:marTop w:val="0"/>
      <w:marBottom w:val="0"/>
      <w:divBdr>
        <w:top w:val="none" w:sz="0" w:space="0" w:color="auto"/>
        <w:left w:val="none" w:sz="0" w:space="0" w:color="auto"/>
        <w:bottom w:val="none" w:sz="0" w:space="0" w:color="auto"/>
        <w:right w:val="none" w:sz="0" w:space="0" w:color="auto"/>
      </w:divBdr>
    </w:div>
    <w:div w:id="700520132">
      <w:bodyDiv w:val="1"/>
      <w:marLeft w:val="0"/>
      <w:marRight w:val="0"/>
      <w:marTop w:val="0"/>
      <w:marBottom w:val="0"/>
      <w:divBdr>
        <w:top w:val="none" w:sz="0" w:space="0" w:color="auto"/>
        <w:left w:val="none" w:sz="0" w:space="0" w:color="auto"/>
        <w:bottom w:val="none" w:sz="0" w:space="0" w:color="auto"/>
        <w:right w:val="none" w:sz="0" w:space="0" w:color="auto"/>
      </w:divBdr>
    </w:div>
    <w:div w:id="704604334">
      <w:bodyDiv w:val="1"/>
      <w:marLeft w:val="0"/>
      <w:marRight w:val="0"/>
      <w:marTop w:val="0"/>
      <w:marBottom w:val="0"/>
      <w:divBdr>
        <w:top w:val="none" w:sz="0" w:space="0" w:color="auto"/>
        <w:left w:val="none" w:sz="0" w:space="0" w:color="auto"/>
        <w:bottom w:val="none" w:sz="0" w:space="0" w:color="auto"/>
        <w:right w:val="none" w:sz="0" w:space="0" w:color="auto"/>
      </w:divBdr>
    </w:div>
    <w:div w:id="708992916">
      <w:bodyDiv w:val="1"/>
      <w:marLeft w:val="0"/>
      <w:marRight w:val="0"/>
      <w:marTop w:val="0"/>
      <w:marBottom w:val="0"/>
      <w:divBdr>
        <w:top w:val="none" w:sz="0" w:space="0" w:color="auto"/>
        <w:left w:val="none" w:sz="0" w:space="0" w:color="auto"/>
        <w:bottom w:val="none" w:sz="0" w:space="0" w:color="auto"/>
        <w:right w:val="none" w:sz="0" w:space="0" w:color="auto"/>
      </w:divBdr>
    </w:div>
    <w:div w:id="709652458">
      <w:bodyDiv w:val="1"/>
      <w:marLeft w:val="0"/>
      <w:marRight w:val="0"/>
      <w:marTop w:val="0"/>
      <w:marBottom w:val="0"/>
      <w:divBdr>
        <w:top w:val="none" w:sz="0" w:space="0" w:color="auto"/>
        <w:left w:val="none" w:sz="0" w:space="0" w:color="auto"/>
        <w:bottom w:val="none" w:sz="0" w:space="0" w:color="auto"/>
        <w:right w:val="none" w:sz="0" w:space="0" w:color="auto"/>
      </w:divBdr>
    </w:div>
    <w:div w:id="709766138">
      <w:bodyDiv w:val="1"/>
      <w:marLeft w:val="0"/>
      <w:marRight w:val="0"/>
      <w:marTop w:val="0"/>
      <w:marBottom w:val="0"/>
      <w:divBdr>
        <w:top w:val="none" w:sz="0" w:space="0" w:color="auto"/>
        <w:left w:val="none" w:sz="0" w:space="0" w:color="auto"/>
        <w:bottom w:val="none" w:sz="0" w:space="0" w:color="auto"/>
        <w:right w:val="none" w:sz="0" w:space="0" w:color="auto"/>
      </w:divBdr>
    </w:div>
    <w:div w:id="711686318">
      <w:bodyDiv w:val="1"/>
      <w:marLeft w:val="0"/>
      <w:marRight w:val="0"/>
      <w:marTop w:val="0"/>
      <w:marBottom w:val="0"/>
      <w:divBdr>
        <w:top w:val="none" w:sz="0" w:space="0" w:color="auto"/>
        <w:left w:val="none" w:sz="0" w:space="0" w:color="auto"/>
        <w:bottom w:val="none" w:sz="0" w:space="0" w:color="auto"/>
        <w:right w:val="none" w:sz="0" w:space="0" w:color="auto"/>
      </w:divBdr>
    </w:div>
    <w:div w:id="713391199">
      <w:bodyDiv w:val="1"/>
      <w:marLeft w:val="0"/>
      <w:marRight w:val="0"/>
      <w:marTop w:val="0"/>
      <w:marBottom w:val="0"/>
      <w:divBdr>
        <w:top w:val="none" w:sz="0" w:space="0" w:color="auto"/>
        <w:left w:val="none" w:sz="0" w:space="0" w:color="auto"/>
        <w:bottom w:val="none" w:sz="0" w:space="0" w:color="auto"/>
        <w:right w:val="none" w:sz="0" w:space="0" w:color="auto"/>
      </w:divBdr>
    </w:div>
    <w:div w:id="713774415">
      <w:bodyDiv w:val="1"/>
      <w:marLeft w:val="0"/>
      <w:marRight w:val="0"/>
      <w:marTop w:val="0"/>
      <w:marBottom w:val="0"/>
      <w:divBdr>
        <w:top w:val="none" w:sz="0" w:space="0" w:color="auto"/>
        <w:left w:val="none" w:sz="0" w:space="0" w:color="auto"/>
        <w:bottom w:val="none" w:sz="0" w:space="0" w:color="auto"/>
        <w:right w:val="none" w:sz="0" w:space="0" w:color="auto"/>
      </w:divBdr>
    </w:div>
    <w:div w:id="715009996">
      <w:bodyDiv w:val="1"/>
      <w:marLeft w:val="0"/>
      <w:marRight w:val="0"/>
      <w:marTop w:val="0"/>
      <w:marBottom w:val="0"/>
      <w:divBdr>
        <w:top w:val="none" w:sz="0" w:space="0" w:color="auto"/>
        <w:left w:val="none" w:sz="0" w:space="0" w:color="auto"/>
        <w:bottom w:val="none" w:sz="0" w:space="0" w:color="auto"/>
        <w:right w:val="none" w:sz="0" w:space="0" w:color="auto"/>
      </w:divBdr>
    </w:div>
    <w:div w:id="721366990">
      <w:bodyDiv w:val="1"/>
      <w:marLeft w:val="0"/>
      <w:marRight w:val="0"/>
      <w:marTop w:val="0"/>
      <w:marBottom w:val="0"/>
      <w:divBdr>
        <w:top w:val="none" w:sz="0" w:space="0" w:color="auto"/>
        <w:left w:val="none" w:sz="0" w:space="0" w:color="auto"/>
        <w:bottom w:val="none" w:sz="0" w:space="0" w:color="auto"/>
        <w:right w:val="none" w:sz="0" w:space="0" w:color="auto"/>
      </w:divBdr>
    </w:div>
    <w:div w:id="721711987">
      <w:bodyDiv w:val="1"/>
      <w:marLeft w:val="0"/>
      <w:marRight w:val="0"/>
      <w:marTop w:val="0"/>
      <w:marBottom w:val="0"/>
      <w:divBdr>
        <w:top w:val="none" w:sz="0" w:space="0" w:color="auto"/>
        <w:left w:val="none" w:sz="0" w:space="0" w:color="auto"/>
        <w:bottom w:val="none" w:sz="0" w:space="0" w:color="auto"/>
        <w:right w:val="none" w:sz="0" w:space="0" w:color="auto"/>
      </w:divBdr>
    </w:div>
    <w:div w:id="732237993">
      <w:bodyDiv w:val="1"/>
      <w:marLeft w:val="0"/>
      <w:marRight w:val="0"/>
      <w:marTop w:val="0"/>
      <w:marBottom w:val="0"/>
      <w:divBdr>
        <w:top w:val="none" w:sz="0" w:space="0" w:color="auto"/>
        <w:left w:val="none" w:sz="0" w:space="0" w:color="auto"/>
        <w:bottom w:val="none" w:sz="0" w:space="0" w:color="auto"/>
        <w:right w:val="none" w:sz="0" w:space="0" w:color="auto"/>
      </w:divBdr>
    </w:div>
    <w:div w:id="732317446">
      <w:bodyDiv w:val="1"/>
      <w:marLeft w:val="0"/>
      <w:marRight w:val="0"/>
      <w:marTop w:val="0"/>
      <w:marBottom w:val="0"/>
      <w:divBdr>
        <w:top w:val="none" w:sz="0" w:space="0" w:color="auto"/>
        <w:left w:val="none" w:sz="0" w:space="0" w:color="auto"/>
        <w:bottom w:val="none" w:sz="0" w:space="0" w:color="auto"/>
        <w:right w:val="none" w:sz="0" w:space="0" w:color="auto"/>
      </w:divBdr>
    </w:div>
    <w:div w:id="735667712">
      <w:bodyDiv w:val="1"/>
      <w:marLeft w:val="0"/>
      <w:marRight w:val="0"/>
      <w:marTop w:val="0"/>
      <w:marBottom w:val="0"/>
      <w:divBdr>
        <w:top w:val="none" w:sz="0" w:space="0" w:color="auto"/>
        <w:left w:val="none" w:sz="0" w:space="0" w:color="auto"/>
        <w:bottom w:val="none" w:sz="0" w:space="0" w:color="auto"/>
        <w:right w:val="none" w:sz="0" w:space="0" w:color="auto"/>
      </w:divBdr>
    </w:div>
    <w:div w:id="738407269">
      <w:bodyDiv w:val="1"/>
      <w:marLeft w:val="0"/>
      <w:marRight w:val="0"/>
      <w:marTop w:val="0"/>
      <w:marBottom w:val="0"/>
      <w:divBdr>
        <w:top w:val="none" w:sz="0" w:space="0" w:color="auto"/>
        <w:left w:val="none" w:sz="0" w:space="0" w:color="auto"/>
        <w:bottom w:val="none" w:sz="0" w:space="0" w:color="auto"/>
        <w:right w:val="none" w:sz="0" w:space="0" w:color="auto"/>
      </w:divBdr>
    </w:div>
    <w:div w:id="739865463">
      <w:bodyDiv w:val="1"/>
      <w:marLeft w:val="0"/>
      <w:marRight w:val="0"/>
      <w:marTop w:val="0"/>
      <w:marBottom w:val="0"/>
      <w:divBdr>
        <w:top w:val="none" w:sz="0" w:space="0" w:color="auto"/>
        <w:left w:val="none" w:sz="0" w:space="0" w:color="auto"/>
        <w:bottom w:val="none" w:sz="0" w:space="0" w:color="auto"/>
        <w:right w:val="none" w:sz="0" w:space="0" w:color="auto"/>
      </w:divBdr>
    </w:div>
    <w:div w:id="740982373">
      <w:bodyDiv w:val="1"/>
      <w:marLeft w:val="0"/>
      <w:marRight w:val="0"/>
      <w:marTop w:val="0"/>
      <w:marBottom w:val="0"/>
      <w:divBdr>
        <w:top w:val="none" w:sz="0" w:space="0" w:color="auto"/>
        <w:left w:val="none" w:sz="0" w:space="0" w:color="auto"/>
        <w:bottom w:val="none" w:sz="0" w:space="0" w:color="auto"/>
        <w:right w:val="none" w:sz="0" w:space="0" w:color="auto"/>
      </w:divBdr>
    </w:div>
    <w:div w:id="741752836">
      <w:bodyDiv w:val="1"/>
      <w:marLeft w:val="0"/>
      <w:marRight w:val="0"/>
      <w:marTop w:val="0"/>
      <w:marBottom w:val="0"/>
      <w:divBdr>
        <w:top w:val="none" w:sz="0" w:space="0" w:color="auto"/>
        <w:left w:val="none" w:sz="0" w:space="0" w:color="auto"/>
        <w:bottom w:val="none" w:sz="0" w:space="0" w:color="auto"/>
        <w:right w:val="none" w:sz="0" w:space="0" w:color="auto"/>
      </w:divBdr>
    </w:div>
    <w:div w:id="745146767">
      <w:bodyDiv w:val="1"/>
      <w:marLeft w:val="0"/>
      <w:marRight w:val="0"/>
      <w:marTop w:val="0"/>
      <w:marBottom w:val="0"/>
      <w:divBdr>
        <w:top w:val="none" w:sz="0" w:space="0" w:color="auto"/>
        <w:left w:val="none" w:sz="0" w:space="0" w:color="auto"/>
        <w:bottom w:val="none" w:sz="0" w:space="0" w:color="auto"/>
        <w:right w:val="none" w:sz="0" w:space="0" w:color="auto"/>
      </w:divBdr>
    </w:div>
    <w:div w:id="750392506">
      <w:bodyDiv w:val="1"/>
      <w:marLeft w:val="0"/>
      <w:marRight w:val="0"/>
      <w:marTop w:val="0"/>
      <w:marBottom w:val="0"/>
      <w:divBdr>
        <w:top w:val="none" w:sz="0" w:space="0" w:color="auto"/>
        <w:left w:val="none" w:sz="0" w:space="0" w:color="auto"/>
        <w:bottom w:val="none" w:sz="0" w:space="0" w:color="auto"/>
        <w:right w:val="none" w:sz="0" w:space="0" w:color="auto"/>
      </w:divBdr>
    </w:div>
    <w:div w:id="755439793">
      <w:bodyDiv w:val="1"/>
      <w:marLeft w:val="0"/>
      <w:marRight w:val="0"/>
      <w:marTop w:val="0"/>
      <w:marBottom w:val="0"/>
      <w:divBdr>
        <w:top w:val="none" w:sz="0" w:space="0" w:color="auto"/>
        <w:left w:val="none" w:sz="0" w:space="0" w:color="auto"/>
        <w:bottom w:val="none" w:sz="0" w:space="0" w:color="auto"/>
        <w:right w:val="none" w:sz="0" w:space="0" w:color="auto"/>
      </w:divBdr>
    </w:div>
    <w:div w:id="759300551">
      <w:bodyDiv w:val="1"/>
      <w:marLeft w:val="0"/>
      <w:marRight w:val="0"/>
      <w:marTop w:val="0"/>
      <w:marBottom w:val="0"/>
      <w:divBdr>
        <w:top w:val="none" w:sz="0" w:space="0" w:color="auto"/>
        <w:left w:val="none" w:sz="0" w:space="0" w:color="auto"/>
        <w:bottom w:val="none" w:sz="0" w:space="0" w:color="auto"/>
        <w:right w:val="none" w:sz="0" w:space="0" w:color="auto"/>
      </w:divBdr>
    </w:div>
    <w:div w:id="762452319">
      <w:bodyDiv w:val="1"/>
      <w:marLeft w:val="0"/>
      <w:marRight w:val="0"/>
      <w:marTop w:val="0"/>
      <w:marBottom w:val="0"/>
      <w:divBdr>
        <w:top w:val="none" w:sz="0" w:space="0" w:color="auto"/>
        <w:left w:val="none" w:sz="0" w:space="0" w:color="auto"/>
        <w:bottom w:val="none" w:sz="0" w:space="0" w:color="auto"/>
        <w:right w:val="none" w:sz="0" w:space="0" w:color="auto"/>
      </w:divBdr>
    </w:div>
    <w:div w:id="769161558">
      <w:bodyDiv w:val="1"/>
      <w:marLeft w:val="0"/>
      <w:marRight w:val="0"/>
      <w:marTop w:val="0"/>
      <w:marBottom w:val="0"/>
      <w:divBdr>
        <w:top w:val="none" w:sz="0" w:space="0" w:color="auto"/>
        <w:left w:val="none" w:sz="0" w:space="0" w:color="auto"/>
        <w:bottom w:val="none" w:sz="0" w:space="0" w:color="auto"/>
        <w:right w:val="none" w:sz="0" w:space="0" w:color="auto"/>
      </w:divBdr>
    </w:div>
    <w:div w:id="770049541">
      <w:bodyDiv w:val="1"/>
      <w:marLeft w:val="0"/>
      <w:marRight w:val="0"/>
      <w:marTop w:val="0"/>
      <w:marBottom w:val="0"/>
      <w:divBdr>
        <w:top w:val="none" w:sz="0" w:space="0" w:color="auto"/>
        <w:left w:val="none" w:sz="0" w:space="0" w:color="auto"/>
        <w:bottom w:val="none" w:sz="0" w:space="0" w:color="auto"/>
        <w:right w:val="none" w:sz="0" w:space="0" w:color="auto"/>
      </w:divBdr>
    </w:div>
    <w:div w:id="770929456">
      <w:bodyDiv w:val="1"/>
      <w:marLeft w:val="0"/>
      <w:marRight w:val="0"/>
      <w:marTop w:val="0"/>
      <w:marBottom w:val="0"/>
      <w:divBdr>
        <w:top w:val="none" w:sz="0" w:space="0" w:color="auto"/>
        <w:left w:val="none" w:sz="0" w:space="0" w:color="auto"/>
        <w:bottom w:val="none" w:sz="0" w:space="0" w:color="auto"/>
        <w:right w:val="none" w:sz="0" w:space="0" w:color="auto"/>
      </w:divBdr>
    </w:div>
    <w:div w:id="771973435">
      <w:bodyDiv w:val="1"/>
      <w:marLeft w:val="0"/>
      <w:marRight w:val="0"/>
      <w:marTop w:val="0"/>
      <w:marBottom w:val="0"/>
      <w:divBdr>
        <w:top w:val="none" w:sz="0" w:space="0" w:color="auto"/>
        <w:left w:val="none" w:sz="0" w:space="0" w:color="auto"/>
        <w:bottom w:val="none" w:sz="0" w:space="0" w:color="auto"/>
        <w:right w:val="none" w:sz="0" w:space="0" w:color="auto"/>
      </w:divBdr>
    </w:div>
    <w:div w:id="774400255">
      <w:bodyDiv w:val="1"/>
      <w:marLeft w:val="0"/>
      <w:marRight w:val="0"/>
      <w:marTop w:val="0"/>
      <w:marBottom w:val="0"/>
      <w:divBdr>
        <w:top w:val="none" w:sz="0" w:space="0" w:color="auto"/>
        <w:left w:val="none" w:sz="0" w:space="0" w:color="auto"/>
        <w:bottom w:val="none" w:sz="0" w:space="0" w:color="auto"/>
        <w:right w:val="none" w:sz="0" w:space="0" w:color="auto"/>
      </w:divBdr>
    </w:div>
    <w:div w:id="775061357">
      <w:bodyDiv w:val="1"/>
      <w:marLeft w:val="0"/>
      <w:marRight w:val="0"/>
      <w:marTop w:val="0"/>
      <w:marBottom w:val="0"/>
      <w:divBdr>
        <w:top w:val="none" w:sz="0" w:space="0" w:color="auto"/>
        <w:left w:val="none" w:sz="0" w:space="0" w:color="auto"/>
        <w:bottom w:val="none" w:sz="0" w:space="0" w:color="auto"/>
        <w:right w:val="none" w:sz="0" w:space="0" w:color="auto"/>
      </w:divBdr>
    </w:div>
    <w:div w:id="776949414">
      <w:bodyDiv w:val="1"/>
      <w:marLeft w:val="0"/>
      <w:marRight w:val="0"/>
      <w:marTop w:val="0"/>
      <w:marBottom w:val="0"/>
      <w:divBdr>
        <w:top w:val="none" w:sz="0" w:space="0" w:color="auto"/>
        <w:left w:val="none" w:sz="0" w:space="0" w:color="auto"/>
        <w:bottom w:val="none" w:sz="0" w:space="0" w:color="auto"/>
        <w:right w:val="none" w:sz="0" w:space="0" w:color="auto"/>
      </w:divBdr>
    </w:div>
    <w:div w:id="778795129">
      <w:bodyDiv w:val="1"/>
      <w:marLeft w:val="0"/>
      <w:marRight w:val="0"/>
      <w:marTop w:val="0"/>
      <w:marBottom w:val="0"/>
      <w:divBdr>
        <w:top w:val="none" w:sz="0" w:space="0" w:color="auto"/>
        <w:left w:val="none" w:sz="0" w:space="0" w:color="auto"/>
        <w:bottom w:val="none" w:sz="0" w:space="0" w:color="auto"/>
        <w:right w:val="none" w:sz="0" w:space="0" w:color="auto"/>
      </w:divBdr>
    </w:div>
    <w:div w:id="785344957">
      <w:bodyDiv w:val="1"/>
      <w:marLeft w:val="0"/>
      <w:marRight w:val="0"/>
      <w:marTop w:val="0"/>
      <w:marBottom w:val="0"/>
      <w:divBdr>
        <w:top w:val="none" w:sz="0" w:space="0" w:color="auto"/>
        <w:left w:val="none" w:sz="0" w:space="0" w:color="auto"/>
        <w:bottom w:val="none" w:sz="0" w:space="0" w:color="auto"/>
        <w:right w:val="none" w:sz="0" w:space="0" w:color="auto"/>
      </w:divBdr>
    </w:div>
    <w:div w:id="787699910">
      <w:bodyDiv w:val="1"/>
      <w:marLeft w:val="0"/>
      <w:marRight w:val="0"/>
      <w:marTop w:val="0"/>
      <w:marBottom w:val="0"/>
      <w:divBdr>
        <w:top w:val="none" w:sz="0" w:space="0" w:color="auto"/>
        <w:left w:val="none" w:sz="0" w:space="0" w:color="auto"/>
        <w:bottom w:val="none" w:sz="0" w:space="0" w:color="auto"/>
        <w:right w:val="none" w:sz="0" w:space="0" w:color="auto"/>
      </w:divBdr>
    </w:div>
    <w:div w:id="787814278">
      <w:bodyDiv w:val="1"/>
      <w:marLeft w:val="0"/>
      <w:marRight w:val="0"/>
      <w:marTop w:val="0"/>
      <w:marBottom w:val="0"/>
      <w:divBdr>
        <w:top w:val="none" w:sz="0" w:space="0" w:color="auto"/>
        <w:left w:val="none" w:sz="0" w:space="0" w:color="auto"/>
        <w:bottom w:val="none" w:sz="0" w:space="0" w:color="auto"/>
        <w:right w:val="none" w:sz="0" w:space="0" w:color="auto"/>
      </w:divBdr>
    </w:div>
    <w:div w:id="789011595">
      <w:bodyDiv w:val="1"/>
      <w:marLeft w:val="0"/>
      <w:marRight w:val="0"/>
      <w:marTop w:val="0"/>
      <w:marBottom w:val="0"/>
      <w:divBdr>
        <w:top w:val="none" w:sz="0" w:space="0" w:color="auto"/>
        <w:left w:val="none" w:sz="0" w:space="0" w:color="auto"/>
        <w:bottom w:val="none" w:sz="0" w:space="0" w:color="auto"/>
        <w:right w:val="none" w:sz="0" w:space="0" w:color="auto"/>
      </w:divBdr>
    </w:div>
    <w:div w:id="790246774">
      <w:bodyDiv w:val="1"/>
      <w:marLeft w:val="0"/>
      <w:marRight w:val="0"/>
      <w:marTop w:val="0"/>
      <w:marBottom w:val="0"/>
      <w:divBdr>
        <w:top w:val="none" w:sz="0" w:space="0" w:color="auto"/>
        <w:left w:val="none" w:sz="0" w:space="0" w:color="auto"/>
        <w:bottom w:val="none" w:sz="0" w:space="0" w:color="auto"/>
        <w:right w:val="none" w:sz="0" w:space="0" w:color="auto"/>
      </w:divBdr>
    </w:div>
    <w:div w:id="790707911">
      <w:bodyDiv w:val="1"/>
      <w:marLeft w:val="0"/>
      <w:marRight w:val="0"/>
      <w:marTop w:val="0"/>
      <w:marBottom w:val="0"/>
      <w:divBdr>
        <w:top w:val="none" w:sz="0" w:space="0" w:color="auto"/>
        <w:left w:val="none" w:sz="0" w:space="0" w:color="auto"/>
        <w:bottom w:val="none" w:sz="0" w:space="0" w:color="auto"/>
        <w:right w:val="none" w:sz="0" w:space="0" w:color="auto"/>
      </w:divBdr>
    </w:div>
    <w:div w:id="790783989">
      <w:bodyDiv w:val="1"/>
      <w:marLeft w:val="0"/>
      <w:marRight w:val="0"/>
      <w:marTop w:val="0"/>
      <w:marBottom w:val="0"/>
      <w:divBdr>
        <w:top w:val="none" w:sz="0" w:space="0" w:color="auto"/>
        <w:left w:val="none" w:sz="0" w:space="0" w:color="auto"/>
        <w:bottom w:val="none" w:sz="0" w:space="0" w:color="auto"/>
        <w:right w:val="none" w:sz="0" w:space="0" w:color="auto"/>
      </w:divBdr>
    </w:div>
    <w:div w:id="793135461">
      <w:bodyDiv w:val="1"/>
      <w:marLeft w:val="0"/>
      <w:marRight w:val="0"/>
      <w:marTop w:val="0"/>
      <w:marBottom w:val="0"/>
      <w:divBdr>
        <w:top w:val="none" w:sz="0" w:space="0" w:color="auto"/>
        <w:left w:val="none" w:sz="0" w:space="0" w:color="auto"/>
        <w:bottom w:val="none" w:sz="0" w:space="0" w:color="auto"/>
        <w:right w:val="none" w:sz="0" w:space="0" w:color="auto"/>
      </w:divBdr>
    </w:div>
    <w:div w:id="793209300">
      <w:bodyDiv w:val="1"/>
      <w:marLeft w:val="0"/>
      <w:marRight w:val="0"/>
      <w:marTop w:val="0"/>
      <w:marBottom w:val="0"/>
      <w:divBdr>
        <w:top w:val="none" w:sz="0" w:space="0" w:color="auto"/>
        <w:left w:val="none" w:sz="0" w:space="0" w:color="auto"/>
        <w:bottom w:val="none" w:sz="0" w:space="0" w:color="auto"/>
        <w:right w:val="none" w:sz="0" w:space="0" w:color="auto"/>
      </w:divBdr>
    </w:div>
    <w:div w:id="796026733">
      <w:bodyDiv w:val="1"/>
      <w:marLeft w:val="0"/>
      <w:marRight w:val="0"/>
      <w:marTop w:val="0"/>
      <w:marBottom w:val="0"/>
      <w:divBdr>
        <w:top w:val="none" w:sz="0" w:space="0" w:color="auto"/>
        <w:left w:val="none" w:sz="0" w:space="0" w:color="auto"/>
        <w:bottom w:val="none" w:sz="0" w:space="0" w:color="auto"/>
        <w:right w:val="none" w:sz="0" w:space="0" w:color="auto"/>
      </w:divBdr>
    </w:div>
    <w:div w:id="803161146">
      <w:bodyDiv w:val="1"/>
      <w:marLeft w:val="0"/>
      <w:marRight w:val="0"/>
      <w:marTop w:val="0"/>
      <w:marBottom w:val="0"/>
      <w:divBdr>
        <w:top w:val="none" w:sz="0" w:space="0" w:color="auto"/>
        <w:left w:val="none" w:sz="0" w:space="0" w:color="auto"/>
        <w:bottom w:val="none" w:sz="0" w:space="0" w:color="auto"/>
        <w:right w:val="none" w:sz="0" w:space="0" w:color="auto"/>
      </w:divBdr>
    </w:div>
    <w:div w:id="807012157">
      <w:bodyDiv w:val="1"/>
      <w:marLeft w:val="0"/>
      <w:marRight w:val="0"/>
      <w:marTop w:val="0"/>
      <w:marBottom w:val="0"/>
      <w:divBdr>
        <w:top w:val="none" w:sz="0" w:space="0" w:color="auto"/>
        <w:left w:val="none" w:sz="0" w:space="0" w:color="auto"/>
        <w:bottom w:val="none" w:sz="0" w:space="0" w:color="auto"/>
        <w:right w:val="none" w:sz="0" w:space="0" w:color="auto"/>
      </w:divBdr>
    </w:div>
    <w:div w:id="807473575">
      <w:bodyDiv w:val="1"/>
      <w:marLeft w:val="0"/>
      <w:marRight w:val="0"/>
      <w:marTop w:val="0"/>
      <w:marBottom w:val="0"/>
      <w:divBdr>
        <w:top w:val="none" w:sz="0" w:space="0" w:color="auto"/>
        <w:left w:val="none" w:sz="0" w:space="0" w:color="auto"/>
        <w:bottom w:val="none" w:sz="0" w:space="0" w:color="auto"/>
        <w:right w:val="none" w:sz="0" w:space="0" w:color="auto"/>
      </w:divBdr>
    </w:div>
    <w:div w:id="808862824">
      <w:bodyDiv w:val="1"/>
      <w:marLeft w:val="0"/>
      <w:marRight w:val="0"/>
      <w:marTop w:val="0"/>
      <w:marBottom w:val="0"/>
      <w:divBdr>
        <w:top w:val="none" w:sz="0" w:space="0" w:color="auto"/>
        <w:left w:val="none" w:sz="0" w:space="0" w:color="auto"/>
        <w:bottom w:val="none" w:sz="0" w:space="0" w:color="auto"/>
        <w:right w:val="none" w:sz="0" w:space="0" w:color="auto"/>
      </w:divBdr>
    </w:div>
    <w:div w:id="809245843">
      <w:bodyDiv w:val="1"/>
      <w:marLeft w:val="0"/>
      <w:marRight w:val="0"/>
      <w:marTop w:val="0"/>
      <w:marBottom w:val="0"/>
      <w:divBdr>
        <w:top w:val="none" w:sz="0" w:space="0" w:color="auto"/>
        <w:left w:val="none" w:sz="0" w:space="0" w:color="auto"/>
        <w:bottom w:val="none" w:sz="0" w:space="0" w:color="auto"/>
        <w:right w:val="none" w:sz="0" w:space="0" w:color="auto"/>
      </w:divBdr>
    </w:div>
    <w:div w:id="809519185">
      <w:bodyDiv w:val="1"/>
      <w:marLeft w:val="0"/>
      <w:marRight w:val="0"/>
      <w:marTop w:val="0"/>
      <w:marBottom w:val="0"/>
      <w:divBdr>
        <w:top w:val="none" w:sz="0" w:space="0" w:color="auto"/>
        <w:left w:val="none" w:sz="0" w:space="0" w:color="auto"/>
        <w:bottom w:val="none" w:sz="0" w:space="0" w:color="auto"/>
        <w:right w:val="none" w:sz="0" w:space="0" w:color="auto"/>
      </w:divBdr>
    </w:div>
    <w:div w:id="810054280">
      <w:bodyDiv w:val="1"/>
      <w:marLeft w:val="0"/>
      <w:marRight w:val="0"/>
      <w:marTop w:val="0"/>
      <w:marBottom w:val="0"/>
      <w:divBdr>
        <w:top w:val="none" w:sz="0" w:space="0" w:color="auto"/>
        <w:left w:val="none" w:sz="0" w:space="0" w:color="auto"/>
        <w:bottom w:val="none" w:sz="0" w:space="0" w:color="auto"/>
        <w:right w:val="none" w:sz="0" w:space="0" w:color="auto"/>
      </w:divBdr>
    </w:div>
    <w:div w:id="810245646">
      <w:bodyDiv w:val="1"/>
      <w:marLeft w:val="0"/>
      <w:marRight w:val="0"/>
      <w:marTop w:val="0"/>
      <w:marBottom w:val="0"/>
      <w:divBdr>
        <w:top w:val="none" w:sz="0" w:space="0" w:color="auto"/>
        <w:left w:val="none" w:sz="0" w:space="0" w:color="auto"/>
        <w:bottom w:val="none" w:sz="0" w:space="0" w:color="auto"/>
        <w:right w:val="none" w:sz="0" w:space="0" w:color="auto"/>
      </w:divBdr>
    </w:div>
    <w:div w:id="814101751">
      <w:bodyDiv w:val="1"/>
      <w:marLeft w:val="0"/>
      <w:marRight w:val="0"/>
      <w:marTop w:val="0"/>
      <w:marBottom w:val="0"/>
      <w:divBdr>
        <w:top w:val="none" w:sz="0" w:space="0" w:color="auto"/>
        <w:left w:val="none" w:sz="0" w:space="0" w:color="auto"/>
        <w:bottom w:val="none" w:sz="0" w:space="0" w:color="auto"/>
        <w:right w:val="none" w:sz="0" w:space="0" w:color="auto"/>
      </w:divBdr>
    </w:div>
    <w:div w:id="815024159">
      <w:bodyDiv w:val="1"/>
      <w:marLeft w:val="0"/>
      <w:marRight w:val="0"/>
      <w:marTop w:val="0"/>
      <w:marBottom w:val="0"/>
      <w:divBdr>
        <w:top w:val="none" w:sz="0" w:space="0" w:color="auto"/>
        <w:left w:val="none" w:sz="0" w:space="0" w:color="auto"/>
        <w:bottom w:val="none" w:sz="0" w:space="0" w:color="auto"/>
        <w:right w:val="none" w:sz="0" w:space="0" w:color="auto"/>
      </w:divBdr>
    </w:div>
    <w:div w:id="816460265">
      <w:bodyDiv w:val="1"/>
      <w:marLeft w:val="0"/>
      <w:marRight w:val="0"/>
      <w:marTop w:val="0"/>
      <w:marBottom w:val="0"/>
      <w:divBdr>
        <w:top w:val="none" w:sz="0" w:space="0" w:color="auto"/>
        <w:left w:val="none" w:sz="0" w:space="0" w:color="auto"/>
        <w:bottom w:val="none" w:sz="0" w:space="0" w:color="auto"/>
        <w:right w:val="none" w:sz="0" w:space="0" w:color="auto"/>
      </w:divBdr>
    </w:div>
    <w:div w:id="816528495">
      <w:bodyDiv w:val="1"/>
      <w:marLeft w:val="0"/>
      <w:marRight w:val="0"/>
      <w:marTop w:val="0"/>
      <w:marBottom w:val="0"/>
      <w:divBdr>
        <w:top w:val="none" w:sz="0" w:space="0" w:color="auto"/>
        <w:left w:val="none" w:sz="0" w:space="0" w:color="auto"/>
        <w:bottom w:val="none" w:sz="0" w:space="0" w:color="auto"/>
        <w:right w:val="none" w:sz="0" w:space="0" w:color="auto"/>
      </w:divBdr>
    </w:div>
    <w:div w:id="819925128">
      <w:bodyDiv w:val="1"/>
      <w:marLeft w:val="0"/>
      <w:marRight w:val="0"/>
      <w:marTop w:val="0"/>
      <w:marBottom w:val="0"/>
      <w:divBdr>
        <w:top w:val="none" w:sz="0" w:space="0" w:color="auto"/>
        <w:left w:val="none" w:sz="0" w:space="0" w:color="auto"/>
        <w:bottom w:val="none" w:sz="0" w:space="0" w:color="auto"/>
        <w:right w:val="none" w:sz="0" w:space="0" w:color="auto"/>
      </w:divBdr>
    </w:div>
    <w:div w:id="820317602">
      <w:bodyDiv w:val="1"/>
      <w:marLeft w:val="0"/>
      <w:marRight w:val="0"/>
      <w:marTop w:val="0"/>
      <w:marBottom w:val="0"/>
      <w:divBdr>
        <w:top w:val="none" w:sz="0" w:space="0" w:color="auto"/>
        <w:left w:val="none" w:sz="0" w:space="0" w:color="auto"/>
        <w:bottom w:val="none" w:sz="0" w:space="0" w:color="auto"/>
        <w:right w:val="none" w:sz="0" w:space="0" w:color="auto"/>
      </w:divBdr>
    </w:div>
    <w:div w:id="823011151">
      <w:bodyDiv w:val="1"/>
      <w:marLeft w:val="0"/>
      <w:marRight w:val="0"/>
      <w:marTop w:val="0"/>
      <w:marBottom w:val="0"/>
      <w:divBdr>
        <w:top w:val="none" w:sz="0" w:space="0" w:color="auto"/>
        <w:left w:val="none" w:sz="0" w:space="0" w:color="auto"/>
        <w:bottom w:val="none" w:sz="0" w:space="0" w:color="auto"/>
        <w:right w:val="none" w:sz="0" w:space="0" w:color="auto"/>
      </w:divBdr>
    </w:div>
    <w:div w:id="823087484">
      <w:bodyDiv w:val="1"/>
      <w:marLeft w:val="0"/>
      <w:marRight w:val="0"/>
      <w:marTop w:val="0"/>
      <w:marBottom w:val="0"/>
      <w:divBdr>
        <w:top w:val="none" w:sz="0" w:space="0" w:color="auto"/>
        <w:left w:val="none" w:sz="0" w:space="0" w:color="auto"/>
        <w:bottom w:val="none" w:sz="0" w:space="0" w:color="auto"/>
        <w:right w:val="none" w:sz="0" w:space="0" w:color="auto"/>
      </w:divBdr>
    </w:div>
    <w:div w:id="825785704">
      <w:bodyDiv w:val="1"/>
      <w:marLeft w:val="0"/>
      <w:marRight w:val="0"/>
      <w:marTop w:val="0"/>
      <w:marBottom w:val="0"/>
      <w:divBdr>
        <w:top w:val="none" w:sz="0" w:space="0" w:color="auto"/>
        <w:left w:val="none" w:sz="0" w:space="0" w:color="auto"/>
        <w:bottom w:val="none" w:sz="0" w:space="0" w:color="auto"/>
        <w:right w:val="none" w:sz="0" w:space="0" w:color="auto"/>
      </w:divBdr>
    </w:div>
    <w:div w:id="826747968">
      <w:bodyDiv w:val="1"/>
      <w:marLeft w:val="0"/>
      <w:marRight w:val="0"/>
      <w:marTop w:val="0"/>
      <w:marBottom w:val="0"/>
      <w:divBdr>
        <w:top w:val="none" w:sz="0" w:space="0" w:color="auto"/>
        <w:left w:val="none" w:sz="0" w:space="0" w:color="auto"/>
        <w:bottom w:val="none" w:sz="0" w:space="0" w:color="auto"/>
        <w:right w:val="none" w:sz="0" w:space="0" w:color="auto"/>
      </w:divBdr>
    </w:div>
    <w:div w:id="827942915">
      <w:bodyDiv w:val="1"/>
      <w:marLeft w:val="0"/>
      <w:marRight w:val="0"/>
      <w:marTop w:val="0"/>
      <w:marBottom w:val="0"/>
      <w:divBdr>
        <w:top w:val="none" w:sz="0" w:space="0" w:color="auto"/>
        <w:left w:val="none" w:sz="0" w:space="0" w:color="auto"/>
        <w:bottom w:val="none" w:sz="0" w:space="0" w:color="auto"/>
        <w:right w:val="none" w:sz="0" w:space="0" w:color="auto"/>
      </w:divBdr>
    </w:div>
    <w:div w:id="828325942">
      <w:bodyDiv w:val="1"/>
      <w:marLeft w:val="0"/>
      <w:marRight w:val="0"/>
      <w:marTop w:val="0"/>
      <w:marBottom w:val="0"/>
      <w:divBdr>
        <w:top w:val="none" w:sz="0" w:space="0" w:color="auto"/>
        <w:left w:val="none" w:sz="0" w:space="0" w:color="auto"/>
        <w:bottom w:val="none" w:sz="0" w:space="0" w:color="auto"/>
        <w:right w:val="none" w:sz="0" w:space="0" w:color="auto"/>
      </w:divBdr>
    </w:div>
    <w:div w:id="828398402">
      <w:bodyDiv w:val="1"/>
      <w:marLeft w:val="0"/>
      <w:marRight w:val="0"/>
      <w:marTop w:val="0"/>
      <w:marBottom w:val="0"/>
      <w:divBdr>
        <w:top w:val="none" w:sz="0" w:space="0" w:color="auto"/>
        <w:left w:val="none" w:sz="0" w:space="0" w:color="auto"/>
        <w:bottom w:val="none" w:sz="0" w:space="0" w:color="auto"/>
        <w:right w:val="none" w:sz="0" w:space="0" w:color="auto"/>
      </w:divBdr>
    </w:div>
    <w:div w:id="832986568">
      <w:bodyDiv w:val="1"/>
      <w:marLeft w:val="0"/>
      <w:marRight w:val="0"/>
      <w:marTop w:val="0"/>
      <w:marBottom w:val="0"/>
      <w:divBdr>
        <w:top w:val="none" w:sz="0" w:space="0" w:color="auto"/>
        <w:left w:val="none" w:sz="0" w:space="0" w:color="auto"/>
        <w:bottom w:val="none" w:sz="0" w:space="0" w:color="auto"/>
        <w:right w:val="none" w:sz="0" w:space="0" w:color="auto"/>
      </w:divBdr>
    </w:div>
    <w:div w:id="833491631">
      <w:bodyDiv w:val="1"/>
      <w:marLeft w:val="0"/>
      <w:marRight w:val="0"/>
      <w:marTop w:val="0"/>
      <w:marBottom w:val="0"/>
      <w:divBdr>
        <w:top w:val="none" w:sz="0" w:space="0" w:color="auto"/>
        <w:left w:val="none" w:sz="0" w:space="0" w:color="auto"/>
        <w:bottom w:val="none" w:sz="0" w:space="0" w:color="auto"/>
        <w:right w:val="none" w:sz="0" w:space="0" w:color="auto"/>
      </w:divBdr>
    </w:div>
    <w:div w:id="835416757">
      <w:bodyDiv w:val="1"/>
      <w:marLeft w:val="0"/>
      <w:marRight w:val="0"/>
      <w:marTop w:val="0"/>
      <w:marBottom w:val="0"/>
      <w:divBdr>
        <w:top w:val="none" w:sz="0" w:space="0" w:color="auto"/>
        <w:left w:val="none" w:sz="0" w:space="0" w:color="auto"/>
        <w:bottom w:val="none" w:sz="0" w:space="0" w:color="auto"/>
        <w:right w:val="none" w:sz="0" w:space="0" w:color="auto"/>
      </w:divBdr>
    </w:div>
    <w:div w:id="836724054">
      <w:bodyDiv w:val="1"/>
      <w:marLeft w:val="0"/>
      <w:marRight w:val="0"/>
      <w:marTop w:val="0"/>
      <w:marBottom w:val="0"/>
      <w:divBdr>
        <w:top w:val="none" w:sz="0" w:space="0" w:color="auto"/>
        <w:left w:val="none" w:sz="0" w:space="0" w:color="auto"/>
        <w:bottom w:val="none" w:sz="0" w:space="0" w:color="auto"/>
        <w:right w:val="none" w:sz="0" w:space="0" w:color="auto"/>
      </w:divBdr>
    </w:div>
    <w:div w:id="837815079">
      <w:bodyDiv w:val="1"/>
      <w:marLeft w:val="0"/>
      <w:marRight w:val="0"/>
      <w:marTop w:val="0"/>
      <w:marBottom w:val="0"/>
      <w:divBdr>
        <w:top w:val="none" w:sz="0" w:space="0" w:color="auto"/>
        <w:left w:val="none" w:sz="0" w:space="0" w:color="auto"/>
        <w:bottom w:val="none" w:sz="0" w:space="0" w:color="auto"/>
        <w:right w:val="none" w:sz="0" w:space="0" w:color="auto"/>
      </w:divBdr>
    </w:div>
    <w:div w:id="842012952">
      <w:bodyDiv w:val="1"/>
      <w:marLeft w:val="0"/>
      <w:marRight w:val="0"/>
      <w:marTop w:val="0"/>
      <w:marBottom w:val="0"/>
      <w:divBdr>
        <w:top w:val="none" w:sz="0" w:space="0" w:color="auto"/>
        <w:left w:val="none" w:sz="0" w:space="0" w:color="auto"/>
        <w:bottom w:val="none" w:sz="0" w:space="0" w:color="auto"/>
        <w:right w:val="none" w:sz="0" w:space="0" w:color="auto"/>
      </w:divBdr>
    </w:div>
    <w:div w:id="846555857">
      <w:bodyDiv w:val="1"/>
      <w:marLeft w:val="0"/>
      <w:marRight w:val="0"/>
      <w:marTop w:val="0"/>
      <w:marBottom w:val="0"/>
      <w:divBdr>
        <w:top w:val="none" w:sz="0" w:space="0" w:color="auto"/>
        <w:left w:val="none" w:sz="0" w:space="0" w:color="auto"/>
        <w:bottom w:val="none" w:sz="0" w:space="0" w:color="auto"/>
        <w:right w:val="none" w:sz="0" w:space="0" w:color="auto"/>
      </w:divBdr>
    </w:div>
    <w:div w:id="847402284">
      <w:bodyDiv w:val="1"/>
      <w:marLeft w:val="0"/>
      <w:marRight w:val="0"/>
      <w:marTop w:val="0"/>
      <w:marBottom w:val="0"/>
      <w:divBdr>
        <w:top w:val="none" w:sz="0" w:space="0" w:color="auto"/>
        <w:left w:val="none" w:sz="0" w:space="0" w:color="auto"/>
        <w:bottom w:val="none" w:sz="0" w:space="0" w:color="auto"/>
        <w:right w:val="none" w:sz="0" w:space="0" w:color="auto"/>
      </w:divBdr>
    </w:div>
    <w:div w:id="854349215">
      <w:bodyDiv w:val="1"/>
      <w:marLeft w:val="0"/>
      <w:marRight w:val="0"/>
      <w:marTop w:val="0"/>
      <w:marBottom w:val="0"/>
      <w:divBdr>
        <w:top w:val="none" w:sz="0" w:space="0" w:color="auto"/>
        <w:left w:val="none" w:sz="0" w:space="0" w:color="auto"/>
        <w:bottom w:val="none" w:sz="0" w:space="0" w:color="auto"/>
        <w:right w:val="none" w:sz="0" w:space="0" w:color="auto"/>
      </w:divBdr>
    </w:div>
    <w:div w:id="854415784">
      <w:bodyDiv w:val="1"/>
      <w:marLeft w:val="0"/>
      <w:marRight w:val="0"/>
      <w:marTop w:val="0"/>
      <w:marBottom w:val="0"/>
      <w:divBdr>
        <w:top w:val="none" w:sz="0" w:space="0" w:color="auto"/>
        <w:left w:val="none" w:sz="0" w:space="0" w:color="auto"/>
        <w:bottom w:val="none" w:sz="0" w:space="0" w:color="auto"/>
        <w:right w:val="none" w:sz="0" w:space="0" w:color="auto"/>
      </w:divBdr>
    </w:div>
    <w:div w:id="854419105">
      <w:bodyDiv w:val="1"/>
      <w:marLeft w:val="0"/>
      <w:marRight w:val="0"/>
      <w:marTop w:val="0"/>
      <w:marBottom w:val="0"/>
      <w:divBdr>
        <w:top w:val="none" w:sz="0" w:space="0" w:color="auto"/>
        <w:left w:val="none" w:sz="0" w:space="0" w:color="auto"/>
        <w:bottom w:val="none" w:sz="0" w:space="0" w:color="auto"/>
        <w:right w:val="none" w:sz="0" w:space="0" w:color="auto"/>
      </w:divBdr>
    </w:div>
    <w:div w:id="854926137">
      <w:bodyDiv w:val="1"/>
      <w:marLeft w:val="0"/>
      <w:marRight w:val="0"/>
      <w:marTop w:val="0"/>
      <w:marBottom w:val="0"/>
      <w:divBdr>
        <w:top w:val="none" w:sz="0" w:space="0" w:color="auto"/>
        <w:left w:val="none" w:sz="0" w:space="0" w:color="auto"/>
        <w:bottom w:val="none" w:sz="0" w:space="0" w:color="auto"/>
        <w:right w:val="none" w:sz="0" w:space="0" w:color="auto"/>
      </w:divBdr>
    </w:div>
    <w:div w:id="856577027">
      <w:bodyDiv w:val="1"/>
      <w:marLeft w:val="0"/>
      <w:marRight w:val="0"/>
      <w:marTop w:val="0"/>
      <w:marBottom w:val="0"/>
      <w:divBdr>
        <w:top w:val="none" w:sz="0" w:space="0" w:color="auto"/>
        <w:left w:val="none" w:sz="0" w:space="0" w:color="auto"/>
        <w:bottom w:val="none" w:sz="0" w:space="0" w:color="auto"/>
        <w:right w:val="none" w:sz="0" w:space="0" w:color="auto"/>
      </w:divBdr>
    </w:div>
    <w:div w:id="858085008">
      <w:bodyDiv w:val="1"/>
      <w:marLeft w:val="0"/>
      <w:marRight w:val="0"/>
      <w:marTop w:val="0"/>
      <w:marBottom w:val="0"/>
      <w:divBdr>
        <w:top w:val="none" w:sz="0" w:space="0" w:color="auto"/>
        <w:left w:val="none" w:sz="0" w:space="0" w:color="auto"/>
        <w:bottom w:val="none" w:sz="0" w:space="0" w:color="auto"/>
        <w:right w:val="none" w:sz="0" w:space="0" w:color="auto"/>
      </w:divBdr>
    </w:div>
    <w:div w:id="858588307">
      <w:bodyDiv w:val="1"/>
      <w:marLeft w:val="0"/>
      <w:marRight w:val="0"/>
      <w:marTop w:val="0"/>
      <w:marBottom w:val="0"/>
      <w:divBdr>
        <w:top w:val="none" w:sz="0" w:space="0" w:color="auto"/>
        <w:left w:val="none" w:sz="0" w:space="0" w:color="auto"/>
        <w:bottom w:val="none" w:sz="0" w:space="0" w:color="auto"/>
        <w:right w:val="none" w:sz="0" w:space="0" w:color="auto"/>
      </w:divBdr>
    </w:div>
    <w:div w:id="859439365">
      <w:bodyDiv w:val="1"/>
      <w:marLeft w:val="0"/>
      <w:marRight w:val="0"/>
      <w:marTop w:val="0"/>
      <w:marBottom w:val="0"/>
      <w:divBdr>
        <w:top w:val="none" w:sz="0" w:space="0" w:color="auto"/>
        <w:left w:val="none" w:sz="0" w:space="0" w:color="auto"/>
        <w:bottom w:val="none" w:sz="0" w:space="0" w:color="auto"/>
        <w:right w:val="none" w:sz="0" w:space="0" w:color="auto"/>
      </w:divBdr>
    </w:div>
    <w:div w:id="861240651">
      <w:bodyDiv w:val="1"/>
      <w:marLeft w:val="0"/>
      <w:marRight w:val="0"/>
      <w:marTop w:val="0"/>
      <w:marBottom w:val="0"/>
      <w:divBdr>
        <w:top w:val="none" w:sz="0" w:space="0" w:color="auto"/>
        <w:left w:val="none" w:sz="0" w:space="0" w:color="auto"/>
        <w:bottom w:val="none" w:sz="0" w:space="0" w:color="auto"/>
        <w:right w:val="none" w:sz="0" w:space="0" w:color="auto"/>
      </w:divBdr>
    </w:div>
    <w:div w:id="861473574">
      <w:bodyDiv w:val="1"/>
      <w:marLeft w:val="0"/>
      <w:marRight w:val="0"/>
      <w:marTop w:val="0"/>
      <w:marBottom w:val="0"/>
      <w:divBdr>
        <w:top w:val="none" w:sz="0" w:space="0" w:color="auto"/>
        <w:left w:val="none" w:sz="0" w:space="0" w:color="auto"/>
        <w:bottom w:val="none" w:sz="0" w:space="0" w:color="auto"/>
        <w:right w:val="none" w:sz="0" w:space="0" w:color="auto"/>
      </w:divBdr>
    </w:div>
    <w:div w:id="862548607">
      <w:bodyDiv w:val="1"/>
      <w:marLeft w:val="0"/>
      <w:marRight w:val="0"/>
      <w:marTop w:val="0"/>
      <w:marBottom w:val="0"/>
      <w:divBdr>
        <w:top w:val="none" w:sz="0" w:space="0" w:color="auto"/>
        <w:left w:val="none" w:sz="0" w:space="0" w:color="auto"/>
        <w:bottom w:val="none" w:sz="0" w:space="0" w:color="auto"/>
        <w:right w:val="none" w:sz="0" w:space="0" w:color="auto"/>
      </w:divBdr>
    </w:div>
    <w:div w:id="862789632">
      <w:bodyDiv w:val="1"/>
      <w:marLeft w:val="0"/>
      <w:marRight w:val="0"/>
      <w:marTop w:val="0"/>
      <w:marBottom w:val="0"/>
      <w:divBdr>
        <w:top w:val="none" w:sz="0" w:space="0" w:color="auto"/>
        <w:left w:val="none" w:sz="0" w:space="0" w:color="auto"/>
        <w:bottom w:val="none" w:sz="0" w:space="0" w:color="auto"/>
        <w:right w:val="none" w:sz="0" w:space="0" w:color="auto"/>
      </w:divBdr>
    </w:div>
    <w:div w:id="862984233">
      <w:bodyDiv w:val="1"/>
      <w:marLeft w:val="0"/>
      <w:marRight w:val="0"/>
      <w:marTop w:val="0"/>
      <w:marBottom w:val="0"/>
      <w:divBdr>
        <w:top w:val="none" w:sz="0" w:space="0" w:color="auto"/>
        <w:left w:val="none" w:sz="0" w:space="0" w:color="auto"/>
        <w:bottom w:val="none" w:sz="0" w:space="0" w:color="auto"/>
        <w:right w:val="none" w:sz="0" w:space="0" w:color="auto"/>
      </w:divBdr>
    </w:div>
    <w:div w:id="866606239">
      <w:bodyDiv w:val="1"/>
      <w:marLeft w:val="0"/>
      <w:marRight w:val="0"/>
      <w:marTop w:val="0"/>
      <w:marBottom w:val="0"/>
      <w:divBdr>
        <w:top w:val="none" w:sz="0" w:space="0" w:color="auto"/>
        <w:left w:val="none" w:sz="0" w:space="0" w:color="auto"/>
        <w:bottom w:val="none" w:sz="0" w:space="0" w:color="auto"/>
        <w:right w:val="none" w:sz="0" w:space="0" w:color="auto"/>
      </w:divBdr>
    </w:div>
    <w:div w:id="867451807">
      <w:bodyDiv w:val="1"/>
      <w:marLeft w:val="0"/>
      <w:marRight w:val="0"/>
      <w:marTop w:val="0"/>
      <w:marBottom w:val="0"/>
      <w:divBdr>
        <w:top w:val="none" w:sz="0" w:space="0" w:color="auto"/>
        <w:left w:val="none" w:sz="0" w:space="0" w:color="auto"/>
        <w:bottom w:val="none" w:sz="0" w:space="0" w:color="auto"/>
        <w:right w:val="none" w:sz="0" w:space="0" w:color="auto"/>
      </w:divBdr>
    </w:div>
    <w:div w:id="868956847">
      <w:bodyDiv w:val="1"/>
      <w:marLeft w:val="0"/>
      <w:marRight w:val="0"/>
      <w:marTop w:val="0"/>
      <w:marBottom w:val="0"/>
      <w:divBdr>
        <w:top w:val="none" w:sz="0" w:space="0" w:color="auto"/>
        <w:left w:val="none" w:sz="0" w:space="0" w:color="auto"/>
        <w:bottom w:val="none" w:sz="0" w:space="0" w:color="auto"/>
        <w:right w:val="none" w:sz="0" w:space="0" w:color="auto"/>
      </w:divBdr>
    </w:div>
    <w:div w:id="872310819">
      <w:bodyDiv w:val="1"/>
      <w:marLeft w:val="0"/>
      <w:marRight w:val="0"/>
      <w:marTop w:val="0"/>
      <w:marBottom w:val="0"/>
      <w:divBdr>
        <w:top w:val="none" w:sz="0" w:space="0" w:color="auto"/>
        <w:left w:val="none" w:sz="0" w:space="0" w:color="auto"/>
        <w:bottom w:val="none" w:sz="0" w:space="0" w:color="auto"/>
        <w:right w:val="none" w:sz="0" w:space="0" w:color="auto"/>
      </w:divBdr>
    </w:div>
    <w:div w:id="876157655">
      <w:bodyDiv w:val="1"/>
      <w:marLeft w:val="0"/>
      <w:marRight w:val="0"/>
      <w:marTop w:val="0"/>
      <w:marBottom w:val="0"/>
      <w:divBdr>
        <w:top w:val="none" w:sz="0" w:space="0" w:color="auto"/>
        <w:left w:val="none" w:sz="0" w:space="0" w:color="auto"/>
        <w:bottom w:val="none" w:sz="0" w:space="0" w:color="auto"/>
        <w:right w:val="none" w:sz="0" w:space="0" w:color="auto"/>
      </w:divBdr>
    </w:div>
    <w:div w:id="887572693">
      <w:bodyDiv w:val="1"/>
      <w:marLeft w:val="0"/>
      <w:marRight w:val="0"/>
      <w:marTop w:val="0"/>
      <w:marBottom w:val="0"/>
      <w:divBdr>
        <w:top w:val="none" w:sz="0" w:space="0" w:color="auto"/>
        <w:left w:val="none" w:sz="0" w:space="0" w:color="auto"/>
        <w:bottom w:val="none" w:sz="0" w:space="0" w:color="auto"/>
        <w:right w:val="none" w:sz="0" w:space="0" w:color="auto"/>
      </w:divBdr>
    </w:div>
    <w:div w:id="888106573">
      <w:bodyDiv w:val="1"/>
      <w:marLeft w:val="0"/>
      <w:marRight w:val="0"/>
      <w:marTop w:val="0"/>
      <w:marBottom w:val="0"/>
      <w:divBdr>
        <w:top w:val="none" w:sz="0" w:space="0" w:color="auto"/>
        <w:left w:val="none" w:sz="0" w:space="0" w:color="auto"/>
        <w:bottom w:val="none" w:sz="0" w:space="0" w:color="auto"/>
        <w:right w:val="none" w:sz="0" w:space="0" w:color="auto"/>
      </w:divBdr>
    </w:div>
    <w:div w:id="888151957">
      <w:bodyDiv w:val="1"/>
      <w:marLeft w:val="0"/>
      <w:marRight w:val="0"/>
      <w:marTop w:val="0"/>
      <w:marBottom w:val="0"/>
      <w:divBdr>
        <w:top w:val="none" w:sz="0" w:space="0" w:color="auto"/>
        <w:left w:val="none" w:sz="0" w:space="0" w:color="auto"/>
        <w:bottom w:val="none" w:sz="0" w:space="0" w:color="auto"/>
        <w:right w:val="none" w:sz="0" w:space="0" w:color="auto"/>
      </w:divBdr>
    </w:div>
    <w:div w:id="891431364">
      <w:bodyDiv w:val="1"/>
      <w:marLeft w:val="0"/>
      <w:marRight w:val="0"/>
      <w:marTop w:val="0"/>
      <w:marBottom w:val="0"/>
      <w:divBdr>
        <w:top w:val="none" w:sz="0" w:space="0" w:color="auto"/>
        <w:left w:val="none" w:sz="0" w:space="0" w:color="auto"/>
        <w:bottom w:val="none" w:sz="0" w:space="0" w:color="auto"/>
        <w:right w:val="none" w:sz="0" w:space="0" w:color="auto"/>
      </w:divBdr>
    </w:div>
    <w:div w:id="892082806">
      <w:bodyDiv w:val="1"/>
      <w:marLeft w:val="0"/>
      <w:marRight w:val="0"/>
      <w:marTop w:val="0"/>
      <w:marBottom w:val="0"/>
      <w:divBdr>
        <w:top w:val="none" w:sz="0" w:space="0" w:color="auto"/>
        <w:left w:val="none" w:sz="0" w:space="0" w:color="auto"/>
        <w:bottom w:val="none" w:sz="0" w:space="0" w:color="auto"/>
        <w:right w:val="none" w:sz="0" w:space="0" w:color="auto"/>
      </w:divBdr>
    </w:div>
    <w:div w:id="893154261">
      <w:bodyDiv w:val="1"/>
      <w:marLeft w:val="0"/>
      <w:marRight w:val="0"/>
      <w:marTop w:val="0"/>
      <w:marBottom w:val="0"/>
      <w:divBdr>
        <w:top w:val="none" w:sz="0" w:space="0" w:color="auto"/>
        <w:left w:val="none" w:sz="0" w:space="0" w:color="auto"/>
        <w:bottom w:val="none" w:sz="0" w:space="0" w:color="auto"/>
        <w:right w:val="none" w:sz="0" w:space="0" w:color="auto"/>
      </w:divBdr>
    </w:div>
    <w:div w:id="894925936">
      <w:bodyDiv w:val="1"/>
      <w:marLeft w:val="0"/>
      <w:marRight w:val="0"/>
      <w:marTop w:val="0"/>
      <w:marBottom w:val="0"/>
      <w:divBdr>
        <w:top w:val="none" w:sz="0" w:space="0" w:color="auto"/>
        <w:left w:val="none" w:sz="0" w:space="0" w:color="auto"/>
        <w:bottom w:val="none" w:sz="0" w:space="0" w:color="auto"/>
        <w:right w:val="none" w:sz="0" w:space="0" w:color="auto"/>
      </w:divBdr>
    </w:div>
    <w:div w:id="895165582">
      <w:bodyDiv w:val="1"/>
      <w:marLeft w:val="0"/>
      <w:marRight w:val="0"/>
      <w:marTop w:val="0"/>
      <w:marBottom w:val="0"/>
      <w:divBdr>
        <w:top w:val="none" w:sz="0" w:space="0" w:color="auto"/>
        <w:left w:val="none" w:sz="0" w:space="0" w:color="auto"/>
        <w:bottom w:val="none" w:sz="0" w:space="0" w:color="auto"/>
        <w:right w:val="none" w:sz="0" w:space="0" w:color="auto"/>
      </w:divBdr>
    </w:div>
    <w:div w:id="897285355">
      <w:bodyDiv w:val="1"/>
      <w:marLeft w:val="0"/>
      <w:marRight w:val="0"/>
      <w:marTop w:val="0"/>
      <w:marBottom w:val="0"/>
      <w:divBdr>
        <w:top w:val="none" w:sz="0" w:space="0" w:color="auto"/>
        <w:left w:val="none" w:sz="0" w:space="0" w:color="auto"/>
        <w:bottom w:val="none" w:sz="0" w:space="0" w:color="auto"/>
        <w:right w:val="none" w:sz="0" w:space="0" w:color="auto"/>
      </w:divBdr>
    </w:div>
    <w:div w:id="901330713">
      <w:bodyDiv w:val="1"/>
      <w:marLeft w:val="0"/>
      <w:marRight w:val="0"/>
      <w:marTop w:val="0"/>
      <w:marBottom w:val="0"/>
      <w:divBdr>
        <w:top w:val="none" w:sz="0" w:space="0" w:color="auto"/>
        <w:left w:val="none" w:sz="0" w:space="0" w:color="auto"/>
        <w:bottom w:val="none" w:sz="0" w:space="0" w:color="auto"/>
        <w:right w:val="none" w:sz="0" w:space="0" w:color="auto"/>
      </w:divBdr>
    </w:div>
    <w:div w:id="901402685">
      <w:bodyDiv w:val="1"/>
      <w:marLeft w:val="0"/>
      <w:marRight w:val="0"/>
      <w:marTop w:val="0"/>
      <w:marBottom w:val="0"/>
      <w:divBdr>
        <w:top w:val="none" w:sz="0" w:space="0" w:color="auto"/>
        <w:left w:val="none" w:sz="0" w:space="0" w:color="auto"/>
        <w:bottom w:val="none" w:sz="0" w:space="0" w:color="auto"/>
        <w:right w:val="none" w:sz="0" w:space="0" w:color="auto"/>
      </w:divBdr>
    </w:div>
    <w:div w:id="901674849">
      <w:bodyDiv w:val="1"/>
      <w:marLeft w:val="0"/>
      <w:marRight w:val="0"/>
      <w:marTop w:val="0"/>
      <w:marBottom w:val="0"/>
      <w:divBdr>
        <w:top w:val="none" w:sz="0" w:space="0" w:color="auto"/>
        <w:left w:val="none" w:sz="0" w:space="0" w:color="auto"/>
        <w:bottom w:val="none" w:sz="0" w:space="0" w:color="auto"/>
        <w:right w:val="none" w:sz="0" w:space="0" w:color="auto"/>
      </w:divBdr>
    </w:div>
    <w:div w:id="901869869">
      <w:bodyDiv w:val="1"/>
      <w:marLeft w:val="0"/>
      <w:marRight w:val="0"/>
      <w:marTop w:val="0"/>
      <w:marBottom w:val="0"/>
      <w:divBdr>
        <w:top w:val="none" w:sz="0" w:space="0" w:color="auto"/>
        <w:left w:val="none" w:sz="0" w:space="0" w:color="auto"/>
        <w:bottom w:val="none" w:sz="0" w:space="0" w:color="auto"/>
        <w:right w:val="none" w:sz="0" w:space="0" w:color="auto"/>
      </w:divBdr>
    </w:div>
    <w:div w:id="901987719">
      <w:bodyDiv w:val="1"/>
      <w:marLeft w:val="0"/>
      <w:marRight w:val="0"/>
      <w:marTop w:val="0"/>
      <w:marBottom w:val="0"/>
      <w:divBdr>
        <w:top w:val="none" w:sz="0" w:space="0" w:color="auto"/>
        <w:left w:val="none" w:sz="0" w:space="0" w:color="auto"/>
        <w:bottom w:val="none" w:sz="0" w:space="0" w:color="auto"/>
        <w:right w:val="none" w:sz="0" w:space="0" w:color="auto"/>
      </w:divBdr>
    </w:div>
    <w:div w:id="902986754">
      <w:bodyDiv w:val="1"/>
      <w:marLeft w:val="0"/>
      <w:marRight w:val="0"/>
      <w:marTop w:val="0"/>
      <w:marBottom w:val="0"/>
      <w:divBdr>
        <w:top w:val="none" w:sz="0" w:space="0" w:color="auto"/>
        <w:left w:val="none" w:sz="0" w:space="0" w:color="auto"/>
        <w:bottom w:val="none" w:sz="0" w:space="0" w:color="auto"/>
        <w:right w:val="none" w:sz="0" w:space="0" w:color="auto"/>
      </w:divBdr>
    </w:div>
    <w:div w:id="904072741">
      <w:bodyDiv w:val="1"/>
      <w:marLeft w:val="0"/>
      <w:marRight w:val="0"/>
      <w:marTop w:val="0"/>
      <w:marBottom w:val="0"/>
      <w:divBdr>
        <w:top w:val="none" w:sz="0" w:space="0" w:color="auto"/>
        <w:left w:val="none" w:sz="0" w:space="0" w:color="auto"/>
        <w:bottom w:val="none" w:sz="0" w:space="0" w:color="auto"/>
        <w:right w:val="none" w:sz="0" w:space="0" w:color="auto"/>
      </w:divBdr>
    </w:div>
    <w:div w:id="907033685">
      <w:bodyDiv w:val="1"/>
      <w:marLeft w:val="0"/>
      <w:marRight w:val="0"/>
      <w:marTop w:val="0"/>
      <w:marBottom w:val="0"/>
      <w:divBdr>
        <w:top w:val="none" w:sz="0" w:space="0" w:color="auto"/>
        <w:left w:val="none" w:sz="0" w:space="0" w:color="auto"/>
        <w:bottom w:val="none" w:sz="0" w:space="0" w:color="auto"/>
        <w:right w:val="none" w:sz="0" w:space="0" w:color="auto"/>
      </w:divBdr>
    </w:div>
    <w:div w:id="911697762">
      <w:bodyDiv w:val="1"/>
      <w:marLeft w:val="0"/>
      <w:marRight w:val="0"/>
      <w:marTop w:val="0"/>
      <w:marBottom w:val="0"/>
      <w:divBdr>
        <w:top w:val="none" w:sz="0" w:space="0" w:color="auto"/>
        <w:left w:val="none" w:sz="0" w:space="0" w:color="auto"/>
        <w:bottom w:val="none" w:sz="0" w:space="0" w:color="auto"/>
        <w:right w:val="none" w:sz="0" w:space="0" w:color="auto"/>
      </w:divBdr>
    </w:div>
    <w:div w:id="915091979">
      <w:bodyDiv w:val="1"/>
      <w:marLeft w:val="0"/>
      <w:marRight w:val="0"/>
      <w:marTop w:val="0"/>
      <w:marBottom w:val="0"/>
      <w:divBdr>
        <w:top w:val="none" w:sz="0" w:space="0" w:color="auto"/>
        <w:left w:val="none" w:sz="0" w:space="0" w:color="auto"/>
        <w:bottom w:val="none" w:sz="0" w:space="0" w:color="auto"/>
        <w:right w:val="none" w:sz="0" w:space="0" w:color="auto"/>
      </w:divBdr>
    </w:div>
    <w:div w:id="915168278">
      <w:bodyDiv w:val="1"/>
      <w:marLeft w:val="0"/>
      <w:marRight w:val="0"/>
      <w:marTop w:val="0"/>
      <w:marBottom w:val="0"/>
      <w:divBdr>
        <w:top w:val="none" w:sz="0" w:space="0" w:color="auto"/>
        <w:left w:val="none" w:sz="0" w:space="0" w:color="auto"/>
        <w:bottom w:val="none" w:sz="0" w:space="0" w:color="auto"/>
        <w:right w:val="none" w:sz="0" w:space="0" w:color="auto"/>
      </w:divBdr>
    </w:div>
    <w:div w:id="917252091">
      <w:bodyDiv w:val="1"/>
      <w:marLeft w:val="0"/>
      <w:marRight w:val="0"/>
      <w:marTop w:val="0"/>
      <w:marBottom w:val="0"/>
      <w:divBdr>
        <w:top w:val="none" w:sz="0" w:space="0" w:color="auto"/>
        <w:left w:val="none" w:sz="0" w:space="0" w:color="auto"/>
        <w:bottom w:val="none" w:sz="0" w:space="0" w:color="auto"/>
        <w:right w:val="none" w:sz="0" w:space="0" w:color="auto"/>
      </w:divBdr>
    </w:div>
    <w:div w:id="919169684">
      <w:bodyDiv w:val="1"/>
      <w:marLeft w:val="0"/>
      <w:marRight w:val="0"/>
      <w:marTop w:val="0"/>
      <w:marBottom w:val="0"/>
      <w:divBdr>
        <w:top w:val="none" w:sz="0" w:space="0" w:color="auto"/>
        <w:left w:val="none" w:sz="0" w:space="0" w:color="auto"/>
        <w:bottom w:val="none" w:sz="0" w:space="0" w:color="auto"/>
        <w:right w:val="none" w:sz="0" w:space="0" w:color="auto"/>
      </w:divBdr>
    </w:div>
    <w:div w:id="920259519">
      <w:bodyDiv w:val="1"/>
      <w:marLeft w:val="0"/>
      <w:marRight w:val="0"/>
      <w:marTop w:val="0"/>
      <w:marBottom w:val="0"/>
      <w:divBdr>
        <w:top w:val="none" w:sz="0" w:space="0" w:color="auto"/>
        <w:left w:val="none" w:sz="0" w:space="0" w:color="auto"/>
        <w:bottom w:val="none" w:sz="0" w:space="0" w:color="auto"/>
        <w:right w:val="none" w:sz="0" w:space="0" w:color="auto"/>
      </w:divBdr>
    </w:div>
    <w:div w:id="921531368">
      <w:bodyDiv w:val="1"/>
      <w:marLeft w:val="0"/>
      <w:marRight w:val="0"/>
      <w:marTop w:val="0"/>
      <w:marBottom w:val="0"/>
      <w:divBdr>
        <w:top w:val="none" w:sz="0" w:space="0" w:color="auto"/>
        <w:left w:val="none" w:sz="0" w:space="0" w:color="auto"/>
        <w:bottom w:val="none" w:sz="0" w:space="0" w:color="auto"/>
        <w:right w:val="none" w:sz="0" w:space="0" w:color="auto"/>
      </w:divBdr>
    </w:div>
    <w:div w:id="923758081">
      <w:bodyDiv w:val="1"/>
      <w:marLeft w:val="0"/>
      <w:marRight w:val="0"/>
      <w:marTop w:val="0"/>
      <w:marBottom w:val="0"/>
      <w:divBdr>
        <w:top w:val="none" w:sz="0" w:space="0" w:color="auto"/>
        <w:left w:val="none" w:sz="0" w:space="0" w:color="auto"/>
        <w:bottom w:val="none" w:sz="0" w:space="0" w:color="auto"/>
        <w:right w:val="none" w:sz="0" w:space="0" w:color="auto"/>
      </w:divBdr>
    </w:div>
    <w:div w:id="924262006">
      <w:bodyDiv w:val="1"/>
      <w:marLeft w:val="0"/>
      <w:marRight w:val="0"/>
      <w:marTop w:val="0"/>
      <w:marBottom w:val="0"/>
      <w:divBdr>
        <w:top w:val="none" w:sz="0" w:space="0" w:color="auto"/>
        <w:left w:val="none" w:sz="0" w:space="0" w:color="auto"/>
        <w:bottom w:val="none" w:sz="0" w:space="0" w:color="auto"/>
        <w:right w:val="none" w:sz="0" w:space="0" w:color="auto"/>
      </w:divBdr>
    </w:div>
    <w:div w:id="925265097">
      <w:bodyDiv w:val="1"/>
      <w:marLeft w:val="0"/>
      <w:marRight w:val="0"/>
      <w:marTop w:val="0"/>
      <w:marBottom w:val="0"/>
      <w:divBdr>
        <w:top w:val="none" w:sz="0" w:space="0" w:color="auto"/>
        <w:left w:val="none" w:sz="0" w:space="0" w:color="auto"/>
        <w:bottom w:val="none" w:sz="0" w:space="0" w:color="auto"/>
        <w:right w:val="none" w:sz="0" w:space="0" w:color="auto"/>
      </w:divBdr>
    </w:div>
    <w:div w:id="926160440">
      <w:bodyDiv w:val="1"/>
      <w:marLeft w:val="0"/>
      <w:marRight w:val="0"/>
      <w:marTop w:val="0"/>
      <w:marBottom w:val="0"/>
      <w:divBdr>
        <w:top w:val="none" w:sz="0" w:space="0" w:color="auto"/>
        <w:left w:val="none" w:sz="0" w:space="0" w:color="auto"/>
        <w:bottom w:val="none" w:sz="0" w:space="0" w:color="auto"/>
        <w:right w:val="none" w:sz="0" w:space="0" w:color="auto"/>
      </w:divBdr>
    </w:div>
    <w:div w:id="926306383">
      <w:bodyDiv w:val="1"/>
      <w:marLeft w:val="0"/>
      <w:marRight w:val="0"/>
      <w:marTop w:val="0"/>
      <w:marBottom w:val="0"/>
      <w:divBdr>
        <w:top w:val="none" w:sz="0" w:space="0" w:color="auto"/>
        <w:left w:val="none" w:sz="0" w:space="0" w:color="auto"/>
        <w:bottom w:val="none" w:sz="0" w:space="0" w:color="auto"/>
        <w:right w:val="none" w:sz="0" w:space="0" w:color="auto"/>
      </w:divBdr>
    </w:div>
    <w:div w:id="930046729">
      <w:bodyDiv w:val="1"/>
      <w:marLeft w:val="0"/>
      <w:marRight w:val="0"/>
      <w:marTop w:val="0"/>
      <w:marBottom w:val="0"/>
      <w:divBdr>
        <w:top w:val="none" w:sz="0" w:space="0" w:color="auto"/>
        <w:left w:val="none" w:sz="0" w:space="0" w:color="auto"/>
        <w:bottom w:val="none" w:sz="0" w:space="0" w:color="auto"/>
        <w:right w:val="none" w:sz="0" w:space="0" w:color="auto"/>
      </w:divBdr>
    </w:div>
    <w:div w:id="930353388">
      <w:bodyDiv w:val="1"/>
      <w:marLeft w:val="0"/>
      <w:marRight w:val="0"/>
      <w:marTop w:val="0"/>
      <w:marBottom w:val="0"/>
      <w:divBdr>
        <w:top w:val="none" w:sz="0" w:space="0" w:color="auto"/>
        <w:left w:val="none" w:sz="0" w:space="0" w:color="auto"/>
        <w:bottom w:val="none" w:sz="0" w:space="0" w:color="auto"/>
        <w:right w:val="none" w:sz="0" w:space="0" w:color="auto"/>
      </w:divBdr>
    </w:div>
    <w:div w:id="935480177">
      <w:bodyDiv w:val="1"/>
      <w:marLeft w:val="0"/>
      <w:marRight w:val="0"/>
      <w:marTop w:val="0"/>
      <w:marBottom w:val="0"/>
      <w:divBdr>
        <w:top w:val="none" w:sz="0" w:space="0" w:color="auto"/>
        <w:left w:val="none" w:sz="0" w:space="0" w:color="auto"/>
        <w:bottom w:val="none" w:sz="0" w:space="0" w:color="auto"/>
        <w:right w:val="none" w:sz="0" w:space="0" w:color="auto"/>
      </w:divBdr>
    </w:div>
    <w:div w:id="937761276">
      <w:bodyDiv w:val="1"/>
      <w:marLeft w:val="0"/>
      <w:marRight w:val="0"/>
      <w:marTop w:val="0"/>
      <w:marBottom w:val="0"/>
      <w:divBdr>
        <w:top w:val="none" w:sz="0" w:space="0" w:color="auto"/>
        <w:left w:val="none" w:sz="0" w:space="0" w:color="auto"/>
        <w:bottom w:val="none" w:sz="0" w:space="0" w:color="auto"/>
        <w:right w:val="none" w:sz="0" w:space="0" w:color="auto"/>
      </w:divBdr>
    </w:div>
    <w:div w:id="942304117">
      <w:bodyDiv w:val="1"/>
      <w:marLeft w:val="0"/>
      <w:marRight w:val="0"/>
      <w:marTop w:val="0"/>
      <w:marBottom w:val="0"/>
      <w:divBdr>
        <w:top w:val="none" w:sz="0" w:space="0" w:color="auto"/>
        <w:left w:val="none" w:sz="0" w:space="0" w:color="auto"/>
        <w:bottom w:val="none" w:sz="0" w:space="0" w:color="auto"/>
        <w:right w:val="none" w:sz="0" w:space="0" w:color="auto"/>
      </w:divBdr>
    </w:div>
    <w:div w:id="948200293">
      <w:bodyDiv w:val="1"/>
      <w:marLeft w:val="0"/>
      <w:marRight w:val="0"/>
      <w:marTop w:val="0"/>
      <w:marBottom w:val="0"/>
      <w:divBdr>
        <w:top w:val="none" w:sz="0" w:space="0" w:color="auto"/>
        <w:left w:val="none" w:sz="0" w:space="0" w:color="auto"/>
        <w:bottom w:val="none" w:sz="0" w:space="0" w:color="auto"/>
        <w:right w:val="none" w:sz="0" w:space="0" w:color="auto"/>
      </w:divBdr>
    </w:div>
    <w:div w:id="949095041">
      <w:bodyDiv w:val="1"/>
      <w:marLeft w:val="0"/>
      <w:marRight w:val="0"/>
      <w:marTop w:val="0"/>
      <w:marBottom w:val="0"/>
      <w:divBdr>
        <w:top w:val="none" w:sz="0" w:space="0" w:color="auto"/>
        <w:left w:val="none" w:sz="0" w:space="0" w:color="auto"/>
        <w:bottom w:val="none" w:sz="0" w:space="0" w:color="auto"/>
        <w:right w:val="none" w:sz="0" w:space="0" w:color="auto"/>
      </w:divBdr>
    </w:div>
    <w:div w:id="950472811">
      <w:bodyDiv w:val="1"/>
      <w:marLeft w:val="0"/>
      <w:marRight w:val="0"/>
      <w:marTop w:val="0"/>
      <w:marBottom w:val="0"/>
      <w:divBdr>
        <w:top w:val="none" w:sz="0" w:space="0" w:color="auto"/>
        <w:left w:val="none" w:sz="0" w:space="0" w:color="auto"/>
        <w:bottom w:val="none" w:sz="0" w:space="0" w:color="auto"/>
        <w:right w:val="none" w:sz="0" w:space="0" w:color="auto"/>
      </w:divBdr>
    </w:div>
    <w:div w:id="954214054">
      <w:bodyDiv w:val="1"/>
      <w:marLeft w:val="0"/>
      <w:marRight w:val="0"/>
      <w:marTop w:val="0"/>
      <w:marBottom w:val="0"/>
      <w:divBdr>
        <w:top w:val="none" w:sz="0" w:space="0" w:color="auto"/>
        <w:left w:val="none" w:sz="0" w:space="0" w:color="auto"/>
        <w:bottom w:val="none" w:sz="0" w:space="0" w:color="auto"/>
        <w:right w:val="none" w:sz="0" w:space="0" w:color="auto"/>
      </w:divBdr>
    </w:div>
    <w:div w:id="955255526">
      <w:bodyDiv w:val="1"/>
      <w:marLeft w:val="0"/>
      <w:marRight w:val="0"/>
      <w:marTop w:val="0"/>
      <w:marBottom w:val="0"/>
      <w:divBdr>
        <w:top w:val="none" w:sz="0" w:space="0" w:color="auto"/>
        <w:left w:val="none" w:sz="0" w:space="0" w:color="auto"/>
        <w:bottom w:val="none" w:sz="0" w:space="0" w:color="auto"/>
        <w:right w:val="none" w:sz="0" w:space="0" w:color="auto"/>
      </w:divBdr>
    </w:div>
    <w:div w:id="955912284">
      <w:bodyDiv w:val="1"/>
      <w:marLeft w:val="0"/>
      <w:marRight w:val="0"/>
      <w:marTop w:val="0"/>
      <w:marBottom w:val="0"/>
      <w:divBdr>
        <w:top w:val="none" w:sz="0" w:space="0" w:color="auto"/>
        <w:left w:val="none" w:sz="0" w:space="0" w:color="auto"/>
        <w:bottom w:val="none" w:sz="0" w:space="0" w:color="auto"/>
        <w:right w:val="none" w:sz="0" w:space="0" w:color="auto"/>
      </w:divBdr>
    </w:div>
    <w:div w:id="958992764">
      <w:bodyDiv w:val="1"/>
      <w:marLeft w:val="0"/>
      <w:marRight w:val="0"/>
      <w:marTop w:val="0"/>
      <w:marBottom w:val="0"/>
      <w:divBdr>
        <w:top w:val="none" w:sz="0" w:space="0" w:color="auto"/>
        <w:left w:val="none" w:sz="0" w:space="0" w:color="auto"/>
        <w:bottom w:val="none" w:sz="0" w:space="0" w:color="auto"/>
        <w:right w:val="none" w:sz="0" w:space="0" w:color="auto"/>
      </w:divBdr>
    </w:div>
    <w:div w:id="960040450">
      <w:bodyDiv w:val="1"/>
      <w:marLeft w:val="0"/>
      <w:marRight w:val="0"/>
      <w:marTop w:val="0"/>
      <w:marBottom w:val="0"/>
      <w:divBdr>
        <w:top w:val="none" w:sz="0" w:space="0" w:color="auto"/>
        <w:left w:val="none" w:sz="0" w:space="0" w:color="auto"/>
        <w:bottom w:val="none" w:sz="0" w:space="0" w:color="auto"/>
        <w:right w:val="none" w:sz="0" w:space="0" w:color="auto"/>
      </w:divBdr>
    </w:div>
    <w:div w:id="960694218">
      <w:bodyDiv w:val="1"/>
      <w:marLeft w:val="0"/>
      <w:marRight w:val="0"/>
      <w:marTop w:val="0"/>
      <w:marBottom w:val="0"/>
      <w:divBdr>
        <w:top w:val="none" w:sz="0" w:space="0" w:color="auto"/>
        <w:left w:val="none" w:sz="0" w:space="0" w:color="auto"/>
        <w:bottom w:val="none" w:sz="0" w:space="0" w:color="auto"/>
        <w:right w:val="none" w:sz="0" w:space="0" w:color="auto"/>
      </w:divBdr>
    </w:div>
    <w:div w:id="961765741">
      <w:bodyDiv w:val="1"/>
      <w:marLeft w:val="0"/>
      <w:marRight w:val="0"/>
      <w:marTop w:val="0"/>
      <w:marBottom w:val="0"/>
      <w:divBdr>
        <w:top w:val="none" w:sz="0" w:space="0" w:color="auto"/>
        <w:left w:val="none" w:sz="0" w:space="0" w:color="auto"/>
        <w:bottom w:val="none" w:sz="0" w:space="0" w:color="auto"/>
        <w:right w:val="none" w:sz="0" w:space="0" w:color="auto"/>
      </w:divBdr>
    </w:div>
    <w:div w:id="962424972">
      <w:bodyDiv w:val="1"/>
      <w:marLeft w:val="0"/>
      <w:marRight w:val="0"/>
      <w:marTop w:val="0"/>
      <w:marBottom w:val="0"/>
      <w:divBdr>
        <w:top w:val="none" w:sz="0" w:space="0" w:color="auto"/>
        <w:left w:val="none" w:sz="0" w:space="0" w:color="auto"/>
        <w:bottom w:val="none" w:sz="0" w:space="0" w:color="auto"/>
        <w:right w:val="none" w:sz="0" w:space="0" w:color="auto"/>
      </w:divBdr>
    </w:div>
    <w:div w:id="962887333">
      <w:bodyDiv w:val="1"/>
      <w:marLeft w:val="0"/>
      <w:marRight w:val="0"/>
      <w:marTop w:val="0"/>
      <w:marBottom w:val="0"/>
      <w:divBdr>
        <w:top w:val="none" w:sz="0" w:space="0" w:color="auto"/>
        <w:left w:val="none" w:sz="0" w:space="0" w:color="auto"/>
        <w:bottom w:val="none" w:sz="0" w:space="0" w:color="auto"/>
        <w:right w:val="none" w:sz="0" w:space="0" w:color="auto"/>
      </w:divBdr>
    </w:div>
    <w:div w:id="964585654">
      <w:bodyDiv w:val="1"/>
      <w:marLeft w:val="0"/>
      <w:marRight w:val="0"/>
      <w:marTop w:val="0"/>
      <w:marBottom w:val="0"/>
      <w:divBdr>
        <w:top w:val="none" w:sz="0" w:space="0" w:color="auto"/>
        <w:left w:val="none" w:sz="0" w:space="0" w:color="auto"/>
        <w:bottom w:val="none" w:sz="0" w:space="0" w:color="auto"/>
        <w:right w:val="none" w:sz="0" w:space="0" w:color="auto"/>
      </w:divBdr>
    </w:div>
    <w:div w:id="965937643">
      <w:bodyDiv w:val="1"/>
      <w:marLeft w:val="0"/>
      <w:marRight w:val="0"/>
      <w:marTop w:val="0"/>
      <w:marBottom w:val="0"/>
      <w:divBdr>
        <w:top w:val="none" w:sz="0" w:space="0" w:color="auto"/>
        <w:left w:val="none" w:sz="0" w:space="0" w:color="auto"/>
        <w:bottom w:val="none" w:sz="0" w:space="0" w:color="auto"/>
        <w:right w:val="none" w:sz="0" w:space="0" w:color="auto"/>
      </w:divBdr>
    </w:div>
    <w:div w:id="970130115">
      <w:bodyDiv w:val="1"/>
      <w:marLeft w:val="0"/>
      <w:marRight w:val="0"/>
      <w:marTop w:val="0"/>
      <w:marBottom w:val="0"/>
      <w:divBdr>
        <w:top w:val="none" w:sz="0" w:space="0" w:color="auto"/>
        <w:left w:val="none" w:sz="0" w:space="0" w:color="auto"/>
        <w:bottom w:val="none" w:sz="0" w:space="0" w:color="auto"/>
        <w:right w:val="none" w:sz="0" w:space="0" w:color="auto"/>
      </w:divBdr>
    </w:div>
    <w:div w:id="970670575">
      <w:bodyDiv w:val="1"/>
      <w:marLeft w:val="0"/>
      <w:marRight w:val="0"/>
      <w:marTop w:val="0"/>
      <w:marBottom w:val="0"/>
      <w:divBdr>
        <w:top w:val="none" w:sz="0" w:space="0" w:color="auto"/>
        <w:left w:val="none" w:sz="0" w:space="0" w:color="auto"/>
        <w:bottom w:val="none" w:sz="0" w:space="0" w:color="auto"/>
        <w:right w:val="none" w:sz="0" w:space="0" w:color="auto"/>
      </w:divBdr>
    </w:div>
    <w:div w:id="972980169">
      <w:bodyDiv w:val="1"/>
      <w:marLeft w:val="0"/>
      <w:marRight w:val="0"/>
      <w:marTop w:val="0"/>
      <w:marBottom w:val="0"/>
      <w:divBdr>
        <w:top w:val="none" w:sz="0" w:space="0" w:color="auto"/>
        <w:left w:val="none" w:sz="0" w:space="0" w:color="auto"/>
        <w:bottom w:val="none" w:sz="0" w:space="0" w:color="auto"/>
        <w:right w:val="none" w:sz="0" w:space="0" w:color="auto"/>
      </w:divBdr>
    </w:div>
    <w:div w:id="974410062">
      <w:bodyDiv w:val="1"/>
      <w:marLeft w:val="0"/>
      <w:marRight w:val="0"/>
      <w:marTop w:val="0"/>
      <w:marBottom w:val="0"/>
      <w:divBdr>
        <w:top w:val="none" w:sz="0" w:space="0" w:color="auto"/>
        <w:left w:val="none" w:sz="0" w:space="0" w:color="auto"/>
        <w:bottom w:val="none" w:sz="0" w:space="0" w:color="auto"/>
        <w:right w:val="none" w:sz="0" w:space="0" w:color="auto"/>
      </w:divBdr>
    </w:div>
    <w:div w:id="974992190">
      <w:bodyDiv w:val="1"/>
      <w:marLeft w:val="0"/>
      <w:marRight w:val="0"/>
      <w:marTop w:val="0"/>
      <w:marBottom w:val="0"/>
      <w:divBdr>
        <w:top w:val="none" w:sz="0" w:space="0" w:color="auto"/>
        <w:left w:val="none" w:sz="0" w:space="0" w:color="auto"/>
        <w:bottom w:val="none" w:sz="0" w:space="0" w:color="auto"/>
        <w:right w:val="none" w:sz="0" w:space="0" w:color="auto"/>
      </w:divBdr>
    </w:div>
    <w:div w:id="977026962">
      <w:bodyDiv w:val="1"/>
      <w:marLeft w:val="0"/>
      <w:marRight w:val="0"/>
      <w:marTop w:val="0"/>
      <w:marBottom w:val="0"/>
      <w:divBdr>
        <w:top w:val="none" w:sz="0" w:space="0" w:color="auto"/>
        <w:left w:val="none" w:sz="0" w:space="0" w:color="auto"/>
        <w:bottom w:val="none" w:sz="0" w:space="0" w:color="auto"/>
        <w:right w:val="none" w:sz="0" w:space="0" w:color="auto"/>
      </w:divBdr>
    </w:div>
    <w:div w:id="978151892">
      <w:bodyDiv w:val="1"/>
      <w:marLeft w:val="0"/>
      <w:marRight w:val="0"/>
      <w:marTop w:val="0"/>
      <w:marBottom w:val="0"/>
      <w:divBdr>
        <w:top w:val="none" w:sz="0" w:space="0" w:color="auto"/>
        <w:left w:val="none" w:sz="0" w:space="0" w:color="auto"/>
        <w:bottom w:val="none" w:sz="0" w:space="0" w:color="auto"/>
        <w:right w:val="none" w:sz="0" w:space="0" w:color="auto"/>
      </w:divBdr>
    </w:div>
    <w:div w:id="978536105">
      <w:bodyDiv w:val="1"/>
      <w:marLeft w:val="0"/>
      <w:marRight w:val="0"/>
      <w:marTop w:val="0"/>
      <w:marBottom w:val="0"/>
      <w:divBdr>
        <w:top w:val="none" w:sz="0" w:space="0" w:color="auto"/>
        <w:left w:val="none" w:sz="0" w:space="0" w:color="auto"/>
        <w:bottom w:val="none" w:sz="0" w:space="0" w:color="auto"/>
        <w:right w:val="none" w:sz="0" w:space="0" w:color="auto"/>
      </w:divBdr>
    </w:div>
    <w:div w:id="978998640">
      <w:bodyDiv w:val="1"/>
      <w:marLeft w:val="0"/>
      <w:marRight w:val="0"/>
      <w:marTop w:val="0"/>
      <w:marBottom w:val="0"/>
      <w:divBdr>
        <w:top w:val="none" w:sz="0" w:space="0" w:color="auto"/>
        <w:left w:val="none" w:sz="0" w:space="0" w:color="auto"/>
        <w:bottom w:val="none" w:sz="0" w:space="0" w:color="auto"/>
        <w:right w:val="none" w:sz="0" w:space="0" w:color="auto"/>
      </w:divBdr>
    </w:div>
    <w:div w:id="981033362">
      <w:bodyDiv w:val="1"/>
      <w:marLeft w:val="0"/>
      <w:marRight w:val="0"/>
      <w:marTop w:val="0"/>
      <w:marBottom w:val="0"/>
      <w:divBdr>
        <w:top w:val="none" w:sz="0" w:space="0" w:color="auto"/>
        <w:left w:val="none" w:sz="0" w:space="0" w:color="auto"/>
        <w:bottom w:val="none" w:sz="0" w:space="0" w:color="auto"/>
        <w:right w:val="none" w:sz="0" w:space="0" w:color="auto"/>
      </w:divBdr>
    </w:div>
    <w:div w:id="981934018">
      <w:bodyDiv w:val="1"/>
      <w:marLeft w:val="0"/>
      <w:marRight w:val="0"/>
      <w:marTop w:val="0"/>
      <w:marBottom w:val="0"/>
      <w:divBdr>
        <w:top w:val="none" w:sz="0" w:space="0" w:color="auto"/>
        <w:left w:val="none" w:sz="0" w:space="0" w:color="auto"/>
        <w:bottom w:val="none" w:sz="0" w:space="0" w:color="auto"/>
        <w:right w:val="none" w:sz="0" w:space="0" w:color="auto"/>
      </w:divBdr>
    </w:div>
    <w:div w:id="983001200">
      <w:bodyDiv w:val="1"/>
      <w:marLeft w:val="0"/>
      <w:marRight w:val="0"/>
      <w:marTop w:val="0"/>
      <w:marBottom w:val="0"/>
      <w:divBdr>
        <w:top w:val="none" w:sz="0" w:space="0" w:color="auto"/>
        <w:left w:val="none" w:sz="0" w:space="0" w:color="auto"/>
        <w:bottom w:val="none" w:sz="0" w:space="0" w:color="auto"/>
        <w:right w:val="none" w:sz="0" w:space="0" w:color="auto"/>
      </w:divBdr>
    </w:div>
    <w:div w:id="983510974">
      <w:bodyDiv w:val="1"/>
      <w:marLeft w:val="0"/>
      <w:marRight w:val="0"/>
      <w:marTop w:val="0"/>
      <w:marBottom w:val="0"/>
      <w:divBdr>
        <w:top w:val="none" w:sz="0" w:space="0" w:color="auto"/>
        <w:left w:val="none" w:sz="0" w:space="0" w:color="auto"/>
        <w:bottom w:val="none" w:sz="0" w:space="0" w:color="auto"/>
        <w:right w:val="none" w:sz="0" w:space="0" w:color="auto"/>
      </w:divBdr>
    </w:div>
    <w:div w:id="988821267">
      <w:bodyDiv w:val="1"/>
      <w:marLeft w:val="0"/>
      <w:marRight w:val="0"/>
      <w:marTop w:val="0"/>
      <w:marBottom w:val="0"/>
      <w:divBdr>
        <w:top w:val="none" w:sz="0" w:space="0" w:color="auto"/>
        <w:left w:val="none" w:sz="0" w:space="0" w:color="auto"/>
        <w:bottom w:val="none" w:sz="0" w:space="0" w:color="auto"/>
        <w:right w:val="none" w:sz="0" w:space="0" w:color="auto"/>
      </w:divBdr>
    </w:div>
    <w:div w:id="990595863">
      <w:bodyDiv w:val="1"/>
      <w:marLeft w:val="0"/>
      <w:marRight w:val="0"/>
      <w:marTop w:val="0"/>
      <w:marBottom w:val="0"/>
      <w:divBdr>
        <w:top w:val="none" w:sz="0" w:space="0" w:color="auto"/>
        <w:left w:val="none" w:sz="0" w:space="0" w:color="auto"/>
        <w:bottom w:val="none" w:sz="0" w:space="0" w:color="auto"/>
        <w:right w:val="none" w:sz="0" w:space="0" w:color="auto"/>
      </w:divBdr>
    </w:div>
    <w:div w:id="990645577">
      <w:bodyDiv w:val="1"/>
      <w:marLeft w:val="0"/>
      <w:marRight w:val="0"/>
      <w:marTop w:val="0"/>
      <w:marBottom w:val="0"/>
      <w:divBdr>
        <w:top w:val="none" w:sz="0" w:space="0" w:color="auto"/>
        <w:left w:val="none" w:sz="0" w:space="0" w:color="auto"/>
        <w:bottom w:val="none" w:sz="0" w:space="0" w:color="auto"/>
        <w:right w:val="none" w:sz="0" w:space="0" w:color="auto"/>
      </w:divBdr>
    </w:div>
    <w:div w:id="998002513">
      <w:bodyDiv w:val="1"/>
      <w:marLeft w:val="0"/>
      <w:marRight w:val="0"/>
      <w:marTop w:val="0"/>
      <w:marBottom w:val="0"/>
      <w:divBdr>
        <w:top w:val="none" w:sz="0" w:space="0" w:color="auto"/>
        <w:left w:val="none" w:sz="0" w:space="0" w:color="auto"/>
        <w:bottom w:val="none" w:sz="0" w:space="0" w:color="auto"/>
        <w:right w:val="none" w:sz="0" w:space="0" w:color="auto"/>
      </w:divBdr>
    </w:div>
    <w:div w:id="998075630">
      <w:bodyDiv w:val="1"/>
      <w:marLeft w:val="0"/>
      <w:marRight w:val="0"/>
      <w:marTop w:val="0"/>
      <w:marBottom w:val="0"/>
      <w:divBdr>
        <w:top w:val="none" w:sz="0" w:space="0" w:color="auto"/>
        <w:left w:val="none" w:sz="0" w:space="0" w:color="auto"/>
        <w:bottom w:val="none" w:sz="0" w:space="0" w:color="auto"/>
        <w:right w:val="none" w:sz="0" w:space="0" w:color="auto"/>
      </w:divBdr>
    </w:div>
    <w:div w:id="998462677">
      <w:bodyDiv w:val="1"/>
      <w:marLeft w:val="0"/>
      <w:marRight w:val="0"/>
      <w:marTop w:val="0"/>
      <w:marBottom w:val="0"/>
      <w:divBdr>
        <w:top w:val="none" w:sz="0" w:space="0" w:color="auto"/>
        <w:left w:val="none" w:sz="0" w:space="0" w:color="auto"/>
        <w:bottom w:val="none" w:sz="0" w:space="0" w:color="auto"/>
        <w:right w:val="none" w:sz="0" w:space="0" w:color="auto"/>
      </w:divBdr>
    </w:div>
    <w:div w:id="999382278">
      <w:bodyDiv w:val="1"/>
      <w:marLeft w:val="0"/>
      <w:marRight w:val="0"/>
      <w:marTop w:val="0"/>
      <w:marBottom w:val="0"/>
      <w:divBdr>
        <w:top w:val="none" w:sz="0" w:space="0" w:color="auto"/>
        <w:left w:val="none" w:sz="0" w:space="0" w:color="auto"/>
        <w:bottom w:val="none" w:sz="0" w:space="0" w:color="auto"/>
        <w:right w:val="none" w:sz="0" w:space="0" w:color="auto"/>
      </w:divBdr>
    </w:div>
    <w:div w:id="1000037231">
      <w:bodyDiv w:val="1"/>
      <w:marLeft w:val="0"/>
      <w:marRight w:val="0"/>
      <w:marTop w:val="0"/>
      <w:marBottom w:val="0"/>
      <w:divBdr>
        <w:top w:val="none" w:sz="0" w:space="0" w:color="auto"/>
        <w:left w:val="none" w:sz="0" w:space="0" w:color="auto"/>
        <w:bottom w:val="none" w:sz="0" w:space="0" w:color="auto"/>
        <w:right w:val="none" w:sz="0" w:space="0" w:color="auto"/>
      </w:divBdr>
    </w:div>
    <w:div w:id="1000230777">
      <w:bodyDiv w:val="1"/>
      <w:marLeft w:val="0"/>
      <w:marRight w:val="0"/>
      <w:marTop w:val="0"/>
      <w:marBottom w:val="0"/>
      <w:divBdr>
        <w:top w:val="none" w:sz="0" w:space="0" w:color="auto"/>
        <w:left w:val="none" w:sz="0" w:space="0" w:color="auto"/>
        <w:bottom w:val="none" w:sz="0" w:space="0" w:color="auto"/>
        <w:right w:val="none" w:sz="0" w:space="0" w:color="auto"/>
      </w:divBdr>
    </w:div>
    <w:div w:id="1002007804">
      <w:bodyDiv w:val="1"/>
      <w:marLeft w:val="0"/>
      <w:marRight w:val="0"/>
      <w:marTop w:val="0"/>
      <w:marBottom w:val="0"/>
      <w:divBdr>
        <w:top w:val="none" w:sz="0" w:space="0" w:color="auto"/>
        <w:left w:val="none" w:sz="0" w:space="0" w:color="auto"/>
        <w:bottom w:val="none" w:sz="0" w:space="0" w:color="auto"/>
        <w:right w:val="none" w:sz="0" w:space="0" w:color="auto"/>
      </w:divBdr>
    </w:div>
    <w:div w:id="1003821991">
      <w:bodyDiv w:val="1"/>
      <w:marLeft w:val="0"/>
      <w:marRight w:val="0"/>
      <w:marTop w:val="0"/>
      <w:marBottom w:val="0"/>
      <w:divBdr>
        <w:top w:val="none" w:sz="0" w:space="0" w:color="auto"/>
        <w:left w:val="none" w:sz="0" w:space="0" w:color="auto"/>
        <w:bottom w:val="none" w:sz="0" w:space="0" w:color="auto"/>
        <w:right w:val="none" w:sz="0" w:space="0" w:color="auto"/>
      </w:divBdr>
    </w:div>
    <w:div w:id="1008676989">
      <w:bodyDiv w:val="1"/>
      <w:marLeft w:val="0"/>
      <w:marRight w:val="0"/>
      <w:marTop w:val="0"/>
      <w:marBottom w:val="0"/>
      <w:divBdr>
        <w:top w:val="none" w:sz="0" w:space="0" w:color="auto"/>
        <w:left w:val="none" w:sz="0" w:space="0" w:color="auto"/>
        <w:bottom w:val="none" w:sz="0" w:space="0" w:color="auto"/>
        <w:right w:val="none" w:sz="0" w:space="0" w:color="auto"/>
      </w:divBdr>
    </w:div>
    <w:div w:id="1009872704">
      <w:bodyDiv w:val="1"/>
      <w:marLeft w:val="0"/>
      <w:marRight w:val="0"/>
      <w:marTop w:val="0"/>
      <w:marBottom w:val="0"/>
      <w:divBdr>
        <w:top w:val="none" w:sz="0" w:space="0" w:color="auto"/>
        <w:left w:val="none" w:sz="0" w:space="0" w:color="auto"/>
        <w:bottom w:val="none" w:sz="0" w:space="0" w:color="auto"/>
        <w:right w:val="none" w:sz="0" w:space="0" w:color="auto"/>
      </w:divBdr>
    </w:div>
    <w:div w:id="1010719554">
      <w:bodyDiv w:val="1"/>
      <w:marLeft w:val="0"/>
      <w:marRight w:val="0"/>
      <w:marTop w:val="0"/>
      <w:marBottom w:val="0"/>
      <w:divBdr>
        <w:top w:val="none" w:sz="0" w:space="0" w:color="auto"/>
        <w:left w:val="none" w:sz="0" w:space="0" w:color="auto"/>
        <w:bottom w:val="none" w:sz="0" w:space="0" w:color="auto"/>
        <w:right w:val="none" w:sz="0" w:space="0" w:color="auto"/>
      </w:divBdr>
    </w:div>
    <w:div w:id="1011835002">
      <w:bodyDiv w:val="1"/>
      <w:marLeft w:val="0"/>
      <w:marRight w:val="0"/>
      <w:marTop w:val="0"/>
      <w:marBottom w:val="0"/>
      <w:divBdr>
        <w:top w:val="none" w:sz="0" w:space="0" w:color="auto"/>
        <w:left w:val="none" w:sz="0" w:space="0" w:color="auto"/>
        <w:bottom w:val="none" w:sz="0" w:space="0" w:color="auto"/>
        <w:right w:val="none" w:sz="0" w:space="0" w:color="auto"/>
      </w:divBdr>
    </w:div>
    <w:div w:id="1013605258">
      <w:bodyDiv w:val="1"/>
      <w:marLeft w:val="0"/>
      <w:marRight w:val="0"/>
      <w:marTop w:val="0"/>
      <w:marBottom w:val="0"/>
      <w:divBdr>
        <w:top w:val="none" w:sz="0" w:space="0" w:color="auto"/>
        <w:left w:val="none" w:sz="0" w:space="0" w:color="auto"/>
        <w:bottom w:val="none" w:sz="0" w:space="0" w:color="auto"/>
        <w:right w:val="none" w:sz="0" w:space="0" w:color="auto"/>
      </w:divBdr>
    </w:div>
    <w:div w:id="1014649610">
      <w:bodyDiv w:val="1"/>
      <w:marLeft w:val="0"/>
      <w:marRight w:val="0"/>
      <w:marTop w:val="0"/>
      <w:marBottom w:val="0"/>
      <w:divBdr>
        <w:top w:val="none" w:sz="0" w:space="0" w:color="auto"/>
        <w:left w:val="none" w:sz="0" w:space="0" w:color="auto"/>
        <w:bottom w:val="none" w:sz="0" w:space="0" w:color="auto"/>
        <w:right w:val="none" w:sz="0" w:space="0" w:color="auto"/>
      </w:divBdr>
    </w:div>
    <w:div w:id="1016426960">
      <w:bodyDiv w:val="1"/>
      <w:marLeft w:val="0"/>
      <w:marRight w:val="0"/>
      <w:marTop w:val="0"/>
      <w:marBottom w:val="0"/>
      <w:divBdr>
        <w:top w:val="none" w:sz="0" w:space="0" w:color="auto"/>
        <w:left w:val="none" w:sz="0" w:space="0" w:color="auto"/>
        <w:bottom w:val="none" w:sz="0" w:space="0" w:color="auto"/>
        <w:right w:val="none" w:sz="0" w:space="0" w:color="auto"/>
      </w:divBdr>
    </w:div>
    <w:div w:id="1017806637">
      <w:bodyDiv w:val="1"/>
      <w:marLeft w:val="0"/>
      <w:marRight w:val="0"/>
      <w:marTop w:val="0"/>
      <w:marBottom w:val="0"/>
      <w:divBdr>
        <w:top w:val="none" w:sz="0" w:space="0" w:color="auto"/>
        <w:left w:val="none" w:sz="0" w:space="0" w:color="auto"/>
        <w:bottom w:val="none" w:sz="0" w:space="0" w:color="auto"/>
        <w:right w:val="none" w:sz="0" w:space="0" w:color="auto"/>
      </w:divBdr>
    </w:div>
    <w:div w:id="1019044344">
      <w:bodyDiv w:val="1"/>
      <w:marLeft w:val="0"/>
      <w:marRight w:val="0"/>
      <w:marTop w:val="0"/>
      <w:marBottom w:val="0"/>
      <w:divBdr>
        <w:top w:val="none" w:sz="0" w:space="0" w:color="auto"/>
        <w:left w:val="none" w:sz="0" w:space="0" w:color="auto"/>
        <w:bottom w:val="none" w:sz="0" w:space="0" w:color="auto"/>
        <w:right w:val="none" w:sz="0" w:space="0" w:color="auto"/>
      </w:divBdr>
    </w:div>
    <w:div w:id="1021666327">
      <w:bodyDiv w:val="1"/>
      <w:marLeft w:val="0"/>
      <w:marRight w:val="0"/>
      <w:marTop w:val="0"/>
      <w:marBottom w:val="0"/>
      <w:divBdr>
        <w:top w:val="none" w:sz="0" w:space="0" w:color="auto"/>
        <w:left w:val="none" w:sz="0" w:space="0" w:color="auto"/>
        <w:bottom w:val="none" w:sz="0" w:space="0" w:color="auto"/>
        <w:right w:val="none" w:sz="0" w:space="0" w:color="auto"/>
      </w:divBdr>
    </w:div>
    <w:div w:id="1021858331">
      <w:bodyDiv w:val="1"/>
      <w:marLeft w:val="0"/>
      <w:marRight w:val="0"/>
      <w:marTop w:val="0"/>
      <w:marBottom w:val="0"/>
      <w:divBdr>
        <w:top w:val="none" w:sz="0" w:space="0" w:color="auto"/>
        <w:left w:val="none" w:sz="0" w:space="0" w:color="auto"/>
        <w:bottom w:val="none" w:sz="0" w:space="0" w:color="auto"/>
        <w:right w:val="none" w:sz="0" w:space="0" w:color="auto"/>
      </w:divBdr>
    </w:div>
    <w:div w:id="1022589740">
      <w:bodyDiv w:val="1"/>
      <w:marLeft w:val="0"/>
      <w:marRight w:val="0"/>
      <w:marTop w:val="0"/>
      <w:marBottom w:val="0"/>
      <w:divBdr>
        <w:top w:val="none" w:sz="0" w:space="0" w:color="auto"/>
        <w:left w:val="none" w:sz="0" w:space="0" w:color="auto"/>
        <w:bottom w:val="none" w:sz="0" w:space="0" w:color="auto"/>
        <w:right w:val="none" w:sz="0" w:space="0" w:color="auto"/>
      </w:divBdr>
    </w:div>
    <w:div w:id="1023048166">
      <w:bodyDiv w:val="1"/>
      <w:marLeft w:val="0"/>
      <w:marRight w:val="0"/>
      <w:marTop w:val="0"/>
      <w:marBottom w:val="0"/>
      <w:divBdr>
        <w:top w:val="none" w:sz="0" w:space="0" w:color="auto"/>
        <w:left w:val="none" w:sz="0" w:space="0" w:color="auto"/>
        <w:bottom w:val="none" w:sz="0" w:space="0" w:color="auto"/>
        <w:right w:val="none" w:sz="0" w:space="0" w:color="auto"/>
      </w:divBdr>
    </w:div>
    <w:div w:id="1025208274">
      <w:bodyDiv w:val="1"/>
      <w:marLeft w:val="0"/>
      <w:marRight w:val="0"/>
      <w:marTop w:val="0"/>
      <w:marBottom w:val="0"/>
      <w:divBdr>
        <w:top w:val="none" w:sz="0" w:space="0" w:color="auto"/>
        <w:left w:val="none" w:sz="0" w:space="0" w:color="auto"/>
        <w:bottom w:val="none" w:sz="0" w:space="0" w:color="auto"/>
        <w:right w:val="none" w:sz="0" w:space="0" w:color="auto"/>
      </w:divBdr>
    </w:div>
    <w:div w:id="1025250491">
      <w:bodyDiv w:val="1"/>
      <w:marLeft w:val="0"/>
      <w:marRight w:val="0"/>
      <w:marTop w:val="0"/>
      <w:marBottom w:val="0"/>
      <w:divBdr>
        <w:top w:val="none" w:sz="0" w:space="0" w:color="auto"/>
        <w:left w:val="none" w:sz="0" w:space="0" w:color="auto"/>
        <w:bottom w:val="none" w:sz="0" w:space="0" w:color="auto"/>
        <w:right w:val="none" w:sz="0" w:space="0" w:color="auto"/>
      </w:divBdr>
    </w:div>
    <w:div w:id="1026559912">
      <w:bodyDiv w:val="1"/>
      <w:marLeft w:val="0"/>
      <w:marRight w:val="0"/>
      <w:marTop w:val="0"/>
      <w:marBottom w:val="0"/>
      <w:divBdr>
        <w:top w:val="none" w:sz="0" w:space="0" w:color="auto"/>
        <w:left w:val="none" w:sz="0" w:space="0" w:color="auto"/>
        <w:bottom w:val="none" w:sz="0" w:space="0" w:color="auto"/>
        <w:right w:val="none" w:sz="0" w:space="0" w:color="auto"/>
      </w:divBdr>
    </w:div>
    <w:div w:id="1028870225">
      <w:bodyDiv w:val="1"/>
      <w:marLeft w:val="0"/>
      <w:marRight w:val="0"/>
      <w:marTop w:val="0"/>
      <w:marBottom w:val="0"/>
      <w:divBdr>
        <w:top w:val="none" w:sz="0" w:space="0" w:color="auto"/>
        <w:left w:val="none" w:sz="0" w:space="0" w:color="auto"/>
        <w:bottom w:val="none" w:sz="0" w:space="0" w:color="auto"/>
        <w:right w:val="none" w:sz="0" w:space="0" w:color="auto"/>
      </w:divBdr>
    </w:div>
    <w:div w:id="1029331390">
      <w:bodyDiv w:val="1"/>
      <w:marLeft w:val="0"/>
      <w:marRight w:val="0"/>
      <w:marTop w:val="0"/>
      <w:marBottom w:val="0"/>
      <w:divBdr>
        <w:top w:val="none" w:sz="0" w:space="0" w:color="auto"/>
        <w:left w:val="none" w:sz="0" w:space="0" w:color="auto"/>
        <w:bottom w:val="none" w:sz="0" w:space="0" w:color="auto"/>
        <w:right w:val="none" w:sz="0" w:space="0" w:color="auto"/>
      </w:divBdr>
    </w:div>
    <w:div w:id="1033388692">
      <w:bodyDiv w:val="1"/>
      <w:marLeft w:val="0"/>
      <w:marRight w:val="0"/>
      <w:marTop w:val="0"/>
      <w:marBottom w:val="0"/>
      <w:divBdr>
        <w:top w:val="none" w:sz="0" w:space="0" w:color="auto"/>
        <w:left w:val="none" w:sz="0" w:space="0" w:color="auto"/>
        <w:bottom w:val="none" w:sz="0" w:space="0" w:color="auto"/>
        <w:right w:val="none" w:sz="0" w:space="0" w:color="auto"/>
      </w:divBdr>
    </w:div>
    <w:div w:id="1035422330">
      <w:bodyDiv w:val="1"/>
      <w:marLeft w:val="0"/>
      <w:marRight w:val="0"/>
      <w:marTop w:val="0"/>
      <w:marBottom w:val="0"/>
      <w:divBdr>
        <w:top w:val="none" w:sz="0" w:space="0" w:color="auto"/>
        <w:left w:val="none" w:sz="0" w:space="0" w:color="auto"/>
        <w:bottom w:val="none" w:sz="0" w:space="0" w:color="auto"/>
        <w:right w:val="none" w:sz="0" w:space="0" w:color="auto"/>
      </w:divBdr>
    </w:div>
    <w:div w:id="1036541039">
      <w:bodyDiv w:val="1"/>
      <w:marLeft w:val="0"/>
      <w:marRight w:val="0"/>
      <w:marTop w:val="0"/>
      <w:marBottom w:val="0"/>
      <w:divBdr>
        <w:top w:val="none" w:sz="0" w:space="0" w:color="auto"/>
        <w:left w:val="none" w:sz="0" w:space="0" w:color="auto"/>
        <w:bottom w:val="none" w:sz="0" w:space="0" w:color="auto"/>
        <w:right w:val="none" w:sz="0" w:space="0" w:color="auto"/>
      </w:divBdr>
    </w:div>
    <w:div w:id="1040788615">
      <w:bodyDiv w:val="1"/>
      <w:marLeft w:val="0"/>
      <w:marRight w:val="0"/>
      <w:marTop w:val="0"/>
      <w:marBottom w:val="0"/>
      <w:divBdr>
        <w:top w:val="none" w:sz="0" w:space="0" w:color="auto"/>
        <w:left w:val="none" w:sz="0" w:space="0" w:color="auto"/>
        <w:bottom w:val="none" w:sz="0" w:space="0" w:color="auto"/>
        <w:right w:val="none" w:sz="0" w:space="0" w:color="auto"/>
      </w:divBdr>
    </w:div>
    <w:div w:id="1041395236">
      <w:bodyDiv w:val="1"/>
      <w:marLeft w:val="0"/>
      <w:marRight w:val="0"/>
      <w:marTop w:val="0"/>
      <w:marBottom w:val="0"/>
      <w:divBdr>
        <w:top w:val="none" w:sz="0" w:space="0" w:color="auto"/>
        <w:left w:val="none" w:sz="0" w:space="0" w:color="auto"/>
        <w:bottom w:val="none" w:sz="0" w:space="0" w:color="auto"/>
        <w:right w:val="none" w:sz="0" w:space="0" w:color="auto"/>
      </w:divBdr>
    </w:div>
    <w:div w:id="1041590253">
      <w:bodyDiv w:val="1"/>
      <w:marLeft w:val="0"/>
      <w:marRight w:val="0"/>
      <w:marTop w:val="0"/>
      <w:marBottom w:val="0"/>
      <w:divBdr>
        <w:top w:val="none" w:sz="0" w:space="0" w:color="auto"/>
        <w:left w:val="none" w:sz="0" w:space="0" w:color="auto"/>
        <w:bottom w:val="none" w:sz="0" w:space="0" w:color="auto"/>
        <w:right w:val="none" w:sz="0" w:space="0" w:color="auto"/>
      </w:divBdr>
    </w:div>
    <w:div w:id="1041974120">
      <w:bodyDiv w:val="1"/>
      <w:marLeft w:val="0"/>
      <w:marRight w:val="0"/>
      <w:marTop w:val="0"/>
      <w:marBottom w:val="0"/>
      <w:divBdr>
        <w:top w:val="none" w:sz="0" w:space="0" w:color="auto"/>
        <w:left w:val="none" w:sz="0" w:space="0" w:color="auto"/>
        <w:bottom w:val="none" w:sz="0" w:space="0" w:color="auto"/>
        <w:right w:val="none" w:sz="0" w:space="0" w:color="auto"/>
      </w:divBdr>
    </w:div>
    <w:div w:id="1042899125">
      <w:bodyDiv w:val="1"/>
      <w:marLeft w:val="0"/>
      <w:marRight w:val="0"/>
      <w:marTop w:val="0"/>
      <w:marBottom w:val="0"/>
      <w:divBdr>
        <w:top w:val="none" w:sz="0" w:space="0" w:color="auto"/>
        <w:left w:val="none" w:sz="0" w:space="0" w:color="auto"/>
        <w:bottom w:val="none" w:sz="0" w:space="0" w:color="auto"/>
        <w:right w:val="none" w:sz="0" w:space="0" w:color="auto"/>
      </w:divBdr>
    </w:div>
    <w:div w:id="1043747392">
      <w:bodyDiv w:val="1"/>
      <w:marLeft w:val="0"/>
      <w:marRight w:val="0"/>
      <w:marTop w:val="0"/>
      <w:marBottom w:val="0"/>
      <w:divBdr>
        <w:top w:val="none" w:sz="0" w:space="0" w:color="auto"/>
        <w:left w:val="none" w:sz="0" w:space="0" w:color="auto"/>
        <w:bottom w:val="none" w:sz="0" w:space="0" w:color="auto"/>
        <w:right w:val="none" w:sz="0" w:space="0" w:color="auto"/>
      </w:divBdr>
    </w:div>
    <w:div w:id="1044907138">
      <w:bodyDiv w:val="1"/>
      <w:marLeft w:val="0"/>
      <w:marRight w:val="0"/>
      <w:marTop w:val="0"/>
      <w:marBottom w:val="0"/>
      <w:divBdr>
        <w:top w:val="none" w:sz="0" w:space="0" w:color="auto"/>
        <w:left w:val="none" w:sz="0" w:space="0" w:color="auto"/>
        <w:bottom w:val="none" w:sz="0" w:space="0" w:color="auto"/>
        <w:right w:val="none" w:sz="0" w:space="0" w:color="auto"/>
      </w:divBdr>
    </w:div>
    <w:div w:id="1045331569">
      <w:bodyDiv w:val="1"/>
      <w:marLeft w:val="0"/>
      <w:marRight w:val="0"/>
      <w:marTop w:val="0"/>
      <w:marBottom w:val="0"/>
      <w:divBdr>
        <w:top w:val="none" w:sz="0" w:space="0" w:color="auto"/>
        <w:left w:val="none" w:sz="0" w:space="0" w:color="auto"/>
        <w:bottom w:val="none" w:sz="0" w:space="0" w:color="auto"/>
        <w:right w:val="none" w:sz="0" w:space="0" w:color="auto"/>
      </w:divBdr>
    </w:div>
    <w:div w:id="1046678916">
      <w:bodyDiv w:val="1"/>
      <w:marLeft w:val="0"/>
      <w:marRight w:val="0"/>
      <w:marTop w:val="0"/>
      <w:marBottom w:val="0"/>
      <w:divBdr>
        <w:top w:val="none" w:sz="0" w:space="0" w:color="auto"/>
        <w:left w:val="none" w:sz="0" w:space="0" w:color="auto"/>
        <w:bottom w:val="none" w:sz="0" w:space="0" w:color="auto"/>
        <w:right w:val="none" w:sz="0" w:space="0" w:color="auto"/>
      </w:divBdr>
    </w:div>
    <w:div w:id="1046759540">
      <w:bodyDiv w:val="1"/>
      <w:marLeft w:val="0"/>
      <w:marRight w:val="0"/>
      <w:marTop w:val="0"/>
      <w:marBottom w:val="0"/>
      <w:divBdr>
        <w:top w:val="none" w:sz="0" w:space="0" w:color="auto"/>
        <w:left w:val="none" w:sz="0" w:space="0" w:color="auto"/>
        <w:bottom w:val="none" w:sz="0" w:space="0" w:color="auto"/>
        <w:right w:val="none" w:sz="0" w:space="0" w:color="auto"/>
      </w:divBdr>
    </w:div>
    <w:div w:id="1047607568">
      <w:bodyDiv w:val="1"/>
      <w:marLeft w:val="0"/>
      <w:marRight w:val="0"/>
      <w:marTop w:val="0"/>
      <w:marBottom w:val="0"/>
      <w:divBdr>
        <w:top w:val="none" w:sz="0" w:space="0" w:color="auto"/>
        <w:left w:val="none" w:sz="0" w:space="0" w:color="auto"/>
        <w:bottom w:val="none" w:sz="0" w:space="0" w:color="auto"/>
        <w:right w:val="none" w:sz="0" w:space="0" w:color="auto"/>
      </w:divBdr>
    </w:div>
    <w:div w:id="1048379519">
      <w:bodyDiv w:val="1"/>
      <w:marLeft w:val="0"/>
      <w:marRight w:val="0"/>
      <w:marTop w:val="0"/>
      <w:marBottom w:val="0"/>
      <w:divBdr>
        <w:top w:val="none" w:sz="0" w:space="0" w:color="auto"/>
        <w:left w:val="none" w:sz="0" w:space="0" w:color="auto"/>
        <w:bottom w:val="none" w:sz="0" w:space="0" w:color="auto"/>
        <w:right w:val="none" w:sz="0" w:space="0" w:color="auto"/>
      </w:divBdr>
    </w:div>
    <w:div w:id="1052656004">
      <w:bodyDiv w:val="1"/>
      <w:marLeft w:val="0"/>
      <w:marRight w:val="0"/>
      <w:marTop w:val="0"/>
      <w:marBottom w:val="0"/>
      <w:divBdr>
        <w:top w:val="none" w:sz="0" w:space="0" w:color="auto"/>
        <w:left w:val="none" w:sz="0" w:space="0" w:color="auto"/>
        <w:bottom w:val="none" w:sz="0" w:space="0" w:color="auto"/>
        <w:right w:val="none" w:sz="0" w:space="0" w:color="auto"/>
      </w:divBdr>
    </w:div>
    <w:div w:id="1053192001">
      <w:bodyDiv w:val="1"/>
      <w:marLeft w:val="0"/>
      <w:marRight w:val="0"/>
      <w:marTop w:val="0"/>
      <w:marBottom w:val="0"/>
      <w:divBdr>
        <w:top w:val="none" w:sz="0" w:space="0" w:color="auto"/>
        <w:left w:val="none" w:sz="0" w:space="0" w:color="auto"/>
        <w:bottom w:val="none" w:sz="0" w:space="0" w:color="auto"/>
        <w:right w:val="none" w:sz="0" w:space="0" w:color="auto"/>
      </w:divBdr>
    </w:div>
    <w:div w:id="1056971023">
      <w:bodyDiv w:val="1"/>
      <w:marLeft w:val="0"/>
      <w:marRight w:val="0"/>
      <w:marTop w:val="0"/>
      <w:marBottom w:val="0"/>
      <w:divBdr>
        <w:top w:val="none" w:sz="0" w:space="0" w:color="auto"/>
        <w:left w:val="none" w:sz="0" w:space="0" w:color="auto"/>
        <w:bottom w:val="none" w:sz="0" w:space="0" w:color="auto"/>
        <w:right w:val="none" w:sz="0" w:space="0" w:color="auto"/>
      </w:divBdr>
    </w:div>
    <w:div w:id="1058015266">
      <w:bodyDiv w:val="1"/>
      <w:marLeft w:val="0"/>
      <w:marRight w:val="0"/>
      <w:marTop w:val="0"/>
      <w:marBottom w:val="0"/>
      <w:divBdr>
        <w:top w:val="none" w:sz="0" w:space="0" w:color="auto"/>
        <w:left w:val="none" w:sz="0" w:space="0" w:color="auto"/>
        <w:bottom w:val="none" w:sz="0" w:space="0" w:color="auto"/>
        <w:right w:val="none" w:sz="0" w:space="0" w:color="auto"/>
      </w:divBdr>
    </w:div>
    <w:div w:id="1059328075">
      <w:bodyDiv w:val="1"/>
      <w:marLeft w:val="0"/>
      <w:marRight w:val="0"/>
      <w:marTop w:val="0"/>
      <w:marBottom w:val="0"/>
      <w:divBdr>
        <w:top w:val="none" w:sz="0" w:space="0" w:color="auto"/>
        <w:left w:val="none" w:sz="0" w:space="0" w:color="auto"/>
        <w:bottom w:val="none" w:sz="0" w:space="0" w:color="auto"/>
        <w:right w:val="none" w:sz="0" w:space="0" w:color="auto"/>
      </w:divBdr>
    </w:div>
    <w:div w:id="1059939081">
      <w:bodyDiv w:val="1"/>
      <w:marLeft w:val="0"/>
      <w:marRight w:val="0"/>
      <w:marTop w:val="0"/>
      <w:marBottom w:val="0"/>
      <w:divBdr>
        <w:top w:val="none" w:sz="0" w:space="0" w:color="auto"/>
        <w:left w:val="none" w:sz="0" w:space="0" w:color="auto"/>
        <w:bottom w:val="none" w:sz="0" w:space="0" w:color="auto"/>
        <w:right w:val="none" w:sz="0" w:space="0" w:color="auto"/>
      </w:divBdr>
    </w:div>
    <w:div w:id="1064647219">
      <w:bodyDiv w:val="1"/>
      <w:marLeft w:val="0"/>
      <w:marRight w:val="0"/>
      <w:marTop w:val="0"/>
      <w:marBottom w:val="0"/>
      <w:divBdr>
        <w:top w:val="none" w:sz="0" w:space="0" w:color="auto"/>
        <w:left w:val="none" w:sz="0" w:space="0" w:color="auto"/>
        <w:bottom w:val="none" w:sz="0" w:space="0" w:color="auto"/>
        <w:right w:val="none" w:sz="0" w:space="0" w:color="auto"/>
      </w:divBdr>
    </w:div>
    <w:div w:id="1069693540">
      <w:bodyDiv w:val="1"/>
      <w:marLeft w:val="0"/>
      <w:marRight w:val="0"/>
      <w:marTop w:val="0"/>
      <w:marBottom w:val="0"/>
      <w:divBdr>
        <w:top w:val="none" w:sz="0" w:space="0" w:color="auto"/>
        <w:left w:val="none" w:sz="0" w:space="0" w:color="auto"/>
        <w:bottom w:val="none" w:sz="0" w:space="0" w:color="auto"/>
        <w:right w:val="none" w:sz="0" w:space="0" w:color="auto"/>
      </w:divBdr>
    </w:div>
    <w:div w:id="1072584573">
      <w:bodyDiv w:val="1"/>
      <w:marLeft w:val="0"/>
      <w:marRight w:val="0"/>
      <w:marTop w:val="0"/>
      <w:marBottom w:val="0"/>
      <w:divBdr>
        <w:top w:val="none" w:sz="0" w:space="0" w:color="auto"/>
        <w:left w:val="none" w:sz="0" w:space="0" w:color="auto"/>
        <w:bottom w:val="none" w:sz="0" w:space="0" w:color="auto"/>
        <w:right w:val="none" w:sz="0" w:space="0" w:color="auto"/>
      </w:divBdr>
    </w:div>
    <w:div w:id="1073774322">
      <w:bodyDiv w:val="1"/>
      <w:marLeft w:val="0"/>
      <w:marRight w:val="0"/>
      <w:marTop w:val="0"/>
      <w:marBottom w:val="0"/>
      <w:divBdr>
        <w:top w:val="none" w:sz="0" w:space="0" w:color="auto"/>
        <w:left w:val="none" w:sz="0" w:space="0" w:color="auto"/>
        <w:bottom w:val="none" w:sz="0" w:space="0" w:color="auto"/>
        <w:right w:val="none" w:sz="0" w:space="0" w:color="auto"/>
      </w:divBdr>
    </w:div>
    <w:div w:id="1076173418">
      <w:bodyDiv w:val="1"/>
      <w:marLeft w:val="0"/>
      <w:marRight w:val="0"/>
      <w:marTop w:val="0"/>
      <w:marBottom w:val="0"/>
      <w:divBdr>
        <w:top w:val="none" w:sz="0" w:space="0" w:color="auto"/>
        <w:left w:val="none" w:sz="0" w:space="0" w:color="auto"/>
        <w:bottom w:val="none" w:sz="0" w:space="0" w:color="auto"/>
        <w:right w:val="none" w:sz="0" w:space="0" w:color="auto"/>
      </w:divBdr>
    </w:div>
    <w:div w:id="1076391830">
      <w:bodyDiv w:val="1"/>
      <w:marLeft w:val="0"/>
      <w:marRight w:val="0"/>
      <w:marTop w:val="0"/>
      <w:marBottom w:val="0"/>
      <w:divBdr>
        <w:top w:val="none" w:sz="0" w:space="0" w:color="auto"/>
        <w:left w:val="none" w:sz="0" w:space="0" w:color="auto"/>
        <w:bottom w:val="none" w:sz="0" w:space="0" w:color="auto"/>
        <w:right w:val="none" w:sz="0" w:space="0" w:color="auto"/>
      </w:divBdr>
    </w:div>
    <w:div w:id="1076707997">
      <w:bodyDiv w:val="1"/>
      <w:marLeft w:val="0"/>
      <w:marRight w:val="0"/>
      <w:marTop w:val="0"/>
      <w:marBottom w:val="0"/>
      <w:divBdr>
        <w:top w:val="none" w:sz="0" w:space="0" w:color="auto"/>
        <w:left w:val="none" w:sz="0" w:space="0" w:color="auto"/>
        <w:bottom w:val="none" w:sz="0" w:space="0" w:color="auto"/>
        <w:right w:val="none" w:sz="0" w:space="0" w:color="auto"/>
      </w:divBdr>
    </w:div>
    <w:div w:id="1080450135">
      <w:bodyDiv w:val="1"/>
      <w:marLeft w:val="0"/>
      <w:marRight w:val="0"/>
      <w:marTop w:val="0"/>
      <w:marBottom w:val="0"/>
      <w:divBdr>
        <w:top w:val="none" w:sz="0" w:space="0" w:color="auto"/>
        <w:left w:val="none" w:sz="0" w:space="0" w:color="auto"/>
        <w:bottom w:val="none" w:sz="0" w:space="0" w:color="auto"/>
        <w:right w:val="none" w:sz="0" w:space="0" w:color="auto"/>
      </w:divBdr>
    </w:div>
    <w:div w:id="1082871518">
      <w:bodyDiv w:val="1"/>
      <w:marLeft w:val="0"/>
      <w:marRight w:val="0"/>
      <w:marTop w:val="0"/>
      <w:marBottom w:val="0"/>
      <w:divBdr>
        <w:top w:val="none" w:sz="0" w:space="0" w:color="auto"/>
        <w:left w:val="none" w:sz="0" w:space="0" w:color="auto"/>
        <w:bottom w:val="none" w:sz="0" w:space="0" w:color="auto"/>
        <w:right w:val="none" w:sz="0" w:space="0" w:color="auto"/>
      </w:divBdr>
    </w:div>
    <w:div w:id="1082947965">
      <w:bodyDiv w:val="1"/>
      <w:marLeft w:val="0"/>
      <w:marRight w:val="0"/>
      <w:marTop w:val="0"/>
      <w:marBottom w:val="0"/>
      <w:divBdr>
        <w:top w:val="none" w:sz="0" w:space="0" w:color="auto"/>
        <w:left w:val="none" w:sz="0" w:space="0" w:color="auto"/>
        <w:bottom w:val="none" w:sz="0" w:space="0" w:color="auto"/>
        <w:right w:val="none" w:sz="0" w:space="0" w:color="auto"/>
      </w:divBdr>
    </w:div>
    <w:div w:id="1089081819">
      <w:bodyDiv w:val="1"/>
      <w:marLeft w:val="0"/>
      <w:marRight w:val="0"/>
      <w:marTop w:val="0"/>
      <w:marBottom w:val="0"/>
      <w:divBdr>
        <w:top w:val="none" w:sz="0" w:space="0" w:color="auto"/>
        <w:left w:val="none" w:sz="0" w:space="0" w:color="auto"/>
        <w:bottom w:val="none" w:sz="0" w:space="0" w:color="auto"/>
        <w:right w:val="none" w:sz="0" w:space="0" w:color="auto"/>
      </w:divBdr>
    </w:div>
    <w:div w:id="1092043331">
      <w:bodyDiv w:val="1"/>
      <w:marLeft w:val="0"/>
      <w:marRight w:val="0"/>
      <w:marTop w:val="0"/>
      <w:marBottom w:val="0"/>
      <w:divBdr>
        <w:top w:val="none" w:sz="0" w:space="0" w:color="auto"/>
        <w:left w:val="none" w:sz="0" w:space="0" w:color="auto"/>
        <w:bottom w:val="none" w:sz="0" w:space="0" w:color="auto"/>
        <w:right w:val="none" w:sz="0" w:space="0" w:color="auto"/>
      </w:divBdr>
    </w:div>
    <w:div w:id="1092354801">
      <w:bodyDiv w:val="1"/>
      <w:marLeft w:val="0"/>
      <w:marRight w:val="0"/>
      <w:marTop w:val="0"/>
      <w:marBottom w:val="0"/>
      <w:divBdr>
        <w:top w:val="none" w:sz="0" w:space="0" w:color="auto"/>
        <w:left w:val="none" w:sz="0" w:space="0" w:color="auto"/>
        <w:bottom w:val="none" w:sz="0" w:space="0" w:color="auto"/>
        <w:right w:val="none" w:sz="0" w:space="0" w:color="auto"/>
      </w:divBdr>
    </w:div>
    <w:div w:id="1099134808">
      <w:bodyDiv w:val="1"/>
      <w:marLeft w:val="0"/>
      <w:marRight w:val="0"/>
      <w:marTop w:val="0"/>
      <w:marBottom w:val="0"/>
      <w:divBdr>
        <w:top w:val="none" w:sz="0" w:space="0" w:color="auto"/>
        <w:left w:val="none" w:sz="0" w:space="0" w:color="auto"/>
        <w:bottom w:val="none" w:sz="0" w:space="0" w:color="auto"/>
        <w:right w:val="none" w:sz="0" w:space="0" w:color="auto"/>
      </w:divBdr>
    </w:div>
    <w:div w:id="1100219870">
      <w:bodyDiv w:val="1"/>
      <w:marLeft w:val="0"/>
      <w:marRight w:val="0"/>
      <w:marTop w:val="0"/>
      <w:marBottom w:val="0"/>
      <w:divBdr>
        <w:top w:val="none" w:sz="0" w:space="0" w:color="auto"/>
        <w:left w:val="none" w:sz="0" w:space="0" w:color="auto"/>
        <w:bottom w:val="none" w:sz="0" w:space="0" w:color="auto"/>
        <w:right w:val="none" w:sz="0" w:space="0" w:color="auto"/>
      </w:divBdr>
    </w:div>
    <w:div w:id="1102722450">
      <w:bodyDiv w:val="1"/>
      <w:marLeft w:val="0"/>
      <w:marRight w:val="0"/>
      <w:marTop w:val="0"/>
      <w:marBottom w:val="0"/>
      <w:divBdr>
        <w:top w:val="none" w:sz="0" w:space="0" w:color="auto"/>
        <w:left w:val="none" w:sz="0" w:space="0" w:color="auto"/>
        <w:bottom w:val="none" w:sz="0" w:space="0" w:color="auto"/>
        <w:right w:val="none" w:sz="0" w:space="0" w:color="auto"/>
      </w:divBdr>
    </w:div>
    <w:div w:id="1106273614">
      <w:bodyDiv w:val="1"/>
      <w:marLeft w:val="0"/>
      <w:marRight w:val="0"/>
      <w:marTop w:val="0"/>
      <w:marBottom w:val="0"/>
      <w:divBdr>
        <w:top w:val="none" w:sz="0" w:space="0" w:color="auto"/>
        <w:left w:val="none" w:sz="0" w:space="0" w:color="auto"/>
        <w:bottom w:val="none" w:sz="0" w:space="0" w:color="auto"/>
        <w:right w:val="none" w:sz="0" w:space="0" w:color="auto"/>
      </w:divBdr>
    </w:div>
    <w:div w:id="1114179589">
      <w:bodyDiv w:val="1"/>
      <w:marLeft w:val="0"/>
      <w:marRight w:val="0"/>
      <w:marTop w:val="0"/>
      <w:marBottom w:val="0"/>
      <w:divBdr>
        <w:top w:val="none" w:sz="0" w:space="0" w:color="auto"/>
        <w:left w:val="none" w:sz="0" w:space="0" w:color="auto"/>
        <w:bottom w:val="none" w:sz="0" w:space="0" w:color="auto"/>
        <w:right w:val="none" w:sz="0" w:space="0" w:color="auto"/>
      </w:divBdr>
    </w:div>
    <w:div w:id="1115096575">
      <w:bodyDiv w:val="1"/>
      <w:marLeft w:val="0"/>
      <w:marRight w:val="0"/>
      <w:marTop w:val="0"/>
      <w:marBottom w:val="0"/>
      <w:divBdr>
        <w:top w:val="none" w:sz="0" w:space="0" w:color="auto"/>
        <w:left w:val="none" w:sz="0" w:space="0" w:color="auto"/>
        <w:bottom w:val="none" w:sz="0" w:space="0" w:color="auto"/>
        <w:right w:val="none" w:sz="0" w:space="0" w:color="auto"/>
      </w:divBdr>
    </w:div>
    <w:div w:id="1118375344">
      <w:bodyDiv w:val="1"/>
      <w:marLeft w:val="0"/>
      <w:marRight w:val="0"/>
      <w:marTop w:val="0"/>
      <w:marBottom w:val="0"/>
      <w:divBdr>
        <w:top w:val="none" w:sz="0" w:space="0" w:color="auto"/>
        <w:left w:val="none" w:sz="0" w:space="0" w:color="auto"/>
        <w:bottom w:val="none" w:sz="0" w:space="0" w:color="auto"/>
        <w:right w:val="none" w:sz="0" w:space="0" w:color="auto"/>
      </w:divBdr>
    </w:div>
    <w:div w:id="1120301465">
      <w:bodyDiv w:val="1"/>
      <w:marLeft w:val="0"/>
      <w:marRight w:val="0"/>
      <w:marTop w:val="0"/>
      <w:marBottom w:val="0"/>
      <w:divBdr>
        <w:top w:val="none" w:sz="0" w:space="0" w:color="auto"/>
        <w:left w:val="none" w:sz="0" w:space="0" w:color="auto"/>
        <w:bottom w:val="none" w:sz="0" w:space="0" w:color="auto"/>
        <w:right w:val="none" w:sz="0" w:space="0" w:color="auto"/>
      </w:divBdr>
    </w:div>
    <w:div w:id="1124888828">
      <w:bodyDiv w:val="1"/>
      <w:marLeft w:val="0"/>
      <w:marRight w:val="0"/>
      <w:marTop w:val="0"/>
      <w:marBottom w:val="0"/>
      <w:divBdr>
        <w:top w:val="none" w:sz="0" w:space="0" w:color="auto"/>
        <w:left w:val="none" w:sz="0" w:space="0" w:color="auto"/>
        <w:bottom w:val="none" w:sz="0" w:space="0" w:color="auto"/>
        <w:right w:val="none" w:sz="0" w:space="0" w:color="auto"/>
      </w:divBdr>
    </w:div>
    <w:div w:id="1132018029">
      <w:bodyDiv w:val="1"/>
      <w:marLeft w:val="0"/>
      <w:marRight w:val="0"/>
      <w:marTop w:val="0"/>
      <w:marBottom w:val="0"/>
      <w:divBdr>
        <w:top w:val="none" w:sz="0" w:space="0" w:color="auto"/>
        <w:left w:val="none" w:sz="0" w:space="0" w:color="auto"/>
        <w:bottom w:val="none" w:sz="0" w:space="0" w:color="auto"/>
        <w:right w:val="none" w:sz="0" w:space="0" w:color="auto"/>
      </w:divBdr>
    </w:div>
    <w:div w:id="1135872397">
      <w:bodyDiv w:val="1"/>
      <w:marLeft w:val="0"/>
      <w:marRight w:val="0"/>
      <w:marTop w:val="0"/>
      <w:marBottom w:val="0"/>
      <w:divBdr>
        <w:top w:val="none" w:sz="0" w:space="0" w:color="auto"/>
        <w:left w:val="none" w:sz="0" w:space="0" w:color="auto"/>
        <w:bottom w:val="none" w:sz="0" w:space="0" w:color="auto"/>
        <w:right w:val="none" w:sz="0" w:space="0" w:color="auto"/>
      </w:divBdr>
    </w:div>
    <w:div w:id="1139303463">
      <w:bodyDiv w:val="1"/>
      <w:marLeft w:val="0"/>
      <w:marRight w:val="0"/>
      <w:marTop w:val="0"/>
      <w:marBottom w:val="0"/>
      <w:divBdr>
        <w:top w:val="none" w:sz="0" w:space="0" w:color="auto"/>
        <w:left w:val="none" w:sz="0" w:space="0" w:color="auto"/>
        <w:bottom w:val="none" w:sz="0" w:space="0" w:color="auto"/>
        <w:right w:val="none" w:sz="0" w:space="0" w:color="auto"/>
      </w:divBdr>
    </w:div>
    <w:div w:id="1139616668">
      <w:bodyDiv w:val="1"/>
      <w:marLeft w:val="0"/>
      <w:marRight w:val="0"/>
      <w:marTop w:val="0"/>
      <w:marBottom w:val="0"/>
      <w:divBdr>
        <w:top w:val="none" w:sz="0" w:space="0" w:color="auto"/>
        <w:left w:val="none" w:sz="0" w:space="0" w:color="auto"/>
        <w:bottom w:val="none" w:sz="0" w:space="0" w:color="auto"/>
        <w:right w:val="none" w:sz="0" w:space="0" w:color="auto"/>
      </w:divBdr>
    </w:div>
    <w:div w:id="1140265217">
      <w:bodyDiv w:val="1"/>
      <w:marLeft w:val="0"/>
      <w:marRight w:val="0"/>
      <w:marTop w:val="0"/>
      <w:marBottom w:val="0"/>
      <w:divBdr>
        <w:top w:val="none" w:sz="0" w:space="0" w:color="auto"/>
        <w:left w:val="none" w:sz="0" w:space="0" w:color="auto"/>
        <w:bottom w:val="none" w:sz="0" w:space="0" w:color="auto"/>
        <w:right w:val="none" w:sz="0" w:space="0" w:color="auto"/>
      </w:divBdr>
    </w:div>
    <w:div w:id="1140266558">
      <w:bodyDiv w:val="1"/>
      <w:marLeft w:val="0"/>
      <w:marRight w:val="0"/>
      <w:marTop w:val="0"/>
      <w:marBottom w:val="0"/>
      <w:divBdr>
        <w:top w:val="none" w:sz="0" w:space="0" w:color="auto"/>
        <w:left w:val="none" w:sz="0" w:space="0" w:color="auto"/>
        <w:bottom w:val="none" w:sz="0" w:space="0" w:color="auto"/>
        <w:right w:val="none" w:sz="0" w:space="0" w:color="auto"/>
      </w:divBdr>
    </w:div>
    <w:div w:id="1144270750">
      <w:bodyDiv w:val="1"/>
      <w:marLeft w:val="0"/>
      <w:marRight w:val="0"/>
      <w:marTop w:val="0"/>
      <w:marBottom w:val="0"/>
      <w:divBdr>
        <w:top w:val="none" w:sz="0" w:space="0" w:color="auto"/>
        <w:left w:val="none" w:sz="0" w:space="0" w:color="auto"/>
        <w:bottom w:val="none" w:sz="0" w:space="0" w:color="auto"/>
        <w:right w:val="none" w:sz="0" w:space="0" w:color="auto"/>
      </w:divBdr>
    </w:div>
    <w:div w:id="1145509547">
      <w:bodyDiv w:val="1"/>
      <w:marLeft w:val="0"/>
      <w:marRight w:val="0"/>
      <w:marTop w:val="0"/>
      <w:marBottom w:val="0"/>
      <w:divBdr>
        <w:top w:val="none" w:sz="0" w:space="0" w:color="auto"/>
        <w:left w:val="none" w:sz="0" w:space="0" w:color="auto"/>
        <w:bottom w:val="none" w:sz="0" w:space="0" w:color="auto"/>
        <w:right w:val="none" w:sz="0" w:space="0" w:color="auto"/>
      </w:divBdr>
    </w:div>
    <w:div w:id="1145856593">
      <w:bodyDiv w:val="1"/>
      <w:marLeft w:val="0"/>
      <w:marRight w:val="0"/>
      <w:marTop w:val="0"/>
      <w:marBottom w:val="0"/>
      <w:divBdr>
        <w:top w:val="none" w:sz="0" w:space="0" w:color="auto"/>
        <w:left w:val="none" w:sz="0" w:space="0" w:color="auto"/>
        <w:bottom w:val="none" w:sz="0" w:space="0" w:color="auto"/>
        <w:right w:val="none" w:sz="0" w:space="0" w:color="auto"/>
      </w:divBdr>
    </w:div>
    <w:div w:id="1147165781">
      <w:bodyDiv w:val="1"/>
      <w:marLeft w:val="0"/>
      <w:marRight w:val="0"/>
      <w:marTop w:val="0"/>
      <w:marBottom w:val="0"/>
      <w:divBdr>
        <w:top w:val="none" w:sz="0" w:space="0" w:color="auto"/>
        <w:left w:val="none" w:sz="0" w:space="0" w:color="auto"/>
        <w:bottom w:val="none" w:sz="0" w:space="0" w:color="auto"/>
        <w:right w:val="none" w:sz="0" w:space="0" w:color="auto"/>
      </w:divBdr>
    </w:div>
    <w:div w:id="1147865112">
      <w:bodyDiv w:val="1"/>
      <w:marLeft w:val="0"/>
      <w:marRight w:val="0"/>
      <w:marTop w:val="0"/>
      <w:marBottom w:val="0"/>
      <w:divBdr>
        <w:top w:val="none" w:sz="0" w:space="0" w:color="auto"/>
        <w:left w:val="none" w:sz="0" w:space="0" w:color="auto"/>
        <w:bottom w:val="none" w:sz="0" w:space="0" w:color="auto"/>
        <w:right w:val="none" w:sz="0" w:space="0" w:color="auto"/>
      </w:divBdr>
    </w:div>
    <w:div w:id="1154759307">
      <w:bodyDiv w:val="1"/>
      <w:marLeft w:val="0"/>
      <w:marRight w:val="0"/>
      <w:marTop w:val="0"/>
      <w:marBottom w:val="0"/>
      <w:divBdr>
        <w:top w:val="none" w:sz="0" w:space="0" w:color="auto"/>
        <w:left w:val="none" w:sz="0" w:space="0" w:color="auto"/>
        <w:bottom w:val="none" w:sz="0" w:space="0" w:color="auto"/>
        <w:right w:val="none" w:sz="0" w:space="0" w:color="auto"/>
      </w:divBdr>
    </w:div>
    <w:div w:id="1155948035">
      <w:bodyDiv w:val="1"/>
      <w:marLeft w:val="0"/>
      <w:marRight w:val="0"/>
      <w:marTop w:val="0"/>
      <w:marBottom w:val="0"/>
      <w:divBdr>
        <w:top w:val="none" w:sz="0" w:space="0" w:color="auto"/>
        <w:left w:val="none" w:sz="0" w:space="0" w:color="auto"/>
        <w:bottom w:val="none" w:sz="0" w:space="0" w:color="auto"/>
        <w:right w:val="none" w:sz="0" w:space="0" w:color="auto"/>
      </w:divBdr>
    </w:div>
    <w:div w:id="1156724311">
      <w:bodyDiv w:val="1"/>
      <w:marLeft w:val="0"/>
      <w:marRight w:val="0"/>
      <w:marTop w:val="0"/>
      <w:marBottom w:val="0"/>
      <w:divBdr>
        <w:top w:val="none" w:sz="0" w:space="0" w:color="auto"/>
        <w:left w:val="none" w:sz="0" w:space="0" w:color="auto"/>
        <w:bottom w:val="none" w:sz="0" w:space="0" w:color="auto"/>
        <w:right w:val="none" w:sz="0" w:space="0" w:color="auto"/>
      </w:divBdr>
    </w:div>
    <w:div w:id="1157111479">
      <w:bodyDiv w:val="1"/>
      <w:marLeft w:val="0"/>
      <w:marRight w:val="0"/>
      <w:marTop w:val="0"/>
      <w:marBottom w:val="0"/>
      <w:divBdr>
        <w:top w:val="none" w:sz="0" w:space="0" w:color="auto"/>
        <w:left w:val="none" w:sz="0" w:space="0" w:color="auto"/>
        <w:bottom w:val="none" w:sz="0" w:space="0" w:color="auto"/>
        <w:right w:val="none" w:sz="0" w:space="0" w:color="auto"/>
      </w:divBdr>
    </w:div>
    <w:div w:id="1159343795">
      <w:bodyDiv w:val="1"/>
      <w:marLeft w:val="0"/>
      <w:marRight w:val="0"/>
      <w:marTop w:val="0"/>
      <w:marBottom w:val="0"/>
      <w:divBdr>
        <w:top w:val="none" w:sz="0" w:space="0" w:color="auto"/>
        <w:left w:val="none" w:sz="0" w:space="0" w:color="auto"/>
        <w:bottom w:val="none" w:sz="0" w:space="0" w:color="auto"/>
        <w:right w:val="none" w:sz="0" w:space="0" w:color="auto"/>
      </w:divBdr>
    </w:div>
    <w:div w:id="1162232690">
      <w:bodyDiv w:val="1"/>
      <w:marLeft w:val="0"/>
      <w:marRight w:val="0"/>
      <w:marTop w:val="0"/>
      <w:marBottom w:val="0"/>
      <w:divBdr>
        <w:top w:val="none" w:sz="0" w:space="0" w:color="auto"/>
        <w:left w:val="none" w:sz="0" w:space="0" w:color="auto"/>
        <w:bottom w:val="none" w:sz="0" w:space="0" w:color="auto"/>
        <w:right w:val="none" w:sz="0" w:space="0" w:color="auto"/>
      </w:divBdr>
    </w:div>
    <w:div w:id="1163425991">
      <w:bodyDiv w:val="1"/>
      <w:marLeft w:val="0"/>
      <w:marRight w:val="0"/>
      <w:marTop w:val="0"/>
      <w:marBottom w:val="0"/>
      <w:divBdr>
        <w:top w:val="none" w:sz="0" w:space="0" w:color="auto"/>
        <w:left w:val="none" w:sz="0" w:space="0" w:color="auto"/>
        <w:bottom w:val="none" w:sz="0" w:space="0" w:color="auto"/>
        <w:right w:val="none" w:sz="0" w:space="0" w:color="auto"/>
      </w:divBdr>
    </w:div>
    <w:div w:id="1168399694">
      <w:bodyDiv w:val="1"/>
      <w:marLeft w:val="0"/>
      <w:marRight w:val="0"/>
      <w:marTop w:val="0"/>
      <w:marBottom w:val="0"/>
      <w:divBdr>
        <w:top w:val="none" w:sz="0" w:space="0" w:color="auto"/>
        <w:left w:val="none" w:sz="0" w:space="0" w:color="auto"/>
        <w:bottom w:val="none" w:sz="0" w:space="0" w:color="auto"/>
        <w:right w:val="none" w:sz="0" w:space="0" w:color="auto"/>
      </w:divBdr>
    </w:div>
    <w:div w:id="1168977407">
      <w:bodyDiv w:val="1"/>
      <w:marLeft w:val="0"/>
      <w:marRight w:val="0"/>
      <w:marTop w:val="0"/>
      <w:marBottom w:val="0"/>
      <w:divBdr>
        <w:top w:val="none" w:sz="0" w:space="0" w:color="auto"/>
        <w:left w:val="none" w:sz="0" w:space="0" w:color="auto"/>
        <w:bottom w:val="none" w:sz="0" w:space="0" w:color="auto"/>
        <w:right w:val="none" w:sz="0" w:space="0" w:color="auto"/>
      </w:divBdr>
    </w:div>
    <w:div w:id="1169444671">
      <w:bodyDiv w:val="1"/>
      <w:marLeft w:val="0"/>
      <w:marRight w:val="0"/>
      <w:marTop w:val="0"/>
      <w:marBottom w:val="0"/>
      <w:divBdr>
        <w:top w:val="none" w:sz="0" w:space="0" w:color="auto"/>
        <w:left w:val="none" w:sz="0" w:space="0" w:color="auto"/>
        <w:bottom w:val="none" w:sz="0" w:space="0" w:color="auto"/>
        <w:right w:val="none" w:sz="0" w:space="0" w:color="auto"/>
      </w:divBdr>
    </w:div>
    <w:div w:id="1172448248">
      <w:bodyDiv w:val="1"/>
      <w:marLeft w:val="0"/>
      <w:marRight w:val="0"/>
      <w:marTop w:val="0"/>
      <w:marBottom w:val="0"/>
      <w:divBdr>
        <w:top w:val="none" w:sz="0" w:space="0" w:color="auto"/>
        <w:left w:val="none" w:sz="0" w:space="0" w:color="auto"/>
        <w:bottom w:val="none" w:sz="0" w:space="0" w:color="auto"/>
        <w:right w:val="none" w:sz="0" w:space="0" w:color="auto"/>
      </w:divBdr>
    </w:div>
    <w:div w:id="1174762540">
      <w:bodyDiv w:val="1"/>
      <w:marLeft w:val="0"/>
      <w:marRight w:val="0"/>
      <w:marTop w:val="0"/>
      <w:marBottom w:val="0"/>
      <w:divBdr>
        <w:top w:val="none" w:sz="0" w:space="0" w:color="auto"/>
        <w:left w:val="none" w:sz="0" w:space="0" w:color="auto"/>
        <w:bottom w:val="none" w:sz="0" w:space="0" w:color="auto"/>
        <w:right w:val="none" w:sz="0" w:space="0" w:color="auto"/>
      </w:divBdr>
    </w:div>
    <w:div w:id="1175338231">
      <w:bodyDiv w:val="1"/>
      <w:marLeft w:val="0"/>
      <w:marRight w:val="0"/>
      <w:marTop w:val="0"/>
      <w:marBottom w:val="0"/>
      <w:divBdr>
        <w:top w:val="none" w:sz="0" w:space="0" w:color="auto"/>
        <w:left w:val="none" w:sz="0" w:space="0" w:color="auto"/>
        <w:bottom w:val="none" w:sz="0" w:space="0" w:color="auto"/>
        <w:right w:val="none" w:sz="0" w:space="0" w:color="auto"/>
      </w:divBdr>
    </w:div>
    <w:div w:id="1181360849">
      <w:bodyDiv w:val="1"/>
      <w:marLeft w:val="0"/>
      <w:marRight w:val="0"/>
      <w:marTop w:val="0"/>
      <w:marBottom w:val="0"/>
      <w:divBdr>
        <w:top w:val="none" w:sz="0" w:space="0" w:color="auto"/>
        <w:left w:val="none" w:sz="0" w:space="0" w:color="auto"/>
        <w:bottom w:val="none" w:sz="0" w:space="0" w:color="auto"/>
        <w:right w:val="none" w:sz="0" w:space="0" w:color="auto"/>
      </w:divBdr>
    </w:div>
    <w:div w:id="1182553087">
      <w:bodyDiv w:val="1"/>
      <w:marLeft w:val="0"/>
      <w:marRight w:val="0"/>
      <w:marTop w:val="0"/>
      <w:marBottom w:val="0"/>
      <w:divBdr>
        <w:top w:val="none" w:sz="0" w:space="0" w:color="auto"/>
        <w:left w:val="none" w:sz="0" w:space="0" w:color="auto"/>
        <w:bottom w:val="none" w:sz="0" w:space="0" w:color="auto"/>
        <w:right w:val="none" w:sz="0" w:space="0" w:color="auto"/>
      </w:divBdr>
    </w:div>
    <w:div w:id="1183015215">
      <w:bodyDiv w:val="1"/>
      <w:marLeft w:val="0"/>
      <w:marRight w:val="0"/>
      <w:marTop w:val="0"/>
      <w:marBottom w:val="0"/>
      <w:divBdr>
        <w:top w:val="none" w:sz="0" w:space="0" w:color="auto"/>
        <w:left w:val="none" w:sz="0" w:space="0" w:color="auto"/>
        <w:bottom w:val="none" w:sz="0" w:space="0" w:color="auto"/>
        <w:right w:val="none" w:sz="0" w:space="0" w:color="auto"/>
      </w:divBdr>
    </w:div>
    <w:div w:id="1184056520">
      <w:bodyDiv w:val="1"/>
      <w:marLeft w:val="0"/>
      <w:marRight w:val="0"/>
      <w:marTop w:val="0"/>
      <w:marBottom w:val="0"/>
      <w:divBdr>
        <w:top w:val="none" w:sz="0" w:space="0" w:color="auto"/>
        <w:left w:val="none" w:sz="0" w:space="0" w:color="auto"/>
        <w:bottom w:val="none" w:sz="0" w:space="0" w:color="auto"/>
        <w:right w:val="none" w:sz="0" w:space="0" w:color="auto"/>
      </w:divBdr>
    </w:div>
    <w:div w:id="1185939485">
      <w:bodyDiv w:val="1"/>
      <w:marLeft w:val="0"/>
      <w:marRight w:val="0"/>
      <w:marTop w:val="0"/>
      <w:marBottom w:val="0"/>
      <w:divBdr>
        <w:top w:val="none" w:sz="0" w:space="0" w:color="auto"/>
        <w:left w:val="none" w:sz="0" w:space="0" w:color="auto"/>
        <w:bottom w:val="none" w:sz="0" w:space="0" w:color="auto"/>
        <w:right w:val="none" w:sz="0" w:space="0" w:color="auto"/>
      </w:divBdr>
    </w:div>
    <w:div w:id="1188443910">
      <w:bodyDiv w:val="1"/>
      <w:marLeft w:val="0"/>
      <w:marRight w:val="0"/>
      <w:marTop w:val="0"/>
      <w:marBottom w:val="0"/>
      <w:divBdr>
        <w:top w:val="none" w:sz="0" w:space="0" w:color="auto"/>
        <w:left w:val="none" w:sz="0" w:space="0" w:color="auto"/>
        <w:bottom w:val="none" w:sz="0" w:space="0" w:color="auto"/>
        <w:right w:val="none" w:sz="0" w:space="0" w:color="auto"/>
      </w:divBdr>
    </w:div>
    <w:div w:id="1191333699">
      <w:bodyDiv w:val="1"/>
      <w:marLeft w:val="0"/>
      <w:marRight w:val="0"/>
      <w:marTop w:val="0"/>
      <w:marBottom w:val="0"/>
      <w:divBdr>
        <w:top w:val="none" w:sz="0" w:space="0" w:color="auto"/>
        <w:left w:val="none" w:sz="0" w:space="0" w:color="auto"/>
        <w:bottom w:val="none" w:sz="0" w:space="0" w:color="auto"/>
        <w:right w:val="none" w:sz="0" w:space="0" w:color="auto"/>
      </w:divBdr>
    </w:div>
    <w:div w:id="1195314017">
      <w:bodyDiv w:val="1"/>
      <w:marLeft w:val="0"/>
      <w:marRight w:val="0"/>
      <w:marTop w:val="0"/>
      <w:marBottom w:val="0"/>
      <w:divBdr>
        <w:top w:val="none" w:sz="0" w:space="0" w:color="auto"/>
        <w:left w:val="none" w:sz="0" w:space="0" w:color="auto"/>
        <w:bottom w:val="none" w:sz="0" w:space="0" w:color="auto"/>
        <w:right w:val="none" w:sz="0" w:space="0" w:color="auto"/>
      </w:divBdr>
    </w:div>
    <w:div w:id="1198808943">
      <w:bodyDiv w:val="1"/>
      <w:marLeft w:val="0"/>
      <w:marRight w:val="0"/>
      <w:marTop w:val="0"/>
      <w:marBottom w:val="0"/>
      <w:divBdr>
        <w:top w:val="none" w:sz="0" w:space="0" w:color="auto"/>
        <w:left w:val="none" w:sz="0" w:space="0" w:color="auto"/>
        <w:bottom w:val="none" w:sz="0" w:space="0" w:color="auto"/>
        <w:right w:val="none" w:sz="0" w:space="0" w:color="auto"/>
      </w:divBdr>
    </w:div>
    <w:div w:id="1201939997">
      <w:bodyDiv w:val="1"/>
      <w:marLeft w:val="0"/>
      <w:marRight w:val="0"/>
      <w:marTop w:val="0"/>
      <w:marBottom w:val="0"/>
      <w:divBdr>
        <w:top w:val="none" w:sz="0" w:space="0" w:color="auto"/>
        <w:left w:val="none" w:sz="0" w:space="0" w:color="auto"/>
        <w:bottom w:val="none" w:sz="0" w:space="0" w:color="auto"/>
        <w:right w:val="none" w:sz="0" w:space="0" w:color="auto"/>
      </w:divBdr>
    </w:div>
    <w:div w:id="1202011933">
      <w:bodyDiv w:val="1"/>
      <w:marLeft w:val="0"/>
      <w:marRight w:val="0"/>
      <w:marTop w:val="0"/>
      <w:marBottom w:val="0"/>
      <w:divBdr>
        <w:top w:val="none" w:sz="0" w:space="0" w:color="auto"/>
        <w:left w:val="none" w:sz="0" w:space="0" w:color="auto"/>
        <w:bottom w:val="none" w:sz="0" w:space="0" w:color="auto"/>
        <w:right w:val="none" w:sz="0" w:space="0" w:color="auto"/>
      </w:divBdr>
    </w:div>
    <w:div w:id="1203442976">
      <w:bodyDiv w:val="1"/>
      <w:marLeft w:val="0"/>
      <w:marRight w:val="0"/>
      <w:marTop w:val="0"/>
      <w:marBottom w:val="0"/>
      <w:divBdr>
        <w:top w:val="none" w:sz="0" w:space="0" w:color="auto"/>
        <w:left w:val="none" w:sz="0" w:space="0" w:color="auto"/>
        <w:bottom w:val="none" w:sz="0" w:space="0" w:color="auto"/>
        <w:right w:val="none" w:sz="0" w:space="0" w:color="auto"/>
      </w:divBdr>
    </w:div>
    <w:div w:id="1203786415">
      <w:bodyDiv w:val="1"/>
      <w:marLeft w:val="0"/>
      <w:marRight w:val="0"/>
      <w:marTop w:val="0"/>
      <w:marBottom w:val="0"/>
      <w:divBdr>
        <w:top w:val="none" w:sz="0" w:space="0" w:color="auto"/>
        <w:left w:val="none" w:sz="0" w:space="0" w:color="auto"/>
        <w:bottom w:val="none" w:sz="0" w:space="0" w:color="auto"/>
        <w:right w:val="none" w:sz="0" w:space="0" w:color="auto"/>
      </w:divBdr>
    </w:div>
    <w:div w:id="1205404821">
      <w:bodyDiv w:val="1"/>
      <w:marLeft w:val="0"/>
      <w:marRight w:val="0"/>
      <w:marTop w:val="0"/>
      <w:marBottom w:val="0"/>
      <w:divBdr>
        <w:top w:val="none" w:sz="0" w:space="0" w:color="auto"/>
        <w:left w:val="none" w:sz="0" w:space="0" w:color="auto"/>
        <w:bottom w:val="none" w:sz="0" w:space="0" w:color="auto"/>
        <w:right w:val="none" w:sz="0" w:space="0" w:color="auto"/>
      </w:divBdr>
    </w:div>
    <w:div w:id="1205797872">
      <w:bodyDiv w:val="1"/>
      <w:marLeft w:val="0"/>
      <w:marRight w:val="0"/>
      <w:marTop w:val="0"/>
      <w:marBottom w:val="0"/>
      <w:divBdr>
        <w:top w:val="none" w:sz="0" w:space="0" w:color="auto"/>
        <w:left w:val="none" w:sz="0" w:space="0" w:color="auto"/>
        <w:bottom w:val="none" w:sz="0" w:space="0" w:color="auto"/>
        <w:right w:val="none" w:sz="0" w:space="0" w:color="auto"/>
      </w:divBdr>
    </w:div>
    <w:div w:id="1206329979">
      <w:bodyDiv w:val="1"/>
      <w:marLeft w:val="0"/>
      <w:marRight w:val="0"/>
      <w:marTop w:val="0"/>
      <w:marBottom w:val="0"/>
      <w:divBdr>
        <w:top w:val="none" w:sz="0" w:space="0" w:color="auto"/>
        <w:left w:val="none" w:sz="0" w:space="0" w:color="auto"/>
        <w:bottom w:val="none" w:sz="0" w:space="0" w:color="auto"/>
        <w:right w:val="none" w:sz="0" w:space="0" w:color="auto"/>
      </w:divBdr>
    </w:div>
    <w:div w:id="1206406220">
      <w:bodyDiv w:val="1"/>
      <w:marLeft w:val="0"/>
      <w:marRight w:val="0"/>
      <w:marTop w:val="0"/>
      <w:marBottom w:val="0"/>
      <w:divBdr>
        <w:top w:val="none" w:sz="0" w:space="0" w:color="auto"/>
        <w:left w:val="none" w:sz="0" w:space="0" w:color="auto"/>
        <w:bottom w:val="none" w:sz="0" w:space="0" w:color="auto"/>
        <w:right w:val="none" w:sz="0" w:space="0" w:color="auto"/>
      </w:divBdr>
    </w:div>
    <w:div w:id="1211071697">
      <w:bodyDiv w:val="1"/>
      <w:marLeft w:val="0"/>
      <w:marRight w:val="0"/>
      <w:marTop w:val="0"/>
      <w:marBottom w:val="0"/>
      <w:divBdr>
        <w:top w:val="none" w:sz="0" w:space="0" w:color="auto"/>
        <w:left w:val="none" w:sz="0" w:space="0" w:color="auto"/>
        <w:bottom w:val="none" w:sz="0" w:space="0" w:color="auto"/>
        <w:right w:val="none" w:sz="0" w:space="0" w:color="auto"/>
      </w:divBdr>
    </w:div>
    <w:div w:id="1216283126">
      <w:bodyDiv w:val="1"/>
      <w:marLeft w:val="0"/>
      <w:marRight w:val="0"/>
      <w:marTop w:val="0"/>
      <w:marBottom w:val="0"/>
      <w:divBdr>
        <w:top w:val="none" w:sz="0" w:space="0" w:color="auto"/>
        <w:left w:val="none" w:sz="0" w:space="0" w:color="auto"/>
        <w:bottom w:val="none" w:sz="0" w:space="0" w:color="auto"/>
        <w:right w:val="none" w:sz="0" w:space="0" w:color="auto"/>
      </w:divBdr>
    </w:div>
    <w:div w:id="1216967994">
      <w:bodyDiv w:val="1"/>
      <w:marLeft w:val="0"/>
      <w:marRight w:val="0"/>
      <w:marTop w:val="0"/>
      <w:marBottom w:val="0"/>
      <w:divBdr>
        <w:top w:val="none" w:sz="0" w:space="0" w:color="auto"/>
        <w:left w:val="none" w:sz="0" w:space="0" w:color="auto"/>
        <w:bottom w:val="none" w:sz="0" w:space="0" w:color="auto"/>
        <w:right w:val="none" w:sz="0" w:space="0" w:color="auto"/>
      </w:divBdr>
    </w:div>
    <w:div w:id="1218012383">
      <w:bodyDiv w:val="1"/>
      <w:marLeft w:val="0"/>
      <w:marRight w:val="0"/>
      <w:marTop w:val="0"/>
      <w:marBottom w:val="0"/>
      <w:divBdr>
        <w:top w:val="none" w:sz="0" w:space="0" w:color="auto"/>
        <w:left w:val="none" w:sz="0" w:space="0" w:color="auto"/>
        <w:bottom w:val="none" w:sz="0" w:space="0" w:color="auto"/>
        <w:right w:val="none" w:sz="0" w:space="0" w:color="auto"/>
      </w:divBdr>
    </w:div>
    <w:div w:id="1219782088">
      <w:bodyDiv w:val="1"/>
      <w:marLeft w:val="0"/>
      <w:marRight w:val="0"/>
      <w:marTop w:val="0"/>
      <w:marBottom w:val="0"/>
      <w:divBdr>
        <w:top w:val="none" w:sz="0" w:space="0" w:color="auto"/>
        <w:left w:val="none" w:sz="0" w:space="0" w:color="auto"/>
        <w:bottom w:val="none" w:sz="0" w:space="0" w:color="auto"/>
        <w:right w:val="none" w:sz="0" w:space="0" w:color="auto"/>
      </w:divBdr>
    </w:div>
    <w:div w:id="1220247407">
      <w:bodyDiv w:val="1"/>
      <w:marLeft w:val="0"/>
      <w:marRight w:val="0"/>
      <w:marTop w:val="0"/>
      <w:marBottom w:val="0"/>
      <w:divBdr>
        <w:top w:val="none" w:sz="0" w:space="0" w:color="auto"/>
        <w:left w:val="none" w:sz="0" w:space="0" w:color="auto"/>
        <w:bottom w:val="none" w:sz="0" w:space="0" w:color="auto"/>
        <w:right w:val="none" w:sz="0" w:space="0" w:color="auto"/>
      </w:divBdr>
    </w:div>
    <w:div w:id="1222327272">
      <w:bodyDiv w:val="1"/>
      <w:marLeft w:val="0"/>
      <w:marRight w:val="0"/>
      <w:marTop w:val="0"/>
      <w:marBottom w:val="0"/>
      <w:divBdr>
        <w:top w:val="none" w:sz="0" w:space="0" w:color="auto"/>
        <w:left w:val="none" w:sz="0" w:space="0" w:color="auto"/>
        <w:bottom w:val="none" w:sz="0" w:space="0" w:color="auto"/>
        <w:right w:val="none" w:sz="0" w:space="0" w:color="auto"/>
      </w:divBdr>
    </w:div>
    <w:div w:id="1225486395">
      <w:bodyDiv w:val="1"/>
      <w:marLeft w:val="0"/>
      <w:marRight w:val="0"/>
      <w:marTop w:val="0"/>
      <w:marBottom w:val="0"/>
      <w:divBdr>
        <w:top w:val="none" w:sz="0" w:space="0" w:color="auto"/>
        <w:left w:val="none" w:sz="0" w:space="0" w:color="auto"/>
        <w:bottom w:val="none" w:sz="0" w:space="0" w:color="auto"/>
        <w:right w:val="none" w:sz="0" w:space="0" w:color="auto"/>
      </w:divBdr>
    </w:div>
    <w:div w:id="1226642515">
      <w:bodyDiv w:val="1"/>
      <w:marLeft w:val="0"/>
      <w:marRight w:val="0"/>
      <w:marTop w:val="0"/>
      <w:marBottom w:val="0"/>
      <w:divBdr>
        <w:top w:val="none" w:sz="0" w:space="0" w:color="auto"/>
        <w:left w:val="none" w:sz="0" w:space="0" w:color="auto"/>
        <w:bottom w:val="none" w:sz="0" w:space="0" w:color="auto"/>
        <w:right w:val="none" w:sz="0" w:space="0" w:color="auto"/>
      </w:divBdr>
    </w:div>
    <w:div w:id="1228760250">
      <w:bodyDiv w:val="1"/>
      <w:marLeft w:val="0"/>
      <w:marRight w:val="0"/>
      <w:marTop w:val="0"/>
      <w:marBottom w:val="0"/>
      <w:divBdr>
        <w:top w:val="none" w:sz="0" w:space="0" w:color="auto"/>
        <w:left w:val="none" w:sz="0" w:space="0" w:color="auto"/>
        <w:bottom w:val="none" w:sz="0" w:space="0" w:color="auto"/>
        <w:right w:val="none" w:sz="0" w:space="0" w:color="auto"/>
      </w:divBdr>
    </w:div>
    <w:div w:id="1231161209">
      <w:bodyDiv w:val="1"/>
      <w:marLeft w:val="0"/>
      <w:marRight w:val="0"/>
      <w:marTop w:val="0"/>
      <w:marBottom w:val="0"/>
      <w:divBdr>
        <w:top w:val="none" w:sz="0" w:space="0" w:color="auto"/>
        <w:left w:val="none" w:sz="0" w:space="0" w:color="auto"/>
        <w:bottom w:val="none" w:sz="0" w:space="0" w:color="auto"/>
        <w:right w:val="none" w:sz="0" w:space="0" w:color="auto"/>
      </w:divBdr>
    </w:div>
    <w:div w:id="1232035481">
      <w:bodyDiv w:val="1"/>
      <w:marLeft w:val="0"/>
      <w:marRight w:val="0"/>
      <w:marTop w:val="0"/>
      <w:marBottom w:val="0"/>
      <w:divBdr>
        <w:top w:val="none" w:sz="0" w:space="0" w:color="auto"/>
        <w:left w:val="none" w:sz="0" w:space="0" w:color="auto"/>
        <w:bottom w:val="none" w:sz="0" w:space="0" w:color="auto"/>
        <w:right w:val="none" w:sz="0" w:space="0" w:color="auto"/>
      </w:divBdr>
    </w:div>
    <w:div w:id="1232229610">
      <w:bodyDiv w:val="1"/>
      <w:marLeft w:val="0"/>
      <w:marRight w:val="0"/>
      <w:marTop w:val="0"/>
      <w:marBottom w:val="0"/>
      <w:divBdr>
        <w:top w:val="none" w:sz="0" w:space="0" w:color="auto"/>
        <w:left w:val="none" w:sz="0" w:space="0" w:color="auto"/>
        <w:bottom w:val="none" w:sz="0" w:space="0" w:color="auto"/>
        <w:right w:val="none" w:sz="0" w:space="0" w:color="auto"/>
      </w:divBdr>
    </w:div>
    <w:div w:id="1232352281">
      <w:bodyDiv w:val="1"/>
      <w:marLeft w:val="0"/>
      <w:marRight w:val="0"/>
      <w:marTop w:val="0"/>
      <w:marBottom w:val="0"/>
      <w:divBdr>
        <w:top w:val="none" w:sz="0" w:space="0" w:color="auto"/>
        <w:left w:val="none" w:sz="0" w:space="0" w:color="auto"/>
        <w:bottom w:val="none" w:sz="0" w:space="0" w:color="auto"/>
        <w:right w:val="none" w:sz="0" w:space="0" w:color="auto"/>
      </w:divBdr>
    </w:div>
    <w:div w:id="1236744091">
      <w:bodyDiv w:val="1"/>
      <w:marLeft w:val="0"/>
      <w:marRight w:val="0"/>
      <w:marTop w:val="0"/>
      <w:marBottom w:val="0"/>
      <w:divBdr>
        <w:top w:val="none" w:sz="0" w:space="0" w:color="auto"/>
        <w:left w:val="none" w:sz="0" w:space="0" w:color="auto"/>
        <w:bottom w:val="none" w:sz="0" w:space="0" w:color="auto"/>
        <w:right w:val="none" w:sz="0" w:space="0" w:color="auto"/>
      </w:divBdr>
    </w:div>
    <w:div w:id="1238052452">
      <w:bodyDiv w:val="1"/>
      <w:marLeft w:val="0"/>
      <w:marRight w:val="0"/>
      <w:marTop w:val="0"/>
      <w:marBottom w:val="0"/>
      <w:divBdr>
        <w:top w:val="none" w:sz="0" w:space="0" w:color="auto"/>
        <w:left w:val="none" w:sz="0" w:space="0" w:color="auto"/>
        <w:bottom w:val="none" w:sz="0" w:space="0" w:color="auto"/>
        <w:right w:val="none" w:sz="0" w:space="0" w:color="auto"/>
      </w:divBdr>
    </w:div>
    <w:div w:id="1238782825">
      <w:bodyDiv w:val="1"/>
      <w:marLeft w:val="0"/>
      <w:marRight w:val="0"/>
      <w:marTop w:val="0"/>
      <w:marBottom w:val="0"/>
      <w:divBdr>
        <w:top w:val="none" w:sz="0" w:space="0" w:color="auto"/>
        <w:left w:val="none" w:sz="0" w:space="0" w:color="auto"/>
        <w:bottom w:val="none" w:sz="0" w:space="0" w:color="auto"/>
        <w:right w:val="none" w:sz="0" w:space="0" w:color="auto"/>
      </w:divBdr>
    </w:div>
    <w:div w:id="1238786129">
      <w:bodyDiv w:val="1"/>
      <w:marLeft w:val="0"/>
      <w:marRight w:val="0"/>
      <w:marTop w:val="0"/>
      <w:marBottom w:val="0"/>
      <w:divBdr>
        <w:top w:val="none" w:sz="0" w:space="0" w:color="auto"/>
        <w:left w:val="none" w:sz="0" w:space="0" w:color="auto"/>
        <w:bottom w:val="none" w:sz="0" w:space="0" w:color="auto"/>
        <w:right w:val="none" w:sz="0" w:space="0" w:color="auto"/>
      </w:divBdr>
    </w:div>
    <w:div w:id="1239249701">
      <w:bodyDiv w:val="1"/>
      <w:marLeft w:val="0"/>
      <w:marRight w:val="0"/>
      <w:marTop w:val="0"/>
      <w:marBottom w:val="0"/>
      <w:divBdr>
        <w:top w:val="none" w:sz="0" w:space="0" w:color="auto"/>
        <w:left w:val="none" w:sz="0" w:space="0" w:color="auto"/>
        <w:bottom w:val="none" w:sz="0" w:space="0" w:color="auto"/>
        <w:right w:val="none" w:sz="0" w:space="0" w:color="auto"/>
      </w:divBdr>
    </w:div>
    <w:div w:id="1240360890">
      <w:bodyDiv w:val="1"/>
      <w:marLeft w:val="0"/>
      <w:marRight w:val="0"/>
      <w:marTop w:val="0"/>
      <w:marBottom w:val="0"/>
      <w:divBdr>
        <w:top w:val="none" w:sz="0" w:space="0" w:color="auto"/>
        <w:left w:val="none" w:sz="0" w:space="0" w:color="auto"/>
        <w:bottom w:val="none" w:sz="0" w:space="0" w:color="auto"/>
        <w:right w:val="none" w:sz="0" w:space="0" w:color="auto"/>
      </w:divBdr>
    </w:div>
    <w:div w:id="1240601071">
      <w:bodyDiv w:val="1"/>
      <w:marLeft w:val="0"/>
      <w:marRight w:val="0"/>
      <w:marTop w:val="0"/>
      <w:marBottom w:val="0"/>
      <w:divBdr>
        <w:top w:val="none" w:sz="0" w:space="0" w:color="auto"/>
        <w:left w:val="none" w:sz="0" w:space="0" w:color="auto"/>
        <w:bottom w:val="none" w:sz="0" w:space="0" w:color="auto"/>
        <w:right w:val="none" w:sz="0" w:space="0" w:color="auto"/>
      </w:divBdr>
    </w:div>
    <w:div w:id="1241137257">
      <w:bodyDiv w:val="1"/>
      <w:marLeft w:val="0"/>
      <w:marRight w:val="0"/>
      <w:marTop w:val="0"/>
      <w:marBottom w:val="0"/>
      <w:divBdr>
        <w:top w:val="none" w:sz="0" w:space="0" w:color="auto"/>
        <w:left w:val="none" w:sz="0" w:space="0" w:color="auto"/>
        <w:bottom w:val="none" w:sz="0" w:space="0" w:color="auto"/>
        <w:right w:val="none" w:sz="0" w:space="0" w:color="auto"/>
      </w:divBdr>
    </w:div>
    <w:div w:id="1242563481">
      <w:bodyDiv w:val="1"/>
      <w:marLeft w:val="0"/>
      <w:marRight w:val="0"/>
      <w:marTop w:val="0"/>
      <w:marBottom w:val="0"/>
      <w:divBdr>
        <w:top w:val="none" w:sz="0" w:space="0" w:color="auto"/>
        <w:left w:val="none" w:sz="0" w:space="0" w:color="auto"/>
        <w:bottom w:val="none" w:sz="0" w:space="0" w:color="auto"/>
        <w:right w:val="none" w:sz="0" w:space="0" w:color="auto"/>
      </w:divBdr>
    </w:div>
    <w:div w:id="1243179745">
      <w:bodyDiv w:val="1"/>
      <w:marLeft w:val="0"/>
      <w:marRight w:val="0"/>
      <w:marTop w:val="0"/>
      <w:marBottom w:val="0"/>
      <w:divBdr>
        <w:top w:val="none" w:sz="0" w:space="0" w:color="auto"/>
        <w:left w:val="none" w:sz="0" w:space="0" w:color="auto"/>
        <w:bottom w:val="none" w:sz="0" w:space="0" w:color="auto"/>
        <w:right w:val="none" w:sz="0" w:space="0" w:color="auto"/>
      </w:divBdr>
    </w:div>
    <w:div w:id="1243367097">
      <w:bodyDiv w:val="1"/>
      <w:marLeft w:val="0"/>
      <w:marRight w:val="0"/>
      <w:marTop w:val="0"/>
      <w:marBottom w:val="0"/>
      <w:divBdr>
        <w:top w:val="none" w:sz="0" w:space="0" w:color="auto"/>
        <w:left w:val="none" w:sz="0" w:space="0" w:color="auto"/>
        <w:bottom w:val="none" w:sz="0" w:space="0" w:color="auto"/>
        <w:right w:val="none" w:sz="0" w:space="0" w:color="auto"/>
      </w:divBdr>
    </w:div>
    <w:div w:id="1245336127">
      <w:bodyDiv w:val="1"/>
      <w:marLeft w:val="0"/>
      <w:marRight w:val="0"/>
      <w:marTop w:val="0"/>
      <w:marBottom w:val="0"/>
      <w:divBdr>
        <w:top w:val="none" w:sz="0" w:space="0" w:color="auto"/>
        <w:left w:val="none" w:sz="0" w:space="0" w:color="auto"/>
        <w:bottom w:val="none" w:sz="0" w:space="0" w:color="auto"/>
        <w:right w:val="none" w:sz="0" w:space="0" w:color="auto"/>
      </w:divBdr>
    </w:div>
    <w:div w:id="1253591618">
      <w:bodyDiv w:val="1"/>
      <w:marLeft w:val="0"/>
      <w:marRight w:val="0"/>
      <w:marTop w:val="0"/>
      <w:marBottom w:val="0"/>
      <w:divBdr>
        <w:top w:val="none" w:sz="0" w:space="0" w:color="auto"/>
        <w:left w:val="none" w:sz="0" w:space="0" w:color="auto"/>
        <w:bottom w:val="none" w:sz="0" w:space="0" w:color="auto"/>
        <w:right w:val="none" w:sz="0" w:space="0" w:color="auto"/>
      </w:divBdr>
    </w:div>
    <w:div w:id="1254971304">
      <w:bodyDiv w:val="1"/>
      <w:marLeft w:val="0"/>
      <w:marRight w:val="0"/>
      <w:marTop w:val="0"/>
      <w:marBottom w:val="0"/>
      <w:divBdr>
        <w:top w:val="none" w:sz="0" w:space="0" w:color="auto"/>
        <w:left w:val="none" w:sz="0" w:space="0" w:color="auto"/>
        <w:bottom w:val="none" w:sz="0" w:space="0" w:color="auto"/>
        <w:right w:val="none" w:sz="0" w:space="0" w:color="auto"/>
      </w:divBdr>
    </w:div>
    <w:div w:id="1255867316">
      <w:bodyDiv w:val="1"/>
      <w:marLeft w:val="0"/>
      <w:marRight w:val="0"/>
      <w:marTop w:val="0"/>
      <w:marBottom w:val="0"/>
      <w:divBdr>
        <w:top w:val="none" w:sz="0" w:space="0" w:color="auto"/>
        <w:left w:val="none" w:sz="0" w:space="0" w:color="auto"/>
        <w:bottom w:val="none" w:sz="0" w:space="0" w:color="auto"/>
        <w:right w:val="none" w:sz="0" w:space="0" w:color="auto"/>
      </w:divBdr>
    </w:div>
    <w:div w:id="1259290668">
      <w:bodyDiv w:val="1"/>
      <w:marLeft w:val="0"/>
      <w:marRight w:val="0"/>
      <w:marTop w:val="0"/>
      <w:marBottom w:val="0"/>
      <w:divBdr>
        <w:top w:val="none" w:sz="0" w:space="0" w:color="auto"/>
        <w:left w:val="none" w:sz="0" w:space="0" w:color="auto"/>
        <w:bottom w:val="none" w:sz="0" w:space="0" w:color="auto"/>
        <w:right w:val="none" w:sz="0" w:space="0" w:color="auto"/>
      </w:divBdr>
    </w:div>
    <w:div w:id="1259799294">
      <w:bodyDiv w:val="1"/>
      <w:marLeft w:val="0"/>
      <w:marRight w:val="0"/>
      <w:marTop w:val="0"/>
      <w:marBottom w:val="0"/>
      <w:divBdr>
        <w:top w:val="none" w:sz="0" w:space="0" w:color="auto"/>
        <w:left w:val="none" w:sz="0" w:space="0" w:color="auto"/>
        <w:bottom w:val="none" w:sz="0" w:space="0" w:color="auto"/>
        <w:right w:val="none" w:sz="0" w:space="0" w:color="auto"/>
      </w:divBdr>
    </w:div>
    <w:div w:id="1261987892">
      <w:bodyDiv w:val="1"/>
      <w:marLeft w:val="0"/>
      <w:marRight w:val="0"/>
      <w:marTop w:val="0"/>
      <w:marBottom w:val="0"/>
      <w:divBdr>
        <w:top w:val="none" w:sz="0" w:space="0" w:color="auto"/>
        <w:left w:val="none" w:sz="0" w:space="0" w:color="auto"/>
        <w:bottom w:val="none" w:sz="0" w:space="0" w:color="auto"/>
        <w:right w:val="none" w:sz="0" w:space="0" w:color="auto"/>
      </w:divBdr>
    </w:div>
    <w:div w:id="1264725212">
      <w:bodyDiv w:val="1"/>
      <w:marLeft w:val="0"/>
      <w:marRight w:val="0"/>
      <w:marTop w:val="0"/>
      <w:marBottom w:val="0"/>
      <w:divBdr>
        <w:top w:val="none" w:sz="0" w:space="0" w:color="auto"/>
        <w:left w:val="none" w:sz="0" w:space="0" w:color="auto"/>
        <w:bottom w:val="none" w:sz="0" w:space="0" w:color="auto"/>
        <w:right w:val="none" w:sz="0" w:space="0" w:color="auto"/>
      </w:divBdr>
    </w:div>
    <w:div w:id="1268386256">
      <w:bodyDiv w:val="1"/>
      <w:marLeft w:val="0"/>
      <w:marRight w:val="0"/>
      <w:marTop w:val="0"/>
      <w:marBottom w:val="0"/>
      <w:divBdr>
        <w:top w:val="none" w:sz="0" w:space="0" w:color="auto"/>
        <w:left w:val="none" w:sz="0" w:space="0" w:color="auto"/>
        <w:bottom w:val="none" w:sz="0" w:space="0" w:color="auto"/>
        <w:right w:val="none" w:sz="0" w:space="0" w:color="auto"/>
      </w:divBdr>
    </w:div>
    <w:div w:id="1268582125">
      <w:bodyDiv w:val="1"/>
      <w:marLeft w:val="0"/>
      <w:marRight w:val="0"/>
      <w:marTop w:val="0"/>
      <w:marBottom w:val="0"/>
      <w:divBdr>
        <w:top w:val="none" w:sz="0" w:space="0" w:color="auto"/>
        <w:left w:val="none" w:sz="0" w:space="0" w:color="auto"/>
        <w:bottom w:val="none" w:sz="0" w:space="0" w:color="auto"/>
        <w:right w:val="none" w:sz="0" w:space="0" w:color="auto"/>
      </w:divBdr>
    </w:div>
    <w:div w:id="1269508794">
      <w:bodyDiv w:val="1"/>
      <w:marLeft w:val="0"/>
      <w:marRight w:val="0"/>
      <w:marTop w:val="0"/>
      <w:marBottom w:val="0"/>
      <w:divBdr>
        <w:top w:val="none" w:sz="0" w:space="0" w:color="auto"/>
        <w:left w:val="none" w:sz="0" w:space="0" w:color="auto"/>
        <w:bottom w:val="none" w:sz="0" w:space="0" w:color="auto"/>
        <w:right w:val="none" w:sz="0" w:space="0" w:color="auto"/>
      </w:divBdr>
    </w:div>
    <w:div w:id="1275862306">
      <w:bodyDiv w:val="1"/>
      <w:marLeft w:val="0"/>
      <w:marRight w:val="0"/>
      <w:marTop w:val="0"/>
      <w:marBottom w:val="0"/>
      <w:divBdr>
        <w:top w:val="none" w:sz="0" w:space="0" w:color="auto"/>
        <w:left w:val="none" w:sz="0" w:space="0" w:color="auto"/>
        <w:bottom w:val="none" w:sz="0" w:space="0" w:color="auto"/>
        <w:right w:val="none" w:sz="0" w:space="0" w:color="auto"/>
      </w:divBdr>
    </w:div>
    <w:div w:id="1275864195">
      <w:bodyDiv w:val="1"/>
      <w:marLeft w:val="0"/>
      <w:marRight w:val="0"/>
      <w:marTop w:val="0"/>
      <w:marBottom w:val="0"/>
      <w:divBdr>
        <w:top w:val="none" w:sz="0" w:space="0" w:color="auto"/>
        <w:left w:val="none" w:sz="0" w:space="0" w:color="auto"/>
        <w:bottom w:val="none" w:sz="0" w:space="0" w:color="auto"/>
        <w:right w:val="none" w:sz="0" w:space="0" w:color="auto"/>
      </w:divBdr>
    </w:div>
    <w:div w:id="1275943427">
      <w:bodyDiv w:val="1"/>
      <w:marLeft w:val="0"/>
      <w:marRight w:val="0"/>
      <w:marTop w:val="0"/>
      <w:marBottom w:val="0"/>
      <w:divBdr>
        <w:top w:val="none" w:sz="0" w:space="0" w:color="auto"/>
        <w:left w:val="none" w:sz="0" w:space="0" w:color="auto"/>
        <w:bottom w:val="none" w:sz="0" w:space="0" w:color="auto"/>
        <w:right w:val="none" w:sz="0" w:space="0" w:color="auto"/>
      </w:divBdr>
    </w:div>
    <w:div w:id="1278373598">
      <w:bodyDiv w:val="1"/>
      <w:marLeft w:val="0"/>
      <w:marRight w:val="0"/>
      <w:marTop w:val="0"/>
      <w:marBottom w:val="0"/>
      <w:divBdr>
        <w:top w:val="none" w:sz="0" w:space="0" w:color="auto"/>
        <w:left w:val="none" w:sz="0" w:space="0" w:color="auto"/>
        <w:bottom w:val="none" w:sz="0" w:space="0" w:color="auto"/>
        <w:right w:val="none" w:sz="0" w:space="0" w:color="auto"/>
      </w:divBdr>
    </w:div>
    <w:div w:id="1285384614">
      <w:bodyDiv w:val="1"/>
      <w:marLeft w:val="0"/>
      <w:marRight w:val="0"/>
      <w:marTop w:val="0"/>
      <w:marBottom w:val="0"/>
      <w:divBdr>
        <w:top w:val="none" w:sz="0" w:space="0" w:color="auto"/>
        <w:left w:val="none" w:sz="0" w:space="0" w:color="auto"/>
        <w:bottom w:val="none" w:sz="0" w:space="0" w:color="auto"/>
        <w:right w:val="none" w:sz="0" w:space="0" w:color="auto"/>
      </w:divBdr>
    </w:div>
    <w:div w:id="1285771488">
      <w:bodyDiv w:val="1"/>
      <w:marLeft w:val="0"/>
      <w:marRight w:val="0"/>
      <w:marTop w:val="0"/>
      <w:marBottom w:val="0"/>
      <w:divBdr>
        <w:top w:val="none" w:sz="0" w:space="0" w:color="auto"/>
        <w:left w:val="none" w:sz="0" w:space="0" w:color="auto"/>
        <w:bottom w:val="none" w:sz="0" w:space="0" w:color="auto"/>
        <w:right w:val="none" w:sz="0" w:space="0" w:color="auto"/>
      </w:divBdr>
    </w:div>
    <w:div w:id="1287078184">
      <w:bodyDiv w:val="1"/>
      <w:marLeft w:val="0"/>
      <w:marRight w:val="0"/>
      <w:marTop w:val="0"/>
      <w:marBottom w:val="0"/>
      <w:divBdr>
        <w:top w:val="none" w:sz="0" w:space="0" w:color="auto"/>
        <w:left w:val="none" w:sz="0" w:space="0" w:color="auto"/>
        <w:bottom w:val="none" w:sz="0" w:space="0" w:color="auto"/>
        <w:right w:val="none" w:sz="0" w:space="0" w:color="auto"/>
      </w:divBdr>
    </w:div>
    <w:div w:id="1288779992">
      <w:bodyDiv w:val="1"/>
      <w:marLeft w:val="0"/>
      <w:marRight w:val="0"/>
      <w:marTop w:val="0"/>
      <w:marBottom w:val="0"/>
      <w:divBdr>
        <w:top w:val="none" w:sz="0" w:space="0" w:color="auto"/>
        <w:left w:val="none" w:sz="0" w:space="0" w:color="auto"/>
        <w:bottom w:val="none" w:sz="0" w:space="0" w:color="auto"/>
        <w:right w:val="none" w:sz="0" w:space="0" w:color="auto"/>
      </w:divBdr>
    </w:div>
    <w:div w:id="1289432730">
      <w:bodyDiv w:val="1"/>
      <w:marLeft w:val="0"/>
      <w:marRight w:val="0"/>
      <w:marTop w:val="0"/>
      <w:marBottom w:val="0"/>
      <w:divBdr>
        <w:top w:val="none" w:sz="0" w:space="0" w:color="auto"/>
        <w:left w:val="none" w:sz="0" w:space="0" w:color="auto"/>
        <w:bottom w:val="none" w:sz="0" w:space="0" w:color="auto"/>
        <w:right w:val="none" w:sz="0" w:space="0" w:color="auto"/>
      </w:divBdr>
    </w:div>
    <w:div w:id="1291977100">
      <w:bodyDiv w:val="1"/>
      <w:marLeft w:val="0"/>
      <w:marRight w:val="0"/>
      <w:marTop w:val="0"/>
      <w:marBottom w:val="0"/>
      <w:divBdr>
        <w:top w:val="none" w:sz="0" w:space="0" w:color="auto"/>
        <w:left w:val="none" w:sz="0" w:space="0" w:color="auto"/>
        <w:bottom w:val="none" w:sz="0" w:space="0" w:color="auto"/>
        <w:right w:val="none" w:sz="0" w:space="0" w:color="auto"/>
      </w:divBdr>
    </w:div>
    <w:div w:id="1301643137">
      <w:bodyDiv w:val="1"/>
      <w:marLeft w:val="0"/>
      <w:marRight w:val="0"/>
      <w:marTop w:val="0"/>
      <w:marBottom w:val="0"/>
      <w:divBdr>
        <w:top w:val="none" w:sz="0" w:space="0" w:color="auto"/>
        <w:left w:val="none" w:sz="0" w:space="0" w:color="auto"/>
        <w:bottom w:val="none" w:sz="0" w:space="0" w:color="auto"/>
        <w:right w:val="none" w:sz="0" w:space="0" w:color="auto"/>
      </w:divBdr>
    </w:div>
    <w:div w:id="1304388362">
      <w:bodyDiv w:val="1"/>
      <w:marLeft w:val="0"/>
      <w:marRight w:val="0"/>
      <w:marTop w:val="0"/>
      <w:marBottom w:val="0"/>
      <w:divBdr>
        <w:top w:val="none" w:sz="0" w:space="0" w:color="auto"/>
        <w:left w:val="none" w:sz="0" w:space="0" w:color="auto"/>
        <w:bottom w:val="none" w:sz="0" w:space="0" w:color="auto"/>
        <w:right w:val="none" w:sz="0" w:space="0" w:color="auto"/>
      </w:divBdr>
    </w:div>
    <w:div w:id="1305551299">
      <w:bodyDiv w:val="1"/>
      <w:marLeft w:val="0"/>
      <w:marRight w:val="0"/>
      <w:marTop w:val="0"/>
      <w:marBottom w:val="0"/>
      <w:divBdr>
        <w:top w:val="none" w:sz="0" w:space="0" w:color="auto"/>
        <w:left w:val="none" w:sz="0" w:space="0" w:color="auto"/>
        <w:bottom w:val="none" w:sz="0" w:space="0" w:color="auto"/>
        <w:right w:val="none" w:sz="0" w:space="0" w:color="auto"/>
      </w:divBdr>
    </w:div>
    <w:div w:id="1306279844">
      <w:bodyDiv w:val="1"/>
      <w:marLeft w:val="0"/>
      <w:marRight w:val="0"/>
      <w:marTop w:val="0"/>
      <w:marBottom w:val="0"/>
      <w:divBdr>
        <w:top w:val="none" w:sz="0" w:space="0" w:color="auto"/>
        <w:left w:val="none" w:sz="0" w:space="0" w:color="auto"/>
        <w:bottom w:val="none" w:sz="0" w:space="0" w:color="auto"/>
        <w:right w:val="none" w:sz="0" w:space="0" w:color="auto"/>
      </w:divBdr>
    </w:div>
    <w:div w:id="1309744310">
      <w:bodyDiv w:val="1"/>
      <w:marLeft w:val="0"/>
      <w:marRight w:val="0"/>
      <w:marTop w:val="0"/>
      <w:marBottom w:val="0"/>
      <w:divBdr>
        <w:top w:val="none" w:sz="0" w:space="0" w:color="auto"/>
        <w:left w:val="none" w:sz="0" w:space="0" w:color="auto"/>
        <w:bottom w:val="none" w:sz="0" w:space="0" w:color="auto"/>
        <w:right w:val="none" w:sz="0" w:space="0" w:color="auto"/>
      </w:divBdr>
    </w:div>
    <w:div w:id="1312249892">
      <w:bodyDiv w:val="1"/>
      <w:marLeft w:val="0"/>
      <w:marRight w:val="0"/>
      <w:marTop w:val="0"/>
      <w:marBottom w:val="0"/>
      <w:divBdr>
        <w:top w:val="none" w:sz="0" w:space="0" w:color="auto"/>
        <w:left w:val="none" w:sz="0" w:space="0" w:color="auto"/>
        <w:bottom w:val="none" w:sz="0" w:space="0" w:color="auto"/>
        <w:right w:val="none" w:sz="0" w:space="0" w:color="auto"/>
      </w:divBdr>
    </w:div>
    <w:div w:id="1312714693">
      <w:bodyDiv w:val="1"/>
      <w:marLeft w:val="0"/>
      <w:marRight w:val="0"/>
      <w:marTop w:val="0"/>
      <w:marBottom w:val="0"/>
      <w:divBdr>
        <w:top w:val="none" w:sz="0" w:space="0" w:color="auto"/>
        <w:left w:val="none" w:sz="0" w:space="0" w:color="auto"/>
        <w:bottom w:val="none" w:sz="0" w:space="0" w:color="auto"/>
        <w:right w:val="none" w:sz="0" w:space="0" w:color="auto"/>
      </w:divBdr>
    </w:div>
    <w:div w:id="1315379715">
      <w:bodyDiv w:val="1"/>
      <w:marLeft w:val="0"/>
      <w:marRight w:val="0"/>
      <w:marTop w:val="0"/>
      <w:marBottom w:val="0"/>
      <w:divBdr>
        <w:top w:val="none" w:sz="0" w:space="0" w:color="auto"/>
        <w:left w:val="none" w:sz="0" w:space="0" w:color="auto"/>
        <w:bottom w:val="none" w:sz="0" w:space="0" w:color="auto"/>
        <w:right w:val="none" w:sz="0" w:space="0" w:color="auto"/>
      </w:divBdr>
    </w:div>
    <w:div w:id="1317343425">
      <w:bodyDiv w:val="1"/>
      <w:marLeft w:val="0"/>
      <w:marRight w:val="0"/>
      <w:marTop w:val="0"/>
      <w:marBottom w:val="0"/>
      <w:divBdr>
        <w:top w:val="none" w:sz="0" w:space="0" w:color="auto"/>
        <w:left w:val="none" w:sz="0" w:space="0" w:color="auto"/>
        <w:bottom w:val="none" w:sz="0" w:space="0" w:color="auto"/>
        <w:right w:val="none" w:sz="0" w:space="0" w:color="auto"/>
      </w:divBdr>
    </w:div>
    <w:div w:id="1317762232">
      <w:bodyDiv w:val="1"/>
      <w:marLeft w:val="0"/>
      <w:marRight w:val="0"/>
      <w:marTop w:val="0"/>
      <w:marBottom w:val="0"/>
      <w:divBdr>
        <w:top w:val="none" w:sz="0" w:space="0" w:color="auto"/>
        <w:left w:val="none" w:sz="0" w:space="0" w:color="auto"/>
        <w:bottom w:val="none" w:sz="0" w:space="0" w:color="auto"/>
        <w:right w:val="none" w:sz="0" w:space="0" w:color="auto"/>
      </w:divBdr>
    </w:div>
    <w:div w:id="1319263932">
      <w:bodyDiv w:val="1"/>
      <w:marLeft w:val="0"/>
      <w:marRight w:val="0"/>
      <w:marTop w:val="0"/>
      <w:marBottom w:val="0"/>
      <w:divBdr>
        <w:top w:val="none" w:sz="0" w:space="0" w:color="auto"/>
        <w:left w:val="none" w:sz="0" w:space="0" w:color="auto"/>
        <w:bottom w:val="none" w:sz="0" w:space="0" w:color="auto"/>
        <w:right w:val="none" w:sz="0" w:space="0" w:color="auto"/>
      </w:divBdr>
    </w:div>
    <w:div w:id="1319454946">
      <w:bodyDiv w:val="1"/>
      <w:marLeft w:val="0"/>
      <w:marRight w:val="0"/>
      <w:marTop w:val="0"/>
      <w:marBottom w:val="0"/>
      <w:divBdr>
        <w:top w:val="none" w:sz="0" w:space="0" w:color="auto"/>
        <w:left w:val="none" w:sz="0" w:space="0" w:color="auto"/>
        <w:bottom w:val="none" w:sz="0" w:space="0" w:color="auto"/>
        <w:right w:val="none" w:sz="0" w:space="0" w:color="auto"/>
      </w:divBdr>
    </w:div>
    <w:div w:id="1320304004">
      <w:bodyDiv w:val="1"/>
      <w:marLeft w:val="0"/>
      <w:marRight w:val="0"/>
      <w:marTop w:val="0"/>
      <w:marBottom w:val="0"/>
      <w:divBdr>
        <w:top w:val="none" w:sz="0" w:space="0" w:color="auto"/>
        <w:left w:val="none" w:sz="0" w:space="0" w:color="auto"/>
        <w:bottom w:val="none" w:sz="0" w:space="0" w:color="auto"/>
        <w:right w:val="none" w:sz="0" w:space="0" w:color="auto"/>
      </w:divBdr>
    </w:div>
    <w:div w:id="1321810718">
      <w:bodyDiv w:val="1"/>
      <w:marLeft w:val="0"/>
      <w:marRight w:val="0"/>
      <w:marTop w:val="0"/>
      <w:marBottom w:val="0"/>
      <w:divBdr>
        <w:top w:val="none" w:sz="0" w:space="0" w:color="auto"/>
        <w:left w:val="none" w:sz="0" w:space="0" w:color="auto"/>
        <w:bottom w:val="none" w:sz="0" w:space="0" w:color="auto"/>
        <w:right w:val="none" w:sz="0" w:space="0" w:color="auto"/>
      </w:divBdr>
    </w:div>
    <w:div w:id="1322006201">
      <w:bodyDiv w:val="1"/>
      <w:marLeft w:val="0"/>
      <w:marRight w:val="0"/>
      <w:marTop w:val="0"/>
      <w:marBottom w:val="0"/>
      <w:divBdr>
        <w:top w:val="none" w:sz="0" w:space="0" w:color="auto"/>
        <w:left w:val="none" w:sz="0" w:space="0" w:color="auto"/>
        <w:bottom w:val="none" w:sz="0" w:space="0" w:color="auto"/>
        <w:right w:val="none" w:sz="0" w:space="0" w:color="auto"/>
      </w:divBdr>
    </w:div>
    <w:div w:id="1323319264">
      <w:bodyDiv w:val="1"/>
      <w:marLeft w:val="0"/>
      <w:marRight w:val="0"/>
      <w:marTop w:val="0"/>
      <w:marBottom w:val="0"/>
      <w:divBdr>
        <w:top w:val="none" w:sz="0" w:space="0" w:color="auto"/>
        <w:left w:val="none" w:sz="0" w:space="0" w:color="auto"/>
        <w:bottom w:val="none" w:sz="0" w:space="0" w:color="auto"/>
        <w:right w:val="none" w:sz="0" w:space="0" w:color="auto"/>
      </w:divBdr>
    </w:div>
    <w:div w:id="1323503228">
      <w:bodyDiv w:val="1"/>
      <w:marLeft w:val="0"/>
      <w:marRight w:val="0"/>
      <w:marTop w:val="0"/>
      <w:marBottom w:val="0"/>
      <w:divBdr>
        <w:top w:val="none" w:sz="0" w:space="0" w:color="auto"/>
        <w:left w:val="none" w:sz="0" w:space="0" w:color="auto"/>
        <w:bottom w:val="none" w:sz="0" w:space="0" w:color="auto"/>
        <w:right w:val="none" w:sz="0" w:space="0" w:color="auto"/>
      </w:divBdr>
    </w:div>
    <w:div w:id="1324622540">
      <w:bodyDiv w:val="1"/>
      <w:marLeft w:val="0"/>
      <w:marRight w:val="0"/>
      <w:marTop w:val="0"/>
      <w:marBottom w:val="0"/>
      <w:divBdr>
        <w:top w:val="none" w:sz="0" w:space="0" w:color="auto"/>
        <w:left w:val="none" w:sz="0" w:space="0" w:color="auto"/>
        <w:bottom w:val="none" w:sz="0" w:space="0" w:color="auto"/>
        <w:right w:val="none" w:sz="0" w:space="0" w:color="auto"/>
      </w:divBdr>
    </w:div>
    <w:div w:id="1324626629">
      <w:bodyDiv w:val="1"/>
      <w:marLeft w:val="0"/>
      <w:marRight w:val="0"/>
      <w:marTop w:val="0"/>
      <w:marBottom w:val="0"/>
      <w:divBdr>
        <w:top w:val="none" w:sz="0" w:space="0" w:color="auto"/>
        <w:left w:val="none" w:sz="0" w:space="0" w:color="auto"/>
        <w:bottom w:val="none" w:sz="0" w:space="0" w:color="auto"/>
        <w:right w:val="none" w:sz="0" w:space="0" w:color="auto"/>
      </w:divBdr>
    </w:div>
    <w:div w:id="1325090383">
      <w:bodyDiv w:val="1"/>
      <w:marLeft w:val="0"/>
      <w:marRight w:val="0"/>
      <w:marTop w:val="0"/>
      <w:marBottom w:val="0"/>
      <w:divBdr>
        <w:top w:val="none" w:sz="0" w:space="0" w:color="auto"/>
        <w:left w:val="none" w:sz="0" w:space="0" w:color="auto"/>
        <w:bottom w:val="none" w:sz="0" w:space="0" w:color="auto"/>
        <w:right w:val="none" w:sz="0" w:space="0" w:color="auto"/>
      </w:divBdr>
    </w:div>
    <w:div w:id="1327056532">
      <w:bodyDiv w:val="1"/>
      <w:marLeft w:val="0"/>
      <w:marRight w:val="0"/>
      <w:marTop w:val="0"/>
      <w:marBottom w:val="0"/>
      <w:divBdr>
        <w:top w:val="none" w:sz="0" w:space="0" w:color="auto"/>
        <w:left w:val="none" w:sz="0" w:space="0" w:color="auto"/>
        <w:bottom w:val="none" w:sz="0" w:space="0" w:color="auto"/>
        <w:right w:val="none" w:sz="0" w:space="0" w:color="auto"/>
      </w:divBdr>
    </w:div>
    <w:div w:id="1328166203">
      <w:bodyDiv w:val="1"/>
      <w:marLeft w:val="0"/>
      <w:marRight w:val="0"/>
      <w:marTop w:val="0"/>
      <w:marBottom w:val="0"/>
      <w:divBdr>
        <w:top w:val="none" w:sz="0" w:space="0" w:color="auto"/>
        <w:left w:val="none" w:sz="0" w:space="0" w:color="auto"/>
        <w:bottom w:val="none" w:sz="0" w:space="0" w:color="auto"/>
        <w:right w:val="none" w:sz="0" w:space="0" w:color="auto"/>
      </w:divBdr>
    </w:div>
    <w:div w:id="1329014353">
      <w:bodyDiv w:val="1"/>
      <w:marLeft w:val="0"/>
      <w:marRight w:val="0"/>
      <w:marTop w:val="0"/>
      <w:marBottom w:val="0"/>
      <w:divBdr>
        <w:top w:val="none" w:sz="0" w:space="0" w:color="auto"/>
        <w:left w:val="none" w:sz="0" w:space="0" w:color="auto"/>
        <w:bottom w:val="none" w:sz="0" w:space="0" w:color="auto"/>
        <w:right w:val="none" w:sz="0" w:space="0" w:color="auto"/>
      </w:divBdr>
    </w:div>
    <w:div w:id="1329016521">
      <w:bodyDiv w:val="1"/>
      <w:marLeft w:val="0"/>
      <w:marRight w:val="0"/>
      <w:marTop w:val="0"/>
      <w:marBottom w:val="0"/>
      <w:divBdr>
        <w:top w:val="none" w:sz="0" w:space="0" w:color="auto"/>
        <w:left w:val="none" w:sz="0" w:space="0" w:color="auto"/>
        <w:bottom w:val="none" w:sz="0" w:space="0" w:color="auto"/>
        <w:right w:val="none" w:sz="0" w:space="0" w:color="auto"/>
      </w:divBdr>
    </w:div>
    <w:div w:id="1336541689">
      <w:bodyDiv w:val="1"/>
      <w:marLeft w:val="0"/>
      <w:marRight w:val="0"/>
      <w:marTop w:val="0"/>
      <w:marBottom w:val="0"/>
      <w:divBdr>
        <w:top w:val="none" w:sz="0" w:space="0" w:color="auto"/>
        <w:left w:val="none" w:sz="0" w:space="0" w:color="auto"/>
        <w:bottom w:val="none" w:sz="0" w:space="0" w:color="auto"/>
        <w:right w:val="none" w:sz="0" w:space="0" w:color="auto"/>
      </w:divBdr>
    </w:div>
    <w:div w:id="1336834613">
      <w:bodyDiv w:val="1"/>
      <w:marLeft w:val="0"/>
      <w:marRight w:val="0"/>
      <w:marTop w:val="0"/>
      <w:marBottom w:val="0"/>
      <w:divBdr>
        <w:top w:val="none" w:sz="0" w:space="0" w:color="auto"/>
        <w:left w:val="none" w:sz="0" w:space="0" w:color="auto"/>
        <w:bottom w:val="none" w:sz="0" w:space="0" w:color="auto"/>
        <w:right w:val="none" w:sz="0" w:space="0" w:color="auto"/>
      </w:divBdr>
    </w:div>
    <w:div w:id="1337921724">
      <w:bodyDiv w:val="1"/>
      <w:marLeft w:val="0"/>
      <w:marRight w:val="0"/>
      <w:marTop w:val="0"/>
      <w:marBottom w:val="0"/>
      <w:divBdr>
        <w:top w:val="none" w:sz="0" w:space="0" w:color="auto"/>
        <w:left w:val="none" w:sz="0" w:space="0" w:color="auto"/>
        <w:bottom w:val="none" w:sz="0" w:space="0" w:color="auto"/>
        <w:right w:val="none" w:sz="0" w:space="0" w:color="auto"/>
      </w:divBdr>
    </w:div>
    <w:div w:id="1338583700">
      <w:bodyDiv w:val="1"/>
      <w:marLeft w:val="0"/>
      <w:marRight w:val="0"/>
      <w:marTop w:val="0"/>
      <w:marBottom w:val="0"/>
      <w:divBdr>
        <w:top w:val="none" w:sz="0" w:space="0" w:color="auto"/>
        <w:left w:val="none" w:sz="0" w:space="0" w:color="auto"/>
        <w:bottom w:val="none" w:sz="0" w:space="0" w:color="auto"/>
        <w:right w:val="none" w:sz="0" w:space="0" w:color="auto"/>
      </w:divBdr>
    </w:div>
    <w:div w:id="1339499288">
      <w:bodyDiv w:val="1"/>
      <w:marLeft w:val="0"/>
      <w:marRight w:val="0"/>
      <w:marTop w:val="0"/>
      <w:marBottom w:val="0"/>
      <w:divBdr>
        <w:top w:val="none" w:sz="0" w:space="0" w:color="auto"/>
        <w:left w:val="none" w:sz="0" w:space="0" w:color="auto"/>
        <w:bottom w:val="none" w:sz="0" w:space="0" w:color="auto"/>
        <w:right w:val="none" w:sz="0" w:space="0" w:color="auto"/>
      </w:divBdr>
    </w:div>
    <w:div w:id="1339575301">
      <w:bodyDiv w:val="1"/>
      <w:marLeft w:val="0"/>
      <w:marRight w:val="0"/>
      <w:marTop w:val="0"/>
      <w:marBottom w:val="0"/>
      <w:divBdr>
        <w:top w:val="none" w:sz="0" w:space="0" w:color="auto"/>
        <w:left w:val="none" w:sz="0" w:space="0" w:color="auto"/>
        <w:bottom w:val="none" w:sz="0" w:space="0" w:color="auto"/>
        <w:right w:val="none" w:sz="0" w:space="0" w:color="auto"/>
      </w:divBdr>
    </w:div>
    <w:div w:id="1340548132">
      <w:bodyDiv w:val="1"/>
      <w:marLeft w:val="0"/>
      <w:marRight w:val="0"/>
      <w:marTop w:val="0"/>
      <w:marBottom w:val="0"/>
      <w:divBdr>
        <w:top w:val="none" w:sz="0" w:space="0" w:color="auto"/>
        <w:left w:val="none" w:sz="0" w:space="0" w:color="auto"/>
        <w:bottom w:val="none" w:sz="0" w:space="0" w:color="auto"/>
        <w:right w:val="none" w:sz="0" w:space="0" w:color="auto"/>
      </w:divBdr>
    </w:div>
    <w:div w:id="1341784758">
      <w:bodyDiv w:val="1"/>
      <w:marLeft w:val="0"/>
      <w:marRight w:val="0"/>
      <w:marTop w:val="0"/>
      <w:marBottom w:val="0"/>
      <w:divBdr>
        <w:top w:val="none" w:sz="0" w:space="0" w:color="auto"/>
        <w:left w:val="none" w:sz="0" w:space="0" w:color="auto"/>
        <w:bottom w:val="none" w:sz="0" w:space="0" w:color="auto"/>
        <w:right w:val="none" w:sz="0" w:space="0" w:color="auto"/>
      </w:divBdr>
    </w:div>
    <w:div w:id="1346203143">
      <w:bodyDiv w:val="1"/>
      <w:marLeft w:val="0"/>
      <w:marRight w:val="0"/>
      <w:marTop w:val="0"/>
      <w:marBottom w:val="0"/>
      <w:divBdr>
        <w:top w:val="none" w:sz="0" w:space="0" w:color="auto"/>
        <w:left w:val="none" w:sz="0" w:space="0" w:color="auto"/>
        <w:bottom w:val="none" w:sz="0" w:space="0" w:color="auto"/>
        <w:right w:val="none" w:sz="0" w:space="0" w:color="auto"/>
      </w:divBdr>
    </w:div>
    <w:div w:id="1349410424">
      <w:bodyDiv w:val="1"/>
      <w:marLeft w:val="0"/>
      <w:marRight w:val="0"/>
      <w:marTop w:val="0"/>
      <w:marBottom w:val="0"/>
      <w:divBdr>
        <w:top w:val="none" w:sz="0" w:space="0" w:color="auto"/>
        <w:left w:val="none" w:sz="0" w:space="0" w:color="auto"/>
        <w:bottom w:val="none" w:sz="0" w:space="0" w:color="auto"/>
        <w:right w:val="none" w:sz="0" w:space="0" w:color="auto"/>
      </w:divBdr>
    </w:div>
    <w:div w:id="1350834336">
      <w:bodyDiv w:val="1"/>
      <w:marLeft w:val="0"/>
      <w:marRight w:val="0"/>
      <w:marTop w:val="0"/>
      <w:marBottom w:val="0"/>
      <w:divBdr>
        <w:top w:val="none" w:sz="0" w:space="0" w:color="auto"/>
        <w:left w:val="none" w:sz="0" w:space="0" w:color="auto"/>
        <w:bottom w:val="none" w:sz="0" w:space="0" w:color="auto"/>
        <w:right w:val="none" w:sz="0" w:space="0" w:color="auto"/>
      </w:divBdr>
    </w:div>
    <w:div w:id="1351448553">
      <w:bodyDiv w:val="1"/>
      <w:marLeft w:val="0"/>
      <w:marRight w:val="0"/>
      <w:marTop w:val="0"/>
      <w:marBottom w:val="0"/>
      <w:divBdr>
        <w:top w:val="none" w:sz="0" w:space="0" w:color="auto"/>
        <w:left w:val="none" w:sz="0" w:space="0" w:color="auto"/>
        <w:bottom w:val="none" w:sz="0" w:space="0" w:color="auto"/>
        <w:right w:val="none" w:sz="0" w:space="0" w:color="auto"/>
      </w:divBdr>
    </w:div>
    <w:div w:id="1354185361">
      <w:bodyDiv w:val="1"/>
      <w:marLeft w:val="0"/>
      <w:marRight w:val="0"/>
      <w:marTop w:val="0"/>
      <w:marBottom w:val="0"/>
      <w:divBdr>
        <w:top w:val="none" w:sz="0" w:space="0" w:color="auto"/>
        <w:left w:val="none" w:sz="0" w:space="0" w:color="auto"/>
        <w:bottom w:val="none" w:sz="0" w:space="0" w:color="auto"/>
        <w:right w:val="none" w:sz="0" w:space="0" w:color="auto"/>
      </w:divBdr>
    </w:div>
    <w:div w:id="1359046464">
      <w:bodyDiv w:val="1"/>
      <w:marLeft w:val="0"/>
      <w:marRight w:val="0"/>
      <w:marTop w:val="0"/>
      <w:marBottom w:val="0"/>
      <w:divBdr>
        <w:top w:val="none" w:sz="0" w:space="0" w:color="auto"/>
        <w:left w:val="none" w:sz="0" w:space="0" w:color="auto"/>
        <w:bottom w:val="none" w:sz="0" w:space="0" w:color="auto"/>
        <w:right w:val="none" w:sz="0" w:space="0" w:color="auto"/>
      </w:divBdr>
    </w:div>
    <w:div w:id="1359164877">
      <w:bodyDiv w:val="1"/>
      <w:marLeft w:val="0"/>
      <w:marRight w:val="0"/>
      <w:marTop w:val="0"/>
      <w:marBottom w:val="0"/>
      <w:divBdr>
        <w:top w:val="none" w:sz="0" w:space="0" w:color="auto"/>
        <w:left w:val="none" w:sz="0" w:space="0" w:color="auto"/>
        <w:bottom w:val="none" w:sz="0" w:space="0" w:color="auto"/>
        <w:right w:val="none" w:sz="0" w:space="0" w:color="auto"/>
      </w:divBdr>
    </w:div>
    <w:div w:id="1359699865">
      <w:bodyDiv w:val="1"/>
      <w:marLeft w:val="0"/>
      <w:marRight w:val="0"/>
      <w:marTop w:val="0"/>
      <w:marBottom w:val="0"/>
      <w:divBdr>
        <w:top w:val="none" w:sz="0" w:space="0" w:color="auto"/>
        <w:left w:val="none" w:sz="0" w:space="0" w:color="auto"/>
        <w:bottom w:val="none" w:sz="0" w:space="0" w:color="auto"/>
        <w:right w:val="none" w:sz="0" w:space="0" w:color="auto"/>
      </w:divBdr>
    </w:div>
    <w:div w:id="1359702577">
      <w:bodyDiv w:val="1"/>
      <w:marLeft w:val="0"/>
      <w:marRight w:val="0"/>
      <w:marTop w:val="0"/>
      <w:marBottom w:val="0"/>
      <w:divBdr>
        <w:top w:val="none" w:sz="0" w:space="0" w:color="auto"/>
        <w:left w:val="none" w:sz="0" w:space="0" w:color="auto"/>
        <w:bottom w:val="none" w:sz="0" w:space="0" w:color="auto"/>
        <w:right w:val="none" w:sz="0" w:space="0" w:color="auto"/>
      </w:divBdr>
    </w:div>
    <w:div w:id="1361013064">
      <w:bodyDiv w:val="1"/>
      <w:marLeft w:val="0"/>
      <w:marRight w:val="0"/>
      <w:marTop w:val="0"/>
      <w:marBottom w:val="0"/>
      <w:divBdr>
        <w:top w:val="none" w:sz="0" w:space="0" w:color="auto"/>
        <w:left w:val="none" w:sz="0" w:space="0" w:color="auto"/>
        <w:bottom w:val="none" w:sz="0" w:space="0" w:color="auto"/>
        <w:right w:val="none" w:sz="0" w:space="0" w:color="auto"/>
      </w:divBdr>
    </w:div>
    <w:div w:id="1363898720">
      <w:bodyDiv w:val="1"/>
      <w:marLeft w:val="0"/>
      <w:marRight w:val="0"/>
      <w:marTop w:val="0"/>
      <w:marBottom w:val="0"/>
      <w:divBdr>
        <w:top w:val="none" w:sz="0" w:space="0" w:color="auto"/>
        <w:left w:val="none" w:sz="0" w:space="0" w:color="auto"/>
        <w:bottom w:val="none" w:sz="0" w:space="0" w:color="auto"/>
        <w:right w:val="none" w:sz="0" w:space="0" w:color="auto"/>
      </w:divBdr>
    </w:div>
    <w:div w:id="1365519973">
      <w:bodyDiv w:val="1"/>
      <w:marLeft w:val="0"/>
      <w:marRight w:val="0"/>
      <w:marTop w:val="0"/>
      <w:marBottom w:val="0"/>
      <w:divBdr>
        <w:top w:val="none" w:sz="0" w:space="0" w:color="auto"/>
        <w:left w:val="none" w:sz="0" w:space="0" w:color="auto"/>
        <w:bottom w:val="none" w:sz="0" w:space="0" w:color="auto"/>
        <w:right w:val="none" w:sz="0" w:space="0" w:color="auto"/>
      </w:divBdr>
    </w:div>
    <w:div w:id="1368749520">
      <w:bodyDiv w:val="1"/>
      <w:marLeft w:val="0"/>
      <w:marRight w:val="0"/>
      <w:marTop w:val="0"/>
      <w:marBottom w:val="0"/>
      <w:divBdr>
        <w:top w:val="none" w:sz="0" w:space="0" w:color="auto"/>
        <w:left w:val="none" w:sz="0" w:space="0" w:color="auto"/>
        <w:bottom w:val="none" w:sz="0" w:space="0" w:color="auto"/>
        <w:right w:val="none" w:sz="0" w:space="0" w:color="auto"/>
      </w:divBdr>
    </w:div>
    <w:div w:id="1369992979">
      <w:bodyDiv w:val="1"/>
      <w:marLeft w:val="0"/>
      <w:marRight w:val="0"/>
      <w:marTop w:val="0"/>
      <w:marBottom w:val="0"/>
      <w:divBdr>
        <w:top w:val="none" w:sz="0" w:space="0" w:color="auto"/>
        <w:left w:val="none" w:sz="0" w:space="0" w:color="auto"/>
        <w:bottom w:val="none" w:sz="0" w:space="0" w:color="auto"/>
        <w:right w:val="none" w:sz="0" w:space="0" w:color="auto"/>
      </w:divBdr>
    </w:div>
    <w:div w:id="1370763952">
      <w:bodyDiv w:val="1"/>
      <w:marLeft w:val="0"/>
      <w:marRight w:val="0"/>
      <w:marTop w:val="0"/>
      <w:marBottom w:val="0"/>
      <w:divBdr>
        <w:top w:val="none" w:sz="0" w:space="0" w:color="auto"/>
        <w:left w:val="none" w:sz="0" w:space="0" w:color="auto"/>
        <w:bottom w:val="none" w:sz="0" w:space="0" w:color="auto"/>
        <w:right w:val="none" w:sz="0" w:space="0" w:color="auto"/>
      </w:divBdr>
    </w:div>
    <w:div w:id="1373075789">
      <w:bodyDiv w:val="1"/>
      <w:marLeft w:val="0"/>
      <w:marRight w:val="0"/>
      <w:marTop w:val="0"/>
      <w:marBottom w:val="0"/>
      <w:divBdr>
        <w:top w:val="none" w:sz="0" w:space="0" w:color="auto"/>
        <w:left w:val="none" w:sz="0" w:space="0" w:color="auto"/>
        <w:bottom w:val="none" w:sz="0" w:space="0" w:color="auto"/>
        <w:right w:val="none" w:sz="0" w:space="0" w:color="auto"/>
      </w:divBdr>
    </w:div>
    <w:div w:id="1373732426">
      <w:bodyDiv w:val="1"/>
      <w:marLeft w:val="0"/>
      <w:marRight w:val="0"/>
      <w:marTop w:val="0"/>
      <w:marBottom w:val="0"/>
      <w:divBdr>
        <w:top w:val="none" w:sz="0" w:space="0" w:color="auto"/>
        <w:left w:val="none" w:sz="0" w:space="0" w:color="auto"/>
        <w:bottom w:val="none" w:sz="0" w:space="0" w:color="auto"/>
        <w:right w:val="none" w:sz="0" w:space="0" w:color="auto"/>
      </w:divBdr>
    </w:div>
    <w:div w:id="1373918590">
      <w:bodyDiv w:val="1"/>
      <w:marLeft w:val="0"/>
      <w:marRight w:val="0"/>
      <w:marTop w:val="0"/>
      <w:marBottom w:val="0"/>
      <w:divBdr>
        <w:top w:val="none" w:sz="0" w:space="0" w:color="auto"/>
        <w:left w:val="none" w:sz="0" w:space="0" w:color="auto"/>
        <w:bottom w:val="none" w:sz="0" w:space="0" w:color="auto"/>
        <w:right w:val="none" w:sz="0" w:space="0" w:color="auto"/>
      </w:divBdr>
    </w:div>
    <w:div w:id="1378512059">
      <w:bodyDiv w:val="1"/>
      <w:marLeft w:val="0"/>
      <w:marRight w:val="0"/>
      <w:marTop w:val="0"/>
      <w:marBottom w:val="0"/>
      <w:divBdr>
        <w:top w:val="none" w:sz="0" w:space="0" w:color="auto"/>
        <w:left w:val="none" w:sz="0" w:space="0" w:color="auto"/>
        <w:bottom w:val="none" w:sz="0" w:space="0" w:color="auto"/>
        <w:right w:val="none" w:sz="0" w:space="0" w:color="auto"/>
      </w:divBdr>
    </w:div>
    <w:div w:id="1380939603">
      <w:bodyDiv w:val="1"/>
      <w:marLeft w:val="0"/>
      <w:marRight w:val="0"/>
      <w:marTop w:val="0"/>
      <w:marBottom w:val="0"/>
      <w:divBdr>
        <w:top w:val="none" w:sz="0" w:space="0" w:color="auto"/>
        <w:left w:val="none" w:sz="0" w:space="0" w:color="auto"/>
        <w:bottom w:val="none" w:sz="0" w:space="0" w:color="auto"/>
        <w:right w:val="none" w:sz="0" w:space="0" w:color="auto"/>
      </w:divBdr>
    </w:div>
    <w:div w:id="1383749745">
      <w:bodyDiv w:val="1"/>
      <w:marLeft w:val="0"/>
      <w:marRight w:val="0"/>
      <w:marTop w:val="0"/>
      <w:marBottom w:val="0"/>
      <w:divBdr>
        <w:top w:val="none" w:sz="0" w:space="0" w:color="auto"/>
        <w:left w:val="none" w:sz="0" w:space="0" w:color="auto"/>
        <w:bottom w:val="none" w:sz="0" w:space="0" w:color="auto"/>
        <w:right w:val="none" w:sz="0" w:space="0" w:color="auto"/>
      </w:divBdr>
    </w:div>
    <w:div w:id="1385373118">
      <w:bodyDiv w:val="1"/>
      <w:marLeft w:val="0"/>
      <w:marRight w:val="0"/>
      <w:marTop w:val="0"/>
      <w:marBottom w:val="0"/>
      <w:divBdr>
        <w:top w:val="none" w:sz="0" w:space="0" w:color="auto"/>
        <w:left w:val="none" w:sz="0" w:space="0" w:color="auto"/>
        <w:bottom w:val="none" w:sz="0" w:space="0" w:color="auto"/>
        <w:right w:val="none" w:sz="0" w:space="0" w:color="auto"/>
      </w:divBdr>
    </w:div>
    <w:div w:id="1389763042">
      <w:bodyDiv w:val="1"/>
      <w:marLeft w:val="0"/>
      <w:marRight w:val="0"/>
      <w:marTop w:val="0"/>
      <w:marBottom w:val="0"/>
      <w:divBdr>
        <w:top w:val="none" w:sz="0" w:space="0" w:color="auto"/>
        <w:left w:val="none" w:sz="0" w:space="0" w:color="auto"/>
        <w:bottom w:val="none" w:sz="0" w:space="0" w:color="auto"/>
        <w:right w:val="none" w:sz="0" w:space="0" w:color="auto"/>
      </w:divBdr>
    </w:div>
    <w:div w:id="1390036681">
      <w:bodyDiv w:val="1"/>
      <w:marLeft w:val="0"/>
      <w:marRight w:val="0"/>
      <w:marTop w:val="0"/>
      <w:marBottom w:val="0"/>
      <w:divBdr>
        <w:top w:val="none" w:sz="0" w:space="0" w:color="auto"/>
        <w:left w:val="none" w:sz="0" w:space="0" w:color="auto"/>
        <w:bottom w:val="none" w:sz="0" w:space="0" w:color="auto"/>
        <w:right w:val="none" w:sz="0" w:space="0" w:color="auto"/>
      </w:divBdr>
    </w:div>
    <w:div w:id="1390346905">
      <w:bodyDiv w:val="1"/>
      <w:marLeft w:val="0"/>
      <w:marRight w:val="0"/>
      <w:marTop w:val="0"/>
      <w:marBottom w:val="0"/>
      <w:divBdr>
        <w:top w:val="none" w:sz="0" w:space="0" w:color="auto"/>
        <w:left w:val="none" w:sz="0" w:space="0" w:color="auto"/>
        <w:bottom w:val="none" w:sz="0" w:space="0" w:color="auto"/>
        <w:right w:val="none" w:sz="0" w:space="0" w:color="auto"/>
      </w:divBdr>
    </w:div>
    <w:div w:id="1393894206">
      <w:bodyDiv w:val="1"/>
      <w:marLeft w:val="0"/>
      <w:marRight w:val="0"/>
      <w:marTop w:val="0"/>
      <w:marBottom w:val="0"/>
      <w:divBdr>
        <w:top w:val="none" w:sz="0" w:space="0" w:color="auto"/>
        <w:left w:val="none" w:sz="0" w:space="0" w:color="auto"/>
        <w:bottom w:val="none" w:sz="0" w:space="0" w:color="auto"/>
        <w:right w:val="none" w:sz="0" w:space="0" w:color="auto"/>
      </w:divBdr>
    </w:div>
    <w:div w:id="1394695806">
      <w:bodyDiv w:val="1"/>
      <w:marLeft w:val="0"/>
      <w:marRight w:val="0"/>
      <w:marTop w:val="0"/>
      <w:marBottom w:val="0"/>
      <w:divBdr>
        <w:top w:val="none" w:sz="0" w:space="0" w:color="auto"/>
        <w:left w:val="none" w:sz="0" w:space="0" w:color="auto"/>
        <w:bottom w:val="none" w:sz="0" w:space="0" w:color="auto"/>
        <w:right w:val="none" w:sz="0" w:space="0" w:color="auto"/>
      </w:divBdr>
    </w:div>
    <w:div w:id="1396783064">
      <w:bodyDiv w:val="1"/>
      <w:marLeft w:val="0"/>
      <w:marRight w:val="0"/>
      <w:marTop w:val="0"/>
      <w:marBottom w:val="0"/>
      <w:divBdr>
        <w:top w:val="none" w:sz="0" w:space="0" w:color="auto"/>
        <w:left w:val="none" w:sz="0" w:space="0" w:color="auto"/>
        <w:bottom w:val="none" w:sz="0" w:space="0" w:color="auto"/>
        <w:right w:val="none" w:sz="0" w:space="0" w:color="auto"/>
      </w:divBdr>
    </w:div>
    <w:div w:id="1396851122">
      <w:bodyDiv w:val="1"/>
      <w:marLeft w:val="0"/>
      <w:marRight w:val="0"/>
      <w:marTop w:val="0"/>
      <w:marBottom w:val="0"/>
      <w:divBdr>
        <w:top w:val="none" w:sz="0" w:space="0" w:color="auto"/>
        <w:left w:val="none" w:sz="0" w:space="0" w:color="auto"/>
        <w:bottom w:val="none" w:sz="0" w:space="0" w:color="auto"/>
        <w:right w:val="none" w:sz="0" w:space="0" w:color="auto"/>
      </w:divBdr>
    </w:div>
    <w:div w:id="1396969362">
      <w:bodyDiv w:val="1"/>
      <w:marLeft w:val="0"/>
      <w:marRight w:val="0"/>
      <w:marTop w:val="0"/>
      <w:marBottom w:val="0"/>
      <w:divBdr>
        <w:top w:val="none" w:sz="0" w:space="0" w:color="auto"/>
        <w:left w:val="none" w:sz="0" w:space="0" w:color="auto"/>
        <w:bottom w:val="none" w:sz="0" w:space="0" w:color="auto"/>
        <w:right w:val="none" w:sz="0" w:space="0" w:color="auto"/>
      </w:divBdr>
    </w:div>
    <w:div w:id="1396978019">
      <w:bodyDiv w:val="1"/>
      <w:marLeft w:val="0"/>
      <w:marRight w:val="0"/>
      <w:marTop w:val="0"/>
      <w:marBottom w:val="0"/>
      <w:divBdr>
        <w:top w:val="none" w:sz="0" w:space="0" w:color="auto"/>
        <w:left w:val="none" w:sz="0" w:space="0" w:color="auto"/>
        <w:bottom w:val="none" w:sz="0" w:space="0" w:color="auto"/>
        <w:right w:val="none" w:sz="0" w:space="0" w:color="auto"/>
      </w:divBdr>
    </w:div>
    <w:div w:id="1402366438">
      <w:bodyDiv w:val="1"/>
      <w:marLeft w:val="0"/>
      <w:marRight w:val="0"/>
      <w:marTop w:val="0"/>
      <w:marBottom w:val="0"/>
      <w:divBdr>
        <w:top w:val="none" w:sz="0" w:space="0" w:color="auto"/>
        <w:left w:val="none" w:sz="0" w:space="0" w:color="auto"/>
        <w:bottom w:val="none" w:sz="0" w:space="0" w:color="auto"/>
        <w:right w:val="none" w:sz="0" w:space="0" w:color="auto"/>
      </w:divBdr>
    </w:div>
    <w:div w:id="1411121316">
      <w:bodyDiv w:val="1"/>
      <w:marLeft w:val="0"/>
      <w:marRight w:val="0"/>
      <w:marTop w:val="0"/>
      <w:marBottom w:val="0"/>
      <w:divBdr>
        <w:top w:val="none" w:sz="0" w:space="0" w:color="auto"/>
        <w:left w:val="none" w:sz="0" w:space="0" w:color="auto"/>
        <w:bottom w:val="none" w:sz="0" w:space="0" w:color="auto"/>
        <w:right w:val="none" w:sz="0" w:space="0" w:color="auto"/>
      </w:divBdr>
    </w:div>
    <w:div w:id="1412122791">
      <w:bodyDiv w:val="1"/>
      <w:marLeft w:val="0"/>
      <w:marRight w:val="0"/>
      <w:marTop w:val="0"/>
      <w:marBottom w:val="0"/>
      <w:divBdr>
        <w:top w:val="none" w:sz="0" w:space="0" w:color="auto"/>
        <w:left w:val="none" w:sz="0" w:space="0" w:color="auto"/>
        <w:bottom w:val="none" w:sz="0" w:space="0" w:color="auto"/>
        <w:right w:val="none" w:sz="0" w:space="0" w:color="auto"/>
      </w:divBdr>
    </w:div>
    <w:div w:id="1412317995">
      <w:bodyDiv w:val="1"/>
      <w:marLeft w:val="0"/>
      <w:marRight w:val="0"/>
      <w:marTop w:val="0"/>
      <w:marBottom w:val="0"/>
      <w:divBdr>
        <w:top w:val="none" w:sz="0" w:space="0" w:color="auto"/>
        <w:left w:val="none" w:sz="0" w:space="0" w:color="auto"/>
        <w:bottom w:val="none" w:sz="0" w:space="0" w:color="auto"/>
        <w:right w:val="none" w:sz="0" w:space="0" w:color="auto"/>
      </w:divBdr>
    </w:div>
    <w:div w:id="1412459593">
      <w:bodyDiv w:val="1"/>
      <w:marLeft w:val="0"/>
      <w:marRight w:val="0"/>
      <w:marTop w:val="0"/>
      <w:marBottom w:val="0"/>
      <w:divBdr>
        <w:top w:val="none" w:sz="0" w:space="0" w:color="auto"/>
        <w:left w:val="none" w:sz="0" w:space="0" w:color="auto"/>
        <w:bottom w:val="none" w:sz="0" w:space="0" w:color="auto"/>
        <w:right w:val="none" w:sz="0" w:space="0" w:color="auto"/>
      </w:divBdr>
    </w:div>
    <w:div w:id="1412777849">
      <w:bodyDiv w:val="1"/>
      <w:marLeft w:val="0"/>
      <w:marRight w:val="0"/>
      <w:marTop w:val="0"/>
      <w:marBottom w:val="0"/>
      <w:divBdr>
        <w:top w:val="none" w:sz="0" w:space="0" w:color="auto"/>
        <w:left w:val="none" w:sz="0" w:space="0" w:color="auto"/>
        <w:bottom w:val="none" w:sz="0" w:space="0" w:color="auto"/>
        <w:right w:val="none" w:sz="0" w:space="0" w:color="auto"/>
      </w:divBdr>
    </w:div>
    <w:div w:id="1413547562">
      <w:bodyDiv w:val="1"/>
      <w:marLeft w:val="0"/>
      <w:marRight w:val="0"/>
      <w:marTop w:val="0"/>
      <w:marBottom w:val="0"/>
      <w:divBdr>
        <w:top w:val="none" w:sz="0" w:space="0" w:color="auto"/>
        <w:left w:val="none" w:sz="0" w:space="0" w:color="auto"/>
        <w:bottom w:val="none" w:sz="0" w:space="0" w:color="auto"/>
        <w:right w:val="none" w:sz="0" w:space="0" w:color="auto"/>
      </w:divBdr>
    </w:div>
    <w:div w:id="1416123624">
      <w:bodyDiv w:val="1"/>
      <w:marLeft w:val="0"/>
      <w:marRight w:val="0"/>
      <w:marTop w:val="0"/>
      <w:marBottom w:val="0"/>
      <w:divBdr>
        <w:top w:val="none" w:sz="0" w:space="0" w:color="auto"/>
        <w:left w:val="none" w:sz="0" w:space="0" w:color="auto"/>
        <w:bottom w:val="none" w:sz="0" w:space="0" w:color="auto"/>
        <w:right w:val="none" w:sz="0" w:space="0" w:color="auto"/>
      </w:divBdr>
    </w:div>
    <w:div w:id="1417748431">
      <w:bodyDiv w:val="1"/>
      <w:marLeft w:val="0"/>
      <w:marRight w:val="0"/>
      <w:marTop w:val="0"/>
      <w:marBottom w:val="0"/>
      <w:divBdr>
        <w:top w:val="none" w:sz="0" w:space="0" w:color="auto"/>
        <w:left w:val="none" w:sz="0" w:space="0" w:color="auto"/>
        <w:bottom w:val="none" w:sz="0" w:space="0" w:color="auto"/>
        <w:right w:val="none" w:sz="0" w:space="0" w:color="auto"/>
      </w:divBdr>
    </w:div>
    <w:div w:id="1419135925">
      <w:bodyDiv w:val="1"/>
      <w:marLeft w:val="0"/>
      <w:marRight w:val="0"/>
      <w:marTop w:val="0"/>
      <w:marBottom w:val="0"/>
      <w:divBdr>
        <w:top w:val="none" w:sz="0" w:space="0" w:color="auto"/>
        <w:left w:val="none" w:sz="0" w:space="0" w:color="auto"/>
        <w:bottom w:val="none" w:sz="0" w:space="0" w:color="auto"/>
        <w:right w:val="none" w:sz="0" w:space="0" w:color="auto"/>
      </w:divBdr>
    </w:div>
    <w:div w:id="1420372241">
      <w:bodyDiv w:val="1"/>
      <w:marLeft w:val="0"/>
      <w:marRight w:val="0"/>
      <w:marTop w:val="0"/>
      <w:marBottom w:val="0"/>
      <w:divBdr>
        <w:top w:val="none" w:sz="0" w:space="0" w:color="auto"/>
        <w:left w:val="none" w:sz="0" w:space="0" w:color="auto"/>
        <w:bottom w:val="none" w:sz="0" w:space="0" w:color="auto"/>
        <w:right w:val="none" w:sz="0" w:space="0" w:color="auto"/>
      </w:divBdr>
    </w:div>
    <w:div w:id="1421607173">
      <w:bodyDiv w:val="1"/>
      <w:marLeft w:val="0"/>
      <w:marRight w:val="0"/>
      <w:marTop w:val="0"/>
      <w:marBottom w:val="0"/>
      <w:divBdr>
        <w:top w:val="none" w:sz="0" w:space="0" w:color="auto"/>
        <w:left w:val="none" w:sz="0" w:space="0" w:color="auto"/>
        <w:bottom w:val="none" w:sz="0" w:space="0" w:color="auto"/>
        <w:right w:val="none" w:sz="0" w:space="0" w:color="auto"/>
      </w:divBdr>
    </w:div>
    <w:div w:id="1427270001">
      <w:bodyDiv w:val="1"/>
      <w:marLeft w:val="0"/>
      <w:marRight w:val="0"/>
      <w:marTop w:val="0"/>
      <w:marBottom w:val="0"/>
      <w:divBdr>
        <w:top w:val="none" w:sz="0" w:space="0" w:color="auto"/>
        <w:left w:val="none" w:sz="0" w:space="0" w:color="auto"/>
        <w:bottom w:val="none" w:sz="0" w:space="0" w:color="auto"/>
        <w:right w:val="none" w:sz="0" w:space="0" w:color="auto"/>
      </w:divBdr>
    </w:div>
    <w:div w:id="1430467923">
      <w:bodyDiv w:val="1"/>
      <w:marLeft w:val="0"/>
      <w:marRight w:val="0"/>
      <w:marTop w:val="0"/>
      <w:marBottom w:val="0"/>
      <w:divBdr>
        <w:top w:val="none" w:sz="0" w:space="0" w:color="auto"/>
        <w:left w:val="none" w:sz="0" w:space="0" w:color="auto"/>
        <w:bottom w:val="none" w:sz="0" w:space="0" w:color="auto"/>
        <w:right w:val="none" w:sz="0" w:space="0" w:color="auto"/>
      </w:divBdr>
    </w:div>
    <w:div w:id="1430931940">
      <w:bodyDiv w:val="1"/>
      <w:marLeft w:val="0"/>
      <w:marRight w:val="0"/>
      <w:marTop w:val="0"/>
      <w:marBottom w:val="0"/>
      <w:divBdr>
        <w:top w:val="none" w:sz="0" w:space="0" w:color="auto"/>
        <w:left w:val="none" w:sz="0" w:space="0" w:color="auto"/>
        <w:bottom w:val="none" w:sz="0" w:space="0" w:color="auto"/>
        <w:right w:val="none" w:sz="0" w:space="0" w:color="auto"/>
      </w:divBdr>
    </w:div>
    <w:div w:id="1431320334">
      <w:bodyDiv w:val="1"/>
      <w:marLeft w:val="0"/>
      <w:marRight w:val="0"/>
      <w:marTop w:val="0"/>
      <w:marBottom w:val="0"/>
      <w:divBdr>
        <w:top w:val="none" w:sz="0" w:space="0" w:color="auto"/>
        <w:left w:val="none" w:sz="0" w:space="0" w:color="auto"/>
        <w:bottom w:val="none" w:sz="0" w:space="0" w:color="auto"/>
        <w:right w:val="none" w:sz="0" w:space="0" w:color="auto"/>
      </w:divBdr>
    </w:div>
    <w:div w:id="1431899205">
      <w:bodyDiv w:val="1"/>
      <w:marLeft w:val="0"/>
      <w:marRight w:val="0"/>
      <w:marTop w:val="0"/>
      <w:marBottom w:val="0"/>
      <w:divBdr>
        <w:top w:val="none" w:sz="0" w:space="0" w:color="auto"/>
        <w:left w:val="none" w:sz="0" w:space="0" w:color="auto"/>
        <w:bottom w:val="none" w:sz="0" w:space="0" w:color="auto"/>
        <w:right w:val="none" w:sz="0" w:space="0" w:color="auto"/>
      </w:divBdr>
    </w:div>
    <w:div w:id="1434281935">
      <w:bodyDiv w:val="1"/>
      <w:marLeft w:val="0"/>
      <w:marRight w:val="0"/>
      <w:marTop w:val="0"/>
      <w:marBottom w:val="0"/>
      <w:divBdr>
        <w:top w:val="none" w:sz="0" w:space="0" w:color="auto"/>
        <w:left w:val="none" w:sz="0" w:space="0" w:color="auto"/>
        <w:bottom w:val="none" w:sz="0" w:space="0" w:color="auto"/>
        <w:right w:val="none" w:sz="0" w:space="0" w:color="auto"/>
      </w:divBdr>
    </w:div>
    <w:div w:id="1436513537">
      <w:bodyDiv w:val="1"/>
      <w:marLeft w:val="0"/>
      <w:marRight w:val="0"/>
      <w:marTop w:val="0"/>
      <w:marBottom w:val="0"/>
      <w:divBdr>
        <w:top w:val="none" w:sz="0" w:space="0" w:color="auto"/>
        <w:left w:val="none" w:sz="0" w:space="0" w:color="auto"/>
        <w:bottom w:val="none" w:sz="0" w:space="0" w:color="auto"/>
        <w:right w:val="none" w:sz="0" w:space="0" w:color="auto"/>
      </w:divBdr>
    </w:div>
    <w:div w:id="1437092721">
      <w:bodyDiv w:val="1"/>
      <w:marLeft w:val="0"/>
      <w:marRight w:val="0"/>
      <w:marTop w:val="0"/>
      <w:marBottom w:val="0"/>
      <w:divBdr>
        <w:top w:val="none" w:sz="0" w:space="0" w:color="auto"/>
        <w:left w:val="none" w:sz="0" w:space="0" w:color="auto"/>
        <w:bottom w:val="none" w:sz="0" w:space="0" w:color="auto"/>
        <w:right w:val="none" w:sz="0" w:space="0" w:color="auto"/>
      </w:divBdr>
    </w:div>
    <w:div w:id="1439720285">
      <w:bodyDiv w:val="1"/>
      <w:marLeft w:val="0"/>
      <w:marRight w:val="0"/>
      <w:marTop w:val="0"/>
      <w:marBottom w:val="0"/>
      <w:divBdr>
        <w:top w:val="none" w:sz="0" w:space="0" w:color="auto"/>
        <w:left w:val="none" w:sz="0" w:space="0" w:color="auto"/>
        <w:bottom w:val="none" w:sz="0" w:space="0" w:color="auto"/>
        <w:right w:val="none" w:sz="0" w:space="0" w:color="auto"/>
      </w:divBdr>
    </w:div>
    <w:div w:id="1442458341">
      <w:bodyDiv w:val="1"/>
      <w:marLeft w:val="0"/>
      <w:marRight w:val="0"/>
      <w:marTop w:val="0"/>
      <w:marBottom w:val="0"/>
      <w:divBdr>
        <w:top w:val="none" w:sz="0" w:space="0" w:color="auto"/>
        <w:left w:val="none" w:sz="0" w:space="0" w:color="auto"/>
        <w:bottom w:val="none" w:sz="0" w:space="0" w:color="auto"/>
        <w:right w:val="none" w:sz="0" w:space="0" w:color="auto"/>
      </w:divBdr>
    </w:div>
    <w:div w:id="1444573333">
      <w:bodyDiv w:val="1"/>
      <w:marLeft w:val="0"/>
      <w:marRight w:val="0"/>
      <w:marTop w:val="0"/>
      <w:marBottom w:val="0"/>
      <w:divBdr>
        <w:top w:val="none" w:sz="0" w:space="0" w:color="auto"/>
        <w:left w:val="none" w:sz="0" w:space="0" w:color="auto"/>
        <w:bottom w:val="none" w:sz="0" w:space="0" w:color="auto"/>
        <w:right w:val="none" w:sz="0" w:space="0" w:color="auto"/>
      </w:divBdr>
    </w:div>
    <w:div w:id="1446079440">
      <w:bodyDiv w:val="1"/>
      <w:marLeft w:val="0"/>
      <w:marRight w:val="0"/>
      <w:marTop w:val="0"/>
      <w:marBottom w:val="0"/>
      <w:divBdr>
        <w:top w:val="none" w:sz="0" w:space="0" w:color="auto"/>
        <w:left w:val="none" w:sz="0" w:space="0" w:color="auto"/>
        <w:bottom w:val="none" w:sz="0" w:space="0" w:color="auto"/>
        <w:right w:val="none" w:sz="0" w:space="0" w:color="auto"/>
      </w:divBdr>
    </w:div>
    <w:div w:id="1446339650">
      <w:bodyDiv w:val="1"/>
      <w:marLeft w:val="0"/>
      <w:marRight w:val="0"/>
      <w:marTop w:val="0"/>
      <w:marBottom w:val="0"/>
      <w:divBdr>
        <w:top w:val="none" w:sz="0" w:space="0" w:color="auto"/>
        <w:left w:val="none" w:sz="0" w:space="0" w:color="auto"/>
        <w:bottom w:val="none" w:sz="0" w:space="0" w:color="auto"/>
        <w:right w:val="none" w:sz="0" w:space="0" w:color="auto"/>
      </w:divBdr>
    </w:div>
    <w:div w:id="1446341738">
      <w:bodyDiv w:val="1"/>
      <w:marLeft w:val="0"/>
      <w:marRight w:val="0"/>
      <w:marTop w:val="0"/>
      <w:marBottom w:val="0"/>
      <w:divBdr>
        <w:top w:val="none" w:sz="0" w:space="0" w:color="auto"/>
        <w:left w:val="none" w:sz="0" w:space="0" w:color="auto"/>
        <w:bottom w:val="none" w:sz="0" w:space="0" w:color="auto"/>
        <w:right w:val="none" w:sz="0" w:space="0" w:color="auto"/>
      </w:divBdr>
    </w:div>
    <w:div w:id="1451314656">
      <w:bodyDiv w:val="1"/>
      <w:marLeft w:val="0"/>
      <w:marRight w:val="0"/>
      <w:marTop w:val="0"/>
      <w:marBottom w:val="0"/>
      <w:divBdr>
        <w:top w:val="none" w:sz="0" w:space="0" w:color="auto"/>
        <w:left w:val="none" w:sz="0" w:space="0" w:color="auto"/>
        <w:bottom w:val="none" w:sz="0" w:space="0" w:color="auto"/>
        <w:right w:val="none" w:sz="0" w:space="0" w:color="auto"/>
      </w:divBdr>
    </w:div>
    <w:div w:id="1452552719">
      <w:bodyDiv w:val="1"/>
      <w:marLeft w:val="0"/>
      <w:marRight w:val="0"/>
      <w:marTop w:val="0"/>
      <w:marBottom w:val="0"/>
      <w:divBdr>
        <w:top w:val="none" w:sz="0" w:space="0" w:color="auto"/>
        <w:left w:val="none" w:sz="0" w:space="0" w:color="auto"/>
        <w:bottom w:val="none" w:sz="0" w:space="0" w:color="auto"/>
        <w:right w:val="none" w:sz="0" w:space="0" w:color="auto"/>
      </w:divBdr>
    </w:div>
    <w:div w:id="1456099914">
      <w:bodyDiv w:val="1"/>
      <w:marLeft w:val="0"/>
      <w:marRight w:val="0"/>
      <w:marTop w:val="0"/>
      <w:marBottom w:val="0"/>
      <w:divBdr>
        <w:top w:val="none" w:sz="0" w:space="0" w:color="auto"/>
        <w:left w:val="none" w:sz="0" w:space="0" w:color="auto"/>
        <w:bottom w:val="none" w:sz="0" w:space="0" w:color="auto"/>
        <w:right w:val="none" w:sz="0" w:space="0" w:color="auto"/>
      </w:divBdr>
    </w:div>
    <w:div w:id="1457404938">
      <w:bodyDiv w:val="1"/>
      <w:marLeft w:val="0"/>
      <w:marRight w:val="0"/>
      <w:marTop w:val="0"/>
      <w:marBottom w:val="0"/>
      <w:divBdr>
        <w:top w:val="none" w:sz="0" w:space="0" w:color="auto"/>
        <w:left w:val="none" w:sz="0" w:space="0" w:color="auto"/>
        <w:bottom w:val="none" w:sz="0" w:space="0" w:color="auto"/>
        <w:right w:val="none" w:sz="0" w:space="0" w:color="auto"/>
      </w:divBdr>
    </w:div>
    <w:div w:id="1457486620">
      <w:bodyDiv w:val="1"/>
      <w:marLeft w:val="0"/>
      <w:marRight w:val="0"/>
      <w:marTop w:val="0"/>
      <w:marBottom w:val="0"/>
      <w:divBdr>
        <w:top w:val="none" w:sz="0" w:space="0" w:color="auto"/>
        <w:left w:val="none" w:sz="0" w:space="0" w:color="auto"/>
        <w:bottom w:val="none" w:sz="0" w:space="0" w:color="auto"/>
        <w:right w:val="none" w:sz="0" w:space="0" w:color="auto"/>
      </w:divBdr>
    </w:div>
    <w:div w:id="1459185325">
      <w:bodyDiv w:val="1"/>
      <w:marLeft w:val="0"/>
      <w:marRight w:val="0"/>
      <w:marTop w:val="0"/>
      <w:marBottom w:val="0"/>
      <w:divBdr>
        <w:top w:val="none" w:sz="0" w:space="0" w:color="auto"/>
        <w:left w:val="none" w:sz="0" w:space="0" w:color="auto"/>
        <w:bottom w:val="none" w:sz="0" w:space="0" w:color="auto"/>
        <w:right w:val="none" w:sz="0" w:space="0" w:color="auto"/>
      </w:divBdr>
    </w:div>
    <w:div w:id="1459643717">
      <w:bodyDiv w:val="1"/>
      <w:marLeft w:val="0"/>
      <w:marRight w:val="0"/>
      <w:marTop w:val="0"/>
      <w:marBottom w:val="0"/>
      <w:divBdr>
        <w:top w:val="none" w:sz="0" w:space="0" w:color="auto"/>
        <w:left w:val="none" w:sz="0" w:space="0" w:color="auto"/>
        <w:bottom w:val="none" w:sz="0" w:space="0" w:color="auto"/>
        <w:right w:val="none" w:sz="0" w:space="0" w:color="auto"/>
      </w:divBdr>
    </w:div>
    <w:div w:id="1463501695">
      <w:bodyDiv w:val="1"/>
      <w:marLeft w:val="0"/>
      <w:marRight w:val="0"/>
      <w:marTop w:val="0"/>
      <w:marBottom w:val="0"/>
      <w:divBdr>
        <w:top w:val="none" w:sz="0" w:space="0" w:color="auto"/>
        <w:left w:val="none" w:sz="0" w:space="0" w:color="auto"/>
        <w:bottom w:val="none" w:sz="0" w:space="0" w:color="auto"/>
        <w:right w:val="none" w:sz="0" w:space="0" w:color="auto"/>
      </w:divBdr>
    </w:div>
    <w:div w:id="1464427417">
      <w:bodyDiv w:val="1"/>
      <w:marLeft w:val="0"/>
      <w:marRight w:val="0"/>
      <w:marTop w:val="0"/>
      <w:marBottom w:val="0"/>
      <w:divBdr>
        <w:top w:val="none" w:sz="0" w:space="0" w:color="auto"/>
        <w:left w:val="none" w:sz="0" w:space="0" w:color="auto"/>
        <w:bottom w:val="none" w:sz="0" w:space="0" w:color="auto"/>
        <w:right w:val="none" w:sz="0" w:space="0" w:color="auto"/>
      </w:divBdr>
    </w:div>
    <w:div w:id="1467819850">
      <w:bodyDiv w:val="1"/>
      <w:marLeft w:val="0"/>
      <w:marRight w:val="0"/>
      <w:marTop w:val="0"/>
      <w:marBottom w:val="0"/>
      <w:divBdr>
        <w:top w:val="none" w:sz="0" w:space="0" w:color="auto"/>
        <w:left w:val="none" w:sz="0" w:space="0" w:color="auto"/>
        <w:bottom w:val="none" w:sz="0" w:space="0" w:color="auto"/>
        <w:right w:val="none" w:sz="0" w:space="0" w:color="auto"/>
      </w:divBdr>
    </w:div>
    <w:div w:id="1468624825">
      <w:bodyDiv w:val="1"/>
      <w:marLeft w:val="0"/>
      <w:marRight w:val="0"/>
      <w:marTop w:val="0"/>
      <w:marBottom w:val="0"/>
      <w:divBdr>
        <w:top w:val="none" w:sz="0" w:space="0" w:color="auto"/>
        <w:left w:val="none" w:sz="0" w:space="0" w:color="auto"/>
        <w:bottom w:val="none" w:sz="0" w:space="0" w:color="auto"/>
        <w:right w:val="none" w:sz="0" w:space="0" w:color="auto"/>
      </w:divBdr>
    </w:div>
    <w:div w:id="1468745478">
      <w:bodyDiv w:val="1"/>
      <w:marLeft w:val="0"/>
      <w:marRight w:val="0"/>
      <w:marTop w:val="0"/>
      <w:marBottom w:val="0"/>
      <w:divBdr>
        <w:top w:val="none" w:sz="0" w:space="0" w:color="auto"/>
        <w:left w:val="none" w:sz="0" w:space="0" w:color="auto"/>
        <w:bottom w:val="none" w:sz="0" w:space="0" w:color="auto"/>
        <w:right w:val="none" w:sz="0" w:space="0" w:color="auto"/>
      </w:divBdr>
    </w:div>
    <w:div w:id="1469124235">
      <w:bodyDiv w:val="1"/>
      <w:marLeft w:val="0"/>
      <w:marRight w:val="0"/>
      <w:marTop w:val="0"/>
      <w:marBottom w:val="0"/>
      <w:divBdr>
        <w:top w:val="none" w:sz="0" w:space="0" w:color="auto"/>
        <w:left w:val="none" w:sz="0" w:space="0" w:color="auto"/>
        <w:bottom w:val="none" w:sz="0" w:space="0" w:color="auto"/>
        <w:right w:val="none" w:sz="0" w:space="0" w:color="auto"/>
      </w:divBdr>
    </w:div>
    <w:div w:id="1473139710">
      <w:bodyDiv w:val="1"/>
      <w:marLeft w:val="0"/>
      <w:marRight w:val="0"/>
      <w:marTop w:val="0"/>
      <w:marBottom w:val="0"/>
      <w:divBdr>
        <w:top w:val="none" w:sz="0" w:space="0" w:color="auto"/>
        <w:left w:val="none" w:sz="0" w:space="0" w:color="auto"/>
        <w:bottom w:val="none" w:sz="0" w:space="0" w:color="auto"/>
        <w:right w:val="none" w:sz="0" w:space="0" w:color="auto"/>
      </w:divBdr>
    </w:div>
    <w:div w:id="1473255531">
      <w:bodyDiv w:val="1"/>
      <w:marLeft w:val="0"/>
      <w:marRight w:val="0"/>
      <w:marTop w:val="0"/>
      <w:marBottom w:val="0"/>
      <w:divBdr>
        <w:top w:val="none" w:sz="0" w:space="0" w:color="auto"/>
        <w:left w:val="none" w:sz="0" w:space="0" w:color="auto"/>
        <w:bottom w:val="none" w:sz="0" w:space="0" w:color="auto"/>
        <w:right w:val="none" w:sz="0" w:space="0" w:color="auto"/>
      </w:divBdr>
    </w:div>
    <w:div w:id="1473331451">
      <w:bodyDiv w:val="1"/>
      <w:marLeft w:val="0"/>
      <w:marRight w:val="0"/>
      <w:marTop w:val="0"/>
      <w:marBottom w:val="0"/>
      <w:divBdr>
        <w:top w:val="none" w:sz="0" w:space="0" w:color="auto"/>
        <w:left w:val="none" w:sz="0" w:space="0" w:color="auto"/>
        <w:bottom w:val="none" w:sz="0" w:space="0" w:color="auto"/>
        <w:right w:val="none" w:sz="0" w:space="0" w:color="auto"/>
      </w:divBdr>
    </w:div>
    <w:div w:id="1473407192">
      <w:bodyDiv w:val="1"/>
      <w:marLeft w:val="0"/>
      <w:marRight w:val="0"/>
      <w:marTop w:val="0"/>
      <w:marBottom w:val="0"/>
      <w:divBdr>
        <w:top w:val="none" w:sz="0" w:space="0" w:color="auto"/>
        <w:left w:val="none" w:sz="0" w:space="0" w:color="auto"/>
        <w:bottom w:val="none" w:sz="0" w:space="0" w:color="auto"/>
        <w:right w:val="none" w:sz="0" w:space="0" w:color="auto"/>
      </w:divBdr>
    </w:div>
    <w:div w:id="1474252917">
      <w:bodyDiv w:val="1"/>
      <w:marLeft w:val="0"/>
      <w:marRight w:val="0"/>
      <w:marTop w:val="0"/>
      <w:marBottom w:val="0"/>
      <w:divBdr>
        <w:top w:val="none" w:sz="0" w:space="0" w:color="auto"/>
        <w:left w:val="none" w:sz="0" w:space="0" w:color="auto"/>
        <w:bottom w:val="none" w:sz="0" w:space="0" w:color="auto"/>
        <w:right w:val="none" w:sz="0" w:space="0" w:color="auto"/>
      </w:divBdr>
    </w:div>
    <w:div w:id="1475289597">
      <w:bodyDiv w:val="1"/>
      <w:marLeft w:val="0"/>
      <w:marRight w:val="0"/>
      <w:marTop w:val="0"/>
      <w:marBottom w:val="0"/>
      <w:divBdr>
        <w:top w:val="none" w:sz="0" w:space="0" w:color="auto"/>
        <w:left w:val="none" w:sz="0" w:space="0" w:color="auto"/>
        <w:bottom w:val="none" w:sz="0" w:space="0" w:color="auto"/>
        <w:right w:val="none" w:sz="0" w:space="0" w:color="auto"/>
      </w:divBdr>
    </w:div>
    <w:div w:id="1475684300">
      <w:bodyDiv w:val="1"/>
      <w:marLeft w:val="0"/>
      <w:marRight w:val="0"/>
      <w:marTop w:val="0"/>
      <w:marBottom w:val="0"/>
      <w:divBdr>
        <w:top w:val="none" w:sz="0" w:space="0" w:color="auto"/>
        <w:left w:val="none" w:sz="0" w:space="0" w:color="auto"/>
        <w:bottom w:val="none" w:sz="0" w:space="0" w:color="auto"/>
        <w:right w:val="none" w:sz="0" w:space="0" w:color="auto"/>
      </w:divBdr>
    </w:div>
    <w:div w:id="1475831979">
      <w:bodyDiv w:val="1"/>
      <w:marLeft w:val="0"/>
      <w:marRight w:val="0"/>
      <w:marTop w:val="0"/>
      <w:marBottom w:val="0"/>
      <w:divBdr>
        <w:top w:val="none" w:sz="0" w:space="0" w:color="auto"/>
        <w:left w:val="none" w:sz="0" w:space="0" w:color="auto"/>
        <w:bottom w:val="none" w:sz="0" w:space="0" w:color="auto"/>
        <w:right w:val="none" w:sz="0" w:space="0" w:color="auto"/>
      </w:divBdr>
    </w:div>
    <w:div w:id="1475950707">
      <w:bodyDiv w:val="1"/>
      <w:marLeft w:val="0"/>
      <w:marRight w:val="0"/>
      <w:marTop w:val="0"/>
      <w:marBottom w:val="0"/>
      <w:divBdr>
        <w:top w:val="none" w:sz="0" w:space="0" w:color="auto"/>
        <w:left w:val="none" w:sz="0" w:space="0" w:color="auto"/>
        <w:bottom w:val="none" w:sz="0" w:space="0" w:color="auto"/>
        <w:right w:val="none" w:sz="0" w:space="0" w:color="auto"/>
      </w:divBdr>
    </w:div>
    <w:div w:id="1476989466">
      <w:bodyDiv w:val="1"/>
      <w:marLeft w:val="0"/>
      <w:marRight w:val="0"/>
      <w:marTop w:val="0"/>
      <w:marBottom w:val="0"/>
      <w:divBdr>
        <w:top w:val="none" w:sz="0" w:space="0" w:color="auto"/>
        <w:left w:val="none" w:sz="0" w:space="0" w:color="auto"/>
        <w:bottom w:val="none" w:sz="0" w:space="0" w:color="auto"/>
        <w:right w:val="none" w:sz="0" w:space="0" w:color="auto"/>
      </w:divBdr>
    </w:div>
    <w:div w:id="1478185745">
      <w:bodyDiv w:val="1"/>
      <w:marLeft w:val="0"/>
      <w:marRight w:val="0"/>
      <w:marTop w:val="0"/>
      <w:marBottom w:val="0"/>
      <w:divBdr>
        <w:top w:val="none" w:sz="0" w:space="0" w:color="auto"/>
        <w:left w:val="none" w:sz="0" w:space="0" w:color="auto"/>
        <w:bottom w:val="none" w:sz="0" w:space="0" w:color="auto"/>
        <w:right w:val="none" w:sz="0" w:space="0" w:color="auto"/>
      </w:divBdr>
    </w:div>
    <w:div w:id="1481263981">
      <w:bodyDiv w:val="1"/>
      <w:marLeft w:val="0"/>
      <w:marRight w:val="0"/>
      <w:marTop w:val="0"/>
      <w:marBottom w:val="0"/>
      <w:divBdr>
        <w:top w:val="none" w:sz="0" w:space="0" w:color="auto"/>
        <w:left w:val="none" w:sz="0" w:space="0" w:color="auto"/>
        <w:bottom w:val="none" w:sz="0" w:space="0" w:color="auto"/>
        <w:right w:val="none" w:sz="0" w:space="0" w:color="auto"/>
      </w:divBdr>
    </w:div>
    <w:div w:id="1483037297">
      <w:bodyDiv w:val="1"/>
      <w:marLeft w:val="0"/>
      <w:marRight w:val="0"/>
      <w:marTop w:val="0"/>
      <w:marBottom w:val="0"/>
      <w:divBdr>
        <w:top w:val="none" w:sz="0" w:space="0" w:color="auto"/>
        <w:left w:val="none" w:sz="0" w:space="0" w:color="auto"/>
        <w:bottom w:val="none" w:sz="0" w:space="0" w:color="auto"/>
        <w:right w:val="none" w:sz="0" w:space="0" w:color="auto"/>
      </w:divBdr>
    </w:div>
    <w:div w:id="1483886322">
      <w:bodyDiv w:val="1"/>
      <w:marLeft w:val="0"/>
      <w:marRight w:val="0"/>
      <w:marTop w:val="0"/>
      <w:marBottom w:val="0"/>
      <w:divBdr>
        <w:top w:val="none" w:sz="0" w:space="0" w:color="auto"/>
        <w:left w:val="none" w:sz="0" w:space="0" w:color="auto"/>
        <w:bottom w:val="none" w:sz="0" w:space="0" w:color="auto"/>
        <w:right w:val="none" w:sz="0" w:space="0" w:color="auto"/>
      </w:divBdr>
    </w:div>
    <w:div w:id="1488740665">
      <w:bodyDiv w:val="1"/>
      <w:marLeft w:val="0"/>
      <w:marRight w:val="0"/>
      <w:marTop w:val="0"/>
      <w:marBottom w:val="0"/>
      <w:divBdr>
        <w:top w:val="none" w:sz="0" w:space="0" w:color="auto"/>
        <w:left w:val="none" w:sz="0" w:space="0" w:color="auto"/>
        <w:bottom w:val="none" w:sz="0" w:space="0" w:color="auto"/>
        <w:right w:val="none" w:sz="0" w:space="0" w:color="auto"/>
      </w:divBdr>
    </w:div>
    <w:div w:id="1489517950">
      <w:bodyDiv w:val="1"/>
      <w:marLeft w:val="0"/>
      <w:marRight w:val="0"/>
      <w:marTop w:val="0"/>
      <w:marBottom w:val="0"/>
      <w:divBdr>
        <w:top w:val="none" w:sz="0" w:space="0" w:color="auto"/>
        <w:left w:val="none" w:sz="0" w:space="0" w:color="auto"/>
        <w:bottom w:val="none" w:sz="0" w:space="0" w:color="auto"/>
        <w:right w:val="none" w:sz="0" w:space="0" w:color="auto"/>
      </w:divBdr>
    </w:div>
    <w:div w:id="1490517845">
      <w:bodyDiv w:val="1"/>
      <w:marLeft w:val="0"/>
      <w:marRight w:val="0"/>
      <w:marTop w:val="0"/>
      <w:marBottom w:val="0"/>
      <w:divBdr>
        <w:top w:val="none" w:sz="0" w:space="0" w:color="auto"/>
        <w:left w:val="none" w:sz="0" w:space="0" w:color="auto"/>
        <w:bottom w:val="none" w:sz="0" w:space="0" w:color="auto"/>
        <w:right w:val="none" w:sz="0" w:space="0" w:color="auto"/>
      </w:divBdr>
    </w:div>
    <w:div w:id="1491678083">
      <w:bodyDiv w:val="1"/>
      <w:marLeft w:val="0"/>
      <w:marRight w:val="0"/>
      <w:marTop w:val="0"/>
      <w:marBottom w:val="0"/>
      <w:divBdr>
        <w:top w:val="none" w:sz="0" w:space="0" w:color="auto"/>
        <w:left w:val="none" w:sz="0" w:space="0" w:color="auto"/>
        <w:bottom w:val="none" w:sz="0" w:space="0" w:color="auto"/>
        <w:right w:val="none" w:sz="0" w:space="0" w:color="auto"/>
      </w:divBdr>
    </w:div>
    <w:div w:id="1491798094">
      <w:bodyDiv w:val="1"/>
      <w:marLeft w:val="0"/>
      <w:marRight w:val="0"/>
      <w:marTop w:val="0"/>
      <w:marBottom w:val="0"/>
      <w:divBdr>
        <w:top w:val="none" w:sz="0" w:space="0" w:color="auto"/>
        <w:left w:val="none" w:sz="0" w:space="0" w:color="auto"/>
        <w:bottom w:val="none" w:sz="0" w:space="0" w:color="auto"/>
        <w:right w:val="none" w:sz="0" w:space="0" w:color="auto"/>
      </w:divBdr>
    </w:div>
    <w:div w:id="1496340816">
      <w:bodyDiv w:val="1"/>
      <w:marLeft w:val="0"/>
      <w:marRight w:val="0"/>
      <w:marTop w:val="0"/>
      <w:marBottom w:val="0"/>
      <w:divBdr>
        <w:top w:val="none" w:sz="0" w:space="0" w:color="auto"/>
        <w:left w:val="none" w:sz="0" w:space="0" w:color="auto"/>
        <w:bottom w:val="none" w:sz="0" w:space="0" w:color="auto"/>
        <w:right w:val="none" w:sz="0" w:space="0" w:color="auto"/>
      </w:divBdr>
    </w:div>
    <w:div w:id="1496414464">
      <w:bodyDiv w:val="1"/>
      <w:marLeft w:val="0"/>
      <w:marRight w:val="0"/>
      <w:marTop w:val="0"/>
      <w:marBottom w:val="0"/>
      <w:divBdr>
        <w:top w:val="none" w:sz="0" w:space="0" w:color="auto"/>
        <w:left w:val="none" w:sz="0" w:space="0" w:color="auto"/>
        <w:bottom w:val="none" w:sz="0" w:space="0" w:color="auto"/>
        <w:right w:val="none" w:sz="0" w:space="0" w:color="auto"/>
      </w:divBdr>
    </w:div>
    <w:div w:id="1498499349">
      <w:bodyDiv w:val="1"/>
      <w:marLeft w:val="0"/>
      <w:marRight w:val="0"/>
      <w:marTop w:val="0"/>
      <w:marBottom w:val="0"/>
      <w:divBdr>
        <w:top w:val="none" w:sz="0" w:space="0" w:color="auto"/>
        <w:left w:val="none" w:sz="0" w:space="0" w:color="auto"/>
        <w:bottom w:val="none" w:sz="0" w:space="0" w:color="auto"/>
        <w:right w:val="none" w:sz="0" w:space="0" w:color="auto"/>
      </w:divBdr>
    </w:div>
    <w:div w:id="1503396211">
      <w:bodyDiv w:val="1"/>
      <w:marLeft w:val="0"/>
      <w:marRight w:val="0"/>
      <w:marTop w:val="0"/>
      <w:marBottom w:val="0"/>
      <w:divBdr>
        <w:top w:val="none" w:sz="0" w:space="0" w:color="auto"/>
        <w:left w:val="none" w:sz="0" w:space="0" w:color="auto"/>
        <w:bottom w:val="none" w:sz="0" w:space="0" w:color="auto"/>
        <w:right w:val="none" w:sz="0" w:space="0" w:color="auto"/>
      </w:divBdr>
    </w:div>
    <w:div w:id="1505587572">
      <w:bodyDiv w:val="1"/>
      <w:marLeft w:val="0"/>
      <w:marRight w:val="0"/>
      <w:marTop w:val="0"/>
      <w:marBottom w:val="0"/>
      <w:divBdr>
        <w:top w:val="none" w:sz="0" w:space="0" w:color="auto"/>
        <w:left w:val="none" w:sz="0" w:space="0" w:color="auto"/>
        <w:bottom w:val="none" w:sz="0" w:space="0" w:color="auto"/>
        <w:right w:val="none" w:sz="0" w:space="0" w:color="auto"/>
      </w:divBdr>
    </w:div>
    <w:div w:id="1506827299">
      <w:bodyDiv w:val="1"/>
      <w:marLeft w:val="0"/>
      <w:marRight w:val="0"/>
      <w:marTop w:val="0"/>
      <w:marBottom w:val="0"/>
      <w:divBdr>
        <w:top w:val="none" w:sz="0" w:space="0" w:color="auto"/>
        <w:left w:val="none" w:sz="0" w:space="0" w:color="auto"/>
        <w:bottom w:val="none" w:sz="0" w:space="0" w:color="auto"/>
        <w:right w:val="none" w:sz="0" w:space="0" w:color="auto"/>
      </w:divBdr>
    </w:div>
    <w:div w:id="1509558892">
      <w:bodyDiv w:val="1"/>
      <w:marLeft w:val="0"/>
      <w:marRight w:val="0"/>
      <w:marTop w:val="0"/>
      <w:marBottom w:val="0"/>
      <w:divBdr>
        <w:top w:val="none" w:sz="0" w:space="0" w:color="auto"/>
        <w:left w:val="none" w:sz="0" w:space="0" w:color="auto"/>
        <w:bottom w:val="none" w:sz="0" w:space="0" w:color="auto"/>
        <w:right w:val="none" w:sz="0" w:space="0" w:color="auto"/>
      </w:divBdr>
    </w:div>
    <w:div w:id="1512716754">
      <w:bodyDiv w:val="1"/>
      <w:marLeft w:val="0"/>
      <w:marRight w:val="0"/>
      <w:marTop w:val="0"/>
      <w:marBottom w:val="0"/>
      <w:divBdr>
        <w:top w:val="none" w:sz="0" w:space="0" w:color="auto"/>
        <w:left w:val="none" w:sz="0" w:space="0" w:color="auto"/>
        <w:bottom w:val="none" w:sz="0" w:space="0" w:color="auto"/>
        <w:right w:val="none" w:sz="0" w:space="0" w:color="auto"/>
      </w:divBdr>
    </w:div>
    <w:div w:id="1513883209">
      <w:bodyDiv w:val="1"/>
      <w:marLeft w:val="0"/>
      <w:marRight w:val="0"/>
      <w:marTop w:val="0"/>
      <w:marBottom w:val="0"/>
      <w:divBdr>
        <w:top w:val="none" w:sz="0" w:space="0" w:color="auto"/>
        <w:left w:val="none" w:sz="0" w:space="0" w:color="auto"/>
        <w:bottom w:val="none" w:sz="0" w:space="0" w:color="auto"/>
        <w:right w:val="none" w:sz="0" w:space="0" w:color="auto"/>
      </w:divBdr>
    </w:div>
    <w:div w:id="1515342446">
      <w:bodyDiv w:val="1"/>
      <w:marLeft w:val="0"/>
      <w:marRight w:val="0"/>
      <w:marTop w:val="0"/>
      <w:marBottom w:val="0"/>
      <w:divBdr>
        <w:top w:val="none" w:sz="0" w:space="0" w:color="auto"/>
        <w:left w:val="none" w:sz="0" w:space="0" w:color="auto"/>
        <w:bottom w:val="none" w:sz="0" w:space="0" w:color="auto"/>
        <w:right w:val="none" w:sz="0" w:space="0" w:color="auto"/>
      </w:divBdr>
    </w:div>
    <w:div w:id="1516963787">
      <w:bodyDiv w:val="1"/>
      <w:marLeft w:val="0"/>
      <w:marRight w:val="0"/>
      <w:marTop w:val="0"/>
      <w:marBottom w:val="0"/>
      <w:divBdr>
        <w:top w:val="none" w:sz="0" w:space="0" w:color="auto"/>
        <w:left w:val="none" w:sz="0" w:space="0" w:color="auto"/>
        <w:bottom w:val="none" w:sz="0" w:space="0" w:color="auto"/>
        <w:right w:val="none" w:sz="0" w:space="0" w:color="auto"/>
      </w:divBdr>
    </w:div>
    <w:div w:id="1517575865">
      <w:bodyDiv w:val="1"/>
      <w:marLeft w:val="0"/>
      <w:marRight w:val="0"/>
      <w:marTop w:val="0"/>
      <w:marBottom w:val="0"/>
      <w:divBdr>
        <w:top w:val="none" w:sz="0" w:space="0" w:color="auto"/>
        <w:left w:val="none" w:sz="0" w:space="0" w:color="auto"/>
        <w:bottom w:val="none" w:sz="0" w:space="0" w:color="auto"/>
        <w:right w:val="none" w:sz="0" w:space="0" w:color="auto"/>
      </w:divBdr>
    </w:div>
    <w:div w:id="1518498216">
      <w:bodyDiv w:val="1"/>
      <w:marLeft w:val="0"/>
      <w:marRight w:val="0"/>
      <w:marTop w:val="0"/>
      <w:marBottom w:val="0"/>
      <w:divBdr>
        <w:top w:val="none" w:sz="0" w:space="0" w:color="auto"/>
        <w:left w:val="none" w:sz="0" w:space="0" w:color="auto"/>
        <w:bottom w:val="none" w:sz="0" w:space="0" w:color="auto"/>
        <w:right w:val="none" w:sz="0" w:space="0" w:color="auto"/>
      </w:divBdr>
    </w:div>
    <w:div w:id="1519199700">
      <w:bodyDiv w:val="1"/>
      <w:marLeft w:val="0"/>
      <w:marRight w:val="0"/>
      <w:marTop w:val="0"/>
      <w:marBottom w:val="0"/>
      <w:divBdr>
        <w:top w:val="none" w:sz="0" w:space="0" w:color="auto"/>
        <w:left w:val="none" w:sz="0" w:space="0" w:color="auto"/>
        <w:bottom w:val="none" w:sz="0" w:space="0" w:color="auto"/>
        <w:right w:val="none" w:sz="0" w:space="0" w:color="auto"/>
      </w:divBdr>
    </w:div>
    <w:div w:id="1522744352">
      <w:bodyDiv w:val="1"/>
      <w:marLeft w:val="0"/>
      <w:marRight w:val="0"/>
      <w:marTop w:val="0"/>
      <w:marBottom w:val="0"/>
      <w:divBdr>
        <w:top w:val="none" w:sz="0" w:space="0" w:color="auto"/>
        <w:left w:val="none" w:sz="0" w:space="0" w:color="auto"/>
        <w:bottom w:val="none" w:sz="0" w:space="0" w:color="auto"/>
        <w:right w:val="none" w:sz="0" w:space="0" w:color="auto"/>
      </w:divBdr>
    </w:div>
    <w:div w:id="1522744916">
      <w:bodyDiv w:val="1"/>
      <w:marLeft w:val="0"/>
      <w:marRight w:val="0"/>
      <w:marTop w:val="0"/>
      <w:marBottom w:val="0"/>
      <w:divBdr>
        <w:top w:val="none" w:sz="0" w:space="0" w:color="auto"/>
        <w:left w:val="none" w:sz="0" w:space="0" w:color="auto"/>
        <w:bottom w:val="none" w:sz="0" w:space="0" w:color="auto"/>
        <w:right w:val="none" w:sz="0" w:space="0" w:color="auto"/>
      </w:divBdr>
    </w:div>
    <w:div w:id="1525941585">
      <w:bodyDiv w:val="1"/>
      <w:marLeft w:val="0"/>
      <w:marRight w:val="0"/>
      <w:marTop w:val="0"/>
      <w:marBottom w:val="0"/>
      <w:divBdr>
        <w:top w:val="none" w:sz="0" w:space="0" w:color="auto"/>
        <w:left w:val="none" w:sz="0" w:space="0" w:color="auto"/>
        <w:bottom w:val="none" w:sz="0" w:space="0" w:color="auto"/>
        <w:right w:val="none" w:sz="0" w:space="0" w:color="auto"/>
      </w:divBdr>
    </w:div>
    <w:div w:id="1526094739">
      <w:bodyDiv w:val="1"/>
      <w:marLeft w:val="0"/>
      <w:marRight w:val="0"/>
      <w:marTop w:val="0"/>
      <w:marBottom w:val="0"/>
      <w:divBdr>
        <w:top w:val="none" w:sz="0" w:space="0" w:color="auto"/>
        <w:left w:val="none" w:sz="0" w:space="0" w:color="auto"/>
        <w:bottom w:val="none" w:sz="0" w:space="0" w:color="auto"/>
        <w:right w:val="none" w:sz="0" w:space="0" w:color="auto"/>
      </w:divBdr>
    </w:div>
    <w:div w:id="1526357976">
      <w:bodyDiv w:val="1"/>
      <w:marLeft w:val="0"/>
      <w:marRight w:val="0"/>
      <w:marTop w:val="0"/>
      <w:marBottom w:val="0"/>
      <w:divBdr>
        <w:top w:val="none" w:sz="0" w:space="0" w:color="auto"/>
        <w:left w:val="none" w:sz="0" w:space="0" w:color="auto"/>
        <w:bottom w:val="none" w:sz="0" w:space="0" w:color="auto"/>
        <w:right w:val="none" w:sz="0" w:space="0" w:color="auto"/>
      </w:divBdr>
    </w:div>
    <w:div w:id="1526676064">
      <w:bodyDiv w:val="1"/>
      <w:marLeft w:val="0"/>
      <w:marRight w:val="0"/>
      <w:marTop w:val="0"/>
      <w:marBottom w:val="0"/>
      <w:divBdr>
        <w:top w:val="none" w:sz="0" w:space="0" w:color="auto"/>
        <w:left w:val="none" w:sz="0" w:space="0" w:color="auto"/>
        <w:bottom w:val="none" w:sz="0" w:space="0" w:color="auto"/>
        <w:right w:val="none" w:sz="0" w:space="0" w:color="auto"/>
      </w:divBdr>
    </w:div>
    <w:div w:id="1529102698">
      <w:bodyDiv w:val="1"/>
      <w:marLeft w:val="0"/>
      <w:marRight w:val="0"/>
      <w:marTop w:val="0"/>
      <w:marBottom w:val="0"/>
      <w:divBdr>
        <w:top w:val="none" w:sz="0" w:space="0" w:color="auto"/>
        <w:left w:val="none" w:sz="0" w:space="0" w:color="auto"/>
        <w:bottom w:val="none" w:sz="0" w:space="0" w:color="auto"/>
        <w:right w:val="none" w:sz="0" w:space="0" w:color="auto"/>
      </w:divBdr>
    </w:div>
    <w:div w:id="1532914235">
      <w:bodyDiv w:val="1"/>
      <w:marLeft w:val="0"/>
      <w:marRight w:val="0"/>
      <w:marTop w:val="0"/>
      <w:marBottom w:val="0"/>
      <w:divBdr>
        <w:top w:val="none" w:sz="0" w:space="0" w:color="auto"/>
        <w:left w:val="none" w:sz="0" w:space="0" w:color="auto"/>
        <w:bottom w:val="none" w:sz="0" w:space="0" w:color="auto"/>
        <w:right w:val="none" w:sz="0" w:space="0" w:color="auto"/>
      </w:divBdr>
    </w:div>
    <w:div w:id="1533034148">
      <w:bodyDiv w:val="1"/>
      <w:marLeft w:val="0"/>
      <w:marRight w:val="0"/>
      <w:marTop w:val="0"/>
      <w:marBottom w:val="0"/>
      <w:divBdr>
        <w:top w:val="none" w:sz="0" w:space="0" w:color="auto"/>
        <w:left w:val="none" w:sz="0" w:space="0" w:color="auto"/>
        <w:bottom w:val="none" w:sz="0" w:space="0" w:color="auto"/>
        <w:right w:val="none" w:sz="0" w:space="0" w:color="auto"/>
      </w:divBdr>
    </w:div>
    <w:div w:id="1534687422">
      <w:bodyDiv w:val="1"/>
      <w:marLeft w:val="0"/>
      <w:marRight w:val="0"/>
      <w:marTop w:val="0"/>
      <w:marBottom w:val="0"/>
      <w:divBdr>
        <w:top w:val="none" w:sz="0" w:space="0" w:color="auto"/>
        <w:left w:val="none" w:sz="0" w:space="0" w:color="auto"/>
        <w:bottom w:val="none" w:sz="0" w:space="0" w:color="auto"/>
        <w:right w:val="none" w:sz="0" w:space="0" w:color="auto"/>
      </w:divBdr>
    </w:div>
    <w:div w:id="1535381078">
      <w:bodyDiv w:val="1"/>
      <w:marLeft w:val="0"/>
      <w:marRight w:val="0"/>
      <w:marTop w:val="0"/>
      <w:marBottom w:val="0"/>
      <w:divBdr>
        <w:top w:val="none" w:sz="0" w:space="0" w:color="auto"/>
        <w:left w:val="none" w:sz="0" w:space="0" w:color="auto"/>
        <w:bottom w:val="none" w:sz="0" w:space="0" w:color="auto"/>
        <w:right w:val="none" w:sz="0" w:space="0" w:color="auto"/>
      </w:divBdr>
    </w:div>
    <w:div w:id="1535848438">
      <w:bodyDiv w:val="1"/>
      <w:marLeft w:val="0"/>
      <w:marRight w:val="0"/>
      <w:marTop w:val="0"/>
      <w:marBottom w:val="0"/>
      <w:divBdr>
        <w:top w:val="none" w:sz="0" w:space="0" w:color="auto"/>
        <w:left w:val="none" w:sz="0" w:space="0" w:color="auto"/>
        <w:bottom w:val="none" w:sz="0" w:space="0" w:color="auto"/>
        <w:right w:val="none" w:sz="0" w:space="0" w:color="auto"/>
      </w:divBdr>
    </w:div>
    <w:div w:id="1537697268">
      <w:bodyDiv w:val="1"/>
      <w:marLeft w:val="0"/>
      <w:marRight w:val="0"/>
      <w:marTop w:val="0"/>
      <w:marBottom w:val="0"/>
      <w:divBdr>
        <w:top w:val="none" w:sz="0" w:space="0" w:color="auto"/>
        <w:left w:val="none" w:sz="0" w:space="0" w:color="auto"/>
        <w:bottom w:val="none" w:sz="0" w:space="0" w:color="auto"/>
        <w:right w:val="none" w:sz="0" w:space="0" w:color="auto"/>
      </w:divBdr>
    </w:div>
    <w:div w:id="1539008314">
      <w:bodyDiv w:val="1"/>
      <w:marLeft w:val="0"/>
      <w:marRight w:val="0"/>
      <w:marTop w:val="0"/>
      <w:marBottom w:val="0"/>
      <w:divBdr>
        <w:top w:val="none" w:sz="0" w:space="0" w:color="auto"/>
        <w:left w:val="none" w:sz="0" w:space="0" w:color="auto"/>
        <w:bottom w:val="none" w:sz="0" w:space="0" w:color="auto"/>
        <w:right w:val="none" w:sz="0" w:space="0" w:color="auto"/>
      </w:divBdr>
    </w:div>
    <w:div w:id="1539660963">
      <w:bodyDiv w:val="1"/>
      <w:marLeft w:val="0"/>
      <w:marRight w:val="0"/>
      <w:marTop w:val="0"/>
      <w:marBottom w:val="0"/>
      <w:divBdr>
        <w:top w:val="none" w:sz="0" w:space="0" w:color="auto"/>
        <w:left w:val="none" w:sz="0" w:space="0" w:color="auto"/>
        <w:bottom w:val="none" w:sz="0" w:space="0" w:color="auto"/>
        <w:right w:val="none" w:sz="0" w:space="0" w:color="auto"/>
      </w:divBdr>
    </w:div>
    <w:div w:id="1547790023">
      <w:bodyDiv w:val="1"/>
      <w:marLeft w:val="0"/>
      <w:marRight w:val="0"/>
      <w:marTop w:val="0"/>
      <w:marBottom w:val="0"/>
      <w:divBdr>
        <w:top w:val="none" w:sz="0" w:space="0" w:color="auto"/>
        <w:left w:val="none" w:sz="0" w:space="0" w:color="auto"/>
        <w:bottom w:val="none" w:sz="0" w:space="0" w:color="auto"/>
        <w:right w:val="none" w:sz="0" w:space="0" w:color="auto"/>
      </w:divBdr>
    </w:div>
    <w:div w:id="1548565666">
      <w:bodyDiv w:val="1"/>
      <w:marLeft w:val="0"/>
      <w:marRight w:val="0"/>
      <w:marTop w:val="0"/>
      <w:marBottom w:val="0"/>
      <w:divBdr>
        <w:top w:val="none" w:sz="0" w:space="0" w:color="auto"/>
        <w:left w:val="none" w:sz="0" w:space="0" w:color="auto"/>
        <w:bottom w:val="none" w:sz="0" w:space="0" w:color="auto"/>
        <w:right w:val="none" w:sz="0" w:space="0" w:color="auto"/>
      </w:divBdr>
    </w:div>
    <w:div w:id="1552576313">
      <w:bodyDiv w:val="1"/>
      <w:marLeft w:val="0"/>
      <w:marRight w:val="0"/>
      <w:marTop w:val="0"/>
      <w:marBottom w:val="0"/>
      <w:divBdr>
        <w:top w:val="none" w:sz="0" w:space="0" w:color="auto"/>
        <w:left w:val="none" w:sz="0" w:space="0" w:color="auto"/>
        <w:bottom w:val="none" w:sz="0" w:space="0" w:color="auto"/>
        <w:right w:val="none" w:sz="0" w:space="0" w:color="auto"/>
      </w:divBdr>
    </w:div>
    <w:div w:id="1553039136">
      <w:bodyDiv w:val="1"/>
      <w:marLeft w:val="0"/>
      <w:marRight w:val="0"/>
      <w:marTop w:val="0"/>
      <w:marBottom w:val="0"/>
      <w:divBdr>
        <w:top w:val="none" w:sz="0" w:space="0" w:color="auto"/>
        <w:left w:val="none" w:sz="0" w:space="0" w:color="auto"/>
        <w:bottom w:val="none" w:sz="0" w:space="0" w:color="auto"/>
        <w:right w:val="none" w:sz="0" w:space="0" w:color="auto"/>
      </w:divBdr>
    </w:div>
    <w:div w:id="1555585271">
      <w:bodyDiv w:val="1"/>
      <w:marLeft w:val="0"/>
      <w:marRight w:val="0"/>
      <w:marTop w:val="0"/>
      <w:marBottom w:val="0"/>
      <w:divBdr>
        <w:top w:val="none" w:sz="0" w:space="0" w:color="auto"/>
        <w:left w:val="none" w:sz="0" w:space="0" w:color="auto"/>
        <w:bottom w:val="none" w:sz="0" w:space="0" w:color="auto"/>
        <w:right w:val="none" w:sz="0" w:space="0" w:color="auto"/>
      </w:divBdr>
    </w:div>
    <w:div w:id="1556117939">
      <w:bodyDiv w:val="1"/>
      <w:marLeft w:val="0"/>
      <w:marRight w:val="0"/>
      <w:marTop w:val="0"/>
      <w:marBottom w:val="0"/>
      <w:divBdr>
        <w:top w:val="none" w:sz="0" w:space="0" w:color="auto"/>
        <w:left w:val="none" w:sz="0" w:space="0" w:color="auto"/>
        <w:bottom w:val="none" w:sz="0" w:space="0" w:color="auto"/>
        <w:right w:val="none" w:sz="0" w:space="0" w:color="auto"/>
      </w:divBdr>
    </w:div>
    <w:div w:id="1565948417">
      <w:bodyDiv w:val="1"/>
      <w:marLeft w:val="0"/>
      <w:marRight w:val="0"/>
      <w:marTop w:val="0"/>
      <w:marBottom w:val="0"/>
      <w:divBdr>
        <w:top w:val="none" w:sz="0" w:space="0" w:color="auto"/>
        <w:left w:val="none" w:sz="0" w:space="0" w:color="auto"/>
        <w:bottom w:val="none" w:sz="0" w:space="0" w:color="auto"/>
        <w:right w:val="none" w:sz="0" w:space="0" w:color="auto"/>
      </w:divBdr>
    </w:div>
    <w:div w:id="1566528867">
      <w:bodyDiv w:val="1"/>
      <w:marLeft w:val="0"/>
      <w:marRight w:val="0"/>
      <w:marTop w:val="0"/>
      <w:marBottom w:val="0"/>
      <w:divBdr>
        <w:top w:val="none" w:sz="0" w:space="0" w:color="auto"/>
        <w:left w:val="none" w:sz="0" w:space="0" w:color="auto"/>
        <w:bottom w:val="none" w:sz="0" w:space="0" w:color="auto"/>
        <w:right w:val="none" w:sz="0" w:space="0" w:color="auto"/>
      </w:divBdr>
    </w:div>
    <w:div w:id="1573157019">
      <w:bodyDiv w:val="1"/>
      <w:marLeft w:val="0"/>
      <w:marRight w:val="0"/>
      <w:marTop w:val="0"/>
      <w:marBottom w:val="0"/>
      <w:divBdr>
        <w:top w:val="none" w:sz="0" w:space="0" w:color="auto"/>
        <w:left w:val="none" w:sz="0" w:space="0" w:color="auto"/>
        <w:bottom w:val="none" w:sz="0" w:space="0" w:color="auto"/>
        <w:right w:val="none" w:sz="0" w:space="0" w:color="auto"/>
      </w:divBdr>
    </w:div>
    <w:div w:id="1574000012">
      <w:bodyDiv w:val="1"/>
      <w:marLeft w:val="0"/>
      <w:marRight w:val="0"/>
      <w:marTop w:val="0"/>
      <w:marBottom w:val="0"/>
      <w:divBdr>
        <w:top w:val="none" w:sz="0" w:space="0" w:color="auto"/>
        <w:left w:val="none" w:sz="0" w:space="0" w:color="auto"/>
        <w:bottom w:val="none" w:sz="0" w:space="0" w:color="auto"/>
        <w:right w:val="none" w:sz="0" w:space="0" w:color="auto"/>
      </w:divBdr>
    </w:div>
    <w:div w:id="1575124085">
      <w:bodyDiv w:val="1"/>
      <w:marLeft w:val="0"/>
      <w:marRight w:val="0"/>
      <w:marTop w:val="0"/>
      <w:marBottom w:val="0"/>
      <w:divBdr>
        <w:top w:val="none" w:sz="0" w:space="0" w:color="auto"/>
        <w:left w:val="none" w:sz="0" w:space="0" w:color="auto"/>
        <w:bottom w:val="none" w:sz="0" w:space="0" w:color="auto"/>
        <w:right w:val="none" w:sz="0" w:space="0" w:color="auto"/>
      </w:divBdr>
    </w:div>
    <w:div w:id="1575503113">
      <w:bodyDiv w:val="1"/>
      <w:marLeft w:val="0"/>
      <w:marRight w:val="0"/>
      <w:marTop w:val="0"/>
      <w:marBottom w:val="0"/>
      <w:divBdr>
        <w:top w:val="none" w:sz="0" w:space="0" w:color="auto"/>
        <w:left w:val="none" w:sz="0" w:space="0" w:color="auto"/>
        <w:bottom w:val="none" w:sz="0" w:space="0" w:color="auto"/>
        <w:right w:val="none" w:sz="0" w:space="0" w:color="auto"/>
      </w:divBdr>
    </w:div>
    <w:div w:id="1577470838">
      <w:bodyDiv w:val="1"/>
      <w:marLeft w:val="0"/>
      <w:marRight w:val="0"/>
      <w:marTop w:val="0"/>
      <w:marBottom w:val="0"/>
      <w:divBdr>
        <w:top w:val="none" w:sz="0" w:space="0" w:color="auto"/>
        <w:left w:val="none" w:sz="0" w:space="0" w:color="auto"/>
        <w:bottom w:val="none" w:sz="0" w:space="0" w:color="auto"/>
        <w:right w:val="none" w:sz="0" w:space="0" w:color="auto"/>
      </w:divBdr>
    </w:div>
    <w:div w:id="1578130417">
      <w:bodyDiv w:val="1"/>
      <w:marLeft w:val="0"/>
      <w:marRight w:val="0"/>
      <w:marTop w:val="0"/>
      <w:marBottom w:val="0"/>
      <w:divBdr>
        <w:top w:val="none" w:sz="0" w:space="0" w:color="auto"/>
        <w:left w:val="none" w:sz="0" w:space="0" w:color="auto"/>
        <w:bottom w:val="none" w:sz="0" w:space="0" w:color="auto"/>
        <w:right w:val="none" w:sz="0" w:space="0" w:color="auto"/>
      </w:divBdr>
    </w:div>
    <w:div w:id="1580557466">
      <w:bodyDiv w:val="1"/>
      <w:marLeft w:val="0"/>
      <w:marRight w:val="0"/>
      <w:marTop w:val="0"/>
      <w:marBottom w:val="0"/>
      <w:divBdr>
        <w:top w:val="none" w:sz="0" w:space="0" w:color="auto"/>
        <w:left w:val="none" w:sz="0" w:space="0" w:color="auto"/>
        <w:bottom w:val="none" w:sz="0" w:space="0" w:color="auto"/>
        <w:right w:val="none" w:sz="0" w:space="0" w:color="auto"/>
      </w:divBdr>
    </w:div>
    <w:div w:id="1581479927">
      <w:bodyDiv w:val="1"/>
      <w:marLeft w:val="0"/>
      <w:marRight w:val="0"/>
      <w:marTop w:val="0"/>
      <w:marBottom w:val="0"/>
      <w:divBdr>
        <w:top w:val="none" w:sz="0" w:space="0" w:color="auto"/>
        <w:left w:val="none" w:sz="0" w:space="0" w:color="auto"/>
        <w:bottom w:val="none" w:sz="0" w:space="0" w:color="auto"/>
        <w:right w:val="none" w:sz="0" w:space="0" w:color="auto"/>
      </w:divBdr>
    </w:div>
    <w:div w:id="1587420092">
      <w:bodyDiv w:val="1"/>
      <w:marLeft w:val="0"/>
      <w:marRight w:val="0"/>
      <w:marTop w:val="0"/>
      <w:marBottom w:val="0"/>
      <w:divBdr>
        <w:top w:val="none" w:sz="0" w:space="0" w:color="auto"/>
        <w:left w:val="none" w:sz="0" w:space="0" w:color="auto"/>
        <w:bottom w:val="none" w:sz="0" w:space="0" w:color="auto"/>
        <w:right w:val="none" w:sz="0" w:space="0" w:color="auto"/>
      </w:divBdr>
    </w:div>
    <w:div w:id="1588151929">
      <w:bodyDiv w:val="1"/>
      <w:marLeft w:val="0"/>
      <w:marRight w:val="0"/>
      <w:marTop w:val="0"/>
      <w:marBottom w:val="0"/>
      <w:divBdr>
        <w:top w:val="none" w:sz="0" w:space="0" w:color="auto"/>
        <w:left w:val="none" w:sz="0" w:space="0" w:color="auto"/>
        <w:bottom w:val="none" w:sz="0" w:space="0" w:color="auto"/>
        <w:right w:val="none" w:sz="0" w:space="0" w:color="auto"/>
      </w:divBdr>
    </w:div>
    <w:div w:id="1593276044">
      <w:bodyDiv w:val="1"/>
      <w:marLeft w:val="0"/>
      <w:marRight w:val="0"/>
      <w:marTop w:val="0"/>
      <w:marBottom w:val="0"/>
      <w:divBdr>
        <w:top w:val="none" w:sz="0" w:space="0" w:color="auto"/>
        <w:left w:val="none" w:sz="0" w:space="0" w:color="auto"/>
        <w:bottom w:val="none" w:sz="0" w:space="0" w:color="auto"/>
        <w:right w:val="none" w:sz="0" w:space="0" w:color="auto"/>
      </w:divBdr>
    </w:div>
    <w:div w:id="1596746329">
      <w:bodyDiv w:val="1"/>
      <w:marLeft w:val="0"/>
      <w:marRight w:val="0"/>
      <w:marTop w:val="0"/>
      <w:marBottom w:val="0"/>
      <w:divBdr>
        <w:top w:val="none" w:sz="0" w:space="0" w:color="auto"/>
        <w:left w:val="none" w:sz="0" w:space="0" w:color="auto"/>
        <w:bottom w:val="none" w:sz="0" w:space="0" w:color="auto"/>
        <w:right w:val="none" w:sz="0" w:space="0" w:color="auto"/>
      </w:divBdr>
    </w:div>
    <w:div w:id="1598901468">
      <w:bodyDiv w:val="1"/>
      <w:marLeft w:val="0"/>
      <w:marRight w:val="0"/>
      <w:marTop w:val="0"/>
      <w:marBottom w:val="0"/>
      <w:divBdr>
        <w:top w:val="none" w:sz="0" w:space="0" w:color="auto"/>
        <w:left w:val="none" w:sz="0" w:space="0" w:color="auto"/>
        <w:bottom w:val="none" w:sz="0" w:space="0" w:color="auto"/>
        <w:right w:val="none" w:sz="0" w:space="0" w:color="auto"/>
      </w:divBdr>
    </w:div>
    <w:div w:id="1602370368">
      <w:bodyDiv w:val="1"/>
      <w:marLeft w:val="0"/>
      <w:marRight w:val="0"/>
      <w:marTop w:val="0"/>
      <w:marBottom w:val="0"/>
      <w:divBdr>
        <w:top w:val="none" w:sz="0" w:space="0" w:color="auto"/>
        <w:left w:val="none" w:sz="0" w:space="0" w:color="auto"/>
        <w:bottom w:val="none" w:sz="0" w:space="0" w:color="auto"/>
        <w:right w:val="none" w:sz="0" w:space="0" w:color="auto"/>
      </w:divBdr>
    </w:div>
    <w:div w:id="1602371272">
      <w:bodyDiv w:val="1"/>
      <w:marLeft w:val="0"/>
      <w:marRight w:val="0"/>
      <w:marTop w:val="0"/>
      <w:marBottom w:val="0"/>
      <w:divBdr>
        <w:top w:val="none" w:sz="0" w:space="0" w:color="auto"/>
        <w:left w:val="none" w:sz="0" w:space="0" w:color="auto"/>
        <w:bottom w:val="none" w:sz="0" w:space="0" w:color="auto"/>
        <w:right w:val="none" w:sz="0" w:space="0" w:color="auto"/>
      </w:divBdr>
    </w:div>
    <w:div w:id="1607612639">
      <w:bodyDiv w:val="1"/>
      <w:marLeft w:val="0"/>
      <w:marRight w:val="0"/>
      <w:marTop w:val="0"/>
      <w:marBottom w:val="0"/>
      <w:divBdr>
        <w:top w:val="none" w:sz="0" w:space="0" w:color="auto"/>
        <w:left w:val="none" w:sz="0" w:space="0" w:color="auto"/>
        <w:bottom w:val="none" w:sz="0" w:space="0" w:color="auto"/>
        <w:right w:val="none" w:sz="0" w:space="0" w:color="auto"/>
      </w:divBdr>
    </w:div>
    <w:div w:id="1612516130">
      <w:bodyDiv w:val="1"/>
      <w:marLeft w:val="0"/>
      <w:marRight w:val="0"/>
      <w:marTop w:val="0"/>
      <w:marBottom w:val="0"/>
      <w:divBdr>
        <w:top w:val="none" w:sz="0" w:space="0" w:color="auto"/>
        <w:left w:val="none" w:sz="0" w:space="0" w:color="auto"/>
        <w:bottom w:val="none" w:sz="0" w:space="0" w:color="auto"/>
        <w:right w:val="none" w:sz="0" w:space="0" w:color="auto"/>
      </w:divBdr>
    </w:div>
    <w:div w:id="1614287136">
      <w:bodyDiv w:val="1"/>
      <w:marLeft w:val="0"/>
      <w:marRight w:val="0"/>
      <w:marTop w:val="0"/>
      <w:marBottom w:val="0"/>
      <w:divBdr>
        <w:top w:val="none" w:sz="0" w:space="0" w:color="auto"/>
        <w:left w:val="none" w:sz="0" w:space="0" w:color="auto"/>
        <w:bottom w:val="none" w:sz="0" w:space="0" w:color="auto"/>
        <w:right w:val="none" w:sz="0" w:space="0" w:color="auto"/>
      </w:divBdr>
    </w:div>
    <w:div w:id="1615284257">
      <w:bodyDiv w:val="1"/>
      <w:marLeft w:val="0"/>
      <w:marRight w:val="0"/>
      <w:marTop w:val="0"/>
      <w:marBottom w:val="0"/>
      <w:divBdr>
        <w:top w:val="none" w:sz="0" w:space="0" w:color="auto"/>
        <w:left w:val="none" w:sz="0" w:space="0" w:color="auto"/>
        <w:bottom w:val="none" w:sz="0" w:space="0" w:color="auto"/>
        <w:right w:val="none" w:sz="0" w:space="0" w:color="auto"/>
      </w:divBdr>
    </w:div>
    <w:div w:id="1617249945">
      <w:bodyDiv w:val="1"/>
      <w:marLeft w:val="0"/>
      <w:marRight w:val="0"/>
      <w:marTop w:val="0"/>
      <w:marBottom w:val="0"/>
      <w:divBdr>
        <w:top w:val="none" w:sz="0" w:space="0" w:color="auto"/>
        <w:left w:val="none" w:sz="0" w:space="0" w:color="auto"/>
        <w:bottom w:val="none" w:sz="0" w:space="0" w:color="auto"/>
        <w:right w:val="none" w:sz="0" w:space="0" w:color="auto"/>
      </w:divBdr>
    </w:div>
    <w:div w:id="1618247495">
      <w:bodyDiv w:val="1"/>
      <w:marLeft w:val="0"/>
      <w:marRight w:val="0"/>
      <w:marTop w:val="0"/>
      <w:marBottom w:val="0"/>
      <w:divBdr>
        <w:top w:val="none" w:sz="0" w:space="0" w:color="auto"/>
        <w:left w:val="none" w:sz="0" w:space="0" w:color="auto"/>
        <w:bottom w:val="none" w:sz="0" w:space="0" w:color="auto"/>
        <w:right w:val="none" w:sz="0" w:space="0" w:color="auto"/>
      </w:divBdr>
    </w:div>
    <w:div w:id="1619145323">
      <w:bodyDiv w:val="1"/>
      <w:marLeft w:val="0"/>
      <w:marRight w:val="0"/>
      <w:marTop w:val="0"/>
      <w:marBottom w:val="0"/>
      <w:divBdr>
        <w:top w:val="none" w:sz="0" w:space="0" w:color="auto"/>
        <w:left w:val="none" w:sz="0" w:space="0" w:color="auto"/>
        <w:bottom w:val="none" w:sz="0" w:space="0" w:color="auto"/>
        <w:right w:val="none" w:sz="0" w:space="0" w:color="auto"/>
      </w:divBdr>
    </w:div>
    <w:div w:id="1620406374">
      <w:bodyDiv w:val="1"/>
      <w:marLeft w:val="0"/>
      <w:marRight w:val="0"/>
      <w:marTop w:val="0"/>
      <w:marBottom w:val="0"/>
      <w:divBdr>
        <w:top w:val="none" w:sz="0" w:space="0" w:color="auto"/>
        <w:left w:val="none" w:sz="0" w:space="0" w:color="auto"/>
        <w:bottom w:val="none" w:sz="0" w:space="0" w:color="auto"/>
        <w:right w:val="none" w:sz="0" w:space="0" w:color="auto"/>
      </w:divBdr>
    </w:div>
    <w:div w:id="1624725384">
      <w:bodyDiv w:val="1"/>
      <w:marLeft w:val="0"/>
      <w:marRight w:val="0"/>
      <w:marTop w:val="0"/>
      <w:marBottom w:val="0"/>
      <w:divBdr>
        <w:top w:val="none" w:sz="0" w:space="0" w:color="auto"/>
        <w:left w:val="none" w:sz="0" w:space="0" w:color="auto"/>
        <w:bottom w:val="none" w:sz="0" w:space="0" w:color="auto"/>
        <w:right w:val="none" w:sz="0" w:space="0" w:color="auto"/>
      </w:divBdr>
    </w:div>
    <w:div w:id="1628198438">
      <w:bodyDiv w:val="1"/>
      <w:marLeft w:val="0"/>
      <w:marRight w:val="0"/>
      <w:marTop w:val="0"/>
      <w:marBottom w:val="0"/>
      <w:divBdr>
        <w:top w:val="none" w:sz="0" w:space="0" w:color="auto"/>
        <w:left w:val="none" w:sz="0" w:space="0" w:color="auto"/>
        <w:bottom w:val="none" w:sz="0" w:space="0" w:color="auto"/>
        <w:right w:val="none" w:sz="0" w:space="0" w:color="auto"/>
      </w:divBdr>
    </w:div>
    <w:div w:id="1628312672">
      <w:bodyDiv w:val="1"/>
      <w:marLeft w:val="0"/>
      <w:marRight w:val="0"/>
      <w:marTop w:val="0"/>
      <w:marBottom w:val="0"/>
      <w:divBdr>
        <w:top w:val="none" w:sz="0" w:space="0" w:color="auto"/>
        <w:left w:val="none" w:sz="0" w:space="0" w:color="auto"/>
        <w:bottom w:val="none" w:sz="0" w:space="0" w:color="auto"/>
        <w:right w:val="none" w:sz="0" w:space="0" w:color="auto"/>
      </w:divBdr>
    </w:div>
    <w:div w:id="1628856577">
      <w:bodyDiv w:val="1"/>
      <w:marLeft w:val="0"/>
      <w:marRight w:val="0"/>
      <w:marTop w:val="0"/>
      <w:marBottom w:val="0"/>
      <w:divBdr>
        <w:top w:val="none" w:sz="0" w:space="0" w:color="auto"/>
        <w:left w:val="none" w:sz="0" w:space="0" w:color="auto"/>
        <w:bottom w:val="none" w:sz="0" w:space="0" w:color="auto"/>
        <w:right w:val="none" w:sz="0" w:space="0" w:color="auto"/>
      </w:divBdr>
    </w:div>
    <w:div w:id="1629162599">
      <w:bodyDiv w:val="1"/>
      <w:marLeft w:val="0"/>
      <w:marRight w:val="0"/>
      <w:marTop w:val="0"/>
      <w:marBottom w:val="0"/>
      <w:divBdr>
        <w:top w:val="none" w:sz="0" w:space="0" w:color="auto"/>
        <w:left w:val="none" w:sz="0" w:space="0" w:color="auto"/>
        <w:bottom w:val="none" w:sz="0" w:space="0" w:color="auto"/>
        <w:right w:val="none" w:sz="0" w:space="0" w:color="auto"/>
      </w:divBdr>
    </w:div>
    <w:div w:id="1630435802">
      <w:bodyDiv w:val="1"/>
      <w:marLeft w:val="0"/>
      <w:marRight w:val="0"/>
      <w:marTop w:val="0"/>
      <w:marBottom w:val="0"/>
      <w:divBdr>
        <w:top w:val="none" w:sz="0" w:space="0" w:color="auto"/>
        <w:left w:val="none" w:sz="0" w:space="0" w:color="auto"/>
        <w:bottom w:val="none" w:sz="0" w:space="0" w:color="auto"/>
        <w:right w:val="none" w:sz="0" w:space="0" w:color="auto"/>
      </w:divBdr>
    </w:div>
    <w:div w:id="1631549375">
      <w:bodyDiv w:val="1"/>
      <w:marLeft w:val="0"/>
      <w:marRight w:val="0"/>
      <w:marTop w:val="0"/>
      <w:marBottom w:val="0"/>
      <w:divBdr>
        <w:top w:val="none" w:sz="0" w:space="0" w:color="auto"/>
        <w:left w:val="none" w:sz="0" w:space="0" w:color="auto"/>
        <w:bottom w:val="none" w:sz="0" w:space="0" w:color="auto"/>
        <w:right w:val="none" w:sz="0" w:space="0" w:color="auto"/>
      </w:divBdr>
    </w:div>
    <w:div w:id="1637299938">
      <w:bodyDiv w:val="1"/>
      <w:marLeft w:val="0"/>
      <w:marRight w:val="0"/>
      <w:marTop w:val="0"/>
      <w:marBottom w:val="0"/>
      <w:divBdr>
        <w:top w:val="none" w:sz="0" w:space="0" w:color="auto"/>
        <w:left w:val="none" w:sz="0" w:space="0" w:color="auto"/>
        <w:bottom w:val="none" w:sz="0" w:space="0" w:color="auto"/>
        <w:right w:val="none" w:sz="0" w:space="0" w:color="auto"/>
      </w:divBdr>
    </w:div>
    <w:div w:id="1639454201">
      <w:bodyDiv w:val="1"/>
      <w:marLeft w:val="0"/>
      <w:marRight w:val="0"/>
      <w:marTop w:val="0"/>
      <w:marBottom w:val="0"/>
      <w:divBdr>
        <w:top w:val="none" w:sz="0" w:space="0" w:color="auto"/>
        <w:left w:val="none" w:sz="0" w:space="0" w:color="auto"/>
        <w:bottom w:val="none" w:sz="0" w:space="0" w:color="auto"/>
        <w:right w:val="none" w:sz="0" w:space="0" w:color="auto"/>
      </w:divBdr>
    </w:div>
    <w:div w:id="1642227172">
      <w:bodyDiv w:val="1"/>
      <w:marLeft w:val="0"/>
      <w:marRight w:val="0"/>
      <w:marTop w:val="0"/>
      <w:marBottom w:val="0"/>
      <w:divBdr>
        <w:top w:val="none" w:sz="0" w:space="0" w:color="auto"/>
        <w:left w:val="none" w:sz="0" w:space="0" w:color="auto"/>
        <w:bottom w:val="none" w:sz="0" w:space="0" w:color="auto"/>
        <w:right w:val="none" w:sz="0" w:space="0" w:color="auto"/>
      </w:divBdr>
    </w:div>
    <w:div w:id="1643147416">
      <w:bodyDiv w:val="1"/>
      <w:marLeft w:val="0"/>
      <w:marRight w:val="0"/>
      <w:marTop w:val="0"/>
      <w:marBottom w:val="0"/>
      <w:divBdr>
        <w:top w:val="none" w:sz="0" w:space="0" w:color="auto"/>
        <w:left w:val="none" w:sz="0" w:space="0" w:color="auto"/>
        <w:bottom w:val="none" w:sz="0" w:space="0" w:color="auto"/>
        <w:right w:val="none" w:sz="0" w:space="0" w:color="auto"/>
      </w:divBdr>
    </w:div>
    <w:div w:id="1645426010">
      <w:bodyDiv w:val="1"/>
      <w:marLeft w:val="0"/>
      <w:marRight w:val="0"/>
      <w:marTop w:val="0"/>
      <w:marBottom w:val="0"/>
      <w:divBdr>
        <w:top w:val="none" w:sz="0" w:space="0" w:color="auto"/>
        <w:left w:val="none" w:sz="0" w:space="0" w:color="auto"/>
        <w:bottom w:val="none" w:sz="0" w:space="0" w:color="auto"/>
        <w:right w:val="none" w:sz="0" w:space="0" w:color="auto"/>
      </w:divBdr>
    </w:div>
    <w:div w:id="1649170215">
      <w:bodyDiv w:val="1"/>
      <w:marLeft w:val="0"/>
      <w:marRight w:val="0"/>
      <w:marTop w:val="0"/>
      <w:marBottom w:val="0"/>
      <w:divBdr>
        <w:top w:val="none" w:sz="0" w:space="0" w:color="auto"/>
        <w:left w:val="none" w:sz="0" w:space="0" w:color="auto"/>
        <w:bottom w:val="none" w:sz="0" w:space="0" w:color="auto"/>
        <w:right w:val="none" w:sz="0" w:space="0" w:color="auto"/>
      </w:divBdr>
    </w:div>
    <w:div w:id="1650014462">
      <w:bodyDiv w:val="1"/>
      <w:marLeft w:val="0"/>
      <w:marRight w:val="0"/>
      <w:marTop w:val="0"/>
      <w:marBottom w:val="0"/>
      <w:divBdr>
        <w:top w:val="none" w:sz="0" w:space="0" w:color="auto"/>
        <w:left w:val="none" w:sz="0" w:space="0" w:color="auto"/>
        <w:bottom w:val="none" w:sz="0" w:space="0" w:color="auto"/>
        <w:right w:val="none" w:sz="0" w:space="0" w:color="auto"/>
      </w:divBdr>
    </w:div>
    <w:div w:id="1652247491">
      <w:bodyDiv w:val="1"/>
      <w:marLeft w:val="0"/>
      <w:marRight w:val="0"/>
      <w:marTop w:val="0"/>
      <w:marBottom w:val="0"/>
      <w:divBdr>
        <w:top w:val="none" w:sz="0" w:space="0" w:color="auto"/>
        <w:left w:val="none" w:sz="0" w:space="0" w:color="auto"/>
        <w:bottom w:val="none" w:sz="0" w:space="0" w:color="auto"/>
        <w:right w:val="none" w:sz="0" w:space="0" w:color="auto"/>
      </w:divBdr>
    </w:div>
    <w:div w:id="1654413434">
      <w:bodyDiv w:val="1"/>
      <w:marLeft w:val="0"/>
      <w:marRight w:val="0"/>
      <w:marTop w:val="0"/>
      <w:marBottom w:val="0"/>
      <w:divBdr>
        <w:top w:val="none" w:sz="0" w:space="0" w:color="auto"/>
        <w:left w:val="none" w:sz="0" w:space="0" w:color="auto"/>
        <w:bottom w:val="none" w:sz="0" w:space="0" w:color="auto"/>
        <w:right w:val="none" w:sz="0" w:space="0" w:color="auto"/>
      </w:divBdr>
    </w:div>
    <w:div w:id="1658848764">
      <w:bodyDiv w:val="1"/>
      <w:marLeft w:val="0"/>
      <w:marRight w:val="0"/>
      <w:marTop w:val="0"/>
      <w:marBottom w:val="0"/>
      <w:divBdr>
        <w:top w:val="none" w:sz="0" w:space="0" w:color="auto"/>
        <w:left w:val="none" w:sz="0" w:space="0" w:color="auto"/>
        <w:bottom w:val="none" w:sz="0" w:space="0" w:color="auto"/>
        <w:right w:val="none" w:sz="0" w:space="0" w:color="auto"/>
      </w:divBdr>
    </w:div>
    <w:div w:id="1659768436">
      <w:bodyDiv w:val="1"/>
      <w:marLeft w:val="0"/>
      <w:marRight w:val="0"/>
      <w:marTop w:val="0"/>
      <w:marBottom w:val="0"/>
      <w:divBdr>
        <w:top w:val="none" w:sz="0" w:space="0" w:color="auto"/>
        <w:left w:val="none" w:sz="0" w:space="0" w:color="auto"/>
        <w:bottom w:val="none" w:sz="0" w:space="0" w:color="auto"/>
        <w:right w:val="none" w:sz="0" w:space="0" w:color="auto"/>
      </w:divBdr>
    </w:div>
    <w:div w:id="1660039956">
      <w:bodyDiv w:val="1"/>
      <w:marLeft w:val="0"/>
      <w:marRight w:val="0"/>
      <w:marTop w:val="0"/>
      <w:marBottom w:val="0"/>
      <w:divBdr>
        <w:top w:val="none" w:sz="0" w:space="0" w:color="auto"/>
        <w:left w:val="none" w:sz="0" w:space="0" w:color="auto"/>
        <w:bottom w:val="none" w:sz="0" w:space="0" w:color="auto"/>
        <w:right w:val="none" w:sz="0" w:space="0" w:color="auto"/>
      </w:divBdr>
    </w:div>
    <w:div w:id="1661082043">
      <w:bodyDiv w:val="1"/>
      <w:marLeft w:val="0"/>
      <w:marRight w:val="0"/>
      <w:marTop w:val="0"/>
      <w:marBottom w:val="0"/>
      <w:divBdr>
        <w:top w:val="none" w:sz="0" w:space="0" w:color="auto"/>
        <w:left w:val="none" w:sz="0" w:space="0" w:color="auto"/>
        <w:bottom w:val="none" w:sz="0" w:space="0" w:color="auto"/>
        <w:right w:val="none" w:sz="0" w:space="0" w:color="auto"/>
      </w:divBdr>
    </w:div>
    <w:div w:id="1662391026">
      <w:bodyDiv w:val="1"/>
      <w:marLeft w:val="0"/>
      <w:marRight w:val="0"/>
      <w:marTop w:val="0"/>
      <w:marBottom w:val="0"/>
      <w:divBdr>
        <w:top w:val="none" w:sz="0" w:space="0" w:color="auto"/>
        <w:left w:val="none" w:sz="0" w:space="0" w:color="auto"/>
        <w:bottom w:val="none" w:sz="0" w:space="0" w:color="auto"/>
        <w:right w:val="none" w:sz="0" w:space="0" w:color="auto"/>
      </w:divBdr>
    </w:div>
    <w:div w:id="1662780321">
      <w:bodyDiv w:val="1"/>
      <w:marLeft w:val="0"/>
      <w:marRight w:val="0"/>
      <w:marTop w:val="0"/>
      <w:marBottom w:val="0"/>
      <w:divBdr>
        <w:top w:val="none" w:sz="0" w:space="0" w:color="auto"/>
        <w:left w:val="none" w:sz="0" w:space="0" w:color="auto"/>
        <w:bottom w:val="none" w:sz="0" w:space="0" w:color="auto"/>
        <w:right w:val="none" w:sz="0" w:space="0" w:color="auto"/>
      </w:divBdr>
    </w:div>
    <w:div w:id="1664357525">
      <w:bodyDiv w:val="1"/>
      <w:marLeft w:val="0"/>
      <w:marRight w:val="0"/>
      <w:marTop w:val="0"/>
      <w:marBottom w:val="0"/>
      <w:divBdr>
        <w:top w:val="none" w:sz="0" w:space="0" w:color="auto"/>
        <w:left w:val="none" w:sz="0" w:space="0" w:color="auto"/>
        <w:bottom w:val="none" w:sz="0" w:space="0" w:color="auto"/>
        <w:right w:val="none" w:sz="0" w:space="0" w:color="auto"/>
      </w:divBdr>
    </w:div>
    <w:div w:id="1667442895">
      <w:bodyDiv w:val="1"/>
      <w:marLeft w:val="0"/>
      <w:marRight w:val="0"/>
      <w:marTop w:val="0"/>
      <w:marBottom w:val="0"/>
      <w:divBdr>
        <w:top w:val="none" w:sz="0" w:space="0" w:color="auto"/>
        <w:left w:val="none" w:sz="0" w:space="0" w:color="auto"/>
        <w:bottom w:val="none" w:sz="0" w:space="0" w:color="auto"/>
        <w:right w:val="none" w:sz="0" w:space="0" w:color="auto"/>
      </w:divBdr>
    </w:div>
    <w:div w:id="1667631193">
      <w:bodyDiv w:val="1"/>
      <w:marLeft w:val="0"/>
      <w:marRight w:val="0"/>
      <w:marTop w:val="0"/>
      <w:marBottom w:val="0"/>
      <w:divBdr>
        <w:top w:val="none" w:sz="0" w:space="0" w:color="auto"/>
        <w:left w:val="none" w:sz="0" w:space="0" w:color="auto"/>
        <w:bottom w:val="none" w:sz="0" w:space="0" w:color="auto"/>
        <w:right w:val="none" w:sz="0" w:space="0" w:color="auto"/>
      </w:divBdr>
    </w:div>
    <w:div w:id="1671829995">
      <w:bodyDiv w:val="1"/>
      <w:marLeft w:val="0"/>
      <w:marRight w:val="0"/>
      <w:marTop w:val="0"/>
      <w:marBottom w:val="0"/>
      <w:divBdr>
        <w:top w:val="none" w:sz="0" w:space="0" w:color="auto"/>
        <w:left w:val="none" w:sz="0" w:space="0" w:color="auto"/>
        <w:bottom w:val="none" w:sz="0" w:space="0" w:color="auto"/>
        <w:right w:val="none" w:sz="0" w:space="0" w:color="auto"/>
      </w:divBdr>
    </w:div>
    <w:div w:id="1674989766">
      <w:bodyDiv w:val="1"/>
      <w:marLeft w:val="0"/>
      <w:marRight w:val="0"/>
      <w:marTop w:val="0"/>
      <w:marBottom w:val="0"/>
      <w:divBdr>
        <w:top w:val="none" w:sz="0" w:space="0" w:color="auto"/>
        <w:left w:val="none" w:sz="0" w:space="0" w:color="auto"/>
        <w:bottom w:val="none" w:sz="0" w:space="0" w:color="auto"/>
        <w:right w:val="none" w:sz="0" w:space="0" w:color="auto"/>
      </w:divBdr>
    </w:div>
    <w:div w:id="1680112316">
      <w:bodyDiv w:val="1"/>
      <w:marLeft w:val="0"/>
      <w:marRight w:val="0"/>
      <w:marTop w:val="0"/>
      <w:marBottom w:val="0"/>
      <w:divBdr>
        <w:top w:val="none" w:sz="0" w:space="0" w:color="auto"/>
        <w:left w:val="none" w:sz="0" w:space="0" w:color="auto"/>
        <w:bottom w:val="none" w:sz="0" w:space="0" w:color="auto"/>
        <w:right w:val="none" w:sz="0" w:space="0" w:color="auto"/>
      </w:divBdr>
    </w:div>
    <w:div w:id="1685521466">
      <w:bodyDiv w:val="1"/>
      <w:marLeft w:val="0"/>
      <w:marRight w:val="0"/>
      <w:marTop w:val="0"/>
      <w:marBottom w:val="0"/>
      <w:divBdr>
        <w:top w:val="none" w:sz="0" w:space="0" w:color="auto"/>
        <w:left w:val="none" w:sz="0" w:space="0" w:color="auto"/>
        <w:bottom w:val="none" w:sz="0" w:space="0" w:color="auto"/>
        <w:right w:val="none" w:sz="0" w:space="0" w:color="auto"/>
      </w:divBdr>
    </w:div>
    <w:div w:id="1685742512">
      <w:bodyDiv w:val="1"/>
      <w:marLeft w:val="0"/>
      <w:marRight w:val="0"/>
      <w:marTop w:val="0"/>
      <w:marBottom w:val="0"/>
      <w:divBdr>
        <w:top w:val="none" w:sz="0" w:space="0" w:color="auto"/>
        <w:left w:val="none" w:sz="0" w:space="0" w:color="auto"/>
        <w:bottom w:val="none" w:sz="0" w:space="0" w:color="auto"/>
        <w:right w:val="none" w:sz="0" w:space="0" w:color="auto"/>
      </w:divBdr>
    </w:div>
    <w:div w:id="1687443388">
      <w:bodyDiv w:val="1"/>
      <w:marLeft w:val="0"/>
      <w:marRight w:val="0"/>
      <w:marTop w:val="0"/>
      <w:marBottom w:val="0"/>
      <w:divBdr>
        <w:top w:val="none" w:sz="0" w:space="0" w:color="auto"/>
        <w:left w:val="none" w:sz="0" w:space="0" w:color="auto"/>
        <w:bottom w:val="none" w:sz="0" w:space="0" w:color="auto"/>
        <w:right w:val="none" w:sz="0" w:space="0" w:color="auto"/>
      </w:divBdr>
    </w:div>
    <w:div w:id="1689522035">
      <w:bodyDiv w:val="1"/>
      <w:marLeft w:val="0"/>
      <w:marRight w:val="0"/>
      <w:marTop w:val="0"/>
      <w:marBottom w:val="0"/>
      <w:divBdr>
        <w:top w:val="none" w:sz="0" w:space="0" w:color="auto"/>
        <w:left w:val="none" w:sz="0" w:space="0" w:color="auto"/>
        <w:bottom w:val="none" w:sz="0" w:space="0" w:color="auto"/>
        <w:right w:val="none" w:sz="0" w:space="0" w:color="auto"/>
      </w:divBdr>
    </w:div>
    <w:div w:id="1690640051">
      <w:bodyDiv w:val="1"/>
      <w:marLeft w:val="0"/>
      <w:marRight w:val="0"/>
      <w:marTop w:val="0"/>
      <w:marBottom w:val="0"/>
      <w:divBdr>
        <w:top w:val="none" w:sz="0" w:space="0" w:color="auto"/>
        <w:left w:val="none" w:sz="0" w:space="0" w:color="auto"/>
        <w:bottom w:val="none" w:sz="0" w:space="0" w:color="auto"/>
        <w:right w:val="none" w:sz="0" w:space="0" w:color="auto"/>
      </w:divBdr>
    </w:div>
    <w:div w:id="1692224836">
      <w:bodyDiv w:val="1"/>
      <w:marLeft w:val="0"/>
      <w:marRight w:val="0"/>
      <w:marTop w:val="0"/>
      <w:marBottom w:val="0"/>
      <w:divBdr>
        <w:top w:val="none" w:sz="0" w:space="0" w:color="auto"/>
        <w:left w:val="none" w:sz="0" w:space="0" w:color="auto"/>
        <w:bottom w:val="none" w:sz="0" w:space="0" w:color="auto"/>
        <w:right w:val="none" w:sz="0" w:space="0" w:color="auto"/>
      </w:divBdr>
    </w:div>
    <w:div w:id="1692759025">
      <w:bodyDiv w:val="1"/>
      <w:marLeft w:val="0"/>
      <w:marRight w:val="0"/>
      <w:marTop w:val="0"/>
      <w:marBottom w:val="0"/>
      <w:divBdr>
        <w:top w:val="none" w:sz="0" w:space="0" w:color="auto"/>
        <w:left w:val="none" w:sz="0" w:space="0" w:color="auto"/>
        <w:bottom w:val="none" w:sz="0" w:space="0" w:color="auto"/>
        <w:right w:val="none" w:sz="0" w:space="0" w:color="auto"/>
      </w:divBdr>
    </w:div>
    <w:div w:id="1694107895">
      <w:bodyDiv w:val="1"/>
      <w:marLeft w:val="0"/>
      <w:marRight w:val="0"/>
      <w:marTop w:val="0"/>
      <w:marBottom w:val="0"/>
      <w:divBdr>
        <w:top w:val="none" w:sz="0" w:space="0" w:color="auto"/>
        <w:left w:val="none" w:sz="0" w:space="0" w:color="auto"/>
        <w:bottom w:val="none" w:sz="0" w:space="0" w:color="auto"/>
        <w:right w:val="none" w:sz="0" w:space="0" w:color="auto"/>
      </w:divBdr>
    </w:div>
    <w:div w:id="1694572699">
      <w:bodyDiv w:val="1"/>
      <w:marLeft w:val="0"/>
      <w:marRight w:val="0"/>
      <w:marTop w:val="0"/>
      <w:marBottom w:val="0"/>
      <w:divBdr>
        <w:top w:val="none" w:sz="0" w:space="0" w:color="auto"/>
        <w:left w:val="none" w:sz="0" w:space="0" w:color="auto"/>
        <w:bottom w:val="none" w:sz="0" w:space="0" w:color="auto"/>
        <w:right w:val="none" w:sz="0" w:space="0" w:color="auto"/>
      </w:divBdr>
    </w:div>
    <w:div w:id="1696999111">
      <w:bodyDiv w:val="1"/>
      <w:marLeft w:val="0"/>
      <w:marRight w:val="0"/>
      <w:marTop w:val="0"/>
      <w:marBottom w:val="0"/>
      <w:divBdr>
        <w:top w:val="none" w:sz="0" w:space="0" w:color="auto"/>
        <w:left w:val="none" w:sz="0" w:space="0" w:color="auto"/>
        <w:bottom w:val="none" w:sz="0" w:space="0" w:color="auto"/>
        <w:right w:val="none" w:sz="0" w:space="0" w:color="auto"/>
      </w:divBdr>
    </w:div>
    <w:div w:id="1698040151">
      <w:bodyDiv w:val="1"/>
      <w:marLeft w:val="0"/>
      <w:marRight w:val="0"/>
      <w:marTop w:val="0"/>
      <w:marBottom w:val="0"/>
      <w:divBdr>
        <w:top w:val="none" w:sz="0" w:space="0" w:color="auto"/>
        <w:left w:val="none" w:sz="0" w:space="0" w:color="auto"/>
        <w:bottom w:val="none" w:sz="0" w:space="0" w:color="auto"/>
        <w:right w:val="none" w:sz="0" w:space="0" w:color="auto"/>
      </w:divBdr>
    </w:div>
    <w:div w:id="1700811880">
      <w:bodyDiv w:val="1"/>
      <w:marLeft w:val="0"/>
      <w:marRight w:val="0"/>
      <w:marTop w:val="0"/>
      <w:marBottom w:val="0"/>
      <w:divBdr>
        <w:top w:val="none" w:sz="0" w:space="0" w:color="auto"/>
        <w:left w:val="none" w:sz="0" w:space="0" w:color="auto"/>
        <w:bottom w:val="none" w:sz="0" w:space="0" w:color="auto"/>
        <w:right w:val="none" w:sz="0" w:space="0" w:color="auto"/>
      </w:divBdr>
    </w:div>
    <w:div w:id="1701667744">
      <w:bodyDiv w:val="1"/>
      <w:marLeft w:val="0"/>
      <w:marRight w:val="0"/>
      <w:marTop w:val="0"/>
      <w:marBottom w:val="0"/>
      <w:divBdr>
        <w:top w:val="none" w:sz="0" w:space="0" w:color="auto"/>
        <w:left w:val="none" w:sz="0" w:space="0" w:color="auto"/>
        <w:bottom w:val="none" w:sz="0" w:space="0" w:color="auto"/>
        <w:right w:val="none" w:sz="0" w:space="0" w:color="auto"/>
      </w:divBdr>
    </w:div>
    <w:div w:id="1708986507">
      <w:bodyDiv w:val="1"/>
      <w:marLeft w:val="0"/>
      <w:marRight w:val="0"/>
      <w:marTop w:val="0"/>
      <w:marBottom w:val="0"/>
      <w:divBdr>
        <w:top w:val="none" w:sz="0" w:space="0" w:color="auto"/>
        <w:left w:val="none" w:sz="0" w:space="0" w:color="auto"/>
        <w:bottom w:val="none" w:sz="0" w:space="0" w:color="auto"/>
        <w:right w:val="none" w:sz="0" w:space="0" w:color="auto"/>
      </w:divBdr>
    </w:div>
    <w:div w:id="1712807675">
      <w:bodyDiv w:val="1"/>
      <w:marLeft w:val="0"/>
      <w:marRight w:val="0"/>
      <w:marTop w:val="0"/>
      <w:marBottom w:val="0"/>
      <w:divBdr>
        <w:top w:val="none" w:sz="0" w:space="0" w:color="auto"/>
        <w:left w:val="none" w:sz="0" w:space="0" w:color="auto"/>
        <w:bottom w:val="none" w:sz="0" w:space="0" w:color="auto"/>
        <w:right w:val="none" w:sz="0" w:space="0" w:color="auto"/>
      </w:divBdr>
    </w:div>
    <w:div w:id="1713648426">
      <w:bodyDiv w:val="1"/>
      <w:marLeft w:val="0"/>
      <w:marRight w:val="0"/>
      <w:marTop w:val="0"/>
      <w:marBottom w:val="0"/>
      <w:divBdr>
        <w:top w:val="none" w:sz="0" w:space="0" w:color="auto"/>
        <w:left w:val="none" w:sz="0" w:space="0" w:color="auto"/>
        <w:bottom w:val="none" w:sz="0" w:space="0" w:color="auto"/>
        <w:right w:val="none" w:sz="0" w:space="0" w:color="auto"/>
      </w:divBdr>
    </w:div>
    <w:div w:id="1713650964">
      <w:bodyDiv w:val="1"/>
      <w:marLeft w:val="0"/>
      <w:marRight w:val="0"/>
      <w:marTop w:val="0"/>
      <w:marBottom w:val="0"/>
      <w:divBdr>
        <w:top w:val="none" w:sz="0" w:space="0" w:color="auto"/>
        <w:left w:val="none" w:sz="0" w:space="0" w:color="auto"/>
        <w:bottom w:val="none" w:sz="0" w:space="0" w:color="auto"/>
        <w:right w:val="none" w:sz="0" w:space="0" w:color="auto"/>
      </w:divBdr>
    </w:div>
    <w:div w:id="1715887230">
      <w:bodyDiv w:val="1"/>
      <w:marLeft w:val="0"/>
      <w:marRight w:val="0"/>
      <w:marTop w:val="0"/>
      <w:marBottom w:val="0"/>
      <w:divBdr>
        <w:top w:val="none" w:sz="0" w:space="0" w:color="auto"/>
        <w:left w:val="none" w:sz="0" w:space="0" w:color="auto"/>
        <w:bottom w:val="none" w:sz="0" w:space="0" w:color="auto"/>
        <w:right w:val="none" w:sz="0" w:space="0" w:color="auto"/>
      </w:divBdr>
    </w:div>
    <w:div w:id="1718429733">
      <w:bodyDiv w:val="1"/>
      <w:marLeft w:val="0"/>
      <w:marRight w:val="0"/>
      <w:marTop w:val="0"/>
      <w:marBottom w:val="0"/>
      <w:divBdr>
        <w:top w:val="none" w:sz="0" w:space="0" w:color="auto"/>
        <w:left w:val="none" w:sz="0" w:space="0" w:color="auto"/>
        <w:bottom w:val="none" w:sz="0" w:space="0" w:color="auto"/>
        <w:right w:val="none" w:sz="0" w:space="0" w:color="auto"/>
      </w:divBdr>
    </w:div>
    <w:div w:id="1721974957">
      <w:bodyDiv w:val="1"/>
      <w:marLeft w:val="0"/>
      <w:marRight w:val="0"/>
      <w:marTop w:val="0"/>
      <w:marBottom w:val="0"/>
      <w:divBdr>
        <w:top w:val="none" w:sz="0" w:space="0" w:color="auto"/>
        <w:left w:val="none" w:sz="0" w:space="0" w:color="auto"/>
        <w:bottom w:val="none" w:sz="0" w:space="0" w:color="auto"/>
        <w:right w:val="none" w:sz="0" w:space="0" w:color="auto"/>
      </w:divBdr>
    </w:div>
    <w:div w:id="1728914785">
      <w:bodyDiv w:val="1"/>
      <w:marLeft w:val="0"/>
      <w:marRight w:val="0"/>
      <w:marTop w:val="0"/>
      <w:marBottom w:val="0"/>
      <w:divBdr>
        <w:top w:val="none" w:sz="0" w:space="0" w:color="auto"/>
        <w:left w:val="none" w:sz="0" w:space="0" w:color="auto"/>
        <w:bottom w:val="none" w:sz="0" w:space="0" w:color="auto"/>
        <w:right w:val="none" w:sz="0" w:space="0" w:color="auto"/>
      </w:divBdr>
    </w:div>
    <w:div w:id="1729769218">
      <w:bodyDiv w:val="1"/>
      <w:marLeft w:val="0"/>
      <w:marRight w:val="0"/>
      <w:marTop w:val="0"/>
      <w:marBottom w:val="0"/>
      <w:divBdr>
        <w:top w:val="none" w:sz="0" w:space="0" w:color="auto"/>
        <w:left w:val="none" w:sz="0" w:space="0" w:color="auto"/>
        <w:bottom w:val="none" w:sz="0" w:space="0" w:color="auto"/>
        <w:right w:val="none" w:sz="0" w:space="0" w:color="auto"/>
      </w:divBdr>
    </w:div>
    <w:div w:id="1734699930">
      <w:bodyDiv w:val="1"/>
      <w:marLeft w:val="0"/>
      <w:marRight w:val="0"/>
      <w:marTop w:val="0"/>
      <w:marBottom w:val="0"/>
      <w:divBdr>
        <w:top w:val="none" w:sz="0" w:space="0" w:color="auto"/>
        <w:left w:val="none" w:sz="0" w:space="0" w:color="auto"/>
        <w:bottom w:val="none" w:sz="0" w:space="0" w:color="auto"/>
        <w:right w:val="none" w:sz="0" w:space="0" w:color="auto"/>
      </w:divBdr>
    </w:div>
    <w:div w:id="1736078514">
      <w:bodyDiv w:val="1"/>
      <w:marLeft w:val="0"/>
      <w:marRight w:val="0"/>
      <w:marTop w:val="0"/>
      <w:marBottom w:val="0"/>
      <w:divBdr>
        <w:top w:val="none" w:sz="0" w:space="0" w:color="auto"/>
        <w:left w:val="none" w:sz="0" w:space="0" w:color="auto"/>
        <w:bottom w:val="none" w:sz="0" w:space="0" w:color="auto"/>
        <w:right w:val="none" w:sz="0" w:space="0" w:color="auto"/>
      </w:divBdr>
    </w:div>
    <w:div w:id="1736782785">
      <w:bodyDiv w:val="1"/>
      <w:marLeft w:val="0"/>
      <w:marRight w:val="0"/>
      <w:marTop w:val="0"/>
      <w:marBottom w:val="0"/>
      <w:divBdr>
        <w:top w:val="none" w:sz="0" w:space="0" w:color="auto"/>
        <w:left w:val="none" w:sz="0" w:space="0" w:color="auto"/>
        <w:bottom w:val="none" w:sz="0" w:space="0" w:color="auto"/>
        <w:right w:val="none" w:sz="0" w:space="0" w:color="auto"/>
      </w:divBdr>
    </w:div>
    <w:div w:id="1736856515">
      <w:bodyDiv w:val="1"/>
      <w:marLeft w:val="0"/>
      <w:marRight w:val="0"/>
      <w:marTop w:val="0"/>
      <w:marBottom w:val="0"/>
      <w:divBdr>
        <w:top w:val="none" w:sz="0" w:space="0" w:color="auto"/>
        <w:left w:val="none" w:sz="0" w:space="0" w:color="auto"/>
        <w:bottom w:val="none" w:sz="0" w:space="0" w:color="auto"/>
        <w:right w:val="none" w:sz="0" w:space="0" w:color="auto"/>
      </w:divBdr>
    </w:div>
    <w:div w:id="1740396511">
      <w:bodyDiv w:val="1"/>
      <w:marLeft w:val="0"/>
      <w:marRight w:val="0"/>
      <w:marTop w:val="0"/>
      <w:marBottom w:val="0"/>
      <w:divBdr>
        <w:top w:val="none" w:sz="0" w:space="0" w:color="auto"/>
        <w:left w:val="none" w:sz="0" w:space="0" w:color="auto"/>
        <w:bottom w:val="none" w:sz="0" w:space="0" w:color="auto"/>
        <w:right w:val="none" w:sz="0" w:space="0" w:color="auto"/>
      </w:divBdr>
    </w:div>
    <w:div w:id="1743940349">
      <w:bodyDiv w:val="1"/>
      <w:marLeft w:val="0"/>
      <w:marRight w:val="0"/>
      <w:marTop w:val="0"/>
      <w:marBottom w:val="0"/>
      <w:divBdr>
        <w:top w:val="none" w:sz="0" w:space="0" w:color="auto"/>
        <w:left w:val="none" w:sz="0" w:space="0" w:color="auto"/>
        <w:bottom w:val="none" w:sz="0" w:space="0" w:color="auto"/>
        <w:right w:val="none" w:sz="0" w:space="0" w:color="auto"/>
      </w:divBdr>
    </w:div>
    <w:div w:id="1752119633">
      <w:bodyDiv w:val="1"/>
      <w:marLeft w:val="0"/>
      <w:marRight w:val="0"/>
      <w:marTop w:val="0"/>
      <w:marBottom w:val="0"/>
      <w:divBdr>
        <w:top w:val="none" w:sz="0" w:space="0" w:color="auto"/>
        <w:left w:val="none" w:sz="0" w:space="0" w:color="auto"/>
        <w:bottom w:val="none" w:sz="0" w:space="0" w:color="auto"/>
        <w:right w:val="none" w:sz="0" w:space="0" w:color="auto"/>
      </w:divBdr>
    </w:div>
    <w:div w:id="1755395235">
      <w:bodyDiv w:val="1"/>
      <w:marLeft w:val="0"/>
      <w:marRight w:val="0"/>
      <w:marTop w:val="0"/>
      <w:marBottom w:val="0"/>
      <w:divBdr>
        <w:top w:val="none" w:sz="0" w:space="0" w:color="auto"/>
        <w:left w:val="none" w:sz="0" w:space="0" w:color="auto"/>
        <w:bottom w:val="none" w:sz="0" w:space="0" w:color="auto"/>
        <w:right w:val="none" w:sz="0" w:space="0" w:color="auto"/>
      </w:divBdr>
    </w:div>
    <w:div w:id="1758745381">
      <w:bodyDiv w:val="1"/>
      <w:marLeft w:val="0"/>
      <w:marRight w:val="0"/>
      <w:marTop w:val="0"/>
      <w:marBottom w:val="0"/>
      <w:divBdr>
        <w:top w:val="none" w:sz="0" w:space="0" w:color="auto"/>
        <w:left w:val="none" w:sz="0" w:space="0" w:color="auto"/>
        <w:bottom w:val="none" w:sz="0" w:space="0" w:color="auto"/>
        <w:right w:val="none" w:sz="0" w:space="0" w:color="auto"/>
      </w:divBdr>
    </w:div>
    <w:div w:id="1760439713">
      <w:bodyDiv w:val="1"/>
      <w:marLeft w:val="0"/>
      <w:marRight w:val="0"/>
      <w:marTop w:val="0"/>
      <w:marBottom w:val="0"/>
      <w:divBdr>
        <w:top w:val="none" w:sz="0" w:space="0" w:color="auto"/>
        <w:left w:val="none" w:sz="0" w:space="0" w:color="auto"/>
        <w:bottom w:val="none" w:sz="0" w:space="0" w:color="auto"/>
        <w:right w:val="none" w:sz="0" w:space="0" w:color="auto"/>
      </w:divBdr>
    </w:div>
    <w:div w:id="1760758202">
      <w:bodyDiv w:val="1"/>
      <w:marLeft w:val="0"/>
      <w:marRight w:val="0"/>
      <w:marTop w:val="0"/>
      <w:marBottom w:val="0"/>
      <w:divBdr>
        <w:top w:val="none" w:sz="0" w:space="0" w:color="auto"/>
        <w:left w:val="none" w:sz="0" w:space="0" w:color="auto"/>
        <w:bottom w:val="none" w:sz="0" w:space="0" w:color="auto"/>
        <w:right w:val="none" w:sz="0" w:space="0" w:color="auto"/>
      </w:divBdr>
    </w:div>
    <w:div w:id="1763187411">
      <w:bodyDiv w:val="1"/>
      <w:marLeft w:val="0"/>
      <w:marRight w:val="0"/>
      <w:marTop w:val="0"/>
      <w:marBottom w:val="0"/>
      <w:divBdr>
        <w:top w:val="none" w:sz="0" w:space="0" w:color="auto"/>
        <w:left w:val="none" w:sz="0" w:space="0" w:color="auto"/>
        <w:bottom w:val="none" w:sz="0" w:space="0" w:color="auto"/>
        <w:right w:val="none" w:sz="0" w:space="0" w:color="auto"/>
      </w:divBdr>
    </w:div>
    <w:div w:id="1765030913">
      <w:bodyDiv w:val="1"/>
      <w:marLeft w:val="0"/>
      <w:marRight w:val="0"/>
      <w:marTop w:val="0"/>
      <w:marBottom w:val="0"/>
      <w:divBdr>
        <w:top w:val="none" w:sz="0" w:space="0" w:color="auto"/>
        <w:left w:val="none" w:sz="0" w:space="0" w:color="auto"/>
        <w:bottom w:val="none" w:sz="0" w:space="0" w:color="auto"/>
        <w:right w:val="none" w:sz="0" w:space="0" w:color="auto"/>
      </w:divBdr>
    </w:div>
    <w:div w:id="1766807104">
      <w:bodyDiv w:val="1"/>
      <w:marLeft w:val="0"/>
      <w:marRight w:val="0"/>
      <w:marTop w:val="0"/>
      <w:marBottom w:val="0"/>
      <w:divBdr>
        <w:top w:val="none" w:sz="0" w:space="0" w:color="auto"/>
        <w:left w:val="none" w:sz="0" w:space="0" w:color="auto"/>
        <w:bottom w:val="none" w:sz="0" w:space="0" w:color="auto"/>
        <w:right w:val="none" w:sz="0" w:space="0" w:color="auto"/>
      </w:divBdr>
    </w:div>
    <w:div w:id="1767505998">
      <w:bodyDiv w:val="1"/>
      <w:marLeft w:val="0"/>
      <w:marRight w:val="0"/>
      <w:marTop w:val="0"/>
      <w:marBottom w:val="0"/>
      <w:divBdr>
        <w:top w:val="none" w:sz="0" w:space="0" w:color="auto"/>
        <w:left w:val="none" w:sz="0" w:space="0" w:color="auto"/>
        <w:bottom w:val="none" w:sz="0" w:space="0" w:color="auto"/>
        <w:right w:val="none" w:sz="0" w:space="0" w:color="auto"/>
      </w:divBdr>
    </w:div>
    <w:div w:id="1768427289">
      <w:bodyDiv w:val="1"/>
      <w:marLeft w:val="0"/>
      <w:marRight w:val="0"/>
      <w:marTop w:val="0"/>
      <w:marBottom w:val="0"/>
      <w:divBdr>
        <w:top w:val="none" w:sz="0" w:space="0" w:color="auto"/>
        <w:left w:val="none" w:sz="0" w:space="0" w:color="auto"/>
        <w:bottom w:val="none" w:sz="0" w:space="0" w:color="auto"/>
        <w:right w:val="none" w:sz="0" w:space="0" w:color="auto"/>
      </w:divBdr>
    </w:div>
    <w:div w:id="1769426024">
      <w:bodyDiv w:val="1"/>
      <w:marLeft w:val="0"/>
      <w:marRight w:val="0"/>
      <w:marTop w:val="0"/>
      <w:marBottom w:val="0"/>
      <w:divBdr>
        <w:top w:val="none" w:sz="0" w:space="0" w:color="auto"/>
        <w:left w:val="none" w:sz="0" w:space="0" w:color="auto"/>
        <w:bottom w:val="none" w:sz="0" w:space="0" w:color="auto"/>
        <w:right w:val="none" w:sz="0" w:space="0" w:color="auto"/>
      </w:divBdr>
    </w:div>
    <w:div w:id="1778058924">
      <w:bodyDiv w:val="1"/>
      <w:marLeft w:val="0"/>
      <w:marRight w:val="0"/>
      <w:marTop w:val="0"/>
      <w:marBottom w:val="0"/>
      <w:divBdr>
        <w:top w:val="none" w:sz="0" w:space="0" w:color="auto"/>
        <w:left w:val="none" w:sz="0" w:space="0" w:color="auto"/>
        <w:bottom w:val="none" w:sz="0" w:space="0" w:color="auto"/>
        <w:right w:val="none" w:sz="0" w:space="0" w:color="auto"/>
      </w:divBdr>
    </w:div>
    <w:div w:id="1781609972">
      <w:bodyDiv w:val="1"/>
      <w:marLeft w:val="0"/>
      <w:marRight w:val="0"/>
      <w:marTop w:val="0"/>
      <w:marBottom w:val="0"/>
      <w:divBdr>
        <w:top w:val="none" w:sz="0" w:space="0" w:color="auto"/>
        <w:left w:val="none" w:sz="0" w:space="0" w:color="auto"/>
        <w:bottom w:val="none" w:sz="0" w:space="0" w:color="auto"/>
        <w:right w:val="none" w:sz="0" w:space="0" w:color="auto"/>
      </w:divBdr>
    </w:div>
    <w:div w:id="1782647916">
      <w:bodyDiv w:val="1"/>
      <w:marLeft w:val="0"/>
      <w:marRight w:val="0"/>
      <w:marTop w:val="0"/>
      <w:marBottom w:val="0"/>
      <w:divBdr>
        <w:top w:val="none" w:sz="0" w:space="0" w:color="auto"/>
        <w:left w:val="none" w:sz="0" w:space="0" w:color="auto"/>
        <w:bottom w:val="none" w:sz="0" w:space="0" w:color="auto"/>
        <w:right w:val="none" w:sz="0" w:space="0" w:color="auto"/>
      </w:divBdr>
    </w:div>
    <w:div w:id="1785810440">
      <w:bodyDiv w:val="1"/>
      <w:marLeft w:val="0"/>
      <w:marRight w:val="0"/>
      <w:marTop w:val="0"/>
      <w:marBottom w:val="0"/>
      <w:divBdr>
        <w:top w:val="none" w:sz="0" w:space="0" w:color="auto"/>
        <w:left w:val="none" w:sz="0" w:space="0" w:color="auto"/>
        <w:bottom w:val="none" w:sz="0" w:space="0" w:color="auto"/>
        <w:right w:val="none" w:sz="0" w:space="0" w:color="auto"/>
      </w:divBdr>
    </w:div>
    <w:div w:id="1790397237">
      <w:bodyDiv w:val="1"/>
      <w:marLeft w:val="0"/>
      <w:marRight w:val="0"/>
      <w:marTop w:val="0"/>
      <w:marBottom w:val="0"/>
      <w:divBdr>
        <w:top w:val="none" w:sz="0" w:space="0" w:color="auto"/>
        <w:left w:val="none" w:sz="0" w:space="0" w:color="auto"/>
        <w:bottom w:val="none" w:sz="0" w:space="0" w:color="auto"/>
        <w:right w:val="none" w:sz="0" w:space="0" w:color="auto"/>
      </w:divBdr>
    </w:div>
    <w:div w:id="1793094590">
      <w:bodyDiv w:val="1"/>
      <w:marLeft w:val="0"/>
      <w:marRight w:val="0"/>
      <w:marTop w:val="0"/>
      <w:marBottom w:val="0"/>
      <w:divBdr>
        <w:top w:val="none" w:sz="0" w:space="0" w:color="auto"/>
        <w:left w:val="none" w:sz="0" w:space="0" w:color="auto"/>
        <w:bottom w:val="none" w:sz="0" w:space="0" w:color="auto"/>
        <w:right w:val="none" w:sz="0" w:space="0" w:color="auto"/>
      </w:divBdr>
    </w:div>
    <w:div w:id="1793592363">
      <w:bodyDiv w:val="1"/>
      <w:marLeft w:val="0"/>
      <w:marRight w:val="0"/>
      <w:marTop w:val="0"/>
      <w:marBottom w:val="0"/>
      <w:divBdr>
        <w:top w:val="none" w:sz="0" w:space="0" w:color="auto"/>
        <w:left w:val="none" w:sz="0" w:space="0" w:color="auto"/>
        <w:bottom w:val="none" w:sz="0" w:space="0" w:color="auto"/>
        <w:right w:val="none" w:sz="0" w:space="0" w:color="auto"/>
      </w:divBdr>
    </w:div>
    <w:div w:id="1796409498">
      <w:bodyDiv w:val="1"/>
      <w:marLeft w:val="0"/>
      <w:marRight w:val="0"/>
      <w:marTop w:val="0"/>
      <w:marBottom w:val="0"/>
      <w:divBdr>
        <w:top w:val="none" w:sz="0" w:space="0" w:color="auto"/>
        <w:left w:val="none" w:sz="0" w:space="0" w:color="auto"/>
        <w:bottom w:val="none" w:sz="0" w:space="0" w:color="auto"/>
        <w:right w:val="none" w:sz="0" w:space="0" w:color="auto"/>
      </w:divBdr>
    </w:div>
    <w:div w:id="1797675742">
      <w:bodyDiv w:val="1"/>
      <w:marLeft w:val="0"/>
      <w:marRight w:val="0"/>
      <w:marTop w:val="0"/>
      <w:marBottom w:val="0"/>
      <w:divBdr>
        <w:top w:val="none" w:sz="0" w:space="0" w:color="auto"/>
        <w:left w:val="none" w:sz="0" w:space="0" w:color="auto"/>
        <w:bottom w:val="none" w:sz="0" w:space="0" w:color="auto"/>
        <w:right w:val="none" w:sz="0" w:space="0" w:color="auto"/>
      </w:divBdr>
    </w:div>
    <w:div w:id="1800219768">
      <w:bodyDiv w:val="1"/>
      <w:marLeft w:val="0"/>
      <w:marRight w:val="0"/>
      <w:marTop w:val="0"/>
      <w:marBottom w:val="0"/>
      <w:divBdr>
        <w:top w:val="none" w:sz="0" w:space="0" w:color="auto"/>
        <w:left w:val="none" w:sz="0" w:space="0" w:color="auto"/>
        <w:bottom w:val="none" w:sz="0" w:space="0" w:color="auto"/>
        <w:right w:val="none" w:sz="0" w:space="0" w:color="auto"/>
      </w:divBdr>
    </w:div>
    <w:div w:id="1800764319">
      <w:bodyDiv w:val="1"/>
      <w:marLeft w:val="0"/>
      <w:marRight w:val="0"/>
      <w:marTop w:val="0"/>
      <w:marBottom w:val="0"/>
      <w:divBdr>
        <w:top w:val="none" w:sz="0" w:space="0" w:color="auto"/>
        <w:left w:val="none" w:sz="0" w:space="0" w:color="auto"/>
        <w:bottom w:val="none" w:sz="0" w:space="0" w:color="auto"/>
        <w:right w:val="none" w:sz="0" w:space="0" w:color="auto"/>
      </w:divBdr>
    </w:div>
    <w:div w:id="1803384304">
      <w:bodyDiv w:val="1"/>
      <w:marLeft w:val="0"/>
      <w:marRight w:val="0"/>
      <w:marTop w:val="0"/>
      <w:marBottom w:val="0"/>
      <w:divBdr>
        <w:top w:val="none" w:sz="0" w:space="0" w:color="auto"/>
        <w:left w:val="none" w:sz="0" w:space="0" w:color="auto"/>
        <w:bottom w:val="none" w:sz="0" w:space="0" w:color="auto"/>
        <w:right w:val="none" w:sz="0" w:space="0" w:color="auto"/>
      </w:divBdr>
    </w:div>
    <w:div w:id="1803766610">
      <w:bodyDiv w:val="1"/>
      <w:marLeft w:val="0"/>
      <w:marRight w:val="0"/>
      <w:marTop w:val="0"/>
      <w:marBottom w:val="0"/>
      <w:divBdr>
        <w:top w:val="none" w:sz="0" w:space="0" w:color="auto"/>
        <w:left w:val="none" w:sz="0" w:space="0" w:color="auto"/>
        <w:bottom w:val="none" w:sz="0" w:space="0" w:color="auto"/>
        <w:right w:val="none" w:sz="0" w:space="0" w:color="auto"/>
      </w:divBdr>
    </w:div>
    <w:div w:id="1804303729">
      <w:bodyDiv w:val="1"/>
      <w:marLeft w:val="0"/>
      <w:marRight w:val="0"/>
      <w:marTop w:val="0"/>
      <w:marBottom w:val="0"/>
      <w:divBdr>
        <w:top w:val="none" w:sz="0" w:space="0" w:color="auto"/>
        <w:left w:val="none" w:sz="0" w:space="0" w:color="auto"/>
        <w:bottom w:val="none" w:sz="0" w:space="0" w:color="auto"/>
        <w:right w:val="none" w:sz="0" w:space="0" w:color="auto"/>
      </w:divBdr>
    </w:div>
    <w:div w:id="1804885411">
      <w:bodyDiv w:val="1"/>
      <w:marLeft w:val="0"/>
      <w:marRight w:val="0"/>
      <w:marTop w:val="0"/>
      <w:marBottom w:val="0"/>
      <w:divBdr>
        <w:top w:val="none" w:sz="0" w:space="0" w:color="auto"/>
        <w:left w:val="none" w:sz="0" w:space="0" w:color="auto"/>
        <w:bottom w:val="none" w:sz="0" w:space="0" w:color="auto"/>
        <w:right w:val="none" w:sz="0" w:space="0" w:color="auto"/>
      </w:divBdr>
    </w:div>
    <w:div w:id="1805928589">
      <w:bodyDiv w:val="1"/>
      <w:marLeft w:val="0"/>
      <w:marRight w:val="0"/>
      <w:marTop w:val="0"/>
      <w:marBottom w:val="0"/>
      <w:divBdr>
        <w:top w:val="none" w:sz="0" w:space="0" w:color="auto"/>
        <w:left w:val="none" w:sz="0" w:space="0" w:color="auto"/>
        <w:bottom w:val="none" w:sz="0" w:space="0" w:color="auto"/>
        <w:right w:val="none" w:sz="0" w:space="0" w:color="auto"/>
      </w:divBdr>
    </w:div>
    <w:div w:id="1813862724">
      <w:bodyDiv w:val="1"/>
      <w:marLeft w:val="0"/>
      <w:marRight w:val="0"/>
      <w:marTop w:val="0"/>
      <w:marBottom w:val="0"/>
      <w:divBdr>
        <w:top w:val="none" w:sz="0" w:space="0" w:color="auto"/>
        <w:left w:val="none" w:sz="0" w:space="0" w:color="auto"/>
        <w:bottom w:val="none" w:sz="0" w:space="0" w:color="auto"/>
        <w:right w:val="none" w:sz="0" w:space="0" w:color="auto"/>
      </w:divBdr>
    </w:div>
    <w:div w:id="1815416479">
      <w:bodyDiv w:val="1"/>
      <w:marLeft w:val="0"/>
      <w:marRight w:val="0"/>
      <w:marTop w:val="0"/>
      <w:marBottom w:val="0"/>
      <w:divBdr>
        <w:top w:val="none" w:sz="0" w:space="0" w:color="auto"/>
        <w:left w:val="none" w:sz="0" w:space="0" w:color="auto"/>
        <w:bottom w:val="none" w:sz="0" w:space="0" w:color="auto"/>
        <w:right w:val="none" w:sz="0" w:space="0" w:color="auto"/>
      </w:divBdr>
    </w:div>
    <w:div w:id="1820533868">
      <w:bodyDiv w:val="1"/>
      <w:marLeft w:val="0"/>
      <w:marRight w:val="0"/>
      <w:marTop w:val="0"/>
      <w:marBottom w:val="0"/>
      <w:divBdr>
        <w:top w:val="none" w:sz="0" w:space="0" w:color="auto"/>
        <w:left w:val="none" w:sz="0" w:space="0" w:color="auto"/>
        <w:bottom w:val="none" w:sz="0" w:space="0" w:color="auto"/>
        <w:right w:val="none" w:sz="0" w:space="0" w:color="auto"/>
      </w:divBdr>
    </w:div>
    <w:div w:id="1822622250">
      <w:bodyDiv w:val="1"/>
      <w:marLeft w:val="0"/>
      <w:marRight w:val="0"/>
      <w:marTop w:val="0"/>
      <w:marBottom w:val="0"/>
      <w:divBdr>
        <w:top w:val="none" w:sz="0" w:space="0" w:color="auto"/>
        <w:left w:val="none" w:sz="0" w:space="0" w:color="auto"/>
        <w:bottom w:val="none" w:sz="0" w:space="0" w:color="auto"/>
        <w:right w:val="none" w:sz="0" w:space="0" w:color="auto"/>
      </w:divBdr>
    </w:div>
    <w:div w:id="1826780984">
      <w:bodyDiv w:val="1"/>
      <w:marLeft w:val="0"/>
      <w:marRight w:val="0"/>
      <w:marTop w:val="0"/>
      <w:marBottom w:val="0"/>
      <w:divBdr>
        <w:top w:val="none" w:sz="0" w:space="0" w:color="auto"/>
        <w:left w:val="none" w:sz="0" w:space="0" w:color="auto"/>
        <w:bottom w:val="none" w:sz="0" w:space="0" w:color="auto"/>
        <w:right w:val="none" w:sz="0" w:space="0" w:color="auto"/>
      </w:divBdr>
    </w:div>
    <w:div w:id="1828738682">
      <w:bodyDiv w:val="1"/>
      <w:marLeft w:val="0"/>
      <w:marRight w:val="0"/>
      <w:marTop w:val="0"/>
      <w:marBottom w:val="0"/>
      <w:divBdr>
        <w:top w:val="none" w:sz="0" w:space="0" w:color="auto"/>
        <w:left w:val="none" w:sz="0" w:space="0" w:color="auto"/>
        <w:bottom w:val="none" w:sz="0" w:space="0" w:color="auto"/>
        <w:right w:val="none" w:sz="0" w:space="0" w:color="auto"/>
      </w:divBdr>
    </w:div>
    <w:div w:id="1828789091">
      <w:bodyDiv w:val="1"/>
      <w:marLeft w:val="0"/>
      <w:marRight w:val="0"/>
      <w:marTop w:val="0"/>
      <w:marBottom w:val="0"/>
      <w:divBdr>
        <w:top w:val="none" w:sz="0" w:space="0" w:color="auto"/>
        <w:left w:val="none" w:sz="0" w:space="0" w:color="auto"/>
        <w:bottom w:val="none" w:sz="0" w:space="0" w:color="auto"/>
        <w:right w:val="none" w:sz="0" w:space="0" w:color="auto"/>
      </w:divBdr>
    </w:div>
    <w:div w:id="1834367006">
      <w:bodyDiv w:val="1"/>
      <w:marLeft w:val="0"/>
      <w:marRight w:val="0"/>
      <w:marTop w:val="0"/>
      <w:marBottom w:val="0"/>
      <w:divBdr>
        <w:top w:val="none" w:sz="0" w:space="0" w:color="auto"/>
        <w:left w:val="none" w:sz="0" w:space="0" w:color="auto"/>
        <w:bottom w:val="none" w:sz="0" w:space="0" w:color="auto"/>
        <w:right w:val="none" w:sz="0" w:space="0" w:color="auto"/>
      </w:divBdr>
    </w:div>
    <w:div w:id="1836921042">
      <w:bodyDiv w:val="1"/>
      <w:marLeft w:val="0"/>
      <w:marRight w:val="0"/>
      <w:marTop w:val="0"/>
      <w:marBottom w:val="0"/>
      <w:divBdr>
        <w:top w:val="none" w:sz="0" w:space="0" w:color="auto"/>
        <w:left w:val="none" w:sz="0" w:space="0" w:color="auto"/>
        <w:bottom w:val="none" w:sz="0" w:space="0" w:color="auto"/>
        <w:right w:val="none" w:sz="0" w:space="0" w:color="auto"/>
      </w:divBdr>
    </w:div>
    <w:div w:id="1839685842">
      <w:bodyDiv w:val="1"/>
      <w:marLeft w:val="0"/>
      <w:marRight w:val="0"/>
      <w:marTop w:val="0"/>
      <w:marBottom w:val="0"/>
      <w:divBdr>
        <w:top w:val="none" w:sz="0" w:space="0" w:color="auto"/>
        <w:left w:val="none" w:sz="0" w:space="0" w:color="auto"/>
        <w:bottom w:val="none" w:sz="0" w:space="0" w:color="auto"/>
        <w:right w:val="none" w:sz="0" w:space="0" w:color="auto"/>
      </w:divBdr>
    </w:div>
    <w:div w:id="1840925034">
      <w:bodyDiv w:val="1"/>
      <w:marLeft w:val="0"/>
      <w:marRight w:val="0"/>
      <w:marTop w:val="0"/>
      <w:marBottom w:val="0"/>
      <w:divBdr>
        <w:top w:val="none" w:sz="0" w:space="0" w:color="auto"/>
        <w:left w:val="none" w:sz="0" w:space="0" w:color="auto"/>
        <w:bottom w:val="none" w:sz="0" w:space="0" w:color="auto"/>
        <w:right w:val="none" w:sz="0" w:space="0" w:color="auto"/>
      </w:divBdr>
    </w:div>
    <w:div w:id="1841385416">
      <w:bodyDiv w:val="1"/>
      <w:marLeft w:val="0"/>
      <w:marRight w:val="0"/>
      <w:marTop w:val="0"/>
      <w:marBottom w:val="0"/>
      <w:divBdr>
        <w:top w:val="none" w:sz="0" w:space="0" w:color="auto"/>
        <w:left w:val="none" w:sz="0" w:space="0" w:color="auto"/>
        <w:bottom w:val="none" w:sz="0" w:space="0" w:color="auto"/>
        <w:right w:val="none" w:sz="0" w:space="0" w:color="auto"/>
      </w:divBdr>
    </w:div>
    <w:div w:id="1842230672">
      <w:bodyDiv w:val="1"/>
      <w:marLeft w:val="0"/>
      <w:marRight w:val="0"/>
      <w:marTop w:val="0"/>
      <w:marBottom w:val="0"/>
      <w:divBdr>
        <w:top w:val="none" w:sz="0" w:space="0" w:color="auto"/>
        <w:left w:val="none" w:sz="0" w:space="0" w:color="auto"/>
        <w:bottom w:val="none" w:sz="0" w:space="0" w:color="auto"/>
        <w:right w:val="none" w:sz="0" w:space="0" w:color="auto"/>
      </w:divBdr>
    </w:div>
    <w:div w:id="1847010440">
      <w:bodyDiv w:val="1"/>
      <w:marLeft w:val="0"/>
      <w:marRight w:val="0"/>
      <w:marTop w:val="0"/>
      <w:marBottom w:val="0"/>
      <w:divBdr>
        <w:top w:val="none" w:sz="0" w:space="0" w:color="auto"/>
        <w:left w:val="none" w:sz="0" w:space="0" w:color="auto"/>
        <w:bottom w:val="none" w:sz="0" w:space="0" w:color="auto"/>
        <w:right w:val="none" w:sz="0" w:space="0" w:color="auto"/>
      </w:divBdr>
    </w:div>
    <w:div w:id="1847864269">
      <w:bodyDiv w:val="1"/>
      <w:marLeft w:val="0"/>
      <w:marRight w:val="0"/>
      <w:marTop w:val="0"/>
      <w:marBottom w:val="0"/>
      <w:divBdr>
        <w:top w:val="none" w:sz="0" w:space="0" w:color="auto"/>
        <w:left w:val="none" w:sz="0" w:space="0" w:color="auto"/>
        <w:bottom w:val="none" w:sz="0" w:space="0" w:color="auto"/>
        <w:right w:val="none" w:sz="0" w:space="0" w:color="auto"/>
      </w:divBdr>
    </w:div>
    <w:div w:id="1849759049">
      <w:bodyDiv w:val="1"/>
      <w:marLeft w:val="0"/>
      <w:marRight w:val="0"/>
      <w:marTop w:val="0"/>
      <w:marBottom w:val="0"/>
      <w:divBdr>
        <w:top w:val="none" w:sz="0" w:space="0" w:color="auto"/>
        <w:left w:val="none" w:sz="0" w:space="0" w:color="auto"/>
        <w:bottom w:val="none" w:sz="0" w:space="0" w:color="auto"/>
        <w:right w:val="none" w:sz="0" w:space="0" w:color="auto"/>
      </w:divBdr>
    </w:div>
    <w:div w:id="1850367715">
      <w:bodyDiv w:val="1"/>
      <w:marLeft w:val="0"/>
      <w:marRight w:val="0"/>
      <w:marTop w:val="0"/>
      <w:marBottom w:val="0"/>
      <w:divBdr>
        <w:top w:val="none" w:sz="0" w:space="0" w:color="auto"/>
        <w:left w:val="none" w:sz="0" w:space="0" w:color="auto"/>
        <w:bottom w:val="none" w:sz="0" w:space="0" w:color="auto"/>
        <w:right w:val="none" w:sz="0" w:space="0" w:color="auto"/>
      </w:divBdr>
    </w:div>
    <w:div w:id="1852640087">
      <w:bodyDiv w:val="1"/>
      <w:marLeft w:val="0"/>
      <w:marRight w:val="0"/>
      <w:marTop w:val="0"/>
      <w:marBottom w:val="0"/>
      <w:divBdr>
        <w:top w:val="none" w:sz="0" w:space="0" w:color="auto"/>
        <w:left w:val="none" w:sz="0" w:space="0" w:color="auto"/>
        <w:bottom w:val="none" w:sz="0" w:space="0" w:color="auto"/>
        <w:right w:val="none" w:sz="0" w:space="0" w:color="auto"/>
      </w:divBdr>
    </w:div>
    <w:div w:id="1853568158">
      <w:bodyDiv w:val="1"/>
      <w:marLeft w:val="0"/>
      <w:marRight w:val="0"/>
      <w:marTop w:val="0"/>
      <w:marBottom w:val="0"/>
      <w:divBdr>
        <w:top w:val="none" w:sz="0" w:space="0" w:color="auto"/>
        <w:left w:val="none" w:sz="0" w:space="0" w:color="auto"/>
        <w:bottom w:val="none" w:sz="0" w:space="0" w:color="auto"/>
        <w:right w:val="none" w:sz="0" w:space="0" w:color="auto"/>
      </w:divBdr>
    </w:div>
    <w:div w:id="1855997668">
      <w:bodyDiv w:val="1"/>
      <w:marLeft w:val="0"/>
      <w:marRight w:val="0"/>
      <w:marTop w:val="0"/>
      <w:marBottom w:val="0"/>
      <w:divBdr>
        <w:top w:val="none" w:sz="0" w:space="0" w:color="auto"/>
        <w:left w:val="none" w:sz="0" w:space="0" w:color="auto"/>
        <w:bottom w:val="none" w:sz="0" w:space="0" w:color="auto"/>
        <w:right w:val="none" w:sz="0" w:space="0" w:color="auto"/>
      </w:divBdr>
    </w:div>
    <w:div w:id="1856193936">
      <w:bodyDiv w:val="1"/>
      <w:marLeft w:val="0"/>
      <w:marRight w:val="0"/>
      <w:marTop w:val="0"/>
      <w:marBottom w:val="0"/>
      <w:divBdr>
        <w:top w:val="none" w:sz="0" w:space="0" w:color="auto"/>
        <w:left w:val="none" w:sz="0" w:space="0" w:color="auto"/>
        <w:bottom w:val="none" w:sz="0" w:space="0" w:color="auto"/>
        <w:right w:val="none" w:sz="0" w:space="0" w:color="auto"/>
      </w:divBdr>
    </w:div>
    <w:div w:id="1858883575">
      <w:bodyDiv w:val="1"/>
      <w:marLeft w:val="0"/>
      <w:marRight w:val="0"/>
      <w:marTop w:val="0"/>
      <w:marBottom w:val="0"/>
      <w:divBdr>
        <w:top w:val="none" w:sz="0" w:space="0" w:color="auto"/>
        <w:left w:val="none" w:sz="0" w:space="0" w:color="auto"/>
        <w:bottom w:val="none" w:sz="0" w:space="0" w:color="auto"/>
        <w:right w:val="none" w:sz="0" w:space="0" w:color="auto"/>
      </w:divBdr>
    </w:div>
    <w:div w:id="1862358746">
      <w:bodyDiv w:val="1"/>
      <w:marLeft w:val="0"/>
      <w:marRight w:val="0"/>
      <w:marTop w:val="0"/>
      <w:marBottom w:val="0"/>
      <w:divBdr>
        <w:top w:val="none" w:sz="0" w:space="0" w:color="auto"/>
        <w:left w:val="none" w:sz="0" w:space="0" w:color="auto"/>
        <w:bottom w:val="none" w:sz="0" w:space="0" w:color="auto"/>
        <w:right w:val="none" w:sz="0" w:space="0" w:color="auto"/>
      </w:divBdr>
    </w:div>
    <w:div w:id="1863351991">
      <w:bodyDiv w:val="1"/>
      <w:marLeft w:val="0"/>
      <w:marRight w:val="0"/>
      <w:marTop w:val="0"/>
      <w:marBottom w:val="0"/>
      <w:divBdr>
        <w:top w:val="none" w:sz="0" w:space="0" w:color="auto"/>
        <w:left w:val="none" w:sz="0" w:space="0" w:color="auto"/>
        <w:bottom w:val="none" w:sz="0" w:space="0" w:color="auto"/>
        <w:right w:val="none" w:sz="0" w:space="0" w:color="auto"/>
      </w:divBdr>
    </w:div>
    <w:div w:id="1863400789">
      <w:bodyDiv w:val="1"/>
      <w:marLeft w:val="0"/>
      <w:marRight w:val="0"/>
      <w:marTop w:val="0"/>
      <w:marBottom w:val="0"/>
      <w:divBdr>
        <w:top w:val="none" w:sz="0" w:space="0" w:color="auto"/>
        <w:left w:val="none" w:sz="0" w:space="0" w:color="auto"/>
        <w:bottom w:val="none" w:sz="0" w:space="0" w:color="auto"/>
        <w:right w:val="none" w:sz="0" w:space="0" w:color="auto"/>
      </w:divBdr>
    </w:div>
    <w:div w:id="1863591945">
      <w:bodyDiv w:val="1"/>
      <w:marLeft w:val="0"/>
      <w:marRight w:val="0"/>
      <w:marTop w:val="0"/>
      <w:marBottom w:val="0"/>
      <w:divBdr>
        <w:top w:val="none" w:sz="0" w:space="0" w:color="auto"/>
        <w:left w:val="none" w:sz="0" w:space="0" w:color="auto"/>
        <w:bottom w:val="none" w:sz="0" w:space="0" w:color="auto"/>
        <w:right w:val="none" w:sz="0" w:space="0" w:color="auto"/>
      </w:divBdr>
    </w:div>
    <w:div w:id="1864053799">
      <w:bodyDiv w:val="1"/>
      <w:marLeft w:val="0"/>
      <w:marRight w:val="0"/>
      <w:marTop w:val="0"/>
      <w:marBottom w:val="0"/>
      <w:divBdr>
        <w:top w:val="none" w:sz="0" w:space="0" w:color="auto"/>
        <w:left w:val="none" w:sz="0" w:space="0" w:color="auto"/>
        <w:bottom w:val="none" w:sz="0" w:space="0" w:color="auto"/>
        <w:right w:val="none" w:sz="0" w:space="0" w:color="auto"/>
      </w:divBdr>
    </w:div>
    <w:div w:id="1864781816">
      <w:bodyDiv w:val="1"/>
      <w:marLeft w:val="0"/>
      <w:marRight w:val="0"/>
      <w:marTop w:val="0"/>
      <w:marBottom w:val="0"/>
      <w:divBdr>
        <w:top w:val="none" w:sz="0" w:space="0" w:color="auto"/>
        <w:left w:val="none" w:sz="0" w:space="0" w:color="auto"/>
        <w:bottom w:val="none" w:sz="0" w:space="0" w:color="auto"/>
        <w:right w:val="none" w:sz="0" w:space="0" w:color="auto"/>
      </w:divBdr>
    </w:div>
    <w:div w:id="1864829911">
      <w:bodyDiv w:val="1"/>
      <w:marLeft w:val="0"/>
      <w:marRight w:val="0"/>
      <w:marTop w:val="0"/>
      <w:marBottom w:val="0"/>
      <w:divBdr>
        <w:top w:val="none" w:sz="0" w:space="0" w:color="auto"/>
        <w:left w:val="none" w:sz="0" w:space="0" w:color="auto"/>
        <w:bottom w:val="none" w:sz="0" w:space="0" w:color="auto"/>
        <w:right w:val="none" w:sz="0" w:space="0" w:color="auto"/>
      </w:divBdr>
    </w:div>
    <w:div w:id="1864859137">
      <w:bodyDiv w:val="1"/>
      <w:marLeft w:val="0"/>
      <w:marRight w:val="0"/>
      <w:marTop w:val="0"/>
      <w:marBottom w:val="0"/>
      <w:divBdr>
        <w:top w:val="none" w:sz="0" w:space="0" w:color="auto"/>
        <w:left w:val="none" w:sz="0" w:space="0" w:color="auto"/>
        <w:bottom w:val="none" w:sz="0" w:space="0" w:color="auto"/>
        <w:right w:val="none" w:sz="0" w:space="0" w:color="auto"/>
      </w:divBdr>
    </w:div>
    <w:div w:id="1871796031">
      <w:bodyDiv w:val="1"/>
      <w:marLeft w:val="0"/>
      <w:marRight w:val="0"/>
      <w:marTop w:val="0"/>
      <w:marBottom w:val="0"/>
      <w:divBdr>
        <w:top w:val="none" w:sz="0" w:space="0" w:color="auto"/>
        <w:left w:val="none" w:sz="0" w:space="0" w:color="auto"/>
        <w:bottom w:val="none" w:sz="0" w:space="0" w:color="auto"/>
        <w:right w:val="none" w:sz="0" w:space="0" w:color="auto"/>
      </w:divBdr>
    </w:div>
    <w:div w:id="1880435318">
      <w:bodyDiv w:val="1"/>
      <w:marLeft w:val="0"/>
      <w:marRight w:val="0"/>
      <w:marTop w:val="0"/>
      <w:marBottom w:val="0"/>
      <w:divBdr>
        <w:top w:val="none" w:sz="0" w:space="0" w:color="auto"/>
        <w:left w:val="none" w:sz="0" w:space="0" w:color="auto"/>
        <w:bottom w:val="none" w:sz="0" w:space="0" w:color="auto"/>
        <w:right w:val="none" w:sz="0" w:space="0" w:color="auto"/>
      </w:divBdr>
    </w:div>
    <w:div w:id="1884097136">
      <w:bodyDiv w:val="1"/>
      <w:marLeft w:val="0"/>
      <w:marRight w:val="0"/>
      <w:marTop w:val="0"/>
      <w:marBottom w:val="0"/>
      <w:divBdr>
        <w:top w:val="none" w:sz="0" w:space="0" w:color="auto"/>
        <w:left w:val="none" w:sz="0" w:space="0" w:color="auto"/>
        <w:bottom w:val="none" w:sz="0" w:space="0" w:color="auto"/>
        <w:right w:val="none" w:sz="0" w:space="0" w:color="auto"/>
      </w:divBdr>
    </w:div>
    <w:div w:id="1884516917">
      <w:bodyDiv w:val="1"/>
      <w:marLeft w:val="0"/>
      <w:marRight w:val="0"/>
      <w:marTop w:val="0"/>
      <w:marBottom w:val="0"/>
      <w:divBdr>
        <w:top w:val="none" w:sz="0" w:space="0" w:color="auto"/>
        <w:left w:val="none" w:sz="0" w:space="0" w:color="auto"/>
        <w:bottom w:val="none" w:sz="0" w:space="0" w:color="auto"/>
        <w:right w:val="none" w:sz="0" w:space="0" w:color="auto"/>
      </w:divBdr>
    </w:div>
    <w:div w:id="1884902495">
      <w:bodyDiv w:val="1"/>
      <w:marLeft w:val="0"/>
      <w:marRight w:val="0"/>
      <w:marTop w:val="0"/>
      <w:marBottom w:val="0"/>
      <w:divBdr>
        <w:top w:val="none" w:sz="0" w:space="0" w:color="auto"/>
        <w:left w:val="none" w:sz="0" w:space="0" w:color="auto"/>
        <w:bottom w:val="none" w:sz="0" w:space="0" w:color="auto"/>
        <w:right w:val="none" w:sz="0" w:space="0" w:color="auto"/>
      </w:divBdr>
    </w:div>
    <w:div w:id="1885143769">
      <w:bodyDiv w:val="1"/>
      <w:marLeft w:val="0"/>
      <w:marRight w:val="0"/>
      <w:marTop w:val="0"/>
      <w:marBottom w:val="0"/>
      <w:divBdr>
        <w:top w:val="none" w:sz="0" w:space="0" w:color="auto"/>
        <w:left w:val="none" w:sz="0" w:space="0" w:color="auto"/>
        <w:bottom w:val="none" w:sz="0" w:space="0" w:color="auto"/>
        <w:right w:val="none" w:sz="0" w:space="0" w:color="auto"/>
      </w:divBdr>
    </w:div>
    <w:div w:id="1887524687">
      <w:bodyDiv w:val="1"/>
      <w:marLeft w:val="0"/>
      <w:marRight w:val="0"/>
      <w:marTop w:val="0"/>
      <w:marBottom w:val="0"/>
      <w:divBdr>
        <w:top w:val="none" w:sz="0" w:space="0" w:color="auto"/>
        <w:left w:val="none" w:sz="0" w:space="0" w:color="auto"/>
        <w:bottom w:val="none" w:sz="0" w:space="0" w:color="auto"/>
        <w:right w:val="none" w:sz="0" w:space="0" w:color="auto"/>
      </w:divBdr>
    </w:div>
    <w:div w:id="1887712930">
      <w:bodyDiv w:val="1"/>
      <w:marLeft w:val="0"/>
      <w:marRight w:val="0"/>
      <w:marTop w:val="0"/>
      <w:marBottom w:val="0"/>
      <w:divBdr>
        <w:top w:val="none" w:sz="0" w:space="0" w:color="auto"/>
        <w:left w:val="none" w:sz="0" w:space="0" w:color="auto"/>
        <w:bottom w:val="none" w:sz="0" w:space="0" w:color="auto"/>
        <w:right w:val="none" w:sz="0" w:space="0" w:color="auto"/>
      </w:divBdr>
    </w:div>
    <w:div w:id="1887984783">
      <w:bodyDiv w:val="1"/>
      <w:marLeft w:val="0"/>
      <w:marRight w:val="0"/>
      <w:marTop w:val="0"/>
      <w:marBottom w:val="0"/>
      <w:divBdr>
        <w:top w:val="none" w:sz="0" w:space="0" w:color="auto"/>
        <w:left w:val="none" w:sz="0" w:space="0" w:color="auto"/>
        <w:bottom w:val="none" w:sz="0" w:space="0" w:color="auto"/>
        <w:right w:val="none" w:sz="0" w:space="0" w:color="auto"/>
      </w:divBdr>
    </w:div>
    <w:div w:id="1887985746">
      <w:bodyDiv w:val="1"/>
      <w:marLeft w:val="0"/>
      <w:marRight w:val="0"/>
      <w:marTop w:val="0"/>
      <w:marBottom w:val="0"/>
      <w:divBdr>
        <w:top w:val="none" w:sz="0" w:space="0" w:color="auto"/>
        <w:left w:val="none" w:sz="0" w:space="0" w:color="auto"/>
        <w:bottom w:val="none" w:sz="0" w:space="0" w:color="auto"/>
        <w:right w:val="none" w:sz="0" w:space="0" w:color="auto"/>
      </w:divBdr>
    </w:div>
    <w:div w:id="1888569567">
      <w:bodyDiv w:val="1"/>
      <w:marLeft w:val="0"/>
      <w:marRight w:val="0"/>
      <w:marTop w:val="0"/>
      <w:marBottom w:val="0"/>
      <w:divBdr>
        <w:top w:val="none" w:sz="0" w:space="0" w:color="auto"/>
        <w:left w:val="none" w:sz="0" w:space="0" w:color="auto"/>
        <w:bottom w:val="none" w:sz="0" w:space="0" w:color="auto"/>
        <w:right w:val="none" w:sz="0" w:space="0" w:color="auto"/>
      </w:divBdr>
    </w:div>
    <w:div w:id="1889411878">
      <w:bodyDiv w:val="1"/>
      <w:marLeft w:val="0"/>
      <w:marRight w:val="0"/>
      <w:marTop w:val="0"/>
      <w:marBottom w:val="0"/>
      <w:divBdr>
        <w:top w:val="none" w:sz="0" w:space="0" w:color="auto"/>
        <w:left w:val="none" w:sz="0" w:space="0" w:color="auto"/>
        <w:bottom w:val="none" w:sz="0" w:space="0" w:color="auto"/>
        <w:right w:val="none" w:sz="0" w:space="0" w:color="auto"/>
      </w:divBdr>
    </w:div>
    <w:div w:id="1890534849">
      <w:bodyDiv w:val="1"/>
      <w:marLeft w:val="0"/>
      <w:marRight w:val="0"/>
      <w:marTop w:val="0"/>
      <w:marBottom w:val="0"/>
      <w:divBdr>
        <w:top w:val="none" w:sz="0" w:space="0" w:color="auto"/>
        <w:left w:val="none" w:sz="0" w:space="0" w:color="auto"/>
        <w:bottom w:val="none" w:sz="0" w:space="0" w:color="auto"/>
        <w:right w:val="none" w:sz="0" w:space="0" w:color="auto"/>
      </w:divBdr>
    </w:div>
    <w:div w:id="1897738963">
      <w:bodyDiv w:val="1"/>
      <w:marLeft w:val="0"/>
      <w:marRight w:val="0"/>
      <w:marTop w:val="0"/>
      <w:marBottom w:val="0"/>
      <w:divBdr>
        <w:top w:val="none" w:sz="0" w:space="0" w:color="auto"/>
        <w:left w:val="none" w:sz="0" w:space="0" w:color="auto"/>
        <w:bottom w:val="none" w:sz="0" w:space="0" w:color="auto"/>
        <w:right w:val="none" w:sz="0" w:space="0" w:color="auto"/>
      </w:divBdr>
    </w:div>
    <w:div w:id="1899394594">
      <w:bodyDiv w:val="1"/>
      <w:marLeft w:val="0"/>
      <w:marRight w:val="0"/>
      <w:marTop w:val="0"/>
      <w:marBottom w:val="0"/>
      <w:divBdr>
        <w:top w:val="none" w:sz="0" w:space="0" w:color="auto"/>
        <w:left w:val="none" w:sz="0" w:space="0" w:color="auto"/>
        <w:bottom w:val="none" w:sz="0" w:space="0" w:color="auto"/>
        <w:right w:val="none" w:sz="0" w:space="0" w:color="auto"/>
      </w:divBdr>
    </w:div>
    <w:div w:id="1899897985">
      <w:bodyDiv w:val="1"/>
      <w:marLeft w:val="0"/>
      <w:marRight w:val="0"/>
      <w:marTop w:val="0"/>
      <w:marBottom w:val="0"/>
      <w:divBdr>
        <w:top w:val="none" w:sz="0" w:space="0" w:color="auto"/>
        <w:left w:val="none" w:sz="0" w:space="0" w:color="auto"/>
        <w:bottom w:val="none" w:sz="0" w:space="0" w:color="auto"/>
        <w:right w:val="none" w:sz="0" w:space="0" w:color="auto"/>
      </w:divBdr>
    </w:div>
    <w:div w:id="1905753148">
      <w:bodyDiv w:val="1"/>
      <w:marLeft w:val="0"/>
      <w:marRight w:val="0"/>
      <w:marTop w:val="0"/>
      <w:marBottom w:val="0"/>
      <w:divBdr>
        <w:top w:val="none" w:sz="0" w:space="0" w:color="auto"/>
        <w:left w:val="none" w:sz="0" w:space="0" w:color="auto"/>
        <w:bottom w:val="none" w:sz="0" w:space="0" w:color="auto"/>
        <w:right w:val="none" w:sz="0" w:space="0" w:color="auto"/>
      </w:divBdr>
    </w:div>
    <w:div w:id="1906062421">
      <w:bodyDiv w:val="1"/>
      <w:marLeft w:val="0"/>
      <w:marRight w:val="0"/>
      <w:marTop w:val="0"/>
      <w:marBottom w:val="0"/>
      <w:divBdr>
        <w:top w:val="none" w:sz="0" w:space="0" w:color="auto"/>
        <w:left w:val="none" w:sz="0" w:space="0" w:color="auto"/>
        <w:bottom w:val="none" w:sz="0" w:space="0" w:color="auto"/>
        <w:right w:val="none" w:sz="0" w:space="0" w:color="auto"/>
      </w:divBdr>
    </w:div>
    <w:div w:id="1909076380">
      <w:bodyDiv w:val="1"/>
      <w:marLeft w:val="0"/>
      <w:marRight w:val="0"/>
      <w:marTop w:val="0"/>
      <w:marBottom w:val="0"/>
      <w:divBdr>
        <w:top w:val="none" w:sz="0" w:space="0" w:color="auto"/>
        <w:left w:val="none" w:sz="0" w:space="0" w:color="auto"/>
        <w:bottom w:val="none" w:sz="0" w:space="0" w:color="auto"/>
        <w:right w:val="none" w:sz="0" w:space="0" w:color="auto"/>
      </w:divBdr>
    </w:div>
    <w:div w:id="1909148063">
      <w:bodyDiv w:val="1"/>
      <w:marLeft w:val="0"/>
      <w:marRight w:val="0"/>
      <w:marTop w:val="0"/>
      <w:marBottom w:val="0"/>
      <w:divBdr>
        <w:top w:val="none" w:sz="0" w:space="0" w:color="auto"/>
        <w:left w:val="none" w:sz="0" w:space="0" w:color="auto"/>
        <w:bottom w:val="none" w:sz="0" w:space="0" w:color="auto"/>
        <w:right w:val="none" w:sz="0" w:space="0" w:color="auto"/>
      </w:divBdr>
    </w:div>
    <w:div w:id="1909263084">
      <w:bodyDiv w:val="1"/>
      <w:marLeft w:val="0"/>
      <w:marRight w:val="0"/>
      <w:marTop w:val="0"/>
      <w:marBottom w:val="0"/>
      <w:divBdr>
        <w:top w:val="none" w:sz="0" w:space="0" w:color="auto"/>
        <w:left w:val="none" w:sz="0" w:space="0" w:color="auto"/>
        <w:bottom w:val="none" w:sz="0" w:space="0" w:color="auto"/>
        <w:right w:val="none" w:sz="0" w:space="0" w:color="auto"/>
      </w:divBdr>
    </w:div>
    <w:div w:id="1911229661">
      <w:bodyDiv w:val="1"/>
      <w:marLeft w:val="0"/>
      <w:marRight w:val="0"/>
      <w:marTop w:val="0"/>
      <w:marBottom w:val="0"/>
      <w:divBdr>
        <w:top w:val="none" w:sz="0" w:space="0" w:color="auto"/>
        <w:left w:val="none" w:sz="0" w:space="0" w:color="auto"/>
        <w:bottom w:val="none" w:sz="0" w:space="0" w:color="auto"/>
        <w:right w:val="none" w:sz="0" w:space="0" w:color="auto"/>
      </w:divBdr>
    </w:div>
    <w:div w:id="1911768556">
      <w:bodyDiv w:val="1"/>
      <w:marLeft w:val="0"/>
      <w:marRight w:val="0"/>
      <w:marTop w:val="0"/>
      <w:marBottom w:val="0"/>
      <w:divBdr>
        <w:top w:val="none" w:sz="0" w:space="0" w:color="auto"/>
        <w:left w:val="none" w:sz="0" w:space="0" w:color="auto"/>
        <w:bottom w:val="none" w:sz="0" w:space="0" w:color="auto"/>
        <w:right w:val="none" w:sz="0" w:space="0" w:color="auto"/>
      </w:divBdr>
    </w:div>
    <w:div w:id="1912428428">
      <w:bodyDiv w:val="1"/>
      <w:marLeft w:val="0"/>
      <w:marRight w:val="0"/>
      <w:marTop w:val="0"/>
      <w:marBottom w:val="0"/>
      <w:divBdr>
        <w:top w:val="none" w:sz="0" w:space="0" w:color="auto"/>
        <w:left w:val="none" w:sz="0" w:space="0" w:color="auto"/>
        <w:bottom w:val="none" w:sz="0" w:space="0" w:color="auto"/>
        <w:right w:val="none" w:sz="0" w:space="0" w:color="auto"/>
      </w:divBdr>
    </w:div>
    <w:div w:id="1913077165">
      <w:bodyDiv w:val="1"/>
      <w:marLeft w:val="0"/>
      <w:marRight w:val="0"/>
      <w:marTop w:val="0"/>
      <w:marBottom w:val="0"/>
      <w:divBdr>
        <w:top w:val="none" w:sz="0" w:space="0" w:color="auto"/>
        <w:left w:val="none" w:sz="0" w:space="0" w:color="auto"/>
        <w:bottom w:val="none" w:sz="0" w:space="0" w:color="auto"/>
        <w:right w:val="none" w:sz="0" w:space="0" w:color="auto"/>
      </w:divBdr>
    </w:div>
    <w:div w:id="1913848250">
      <w:bodyDiv w:val="1"/>
      <w:marLeft w:val="0"/>
      <w:marRight w:val="0"/>
      <w:marTop w:val="0"/>
      <w:marBottom w:val="0"/>
      <w:divBdr>
        <w:top w:val="none" w:sz="0" w:space="0" w:color="auto"/>
        <w:left w:val="none" w:sz="0" w:space="0" w:color="auto"/>
        <w:bottom w:val="none" w:sz="0" w:space="0" w:color="auto"/>
        <w:right w:val="none" w:sz="0" w:space="0" w:color="auto"/>
      </w:divBdr>
    </w:div>
    <w:div w:id="1915620834">
      <w:bodyDiv w:val="1"/>
      <w:marLeft w:val="0"/>
      <w:marRight w:val="0"/>
      <w:marTop w:val="0"/>
      <w:marBottom w:val="0"/>
      <w:divBdr>
        <w:top w:val="none" w:sz="0" w:space="0" w:color="auto"/>
        <w:left w:val="none" w:sz="0" w:space="0" w:color="auto"/>
        <w:bottom w:val="none" w:sz="0" w:space="0" w:color="auto"/>
        <w:right w:val="none" w:sz="0" w:space="0" w:color="auto"/>
      </w:divBdr>
    </w:div>
    <w:div w:id="1915894893">
      <w:bodyDiv w:val="1"/>
      <w:marLeft w:val="0"/>
      <w:marRight w:val="0"/>
      <w:marTop w:val="0"/>
      <w:marBottom w:val="0"/>
      <w:divBdr>
        <w:top w:val="none" w:sz="0" w:space="0" w:color="auto"/>
        <w:left w:val="none" w:sz="0" w:space="0" w:color="auto"/>
        <w:bottom w:val="none" w:sz="0" w:space="0" w:color="auto"/>
        <w:right w:val="none" w:sz="0" w:space="0" w:color="auto"/>
      </w:divBdr>
    </w:div>
    <w:div w:id="1916739816">
      <w:bodyDiv w:val="1"/>
      <w:marLeft w:val="0"/>
      <w:marRight w:val="0"/>
      <w:marTop w:val="0"/>
      <w:marBottom w:val="0"/>
      <w:divBdr>
        <w:top w:val="none" w:sz="0" w:space="0" w:color="auto"/>
        <w:left w:val="none" w:sz="0" w:space="0" w:color="auto"/>
        <w:bottom w:val="none" w:sz="0" w:space="0" w:color="auto"/>
        <w:right w:val="none" w:sz="0" w:space="0" w:color="auto"/>
      </w:divBdr>
    </w:div>
    <w:div w:id="1917978491">
      <w:bodyDiv w:val="1"/>
      <w:marLeft w:val="0"/>
      <w:marRight w:val="0"/>
      <w:marTop w:val="0"/>
      <w:marBottom w:val="0"/>
      <w:divBdr>
        <w:top w:val="none" w:sz="0" w:space="0" w:color="auto"/>
        <w:left w:val="none" w:sz="0" w:space="0" w:color="auto"/>
        <w:bottom w:val="none" w:sz="0" w:space="0" w:color="auto"/>
        <w:right w:val="none" w:sz="0" w:space="0" w:color="auto"/>
      </w:divBdr>
    </w:div>
    <w:div w:id="1918437622">
      <w:bodyDiv w:val="1"/>
      <w:marLeft w:val="0"/>
      <w:marRight w:val="0"/>
      <w:marTop w:val="0"/>
      <w:marBottom w:val="0"/>
      <w:divBdr>
        <w:top w:val="none" w:sz="0" w:space="0" w:color="auto"/>
        <w:left w:val="none" w:sz="0" w:space="0" w:color="auto"/>
        <w:bottom w:val="none" w:sz="0" w:space="0" w:color="auto"/>
        <w:right w:val="none" w:sz="0" w:space="0" w:color="auto"/>
      </w:divBdr>
    </w:div>
    <w:div w:id="1920555853">
      <w:bodyDiv w:val="1"/>
      <w:marLeft w:val="0"/>
      <w:marRight w:val="0"/>
      <w:marTop w:val="0"/>
      <w:marBottom w:val="0"/>
      <w:divBdr>
        <w:top w:val="none" w:sz="0" w:space="0" w:color="auto"/>
        <w:left w:val="none" w:sz="0" w:space="0" w:color="auto"/>
        <w:bottom w:val="none" w:sz="0" w:space="0" w:color="auto"/>
        <w:right w:val="none" w:sz="0" w:space="0" w:color="auto"/>
      </w:divBdr>
    </w:div>
    <w:div w:id="1921060457">
      <w:bodyDiv w:val="1"/>
      <w:marLeft w:val="0"/>
      <w:marRight w:val="0"/>
      <w:marTop w:val="0"/>
      <w:marBottom w:val="0"/>
      <w:divBdr>
        <w:top w:val="none" w:sz="0" w:space="0" w:color="auto"/>
        <w:left w:val="none" w:sz="0" w:space="0" w:color="auto"/>
        <w:bottom w:val="none" w:sz="0" w:space="0" w:color="auto"/>
        <w:right w:val="none" w:sz="0" w:space="0" w:color="auto"/>
      </w:divBdr>
    </w:div>
    <w:div w:id="1922056935">
      <w:bodyDiv w:val="1"/>
      <w:marLeft w:val="0"/>
      <w:marRight w:val="0"/>
      <w:marTop w:val="0"/>
      <w:marBottom w:val="0"/>
      <w:divBdr>
        <w:top w:val="none" w:sz="0" w:space="0" w:color="auto"/>
        <w:left w:val="none" w:sz="0" w:space="0" w:color="auto"/>
        <w:bottom w:val="none" w:sz="0" w:space="0" w:color="auto"/>
        <w:right w:val="none" w:sz="0" w:space="0" w:color="auto"/>
      </w:divBdr>
    </w:div>
    <w:div w:id="1925258335">
      <w:bodyDiv w:val="1"/>
      <w:marLeft w:val="0"/>
      <w:marRight w:val="0"/>
      <w:marTop w:val="0"/>
      <w:marBottom w:val="0"/>
      <w:divBdr>
        <w:top w:val="none" w:sz="0" w:space="0" w:color="auto"/>
        <w:left w:val="none" w:sz="0" w:space="0" w:color="auto"/>
        <w:bottom w:val="none" w:sz="0" w:space="0" w:color="auto"/>
        <w:right w:val="none" w:sz="0" w:space="0" w:color="auto"/>
      </w:divBdr>
    </w:div>
    <w:div w:id="1926452959">
      <w:bodyDiv w:val="1"/>
      <w:marLeft w:val="0"/>
      <w:marRight w:val="0"/>
      <w:marTop w:val="0"/>
      <w:marBottom w:val="0"/>
      <w:divBdr>
        <w:top w:val="none" w:sz="0" w:space="0" w:color="auto"/>
        <w:left w:val="none" w:sz="0" w:space="0" w:color="auto"/>
        <w:bottom w:val="none" w:sz="0" w:space="0" w:color="auto"/>
        <w:right w:val="none" w:sz="0" w:space="0" w:color="auto"/>
      </w:divBdr>
    </w:div>
    <w:div w:id="1926500687">
      <w:bodyDiv w:val="1"/>
      <w:marLeft w:val="0"/>
      <w:marRight w:val="0"/>
      <w:marTop w:val="0"/>
      <w:marBottom w:val="0"/>
      <w:divBdr>
        <w:top w:val="none" w:sz="0" w:space="0" w:color="auto"/>
        <w:left w:val="none" w:sz="0" w:space="0" w:color="auto"/>
        <w:bottom w:val="none" w:sz="0" w:space="0" w:color="auto"/>
        <w:right w:val="none" w:sz="0" w:space="0" w:color="auto"/>
      </w:divBdr>
    </w:div>
    <w:div w:id="1928230780">
      <w:bodyDiv w:val="1"/>
      <w:marLeft w:val="0"/>
      <w:marRight w:val="0"/>
      <w:marTop w:val="0"/>
      <w:marBottom w:val="0"/>
      <w:divBdr>
        <w:top w:val="none" w:sz="0" w:space="0" w:color="auto"/>
        <w:left w:val="none" w:sz="0" w:space="0" w:color="auto"/>
        <w:bottom w:val="none" w:sz="0" w:space="0" w:color="auto"/>
        <w:right w:val="none" w:sz="0" w:space="0" w:color="auto"/>
      </w:divBdr>
    </w:div>
    <w:div w:id="1928416795">
      <w:bodyDiv w:val="1"/>
      <w:marLeft w:val="0"/>
      <w:marRight w:val="0"/>
      <w:marTop w:val="0"/>
      <w:marBottom w:val="0"/>
      <w:divBdr>
        <w:top w:val="none" w:sz="0" w:space="0" w:color="auto"/>
        <w:left w:val="none" w:sz="0" w:space="0" w:color="auto"/>
        <w:bottom w:val="none" w:sz="0" w:space="0" w:color="auto"/>
        <w:right w:val="none" w:sz="0" w:space="0" w:color="auto"/>
      </w:divBdr>
    </w:div>
    <w:div w:id="1934317841">
      <w:bodyDiv w:val="1"/>
      <w:marLeft w:val="0"/>
      <w:marRight w:val="0"/>
      <w:marTop w:val="0"/>
      <w:marBottom w:val="0"/>
      <w:divBdr>
        <w:top w:val="none" w:sz="0" w:space="0" w:color="auto"/>
        <w:left w:val="none" w:sz="0" w:space="0" w:color="auto"/>
        <w:bottom w:val="none" w:sz="0" w:space="0" w:color="auto"/>
        <w:right w:val="none" w:sz="0" w:space="0" w:color="auto"/>
      </w:divBdr>
    </w:div>
    <w:div w:id="1934438521">
      <w:bodyDiv w:val="1"/>
      <w:marLeft w:val="0"/>
      <w:marRight w:val="0"/>
      <w:marTop w:val="0"/>
      <w:marBottom w:val="0"/>
      <w:divBdr>
        <w:top w:val="none" w:sz="0" w:space="0" w:color="auto"/>
        <w:left w:val="none" w:sz="0" w:space="0" w:color="auto"/>
        <w:bottom w:val="none" w:sz="0" w:space="0" w:color="auto"/>
        <w:right w:val="none" w:sz="0" w:space="0" w:color="auto"/>
      </w:divBdr>
    </w:div>
    <w:div w:id="1934898073">
      <w:bodyDiv w:val="1"/>
      <w:marLeft w:val="0"/>
      <w:marRight w:val="0"/>
      <w:marTop w:val="0"/>
      <w:marBottom w:val="0"/>
      <w:divBdr>
        <w:top w:val="none" w:sz="0" w:space="0" w:color="auto"/>
        <w:left w:val="none" w:sz="0" w:space="0" w:color="auto"/>
        <w:bottom w:val="none" w:sz="0" w:space="0" w:color="auto"/>
        <w:right w:val="none" w:sz="0" w:space="0" w:color="auto"/>
      </w:divBdr>
    </w:div>
    <w:div w:id="1935284473">
      <w:bodyDiv w:val="1"/>
      <w:marLeft w:val="0"/>
      <w:marRight w:val="0"/>
      <w:marTop w:val="0"/>
      <w:marBottom w:val="0"/>
      <w:divBdr>
        <w:top w:val="none" w:sz="0" w:space="0" w:color="auto"/>
        <w:left w:val="none" w:sz="0" w:space="0" w:color="auto"/>
        <w:bottom w:val="none" w:sz="0" w:space="0" w:color="auto"/>
        <w:right w:val="none" w:sz="0" w:space="0" w:color="auto"/>
      </w:divBdr>
    </w:div>
    <w:div w:id="1938638114">
      <w:bodyDiv w:val="1"/>
      <w:marLeft w:val="0"/>
      <w:marRight w:val="0"/>
      <w:marTop w:val="0"/>
      <w:marBottom w:val="0"/>
      <w:divBdr>
        <w:top w:val="none" w:sz="0" w:space="0" w:color="auto"/>
        <w:left w:val="none" w:sz="0" w:space="0" w:color="auto"/>
        <w:bottom w:val="none" w:sz="0" w:space="0" w:color="auto"/>
        <w:right w:val="none" w:sz="0" w:space="0" w:color="auto"/>
      </w:divBdr>
    </w:div>
    <w:div w:id="1939481481">
      <w:bodyDiv w:val="1"/>
      <w:marLeft w:val="0"/>
      <w:marRight w:val="0"/>
      <w:marTop w:val="0"/>
      <w:marBottom w:val="0"/>
      <w:divBdr>
        <w:top w:val="none" w:sz="0" w:space="0" w:color="auto"/>
        <w:left w:val="none" w:sz="0" w:space="0" w:color="auto"/>
        <w:bottom w:val="none" w:sz="0" w:space="0" w:color="auto"/>
        <w:right w:val="none" w:sz="0" w:space="0" w:color="auto"/>
      </w:divBdr>
    </w:div>
    <w:div w:id="1939559819">
      <w:bodyDiv w:val="1"/>
      <w:marLeft w:val="0"/>
      <w:marRight w:val="0"/>
      <w:marTop w:val="0"/>
      <w:marBottom w:val="0"/>
      <w:divBdr>
        <w:top w:val="none" w:sz="0" w:space="0" w:color="auto"/>
        <w:left w:val="none" w:sz="0" w:space="0" w:color="auto"/>
        <w:bottom w:val="none" w:sz="0" w:space="0" w:color="auto"/>
        <w:right w:val="none" w:sz="0" w:space="0" w:color="auto"/>
      </w:divBdr>
    </w:div>
    <w:div w:id="1948268979">
      <w:bodyDiv w:val="1"/>
      <w:marLeft w:val="0"/>
      <w:marRight w:val="0"/>
      <w:marTop w:val="0"/>
      <w:marBottom w:val="0"/>
      <w:divBdr>
        <w:top w:val="none" w:sz="0" w:space="0" w:color="auto"/>
        <w:left w:val="none" w:sz="0" w:space="0" w:color="auto"/>
        <w:bottom w:val="none" w:sz="0" w:space="0" w:color="auto"/>
        <w:right w:val="none" w:sz="0" w:space="0" w:color="auto"/>
      </w:divBdr>
    </w:div>
    <w:div w:id="1948807238">
      <w:bodyDiv w:val="1"/>
      <w:marLeft w:val="0"/>
      <w:marRight w:val="0"/>
      <w:marTop w:val="0"/>
      <w:marBottom w:val="0"/>
      <w:divBdr>
        <w:top w:val="none" w:sz="0" w:space="0" w:color="auto"/>
        <w:left w:val="none" w:sz="0" w:space="0" w:color="auto"/>
        <w:bottom w:val="none" w:sz="0" w:space="0" w:color="auto"/>
        <w:right w:val="none" w:sz="0" w:space="0" w:color="auto"/>
      </w:divBdr>
    </w:div>
    <w:div w:id="1955287206">
      <w:bodyDiv w:val="1"/>
      <w:marLeft w:val="0"/>
      <w:marRight w:val="0"/>
      <w:marTop w:val="0"/>
      <w:marBottom w:val="0"/>
      <w:divBdr>
        <w:top w:val="none" w:sz="0" w:space="0" w:color="auto"/>
        <w:left w:val="none" w:sz="0" w:space="0" w:color="auto"/>
        <w:bottom w:val="none" w:sz="0" w:space="0" w:color="auto"/>
        <w:right w:val="none" w:sz="0" w:space="0" w:color="auto"/>
      </w:divBdr>
    </w:div>
    <w:div w:id="1956061955">
      <w:bodyDiv w:val="1"/>
      <w:marLeft w:val="0"/>
      <w:marRight w:val="0"/>
      <w:marTop w:val="0"/>
      <w:marBottom w:val="0"/>
      <w:divBdr>
        <w:top w:val="none" w:sz="0" w:space="0" w:color="auto"/>
        <w:left w:val="none" w:sz="0" w:space="0" w:color="auto"/>
        <w:bottom w:val="none" w:sz="0" w:space="0" w:color="auto"/>
        <w:right w:val="none" w:sz="0" w:space="0" w:color="auto"/>
      </w:divBdr>
    </w:div>
    <w:div w:id="1956253878">
      <w:bodyDiv w:val="1"/>
      <w:marLeft w:val="0"/>
      <w:marRight w:val="0"/>
      <w:marTop w:val="0"/>
      <w:marBottom w:val="0"/>
      <w:divBdr>
        <w:top w:val="none" w:sz="0" w:space="0" w:color="auto"/>
        <w:left w:val="none" w:sz="0" w:space="0" w:color="auto"/>
        <w:bottom w:val="none" w:sz="0" w:space="0" w:color="auto"/>
        <w:right w:val="none" w:sz="0" w:space="0" w:color="auto"/>
      </w:divBdr>
    </w:div>
    <w:div w:id="1958758890">
      <w:bodyDiv w:val="1"/>
      <w:marLeft w:val="0"/>
      <w:marRight w:val="0"/>
      <w:marTop w:val="0"/>
      <w:marBottom w:val="0"/>
      <w:divBdr>
        <w:top w:val="none" w:sz="0" w:space="0" w:color="auto"/>
        <w:left w:val="none" w:sz="0" w:space="0" w:color="auto"/>
        <w:bottom w:val="none" w:sz="0" w:space="0" w:color="auto"/>
        <w:right w:val="none" w:sz="0" w:space="0" w:color="auto"/>
      </w:divBdr>
    </w:div>
    <w:div w:id="1962953846">
      <w:bodyDiv w:val="1"/>
      <w:marLeft w:val="0"/>
      <w:marRight w:val="0"/>
      <w:marTop w:val="0"/>
      <w:marBottom w:val="0"/>
      <w:divBdr>
        <w:top w:val="none" w:sz="0" w:space="0" w:color="auto"/>
        <w:left w:val="none" w:sz="0" w:space="0" w:color="auto"/>
        <w:bottom w:val="none" w:sz="0" w:space="0" w:color="auto"/>
        <w:right w:val="none" w:sz="0" w:space="0" w:color="auto"/>
      </w:divBdr>
    </w:div>
    <w:div w:id="1963346771">
      <w:bodyDiv w:val="1"/>
      <w:marLeft w:val="0"/>
      <w:marRight w:val="0"/>
      <w:marTop w:val="0"/>
      <w:marBottom w:val="0"/>
      <w:divBdr>
        <w:top w:val="none" w:sz="0" w:space="0" w:color="auto"/>
        <w:left w:val="none" w:sz="0" w:space="0" w:color="auto"/>
        <w:bottom w:val="none" w:sz="0" w:space="0" w:color="auto"/>
        <w:right w:val="none" w:sz="0" w:space="0" w:color="auto"/>
      </w:divBdr>
    </w:div>
    <w:div w:id="1963925330">
      <w:bodyDiv w:val="1"/>
      <w:marLeft w:val="0"/>
      <w:marRight w:val="0"/>
      <w:marTop w:val="0"/>
      <w:marBottom w:val="0"/>
      <w:divBdr>
        <w:top w:val="none" w:sz="0" w:space="0" w:color="auto"/>
        <w:left w:val="none" w:sz="0" w:space="0" w:color="auto"/>
        <w:bottom w:val="none" w:sz="0" w:space="0" w:color="auto"/>
        <w:right w:val="none" w:sz="0" w:space="0" w:color="auto"/>
      </w:divBdr>
    </w:div>
    <w:div w:id="1965302931">
      <w:bodyDiv w:val="1"/>
      <w:marLeft w:val="0"/>
      <w:marRight w:val="0"/>
      <w:marTop w:val="0"/>
      <w:marBottom w:val="0"/>
      <w:divBdr>
        <w:top w:val="none" w:sz="0" w:space="0" w:color="auto"/>
        <w:left w:val="none" w:sz="0" w:space="0" w:color="auto"/>
        <w:bottom w:val="none" w:sz="0" w:space="0" w:color="auto"/>
        <w:right w:val="none" w:sz="0" w:space="0" w:color="auto"/>
      </w:divBdr>
    </w:div>
    <w:div w:id="1967815542">
      <w:bodyDiv w:val="1"/>
      <w:marLeft w:val="0"/>
      <w:marRight w:val="0"/>
      <w:marTop w:val="0"/>
      <w:marBottom w:val="0"/>
      <w:divBdr>
        <w:top w:val="none" w:sz="0" w:space="0" w:color="auto"/>
        <w:left w:val="none" w:sz="0" w:space="0" w:color="auto"/>
        <w:bottom w:val="none" w:sz="0" w:space="0" w:color="auto"/>
        <w:right w:val="none" w:sz="0" w:space="0" w:color="auto"/>
      </w:divBdr>
    </w:div>
    <w:div w:id="1968391762">
      <w:bodyDiv w:val="1"/>
      <w:marLeft w:val="0"/>
      <w:marRight w:val="0"/>
      <w:marTop w:val="0"/>
      <w:marBottom w:val="0"/>
      <w:divBdr>
        <w:top w:val="none" w:sz="0" w:space="0" w:color="auto"/>
        <w:left w:val="none" w:sz="0" w:space="0" w:color="auto"/>
        <w:bottom w:val="none" w:sz="0" w:space="0" w:color="auto"/>
        <w:right w:val="none" w:sz="0" w:space="0" w:color="auto"/>
      </w:divBdr>
    </w:div>
    <w:div w:id="1968393622">
      <w:bodyDiv w:val="1"/>
      <w:marLeft w:val="0"/>
      <w:marRight w:val="0"/>
      <w:marTop w:val="0"/>
      <w:marBottom w:val="0"/>
      <w:divBdr>
        <w:top w:val="none" w:sz="0" w:space="0" w:color="auto"/>
        <w:left w:val="none" w:sz="0" w:space="0" w:color="auto"/>
        <w:bottom w:val="none" w:sz="0" w:space="0" w:color="auto"/>
        <w:right w:val="none" w:sz="0" w:space="0" w:color="auto"/>
      </w:divBdr>
    </w:div>
    <w:div w:id="1971664931">
      <w:bodyDiv w:val="1"/>
      <w:marLeft w:val="0"/>
      <w:marRight w:val="0"/>
      <w:marTop w:val="0"/>
      <w:marBottom w:val="0"/>
      <w:divBdr>
        <w:top w:val="none" w:sz="0" w:space="0" w:color="auto"/>
        <w:left w:val="none" w:sz="0" w:space="0" w:color="auto"/>
        <w:bottom w:val="none" w:sz="0" w:space="0" w:color="auto"/>
        <w:right w:val="none" w:sz="0" w:space="0" w:color="auto"/>
      </w:divBdr>
    </w:div>
    <w:div w:id="1973320003">
      <w:bodyDiv w:val="1"/>
      <w:marLeft w:val="0"/>
      <w:marRight w:val="0"/>
      <w:marTop w:val="0"/>
      <w:marBottom w:val="0"/>
      <w:divBdr>
        <w:top w:val="none" w:sz="0" w:space="0" w:color="auto"/>
        <w:left w:val="none" w:sz="0" w:space="0" w:color="auto"/>
        <w:bottom w:val="none" w:sz="0" w:space="0" w:color="auto"/>
        <w:right w:val="none" w:sz="0" w:space="0" w:color="auto"/>
      </w:divBdr>
    </w:div>
    <w:div w:id="1973751396">
      <w:bodyDiv w:val="1"/>
      <w:marLeft w:val="0"/>
      <w:marRight w:val="0"/>
      <w:marTop w:val="0"/>
      <w:marBottom w:val="0"/>
      <w:divBdr>
        <w:top w:val="none" w:sz="0" w:space="0" w:color="auto"/>
        <w:left w:val="none" w:sz="0" w:space="0" w:color="auto"/>
        <w:bottom w:val="none" w:sz="0" w:space="0" w:color="auto"/>
        <w:right w:val="none" w:sz="0" w:space="0" w:color="auto"/>
      </w:divBdr>
    </w:div>
    <w:div w:id="1973780134">
      <w:bodyDiv w:val="1"/>
      <w:marLeft w:val="0"/>
      <w:marRight w:val="0"/>
      <w:marTop w:val="0"/>
      <w:marBottom w:val="0"/>
      <w:divBdr>
        <w:top w:val="none" w:sz="0" w:space="0" w:color="auto"/>
        <w:left w:val="none" w:sz="0" w:space="0" w:color="auto"/>
        <w:bottom w:val="none" w:sz="0" w:space="0" w:color="auto"/>
        <w:right w:val="none" w:sz="0" w:space="0" w:color="auto"/>
      </w:divBdr>
    </w:div>
    <w:div w:id="1977568189">
      <w:bodyDiv w:val="1"/>
      <w:marLeft w:val="0"/>
      <w:marRight w:val="0"/>
      <w:marTop w:val="0"/>
      <w:marBottom w:val="0"/>
      <w:divBdr>
        <w:top w:val="none" w:sz="0" w:space="0" w:color="auto"/>
        <w:left w:val="none" w:sz="0" w:space="0" w:color="auto"/>
        <w:bottom w:val="none" w:sz="0" w:space="0" w:color="auto"/>
        <w:right w:val="none" w:sz="0" w:space="0" w:color="auto"/>
      </w:divBdr>
    </w:div>
    <w:div w:id="1978559537">
      <w:bodyDiv w:val="1"/>
      <w:marLeft w:val="0"/>
      <w:marRight w:val="0"/>
      <w:marTop w:val="0"/>
      <w:marBottom w:val="0"/>
      <w:divBdr>
        <w:top w:val="none" w:sz="0" w:space="0" w:color="auto"/>
        <w:left w:val="none" w:sz="0" w:space="0" w:color="auto"/>
        <w:bottom w:val="none" w:sz="0" w:space="0" w:color="auto"/>
        <w:right w:val="none" w:sz="0" w:space="0" w:color="auto"/>
      </w:divBdr>
    </w:div>
    <w:div w:id="1979918118">
      <w:bodyDiv w:val="1"/>
      <w:marLeft w:val="0"/>
      <w:marRight w:val="0"/>
      <w:marTop w:val="0"/>
      <w:marBottom w:val="0"/>
      <w:divBdr>
        <w:top w:val="none" w:sz="0" w:space="0" w:color="auto"/>
        <w:left w:val="none" w:sz="0" w:space="0" w:color="auto"/>
        <w:bottom w:val="none" w:sz="0" w:space="0" w:color="auto"/>
        <w:right w:val="none" w:sz="0" w:space="0" w:color="auto"/>
      </w:divBdr>
    </w:div>
    <w:div w:id="1982034459">
      <w:bodyDiv w:val="1"/>
      <w:marLeft w:val="0"/>
      <w:marRight w:val="0"/>
      <w:marTop w:val="0"/>
      <w:marBottom w:val="0"/>
      <w:divBdr>
        <w:top w:val="none" w:sz="0" w:space="0" w:color="auto"/>
        <w:left w:val="none" w:sz="0" w:space="0" w:color="auto"/>
        <w:bottom w:val="none" w:sz="0" w:space="0" w:color="auto"/>
        <w:right w:val="none" w:sz="0" w:space="0" w:color="auto"/>
      </w:divBdr>
    </w:div>
    <w:div w:id="1984118464">
      <w:bodyDiv w:val="1"/>
      <w:marLeft w:val="0"/>
      <w:marRight w:val="0"/>
      <w:marTop w:val="0"/>
      <w:marBottom w:val="0"/>
      <w:divBdr>
        <w:top w:val="none" w:sz="0" w:space="0" w:color="auto"/>
        <w:left w:val="none" w:sz="0" w:space="0" w:color="auto"/>
        <w:bottom w:val="none" w:sz="0" w:space="0" w:color="auto"/>
        <w:right w:val="none" w:sz="0" w:space="0" w:color="auto"/>
      </w:divBdr>
    </w:div>
    <w:div w:id="1984577023">
      <w:bodyDiv w:val="1"/>
      <w:marLeft w:val="0"/>
      <w:marRight w:val="0"/>
      <w:marTop w:val="0"/>
      <w:marBottom w:val="0"/>
      <w:divBdr>
        <w:top w:val="none" w:sz="0" w:space="0" w:color="auto"/>
        <w:left w:val="none" w:sz="0" w:space="0" w:color="auto"/>
        <w:bottom w:val="none" w:sz="0" w:space="0" w:color="auto"/>
        <w:right w:val="none" w:sz="0" w:space="0" w:color="auto"/>
      </w:divBdr>
    </w:div>
    <w:div w:id="1986425434">
      <w:bodyDiv w:val="1"/>
      <w:marLeft w:val="0"/>
      <w:marRight w:val="0"/>
      <w:marTop w:val="0"/>
      <w:marBottom w:val="0"/>
      <w:divBdr>
        <w:top w:val="none" w:sz="0" w:space="0" w:color="auto"/>
        <w:left w:val="none" w:sz="0" w:space="0" w:color="auto"/>
        <w:bottom w:val="none" w:sz="0" w:space="0" w:color="auto"/>
        <w:right w:val="none" w:sz="0" w:space="0" w:color="auto"/>
      </w:divBdr>
    </w:div>
    <w:div w:id="1987393277">
      <w:bodyDiv w:val="1"/>
      <w:marLeft w:val="0"/>
      <w:marRight w:val="0"/>
      <w:marTop w:val="0"/>
      <w:marBottom w:val="0"/>
      <w:divBdr>
        <w:top w:val="none" w:sz="0" w:space="0" w:color="auto"/>
        <w:left w:val="none" w:sz="0" w:space="0" w:color="auto"/>
        <w:bottom w:val="none" w:sz="0" w:space="0" w:color="auto"/>
        <w:right w:val="none" w:sz="0" w:space="0" w:color="auto"/>
      </w:divBdr>
    </w:div>
    <w:div w:id="1987856039">
      <w:bodyDiv w:val="1"/>
      <w:marLeft w:val="0"/>
      <w:marRight w:val="0"/>
      <w:marTop w:val="0"/>
      <w:marBottom w:val="0"/>
      <w:divBdr>
        <w:top w:val="none" w:sz="0" w:space="0" w:color="auto"/>
        <w:left w:val="none" w:sz="0" w:space="0" w:color="auto"/>
        <w:bottom w:val="none" w:sz="0" w:space="0" w:color="auto"/>
        <w:right w:val="none" w:sz="0" w:space="0" w:color="auto"/>
      </w:divBdr>
    </w:div>
    <w:div w:id="1988391447">
      <w:bodyDiv w:val="1"/>
      <w:marLeft w:val="0"/>
      <w:marRight w:val="0"/>
      <w:marTop w:val="0"/>
      <w:marBottom w:val="0"/>
      <w:divBdr>
        <w:top w:val="none" w:sz="0" w:space="0" w:color="auto"/>
        <w:left w:val="none" w:sz="0" w:space="0" w:color="auto"/>
        <w:bottom w:val="none" w:sz="0" w:space="0" w:color="auto"/>
        <w:right w:val="none" w:sz="0" w:space="0" w:color="auto"/>
      </w:divBdr>
    </w:div>
    <w:div w:id="1989549909">
      <w:bodyDiv w:val="1"/>
      <w:marLeft w:val="0"/>
      <w:marRight w:val="0"/>
      <w:marTop w:val="0"/>
      <w:marBottom w:val="0"/>
      <w:divBdr>
        <w:top w:val="none" w:sz="0" w:space="0" w:color="auto"/>
        <w:left w:val="none" w:sz="0" w:space="0" w:color="auto"/>
        <w:bottom w:val="none" w:sz="0" w:space="0" w:color="auto"/>
        <w:right w:val="none" w:sz="0" w:space="0" w:color="auto"/>
      </w:divBdr>
    </w:div>
    <w:div w:id="1993680319">
      <w:bodyDiv w:val="1"/>
      <w:marLeft w:val="0"/>
      <w:marRight w:val="0"/>
      <w:marTop w:val="0"/>
      <w:marBottom w:val="0"/>
      <w:divBdr>
        <w:top w:val="none" w:sz="0" w:space="0" w:color="auto"/>
        <w:left w:val="none" w:sz="0" w:space="0" w:color="auto"/>
        <w:bottom w:val="none" w:sz="0" w:space="0" w:color="auto"/>
        <w:right w:val="none" w:sz="0" w:space="0" w:color="auto"/>
      </w:divBdr>
    </w:div>
    <w:div w:id="1993755034">
      <w:bodyDiv w:val="1"/>
      <w:marLeft w:val="0"/>
      <w:marRight w:val="0"/>
      <w:marTop w:val="0"/>
      <w:marBottom w:val="0"/>
      <w:divBdr>
        <w:top w:val="none" w:sz="0" w:space="0" w:color="auto"/>
        <w:left w:val="none" w:sz="0" w:space="0" w:color="auto"/>
        <w:bottom w:val="none" w:sz="0" w:space="0" w:color="auto"/>
        <w:right w:val="none" w:sz="0" w:space="0" w:color="auto"/>
      </w:divBdr>
    </w:div>
    <w:div w:id="1994140402">
      <w:bodyDiv w:val="1"/>
      <w:marLeft w:val="0"/>
      <w:marRight w:val="0"/>
      <w:marTop w:val="0"/>
      <w:marBottom w:val="0"/>
      <w:divBdr>
        <w:top w:val="none" w:sz="0" w:space="0" w:color="auto"/>
        <w:left w:val="none" w:sz="0" w:space="0" w:color="auto"/>
        <w:bottom w:val="none" w:sz="0" w:space="0" w:color="auto"/>
        <w:right w:val="none" w:sz="0" w:space="0" w:color="auto"/>
      </w:divBdr>
    </w:div>
    <w:div w:id="1994795571">
      <w:bodyDiv w:val="1"/>
      <w:marLeft w:val="0"/>
      <w:marRight w:val="0"/>
      <w:marTop w:val="0"/>
      <w:marBottom w:val="0"/>
      <w:divBdr>
        <w:top w:val="none" w:sz="0" w:space="0" w:color="auto"/>
        <w:left w:val="none" w:sz="0" w:space="0" w:color="auto"/>
        <w:bottom w:val="none" w:sz="0" w:space="0" w:color="auto"/>
        <w:right w:val="none" w:sz="0" w:space="0" w:color="auto"/>
      </w:divBdr>
    </w:div>
    <w:div w:id="1994916867">
      <w:bodyDiv w:val="1"/>
      <w:marLeft w:val="0"/>
      <w:marRight w:val="0"/>
      <w:marTop w:val="0"/>
      <w:marBottom w:val="0"/>
      <w:divBdr>
        <w:top w:val="none" w:sz="0" w:space="0" w:color="auto"/>
        <w:left w:val="none" w:sz="0" w:space="0" w:color="auto"/>
        <w:bottom w:val="none" w:sz="0" w:space="0" w:color="auto"/>
        <w:right w:val="none" w:sz="0" w:space="0" w:color="auto"/>
      </w:divBdr>
    </w:div>
    <w:div w:id="1997296295">
      <w:bodyDiv w:val="1"/>
      <w:marLeft w:val="0"/>
      <w:marRight w:val="0"/>
      <w:marTop w:val="0"/>
      <w:marBottom w:val="0"/>
      <w:divBdr>
        <w:top w:val="none" w:sz="0" w:space="0" w:color="auto"/>
        <w:left w:val="none" w:sz="0" w:space="0" w:color="auto"/>
        <w:bottom w:val="none" w:sz="0" w:space="0" w:color="auto"/>
        <w:right w:val="none" w:sz="0" w:space="0" w:color="auto"/>
      </w:divBdr>
    </w:div>
    <w:div w:id="1998992422">
      <w:bodyDiv w:val="1"/>
      <w:marLeft w:val="0"/>
      <w:marRight w:val="0"/>
      <w:marTop w:val="0"/>
      <w:marBottom w:val="0"/>
      <w:divBdr>
        <w:top w:val="none" w:sz="0" w:space="0" w:color="auto"/>
        <w:left w:val="none" w:sz="0" w:space="0" w:color="auto"/>
        <w:bottom w:val="none" w:sz="0" w:space="0" w:color="auto"/>
        <w:right w:val="none" w:sz="0" w:space="0" w:color="auto"/>
      </w:divBdr>
    </w:div>
    <w:div w:id="1999528079">
      <w:bodyDiv w:val="1"/>
      <w:marLeft w:val="0"/>
      <w:marRight w:val="0"/>
      <w:marTop w:val="0"/>
      <w:marBottom w:val="0"/>
      <w:divBdr>
        <w:top w:val="none" w:sz="0" w:space="0" w:color="auto"/>
        <w:left w:val="none" w:sz="0" w:space="0" w:color="auto"/>
        <w:bottom w:val="none" w:sz="0" w:space="0" w:color="auto"/>
        <w:right w:val="none" w:sz="0" w:space="0" w:color="auto"/>
      </w:divBdr>
    </w:div>
    <w:div w:id="1999989975">
      <w:bodyDiv w:val="1"/>
      <w:marLeft w:val="0"/>
      <w:marRight w:val="0"/>
      <w:marTop w:val="0"/>
      <w:marBottom w:val="0"/>
      <w:divBdr>
        <w:top w:val="none" w:sz="0" w:space="0" w:color="auto"/>
        <w:left w:val="none" w:sz="0" w:space="0" w:color="auto"/>
        <w:bottom w:val="none" w:sz="0" w:space="0" w:color="auto"/>
        <w:right w:val="none" w:sz="0" w:space="0" w:color="auto"/>
      </w:divBdr>
    </w:div>
    <w:div w:id="2001881801">
      <w:bodyDiv w:val="1"/>
      <w:marLeft w:val="0"/>
      <w:marRight w:val="0"/>
      <w:marTop w:val="0"/>
      <w:marBottom w:val="0"/>
      <w:divBdr>
        <w:top w:val="none" w:sz="0" w:space="0" w:color="auto"/>
        <w:left w:val="none" w:sz="0" w:space="0" w:color="auto"/>
        <w:bottom w:val="none" w:sz="0" w:space="0" w:color="auto"/>
        <w:right w:val="none" w:sz="0" w:space="0" w:color="auto"/>
      </w:divBdr>
    </w:div>
    <w:div w:id="2005665834">
      <w:bodyDiv w:val="1"/>
      <w:marLeft w:val="0"/>
      <w:marRight w:val="0"/>
      <w:marTop w:val="0"/>
      <w:marBottom w:val="0"/>
      <w:divBdr>
        <w:top w:val="none" w:sz="0" w:space="0" w:color="auto"/>
        <w:left w:val="none" w:sz="0" w:space="0" w:color="auto"/>
        <w:bottom w:val="none" w:sz="0" w:space="0" w:color="auto"/>
        <w:right w:val="none" w:sz="0" w:space="0" w:color="auto"/>
      </w:divBdr>
    </w:div>
    <w:div w:id="2005932555">
      <w:bodyDiv w:val="1"/>
      <w:marLeft w:val="0"/>
      <w:marRight w:val="0"/>
      <w:marTop w:val="0"/>
      <w:marBottom w:val="0"/>
      <w:divBdr>
        <w:top w:val="none" w:sz="0" w:space="0" w:color="auto"/>
        <w:left w:val="none" w:sz="0" w:space="0" w:color="auto"/>
        <w:bottom w:val="none" w:sz="0" w:space="0" w:color="auto"/>
        <w:right w:val="none" w:sz="0" w:space="0" w:color="auto"/>
      </w:divBdr>
    </w:div>
    <w:div w:id="2006321793">
      <w:bodyDiv w:val="1"/>
      <w:marLeft w:val="0"/>
      <w:marRight w:val="0"/>
      <w:marTop w:val="0"/>
      <w:marBottom w:val="0"/>
      <w:divBdr>
        <w:top w:val="none" w:sz="0" w:space="0" w:color="auto"/>
        <w:left w:val="none" w:sz="0" w:space="0" w:color="auto"/>
        <w:bottom w:val="none" w:sz="0" w:space="0" w:color="auto"/>
        <w:right w:val="none" w:sz="0" w:space="0" w:color="auto"/>
      </w:divBdr>
    </w:div>
    <w:div w:id="2007323762">
      <w:bodyDiv w:val="1"/>
      <w:marLeft w:val="0"/>
      <w:marRight w:val="0"/>
      <w:marTop w:val="0"/>
      <w:marBottom w:val="0"/>
      <w:divBdr>
        <w:top w:val="none" w:sz="0" w:space="0" w:color="auto"/>
        <w:left w:val="none" w:sz="0" w:space="0" w:color="auto"/>
        <w:bottom w:val="none" w:sz="0" w:space="0" w:color="auto"/>
        <w:right w:val="none" w:sz="0" w:space="0" w:color="auto"/>
      </w:divBdr>
    </w:div>
    <w:div w:id="2008433774">
      <w:bodyDiv w:val="1"/>
      <w:marLeft w:val="0"/>
      <w:marRight w:val="0"/>
      <w:marTop w:val="0"/>
      <w:marBottom w:val="0"/>
      <w:divBdr>
        <w:top w:val="none" w:sz="0" w:space="0" w:color="auto"/>
        <w:left w:val="none" w:sz="0" w:space="0" w:color="auto"/>
        <w:bottom w:val="none" w:sz="0" w:space="0" w:color="auto"/>
        <w:right w:val="none" w:sz="0" w:space="0" w:color="auto"/>
      </w:divBdr>
    </w:div>
    <w:div w:id="2008709510">
      <w:bodyDiv w:val="1"/>
      <w:marLeft w:val="0"/>
      <w:marRight w:val="0"/>
      <w:marTop w:val="0"/>
      <w:marBottom w:val="0"/>
      <w:divBdr>
        <w:top w:val="none" w:sz="0" w:space="0" w:color="auto"/>
        <w:left w:val="none" w:sz="0" w:space="0" w:color="auto"/>
        <w:bottom w:val="none" w:sz="0" w:space="0" w:color="auto"/>
        <w:right w:val="none" w:sz="0" w:space="0" w:color="auto"/>
      </w:divBdr>
    </w:div>
    <w:div w:id="2009557241">
      <w:bodyDiv w:val="1"/>
      <w:marLeft w:val="0"/>
      <w:marRight w:val="0"/>
      <w:marTop w:val="0"/>
      <w:marBottom w:val="0"/>
      <w:divBdr>
        <w:top w:val="none" w:sz="0" w:space="0" w:color="auto"/>
        <w:left w:val="none" w:sz="0" w:space="0" w:color="auto"/>
        <w:bottom w:val="none" w:sz="0" w:space="0" w:color="auto"/>
        <w:right w:val="none" w:sz="0" w:space="0" w:color="auto"/>
      </w:divBdr>
    </w:div>
    <w:div w:id="2010280952">
      <w:bodyDiv w:val="1"/>
      <w:marLeft w:val="0"/>
      <w:marRight w:val="0"/>
      <w:marTop w:val="0"/>
      <w:marBottom w:val="0"/>
      <w:divBdr>
        <w:top w:val="none" w:sz="0" w:space="0" w:color="auto"/>
        <w:left w:val="none" w:sz="0" w:space="0" w:color="auto"/>
        <w:bottom w:val="none" w:sz="0" w:space="0" w:color="auto"/>
        <w:right w:val="none" w:sz="0" w:space="0" w:color="auto"/>
      </w:divBdr>
    </w:div>
    <w:div w:id="2012559942">
      <w:bodyDiv w:val="1"/>
      <w:marLeft w:val="0"/>
      <w:marRight w:val="0"/>
      <w:marTop w:val="0"/>
      <w:marBottom w:val="0"/>
      <w:divBdr>
        <w:top w:val="none" w:sz="0" w:space="0" w:color="auto"/>
        <w:left w:val="none" w:sz="0" w:space="0" w:color="auto"/>
        <w:bottom w:val="none" w:sz="0" w:space="0" w:color="auto"/>
        <w:right w:val="none" w:sz="0" w:space="0" w:color="auto"/>
      </w:divBdr>
    </w:div>
    <w:div w:id="2014993610">
      <w:bodyDiv w:val="1"/>
      <w:marLeft w:val="0"/>
      <w:marRight w:val="0"/>
      <w:marTop w:val="0"/>
      <w:marBottom w:val="0"/>
      <w:divBdr>
        <w:top w:val="none" w:sz="0" w:space="0" w:color="auto"/>
        <w:left w:val="none" w:sz="0" w:space="0" w:color="auto"/>
        <w:bottom w:val="none" w:sz="0" w:space="0" w:color="auto"/>
        <w:right w:val="none" w:sz="0" w:space="0" w:color="auto"/>
      </w:divBdr>
    </w:div>
    <w:div w:id="2015379290">
      <w:bodyDiv w:val="1"/>
      <w:marLeft w:val="0"/>
      <w:marRight w:val="0"/>
      <w:marTop w:val="0"/>
      <w:marBottom w:val="0"/>
      <w:divBdr>
        <w:top w:val="none" w:sz="0" w:space="0" w:color="auto"/>
        <w:left w:val="none" w:sz="0" w:space="0" w:color="auto"/>
        <w:bottom w:val="none" w:sz="0" w:space="0" w:color="auto"/>
        <w:right w:val="none" w:sz="0" w:space="0" w:color="auto"/>
      </w:divBdr>
    </w:div>
    <w:div w:id="2015910037">
      <w:bodyDiv w:val="1"/>
      <w:marLeft w:val="0"/>
      <w:marRight w:val="0"/>
      <w:marTop w:val="0"/>
      <w:marBottom w:val="0"/>
      <w:divBdr>
        <w:top w:val="none" w:sz="0" w:space="0" w:color="auto"/>
        <w:left w:val="none" w:sz="0" w:space="0" w:color="auto"/>
        <w:bottom w:val="none" w:sz="0" w:space="0" w:color="auto"/>
        <w:right w:val="none" w:sz="0" w:space="0" w:color="auto"/>
      </w:divBdr>
    </w:div>
    <w:div w:id="2017346732">
      <w:bodyDiv w:val="1"/>
      <w:marLeft w:val="0"/>
      <w:marRight w:val="0"/>
      <w:marTop w:val="0"/>
      <w:marBottom w:val="0"/>
      <w:divBdr>
        <w:top w:val="none" w:sz="0" w:space="0" w:color="auto"/>
        <w:left w:val="none" w:sz="0" w:space="0" w:color="auto"/>
        <w:bottom w:val="none" w:sz="0" w:space="0" w:color="auto"/>
        <w:right w:val="none" w:sz="0" w:space="0" w:color="auto"/>
      </w:divBdr>
    </w:div>
    <w:div w:id="2019111493">
      <w:bodyDiv w:val="1"/>
      <w:marLeft w:val="0"/>
      <w:marRight w:val="0"/>
      <w:marTop w:val="0"/>
      <w:marBottom w:val="0"/>
      <w:divBdr>
        <w:top w:val="none" w:sz="0" w:space="0" w:color="auto"/>
        <w:left w:val="none" w:sz="0" w:space="0" w:color="auto"/>
        <w:bottom w:val="none" w:sz="0" w:space="0" w:color="auto"/>
        <w:right w:val="none" w:sz="0" w:space="0" w:color="auto"/>
      </w:divBdr>
    </w:div>
    <w:div w:id="2020038095">
      <w:bodyDiv w:val="1"/>
      <w:marLeft w:val="0"/>
      <w:marRight w:val="0"/>
      <w:marTop w:val="0"/>
      <w:marBottom w:val="0"/>
      <w:divBdr>
        <w:top w:val="none" w:sz="0" w:space="0" w:color="auto"/>
        <w:left w:val="none" w:sz="0" w:space="0" w:color="auto"/>
        <w:bottom w:val="none" w:sz="0" w:space="0" w:color="auto"/>
        <w:right w:val="none" w:sz="0" w:space="0" w:color="auto"/>
      </w:divBdr>
    </w:div>
    <w:div w:id="2022123056">
      <w:bodyDiv w:val="1"/>
      <w:marLeft w:val="0"/>
      <w:marRight w:val="0"/>
      <w:marTop w:val="0"/>
      <w:marBottom w:val="0"/>
      <w:divBdr>
        <w:top w:val="none" w:sz="0" w:space="0" w:color="auto"/>
        <w:left w:val="none" w:sz="0" w:space="0" w:color="auto"/>
        <w:bottom w:val="none" w:sz="0" w:space="0" w:color="auto"/>
        <w:right w:val="none" w:sz="0" w:space="0" w:color="auto"/>
      </w:divBdr>
    </w:div>
    <w:div w:id="2022661940">
      <w:bodyDiv w:val="1"/>
      <w:marLeft w:val="0"/>
      <w:marRight w:val="0"/>
      <w:marTop w:val="0"/>
      <w:marBottom w:val="0"/>
      <w:divBdr>
        <w:top w:val="none" w:sz="0" w:space="0" w:color="auto"/>
        <w:left w:val="none" w:sz="0" w:space="0" w:color="auto"/>
        <w:bottom w:val="none" w:sz="0" w:space="0" w:color="auto"/>
        <w:right w:val="none" w:sz="0" w:space="0" w:color="auto"/>
      </w:divBdr>
    </w:div>
    <w:div w:id="2023042694">
      <w:bodyDiv w:val="1"/>
      <w:marLeft w:val="0"/>
      <w:marRight w:val="0"/>
      <w:marTop w:val="0"/>
      <w:marBottom w:val="0"/>
      <w:divBdr>
        <w:top w:val="none" w:sz="0" w:space="0" w:color="auto"/>
        <w:left w:val="none" w:sz="0" w:space="0" w:color="auto"/>
        <w:bottom w:val="none" w:sz="0" w:space="0" w:color="auto"/>
        <w:right w:val="none" w:sz="0" w:space="0" w:color="auto"/>
      </w:divBdr>
    </w:div>
    <w:div w:id="2023967646">
      <w:bodyDiv w:val="1"/>
      <w:marLeft w:val="0"/>
      <w:marRight w:val="0"/>
      <w:marTop w:val="0"/>
      <w:marBottom w:val="0"/>
      <w:divBdr>
        <w:top w:val="none" w:sz="0" w:space="0" w:color="auto"/>
        <w:left w:val="none" w:sz="0" w:space="0" w:color="auto"/>
        <w:bottom w:val="none" w:sz="0" w:space="0" w:color="auto"/>
        <w:right w:val="none" w:sz="0" w:space="0" w:color="auto"/>
      </w:divBdr>
    </w:div>
    <w:div w:id="2024823130">
      <w:bodyDiv w:val="1"/>
      <w:marLeft w:val="0"/>
      <w:marRight w:val="0"/>
      <w:marTop w:val="0"/>
      <w:marBottom w:val="0"/>
      <w:divBdr>
        <w:top w:val="none" w:sz="0" w:space="0" w:color="auto"/>
        <w:left w:val="none" w:sz="0" w:space="0" w:color="auto"/>
        <w:bottom w:val="none" w:sz="0" w:space="0" w:color="auto"/>
        <w:right w:val="none" w:sz="0" w:space="0" w:color="auto"/>
      </w:divBdr>
    </w:div>
    <w:div w:id="2027513564">
      <w:bodyDiv w:val="1"/>
      <w:marLeft w:val="0"/>
      <w:marRight w:val="0"/>
      <w:marTop w:val="0"/>
      <w:marBottom w:val="0"/>
      <w:divBdr>
        <w:top w:val="none" w:sz="0" w:space="0" w:color="auto"/>
        <w:left w:val="none" w:sz="0" w:space="0" w:color="auto"/>
        <w:bottom w:val="none" w:sz="0" w:space="0" w:color="auto"/>
        <w:right w:val="none" w:sz="0" w:space="0" w:color="auto"/>
      </w:divBdr>
    </w:div>
    <w:div w:id="2027902038">
      <w:bodyDiv w:val="1"/>
      <w:marLeft w:val="0"/>
      <w:marRight w:val="0"/>
      <w:marTop w:val="0"/>
      <w:marBottom w:val="0"/>
      <w:divBdr>
        <w:top w:val="none" w:sz="0" w:space="0" w:color="auto"/>
        <w:left w:val="none" w:sz="0" w:space="0" w:color="auto"/>
        <w:bottom w:val="none" w:sz="0" w:space="0" w:color="auto"/>
        <w:right w:val="none" w:sz="0" w:space="0" w:color="auto"/>
      </w:divBdr>
    </w:div>
    <w:div w:id="2030332557">
      <w:bodyDiv w:val="1"/>
      <w:marLeft w:val="0"/>
      <w:marRight w:val="0"/>
      <w:marTop w:val="0"/>
      <w:marBottom w:val="0"/>
      <w:divBdr>
        <w:top w:val="none" w:sz="0" w:space="0" w:color="auto"/>
        <w:left w:val="none" w:sz="0" w:space="0" w:color="auto"/>
        <w:bottom w:val="none" w:sz="0" w:space="0" w:color="auto"/>
        <w:right w:val="none" w:sz="0" w:space="0" w:color="auto"/>
      </w:divBdr>
    </w:div>
    <w:div w:id="2030985329">
      <w:bodyDiv w:val="1"/>
      <w:marLeft w:val="0"/>
      <w:marRight w:val="0"/>
      <w:marTop w:val="0"/>
      <w:marBottom w:val="0"/>
      <w:divBdr>
        <w:top w:val="none" w:sz="0" w:space="0" w:color="auto"/>
        <w:left w:val="none" w:sz="0" w:space="0" w:color="auto"/>
        <w:bottom w:val="none" w:sz="0" w:space="0" w:color="auto"/>
        <w:right w:val="none" w:sz="0" w:space="0" w:color="auto"/>
      </w:divBdr>
    </w:div>
    <w:div w:id="2032992818">
      <w:bodyDiv w:val="1"/>
      <w:marLeft w:val="0"/>
      <w:marRight w:val="0"/>
      <w:marTop w:val="0"/>
      <w:marBottom w:val="0"/>
      <w:divBdr>
        <w:top w:val="none" w:sz="0" w:space="0" w:color="auto"/>
        <w:left w:val="none" w:sz="0" w:space="0" w:color="auto"/>
        <w:bottom w:val="none" w:sz="0" w:space="0" w:color="auto"/>
        <w:right w:val="none" w:sz="0" w:space="0" w:color="auto"/>
      </w:divBdr>
    </w:div>
    <w:div w:id="2036417570">
      <w:bodyDiv w:val="1"/>
      <w:marLeft w:val="0"/>
      <w:marRight w:val="0"/>
      <w:marTop w:val="0"/>
      <w:marBottom w:val="0"/>
      <w:divBdr>
        <w:top w:val="none" w:sz="0" w:space="0" w:color="auto"/>
        <w:left w:val="none" w:sz="0" w:space="0" w:color="auto"/>
        <w:bottom w:val="none" w:sz="0" w:space="0" w:color="auto"/>
        <w:right w:val="none" w:sz="0" w:space="0" w:color="auto"/>
      </w:divBdr>
    </w:div>
    <w:div w:id="2039692965">
      <w:bodyDiv w:val="1"/>
      <w:marLeft w:val="0"/>
      <w:marRight w:val="0"/>
      <w:marTop w:val="0"/>
      <w:marBottom w:val="0"/>
      <w:divBdr>
        <w:top w:val="none" w:sz="0" w:space="0" w:color="auto"/>
        <w:left w:val="none" w:sz="0" w:space="0" w:color="auto"/>
        <w:bottom w:val="none" w:sz="0" w:space="0" w:color="auto"/>
        <w:right w:val="none" w:sz="0" w:space="0" w:color="auto"/>
      </w:divBdr>
    </w:div>
    <w:div w:id="2041279104">
      <w:bodyDiv w:val="1"/>
      <w:marLeft w:val="0"/>
      <w:marRight w:val="0"/>
      <w:marTop w:val="0"/>
      <w:marBottom w:val="0"/>
      <w:divBdr>
        <w:top w:val="none" w:sz="0" w:space="0" w:color="auto"/>
        <w:left w:val="none" w:sz="0" w:space="0" w:color="auto"/>
        <w:bottom w:val="none" w:sz="0" w:space="0" w:color="auto"/>
        <w:right w:val="none" w:sz="0" w:space="0" w:color="auto"/>
      </w:divBdr>
    </w:div>
    <w:div w:id="2043168698">
      <w:bodyDiv w:val="1"/>
      <w:marLeft w:val="0"/>
      <w:marRight w:val="0"/>
      <w:marTop w:val="0"/>
      <w:marBottom w:val="0"/>
      <w:divBdr>
        <w:top w:val="none" w:sz="0" w:space="0" w:color="auto"/>
        <w:left w:val="none" w:sz="0" w:space="0" w:color="auto"/>
        <w:bottom w:val="none" w:sz="0" w:space="0" w:color="auto"/>
        <w:right w:val="none" w:sz="0" w:space="0" w:color="auto"/>
      </w:divBdr>
    </w:div>
    <w:div w:id="2043244787">
      <w:bodyDiv w:val="1"/>
      <w:marLeft w:val="0"/>
      <w:marRight w:val="0"/>
      <w:marTop w:val="0"/>
      <w:marBottom w:val="0"/>
      <w:divBdr>
        <w:top w:val="none" w:sz="0" w:space="0" w:color="auto"/>
        <w:left w:val="none" w:sz="0" w:space="0" w:color="auto"/>
        <w:bottom w:val="none" w:sz="0" w:space="0" w:color="auto"/>
        <w:right w:val="none" w:sz="0" w:space="0" w:color="auto"/>
      </w:divBdr>
    </w:div>
    <w:div w:id="2045709898">
      <w:bodyDiv w:val="1"/>
      <w:marLeft w:val="0"/>
      <w:marRight w:val="0"/>
      <w:marTop w:val="0"/>
      <w:marBottom w:val="0"/>
      <w:divBdr>
        <w:top w:val="none" w:sz="0" w:space="0" w:color="auto"/>
        <w:left w:val="none" w:sz="0" w:space="0" w:color="auto"/>
        <w:bottom w:val="none" w:sz="0" w:space="0" w:color="auto"/>
        <w:right w:val="none" w:sz="0" w:space="0" w:color="auto"/>
      </w:divBdr>
    </w:div>
    <w:div w:id="2048141614">
      <w:bodyDiv w:val="1"/>
      <w:marLeft w:val="0"/>
      <w:marRight w:val="0"/>
      <w:marTop w:val="0"/>
      <w:marBottom w:val="0"/>
      <w:divBdr>
        <w:top w:val="none" w:sz="0" w:space="0" w:color="auto"/>
        <w:left w:val="none" w:sz="0" w:space="0" w:color="auto"/>
        <w:bottom w:val="none" w:sz="0" w:space="0" w:color="auto"/>
        <w:right w:val="none" w:sz="0" w:space="0" w:color="auto"/>
      </w:divBdr>
    </w:div>
    <w:div w:id="2048220403">
      <w:bodyDiv w:val="1"/>
      <w:marLeft w:val="0"/>
      <w:marRight w:val="0"/>
      <w:marTop w:val="0"/>
      <w:marBottom w:val="0"/>
      <w:divBdr>
        <w:top w:val="none" w:sz="0" w:space="0" w:color="auto"/>
        <w:left w:val="none" w:sz="0" w:space="0" w:color="auto"/>
        <w:bottom w:val="none" w:sz="0" w:space="0" w:color="auto"/>
        <w:right w:val="none" w:sz="0" w:space="0" w:color="auto"/>
      </w:divBdr>
    </w:div>
    <w:div w:id="2052338337">
      <w:bodyDiv w:val="1"/>
      <w:marLeft w:val="0"/>
      <w:marRight w:val="0"/>
      <w:marTop w:val="0"/>
      <w:marBottom w:val="0"/>
      <w:divBdr>
        <w:top w:val="none" w:sz="0" w:space="0" w:color="auto"/>
        <w:left w:val="none" w:sz="0" w:space="0" w:color="auto"/>
        <w:bottom w:val="none" w:sz="0" w:space="0" w:color="auto"/>
        <w:right w:val="none" w:sz="0" w:space="0" w:color="auto"/>
      </w:divBdr>
    </w:div>
    <w:div w:id="2055621098">
      <w:bodyDiv w:val="1"/>
      <w:marLeft w:val="0"/>
      <w:marRight w:val="0"/>
      <w:marTop w:val="0"/>
      <w:marBottom w:val="0"/>
      <w:divBdr>
        <w:top w:val="none" w:sz="0" w:space="0" w:color="auto"/>
        <w:left w:val="none" w:sz="0" w:space="0" w:color="auto"/>
        <w:bottom w:val="none" w:sz="0" w:space="0" w:color="auto"/>
        <w:right w:val="none" w:sz="0" w:space="0" w:color="auto"/>
      </w:divBdr>
    </w:div>
    <w:div w:id="2056464865">
      <w:bodyDiv w:val="1"/>
      <w:marLeft w:val="0"/>
      <w:marRight w:val="0"/>
      <w:marTop w:val="0"/>
      <w:marBottom w:val="0"/>
      <w:divBdr>
        <w:top w:val="none" w:sz="0" w:space="0" w:color="auto"/>
        <w:left w:val="none" w:sz="0" w:space="0" w:color="auto"/>
        <w:bottom w:val="none" w:sz="0" w:space="0" w:color="auto"/>
        <w:right w:val="none" w:sz="0" w:space="0" w:color="auto"/>
      </w:divBdr>
    </w:div>
    <w:div w:id="2057003065">
      <w:bodyDiv w:val="1"/>
      <w:marLeft w:val="0"/>
      <w:marRight w:val="0"/>
      <w:marTop w:val="0"/>
      <w:marBottom w:val="0"/>
      <w:divBdr>
        <w:top w:val="none" w:sz="0" w:space="0" w:color="auto"/>
        <w:left w:val="none" w:sz="0" w:space="0" w:color="auto"/>
        <w:bottom w:val="none" w:sz="0" w:space="0" w:color="auto"/>
        <w:right w:val="none" w:sz="0" w:space="0" w:color="auto"/>
      </w:divBdr>
    </w:div>
    <w:div w:id="2057118165">
      <w:bodyDiv w:val="1"/>
      <w:marLeft w:val="0"/>
      <w:marRight w:val="0"/>
      <w:marTop w:val="0"/>
      <w:marBottom w:val="0"/>
      <w:divBdr>
        <w:top w:val="none" w:sz="0" w:space="0" w:color="auto"/>
        <w:left w:val="none" w:sz="0" w:space="0" w:color="auto"/>
        <w:bottom w:val="none" w:sz="0" w:space="0" w:color="auto"/>
        <w:right w:val="none" w:sz="0" w:space="0" w:color="auto"/>
      </w:divBdr>
    </w:div>
    <w:div w:id="2057392922">
      <w:bodyDiv w:val="1"/>
      <w:marLeft w:val="0"/>
      <w:marRight w:val="0"/>
      <w:marTop w:val="0"/>
      <w:marBottom w:val="0"/>
      <w:divBdr>
        <w:top w:val="none" w:sz="0" w:space="0" w:color="auto"/>
        <w:left w:val="none" w:sz="0" w:space="0" w:color="auto"/>
        <w:bottom w:val="none" w:sz="0" w:space="0" w:color="auto"/>
        <w:right w:val="none" w:sz="0" w:space="0" w:color="auto"/>
      </w:divBdr>
    </w:div>
    <w:div w:id="2061899868">
      <w:bodyDiv w:val="1"/>
      <w:marLeft w:val="0"/>
      <w:marRight w:val="0"/>
      <w:marTop w:val="0"/>
      <w:marBottom w:val="0"/>
      <w:divBdr>
        <w:top w:val="none" w:sz="0" w:space="0" w:color="auto"/>
        <w:left w:val="none" w:sz="0" w:space="0" w:color="auto"/>
        <w:bottom w:val="none" w:sz="0" w:space="0" w:color="auto"/>
        <w:right w:val="none" w:sz="0" w:space="0" w:color="auto"/>
      </w:divBdr>
    </w:div>
    <w:div w:id="2065106013">
      <w:bodyDiv w:val="1"/>
      <w:marLeft w:val="0"/>
      <w:marRight w:val="0"/>
      <w:marTop w:val="0"/>
      <w:marBottom w:val="0"/>
      <w:divBdr>
        <w:top w:val="none" w:sz="0" w:space="0" w:color="auto"/>
        <w:left w:val="none" w:sz="0" w:space="0" w:color="auto"/>
        <w:bottom w:val="none" w:sz="0" w:space="0" w:color="auto"/>
        <w:right w:val="none" w:sz="0" w:space="0" w:color="auto"/>
      </w:divBdr>
    </w:div>
    <w:div w:id="2068600008">
      <w:bodyDiv w:val="1"/>
      <w:marLeft w:val="0"/>
      <w:marRight w:val="0"/>
      <w:marTop w:val="0"/>
      <w:marBottom w:val="0"/>
      <w:divBdr>
        <w:top w:val="none" w:sz="0" w:space="0" w:color="auto"/>
        <w:left w:val="none" w:sz="0" w:space="0" w:color="auto"/>
        <w:bottom w:val="none" w:sz="0" w:space="0" w:color="auto"/>
        <w:right w:val="none" w:sz="0" w:space="0" w:color="auto"/>
      </w:divBdr>
    </w:div>
    <w:div w:id="2069374201">
      <w:bodyDiv w:val="1"/>
      <w:marLeft w:val="0"/>
      <w:marRight w:val="0"/>
      <w:marTop w:val="0"/>
      <w:marBottom w:val="0"/>
      <w:divBdr>
        <w:top w:val="none" w:sz="0" w:space="0" w:color="auto"/>
        <w:left w:val="none" w:sz="0" w:space="0" w:color="auto"/>
        <w:bottom w:val="none" w:sz="0" w:space="0" w:color="auto"/>
        <w:right w:val="none" w:sz="0" w:space="0" w:color="auto"/>
      </w:divBdr>
    </w:div>
    <w:div w:id="2070496166">
      <w:bodyDiv w:val="1"/>
      <w:marLeft w:val="0"/>
      <w:marRight w:val="0"/>
      <w:marTop w:val="0"/>
      <w:marBottom w:val="0"/>
      <w:divBdr>
        <w:top w:val="none" w:sz="0" w:space="0" w:color="auto"/>
        <w:left w:val="none" w:sz="0" w:space="0" w:color="auto"/>
        <w:bottom w:val="none" w:sz="0" w:space="0" w:color="auto"/>
        <w:right w:val="none" w:sz="0" w:space="0" w:color="auto"/>
      </w:divBdr>
    </w:div>
    <w:div w:id="2074110433">
      <w:bodyDiv w:val="1"/>
      <w:marLeft w:val="0"/>
      <w:marRight w:val="0"/>
      <w:marTop w:val="0"/>
      <w:marBottom w:val="0"/>
      <w:divBdr>
        <w:top w:val="none" w:sz="0" w:space="0" w:color="auto"/>
        <w:left w:val="none" w:sz="0" w:space="0" w:color="auto"/>
        <w:bottom w:val="none" w:sz="0" w:space="0" w:color="auto"/>
        <w:right w:val="none" w:sz="0" w:space="0" w:color="auto"/>
      </w:divBdr>
    </w:div>
    <w:div w:id="2076588065">
      <w:bodyDiv w:val="1"/>
      <w:marLeft w:val="0"/>
      <w:marRight w:val="0"/>
      <w:marTop w:val="0"/>
      <w:marBottom w:val="0"/>
      <w:divBdr>
        <w:top w:val="none" w:sz="0" w:space="0" w:color="auto"/>
        <w:left w:val="none" w:sz="0" w:space="0" w:color="auto"/>
        <w:bottom w:val="none" w:sz="0" w:space="0" w:color="auto"/>
        <w:right w:val="none" w:sz="0" w:space="0" w:color="auto"/>
      </w:divBdr>
    </w:div>
    <w:div w:id="2077389207">
      <w:bodyDiv w:val="1"/>
      <w:marLeft w:val="0"/>
      <w:marRight w:val="0"/>
      <w:marTop w:val="0"/>
      <w:marBottom w:val="0"/>
      <w:divBdr>
        <w:top w:val="none" w:sz="0" w:space="0" w:color="auto"/>
        <w:left w:val="none" w:sz="0" w:space="0" w:color="auto"/>
        <w:bottom w:val="none" w:sz="0" w:space="0" w:color="auto"/>
        <w:right w:val="none" w:sz="0" w:space="0" w:color="auto"/>
      </w:divBdr>
    </w:div>
    <w:div w:id="2077581056">
      <w:bodyDiv w:val="1"/>
      <w:marLeft w:val="0"/>
      <w:marRight w:val="0"/>
      <w:marTop w:val="0"/>
      <w:marBottom w:val="0"/>
      <w:divBdr>
        <w:top w:val="none" w:sz="0" w:space="0" w:color="auto"/>
        <w:left w:val="none" w:sz="0" w:space="0" w:color="auto"/>
        <w:bottom w:val="none" w:sz="0" w:space="0" w:color="auto"/>
        <w:right w:val="none" w:sz="0" w:space="0" w:color="auto"/>
      </w:divBdr>
    </w:div>
    <w:div w:id="2078939387">
      <w:bodyDiv w:val="1"/>
      <w:marLeft w:val="0"/>
      <w:marRight w:val="0"/>
      <w:marTop w:val="0"/>
      <w:marBottom w:val="0"/>
      <w:divBdr>
        <w:top w:val="none" w:sz="0" w:space="0" w:color="auto"/>
        <w:left w:val="none" w:sz="0" w:space="0" w:color="auto"/>
        <w:bottom w:val="none" w:sz="0" w:space="0" w:color="auto"/>
        <w:right w:val="none" w:sz="0" w:space="0" w:color="auto"/>
      </w:divBdr>
    </w:div>
    <w:div w:id="2080977050">
      <w:bodyDiv w:val="1"/>
      <w:marLeft w:val="0"/>
      <w:marRight w:val="0"/>
      <w:marTop w:val="0"/>
      <w:marBottom w:val="0"/>
      <w:divBdr>
        <w:top w:val="none" w:sz="0" w:space="0" w:color="auto"/>
        <w:left w:val="none" w:sz="0" w:space="0" w:color="auto"/>
        <w:bottom w:val="none" w:sz="0" w:space="0" w:color="auto"/>
        <w:right w:val="none" w:sz="0" w:space="0" w:color="auto"/>
      </w:divBdr>
    </w:div>
    <w:div w:id="2081824954">
      <w:bodyDiv w:val="1"/>
      <w:marLeft w:val="0"/>
      <w:marRight w:val="0"/>
      <w:marTop w:val="0"/>
      <w:marBottom w:val="0"/>
      <w:divBdr>
        <w:top w:val="none" w:sz="0" w:space="0" w:color="auto"/>
        <w:left w:val="none" w:sz="0" w:space="0" w:color="auto"/>
        <w:bottom w:val="none" w:sz="0" w:space="0" w:color="auto"/>
        <w:right w:val="none" w:sz="0" w:space="0" w:color="auto"/>
      </w:divBdr>
    </w:div>
    <w:div w:id="2081977092">
      <w:bodyDiv w:val="1"/>
      <w:marLeft w:val="0"/>
      <w:marRight w:val="0"/>
      <w:marTop w:val="0"/>
      <w:marBottom w:val="0"/>
      <w:divBdr>
        <w:top w:val="none" w:sz="0" w:space="0" w:color="auto"/>
        <w:left w:val="none" w:sz="0" w:space="0" w:color="auto"/>
        <w:bottom w:val="none" w:sz="0" w:space="0" w:color="auto"/>
        <w:right w:val="none" w:sz="0" w:space="0" w:color="auto"/>
      </w:divBdr>
    </w:div>
    <w:div w:id="2083094048">
      <w:bodyDiv w:val="1"/>
      <w:marLeft w:val="0"/>
      <w:marRight w:val="0"/>
      <w:marTop w:val="0"/>
      <w:marBottom w:val="0"/>
      <w:divBdr>
        <w:top w:val="none" w:sz="0" w:space="0" w:color="auto"/>
        <w:left w:val="none" w:sz="0" w:space="0" w:color="auto"/>
        <w:bottom w:val="none" w:sz="0" w:space="0" w:color="auto"/>
        <w:right w:val="none" w:sz="0" w:space="0" w:color="auto"/>
      </w:divBdr>
    </w:div>
    <w:div w:id="2087722922">
      <w:bodyDiv w:val="1"/>
      <w:marLeft w:val="0"/>
      <w:marRight w:val="0"/>
      <w:marTop w:val="0"/>
      <w:marBottom w:val="0"/>
      <w:divBdr>
        <w:top w:val="none" w:sz="0" w:space="0" w:color="auto"/>
        <w:left w:val="none" w:sz="0" w:space="0" w:color="auto"/>
        <w:bottom w:val="none" w:sz="0" w:space="0" w:color="auto"/>
        <w:right w:val="none" w:sz="0" w:space="0" w:color="auto"/>
      </w:divBdr>
    </w:div>
    <w:div w:id="2088915653">
      <w:bodyDiv w:val="1"/>
      <w:marLeft w:val="0"/>
      <w:marRight w:val="0"/>
      <w:marTop w:val="0"/>
      <w:marBottom w:val="0"/>
      <w:divBdr>
        <w:top w:val="none" w:sz="0" w:space="0" w:color="auto"/>
        <w:left w:val="none" w:sz="0" w:space="0" w:color="auto"/>
        <w:bottom w:val="none" w:sz="0" w:space="0" w:color="auto"/>
        <w:right w:val="none" w:sz="0" w:space="0" w:color="auto"/>
      </w:divBdr>
    </w:div>
    <w:div w:id="2090081038">
      <w:bodyDiv w:val="1"/>
      <w:marLeft w:val="0"/>
      <w:marRight w:val="0"/>
      <w:marTop w:val="0"/>
      <w:marBottom w:val="0"/>
      <w:divBdr>
        <w:top w:val="none" w:sz="0" w:space="0" w:color="auto"/>
        <w:left w:val="none" w:sz="0" w:space="0" w:color="auto"/>
        <w:bottom w:val="none" w:sz="0" w:space="0" w:color="auto"/>
        <w:right w:val="none" w:sz="0" w:space="0" w:color="auto"/>
      </w:divBdr>
    </w:div>
    <w:div w:id="2090153313">
      <w:bodyDiv w:val="1"/>
      <w:marLeft w:val="0"/>
      <w:marRight w:val="0"/>
      <w:marTop w:val="0"/>
      <w:marBottom w:val="0"/>
      <w:divBdr>
        <w:top w:val="none" w:sz="0" w:space="0" w:color="auto"/>
        <w:left w:val="none" w:sz="0" w:space="0" w:color="auto"/>
        <w:bottom w:val="none" w:sz="0" w:space="0" w:color="auto"/>
        <w:right w:val="none" w:sz="0" w:space="0" w:color="auto"/>
      </w:divBdr>
    </w:div>
    <w:div w:id="2091076640">
      <w:bodyDiv w:val="1"/>
      <w:marLeft w:val="0"/>
      <w:marRight w:val="0"/>
      <w:marTop w:val="0"/>
      <w:marBottom w:val="0"/>
      <w:divBdr>
        <w:top w:val="none" w:sz="0" w:space="0" w:color="auto"/>
        <w:left w:val="none" w:sz="0" w:space="0" w:color="auto"/>
        <w:bottom w:val="none" w:sz="0" w:space="0" w:color="auto"/>
        <w:right w:val="none" w:sz="0" w:space="0" w:color="auto"/>
      </w:divBdr>
    </w:div>
    <w:div w:id="2091387316">
      <w:bodyDiv w:val="1"/>
      <w:marLeft w:val="0"/>
      <w:marRight w:val="0"/>
      <w:marTop w:val="0"/>
      <w:marBottom w:val="0"/>
      <w:divBdr>
        <w:top w:val="none" w:sz="0" w:space="0" w:color="auto"/>
        <w:left w:val="none" w:sz="0" w:space="0" w:color="auto"/>
        <w:bottom w:val="none" w:sz="0" w:space="0" w:color="auto"/>
        <w:right w:val="none" w:sz="0" w:space="0" w:color="auto"/>
      </w:divBdr>
    </w:div>
    <w:div w:id="2093045312">
      <w:bodyDiv w:val="1"/>
      <w:marLeft w:val="0"/>
      <w:marRight w:val="0"/>
      <w:marTop w:val="0"/>
      <w:marBottom w:val="0"/>
      <w:divBdr>
        <w:top w:val="none" w:sz="0" w:space="0" w:color="auto"/>
        <w:left w:val="none" w:sz="0" w:space="0" w:color="auto"/>
        <w:bottom w:val="none" w:sz="0" w:space="0" w:color="auto"/>
        <w:right w:val="none" w:sz="0" w:space="0" w:color="auto"/>
      </w:divBdr>
    </w:div>
    <w:div w:id="2095663844">
      <w:bodyDiv w:val="1"/>
      <w:marLeft w:val="0"/>
      <w:marRight w:val="0"/>
      <w:marTop w:val="0"/>
      <w:marBottom w:val="0"/>
      <w:divBdr>
        <w:top w:val="none" w:sz="0" w:space="0" w:color="auto"/>
        <w:left w:val="none" w:sz="0" w:space="0" w:color="auto"/>
        <w:bottom w:val="none" w:sz="0" w:space="0" w:color="auto"/>
        <w:right w:val="none" w:sz="0" w:space="0" w:color="auto"/>
      </w:divBdr>
    </w:div>
    <w:div w:id="2096247274">
      <w:bodyDiv w:val="1"/>
      <w:marLeft w:val="0"/>
      <w:marRight w:val="0"/>
      <w:marTop w:val="0"/>
      <w:marBottom w:val="0"/>
      <w:divBdr>
        <w:top w:val="none" w:sz="0" w:space="0" w:color="auto"/>
        <w:left w:val="none" w:sz="0" w:space="0" w:color="auto"/>
        <w:bottom w:val="none" w:sz="0" w:space="0" w:color="auto"/>
        <w:right w:val="none" w:sz="0" w:space="0" w:color="auto"/>
      </w:divBdr>
    </w:div>
    <w:div w:id="2098020038">
      <w:bodyDiv w:val="1"/>
      <w:marLeft w:val="0"/>
      <w:marRight w:val="0"/>
      <w:marTop w:val="0"/>
      <w:marBottom w:val="0"/>
      <w:divBdr>
        <w:top w:val="none" w:sz="0" w:space="0" w:color="auto"/>
        <w:left w:val="none" w:sz="0" w:space="0" w:color="auto"/>
        <w:bottom w:val="none" w:sz="0" w:space="0" w:color="auto"/>
        <w:right w:val="none" w:sz="0" w:space="0" w:color="auto"/>
      </w:divBdr>
    </w:div>
    <w:div w:id="2098162391">
      <w:bodyDiv w:val="1"/>
      <w:marLeft w:val="0"/>
      <w:marRight w:val="0"/>
      <w:marTop w:val="0"/>
      <w:marBottom w:val="0"/>
      <w:divBdr>
        <w:top w:val="none" w:sz="0" w:space="0" w:color="auto"/>
        <w:left w:val="none" w:sz="0" w:space="0" w:color="auto"/>
        <w:bottom w:val="none" w:sz="0" w:space="0" w:color="auto"/>
        <w:right w:val="none" w:sz="0" w:space="0" w:color="auto"/>
      </w:divBdr>
    </w:div>
    <w:div w:id="2099477427">
      <w:bodyDiv w:val="1"/>
      <w:marLeft w:val="0"/>
      <w:marRight w:val="0"/>
      <w:marTop w:val="0"/>
      <w:marBottom w:val="0"/>
      <w:divBdr>
        <w:top w:val="none" w:sz="0" w:space="0" w:color="auto"/>
        <w:left w:val="none" w:sz="0" w:space="0" w:color="auto"/>
        <w:bottom w:val="none" w:sz="0" w:space="0" w:color="auto"/>
        <w:right w:val="none" w:sz="0" w:space="0" w:color="auto"/>
      </w:divBdr>
    </w:div>
    <w:div w:id="2102220060">
      <w:bodyDiv w:val="1"/>
      <w:marLeft w:val="0"/>
      <w:marRight w:val="0"/>
      <w:marTop w:val="0"/>
      <w:marBottom w:val="0"/>
      <w:divBdr>
        <w:top w:val="none" w:sz="0" w:space="0" w:color="auto"/>
        <w:left w:val="none" w:sz="0" w:space="0" w:color="auto"/>
        <w:bottom w:val="none" w:sz="0" w:space="0" w:color="auto"/>
        <w:right w:val="none" w:sz="0" w:space="0" w:color="auto"/>
      </w:divBdr>
    </w:div>
    <w:div w:id="2104766063">
      <w:bodyDiv w:val="1"/>
      <w:marLeft w:val="0"/>
      <w:marRight w:val="0"/>
      <w:marTop w:val="0"/>
      <w:marBottom w:val="0"/>
      <w:divBdr>
        <w:top w:val="none" w:sz="0" w:space="0" w:color="auto"/>
        <w:left w:val="none" w:sz="0" w:space="0" w:color="auto"/>
        <w:bottom w:val="none" w:sz="0" w:space="0" w:color="auto"/>
        <w:right w:val="none" w:sz="0" w:space="0" w:color="auto"/>
      </w:divBdr>
    </w:div>
    <w:div w:id="2106535069">
      <w:bodyDiv w:val="1"/>
      <w:marLeft w:val="0"/>
      <w:marRight w:val="0"/>
      <w:marTop w:val="0"/>
      <w:marBottom w:val="0"/>
      <w:divBdr>
        <w:top w:val="none" w:sz="0" w:space="0" w:color="auto"/>
        <w:left w:val="none" w:sz="0" w:space="0" w:color="auto"/>
        <w:bottom w:val="none" w:sz="0" w:space="0" w:color="auto"/>
        <w:right w:val="none" w:sz="0" w:space="0" w:color="auto"/>
      </w:divBdr>
    </w:div>
    <w:div w:id="2107769557">
      <w:bodyDiv w:val="1"/>
      <w:marLeft w:val="0"/>
      <w:marRight w:val="0"/>
      <w:marTop w:val="0"/>
      <w:marBottom w:val="0"/>
      <w:divBdr>
        <w:top w:val="none" w:sz="0" w:space="0" w:color="auto"/>
        <w:left w:val="none" w:sz="0" w:space="0" w:color="auto"/>
        <w:bottom w:val="none" w:sz="0" w:space="0" w:color="auto"/>
        <w:right w:val="none" w:sz="0" w:space="0" w:color="auto"/>
      </w:divBdr>
    </w:div>
    <w:div w:id="2108455045">
      <w:bodyDiv w:val="1"/>
      <w:marLeft w:val="0"/>
      <w:marRight w:val="0"/>
      <w:marTop w:val="0"/>
      <w:marBottom w:val="0"/>
      <w:divBdr>
        <w:top w:val="none" w:sz="0" w:space="0" w:color="auto"/>
        <w:left w:val="none" w:sz="0" w:space="0" w:color="auto"/>
        <w:bottom w:val="none" w:sz="0" w:space="0" w:color="auto"/>
        <w:right w:val="none" w:sz="0" w:space="0" w:color="auto"/>
      </w:divBdr>
    </w:div>
    <w:div w:id="2110929865">
      <w:bodyDiv w:val="1"/>
      <w:marLeft w:val="0"/>
      <w:marRight w:val="0"/>
      <w:marTop w:val="0"/>
      <w:marBottom w:val="0"/>
      <w:divBdr>
        <w:top w:val="none" w:sz="0" w:space="0" w:color="auto"/>
        <w:left w:val="none" w:sz="0" w:space="0" w:color="auto"/>
        <w:bottom w:val="none" w:sz="0" w:space="0" w:color="auto"/>
        <w:right w:val="none" w:sz="0" w:space="0" w:color="auto"/>
      </w:divBdr>
    </w:div>
    <w:div w:id="2114855377">
      <w:bodyDiv w:val="1"/>
      <w:marLeft w:val="0"/>
      <w:marRight w:val="0"/>
      <w:marTop w:val="0"/>
      <w:marBottom w:val="0"/>
      <w:divBdr>
        <w:top w:val="none" w:sz="0" w:space="0" w:color="auto"/>
        <w:left w:val="none" w:sz="0" w:space="0" w:color="auto"/>
        <w:bottom w:val="none" w:sz="0" w:space="0" w:color="auto"/>
        <w:right w:val="none" w:sz="0" w:space="0" w:color="auto"/>
      </w:divBdr>
    </w:div>
    <w:div w:id="2115590503">
      <w:bodyDiv w:val="1"/>
      <w:marLeft w:val="0"/>
      <w:marRight w:val="0"/>
      <w:marTop w:val="0"/>
      <w:marBottom w:val="0"/>
      <w:divBdr>
        <w:top w:val="none" w:sz="0" w:space="0" w:color="auto"/>
        <w:left w:val="none" w:sz="0" w:space="0" w:color="auto"/>
        <w:bottom w:val="none" w:sz="0" w:space="0" w:color="auto"/>
        <w:right w:val="none" w:sz="0" w:space="0" w:color="auto"/>
      </w:divBdr>
    </w:div>
    <w:div w:id="2121097201">
      <w:bodyDiv w:val="1"/>
      <w:marLeft w:val="0"/>
      <w:marRight w:val="0"/>
      <w:marTop w:val="0"/>
      <w:marBottom w:val="0"/>
      <w:divBdr>
        <w:top w:val="none" w:sz="0" w:space="0" w:color="auto"/>
        <w:left w:val="none" w:sz="0" w:space="0" w:color="auto"/>
        <w:bottom w:val="none" w:sz="0" w:space="0" w:color="auto"/>
        <w:right w:val="none" w:sz="0" w:space="0" w:color="auto"/>
      </w:divBdr>
    </w:div>
    <w:div w:id="2121873063">
      <w:bodyDiv w:val="1"/>
      <w:marLeft w:val="0"/>
      <w:marRight w:val="0"/>
      <w:marTop w:val="0"/>
      <w:marBottom w:val="0"/>
      <w:divBdr>
        <w:top w:val="none" w:sz="0" w:space="0" w:color="auto"/>
        <w:left w:val="none" w:sz="0" w:space="0" w:color="auto"/>
        <w:bottom w:val="none" w:sz="0" w:space="0" w:color="auto"/>
        <w:right w:val="none" w:sz="0" w:space="0" w:color="auto"/>
      </w:divBdr>
    </w:div>
    <w:div w:id="2121876197">
      <w:bodyDiv w:val="1"/>
      <w:marLeft w:val="0"/>
      <w:marRight w:val="0"/>
      <w:marTop w:val="0"/>
      <w:marBottom w:val="0"/>
      <w:divBdr>
        <w:top w:val="none" w:sz="0" w:space="0" w:color="auto"/>
        <w:left w:val="none" w:sz="0" w:space="0" w:color="auto"/>
        <w:bottom w:val="none" w:sz="0" w:space="0" w:color="auto"/>
        <w:right w:val="none" w:sz="0" w:space="0" w:color="auto"/>
      </w:divBdr>
    </w:div>
    <w:div w:id="2122334176">
      <w:bodyDiv w:val="1"/>
      <w:marLeft w:val="0"/>
      <w:marRight w:val="0"/>
      <w:marTop w:val="0"/>
      <w:marBottom w:val="0"/>
      <w:divBdr>
        <w:top w:val="none" w:sz="0" w:space="0" w:color="auto"/>
        <w:left w:val="none" w:sz="0" w:space="0" w:color="auto"/>
        <w:bottom w:val="none" w:sz="0" w:space="0" w:color="auto"/>
        <w:right w:val="none" w:sz="0" w:space="0" w:color="auto"/>
      </w:divBdr>
    </w:div>
    <w:div w:id="2123449918">
      <w:bodyDiv w:val="1"/>
      <w:marLeft w:val="0"/>
      <w:marRight w:val="0"/>
      <w:marTop w:val="0"/>
      <w:marBottom w:val="0"/>
      <w:divBdr>
        <w:top w:val="none" w:sz="0" w:space="0" w:color="auto"/>
        <w:left w:val="none" w:sz="0" w:space="0" w:color="auto"/>
        <w:bottom w:val="none" w:sz="0" w:space="0" w:color="auto"/>
        <w:right w:val="none" w:sz="0" w:space="0" w:color="auto"/>
      </w:divBdr>
    </w:div>
    <w:div w:id="2126072042">
      <w:bodyDiv w:val="1"/>
      <w:marLeft w:val="0"/>
      <w:marRight w:val="0"/>
      <w:marTop w:val="0"/>
      <w:marBottom w:val="0"/>
      <w:divBdr>
        <w:top w:val="none" w:sz="0" w:space="0" w:color="auto"/>
        <w:left w:val="none" w:sz="0" w:space="0" w:color="auto"/>
        <w:bottom w:val="none" w:sz="0" w:space="0" w:color="auto"/>
        <w:right w:val="none" w:sz="0" w:space="0" w:color="auto"/>
      </w:divBdr>
    </w:div>
    <w:div w:id="2128616727">
      <w:bodyDiv w:val="1"/>
      <w:marLeft w:val="0"/>
      <w:marRight w:val="0"/>
      <w:marTop w:val="0"/>
      <w:marBottom w:val="0"/>
      <w:divBdr>
        <w:top w:val="none" w:sz="0" w:space="0" w:color="auto"/>
        <w:left w:val="none" w:sz="0" w:space="0" w:color="auto"/>
        <w:bottom w:val="none" w:sz="0" w:space="0" w:color="auto"/>
        <w:right w:val="none" w:sz="0" w:space="0" w:color="auto"/>
      </w:divBdr>
    </w:div>
    <w:div w:id="2129733359">
      <w:bodyDiv w:val="1"/>
      <w:marLeft w:val="0"/>
      <w:marRight w:val="0"/>
      <w:marTop w:val="0"/>
      <w:marBottom w:val="0"/>
      <w:divBdr>
        <w:top w:val="none" w:sz="0" w:space="0" w:color="auto"/>
        <w:left w:val="none" w:sz="0" w:space="0" w:color="auto"/>
        <w:bottom w:val="none" w:sz="0" w:space="0" w:color="auto"/>
        <w:right w:val="none" w:sz="0" w:space="0" w:color="auto"/>
      </w:divBdr>
    </w:div>
    <w:div w:id="2129816354">
      <w:bodyDiv w:val="1"/>
      <w:marLeft w:val="0"/>
      <w:marRight w:val="0"/>
      <w:marTop w:val="0"/>
      <w:marBottom w:val="0"/>
      <w:divBdr>
        <w:top w:val="none" w:sz="0" w:space="0" w:color="auto"/>
        <w:left w:val="none" w:sz="0" w:space="0" w:color="auto"/>
        <w:bottom w:val="none" w:sz="0" w:space="0" w:color="auto"/>
        <w:right w:val="none" w:sz="0" w:space="0" w:color="auto"/>
      </w:divBdr>
    </w:div>
    <w:div w:id="2130010064">
      <w:bodyDiv w:val="1"/>
      <w:marLeft w:val="0"/>
      <w:marRight w:val="0"/>
      <w:marTop w:val="0"/>
      <w:marBottom w:val="0"/>
      <w:divBdr>
        <w:top w:val="none" w:sz="0" w:space="0" w:color="auto"/>
        <w:left w:val="none" w:sz="0" w:space="0" w:color="auto"/>
        <w:bottom w:val="none" w:sz="0" w:space="0" w:color="auto"/>
        <w:right w:val="none" w:sz="0" w:space="0" w:color="auto"/>
      </w:divBdr>
    </w:div>
    <w:div w:id="2131045523">
      <w:bodyDiv w:val="1"/>
      <w:marLeft w:val="0"/>
      <w:marRight w:val="0"/>
      <w:marTop w:val="0"/>
      <w:marBottom w:val="0"/>
      <w:divBdr>
        <w:top w:val="none" w:sz="0" w:space="0" w:color="auto"/>
        <w:left w:val="none" w:sz="0" w:space="0" w:color="auto"/>
        <w:bottom w:val="none" w:sz="0" w:space="0" w:color="auto"/>
        <w:right w:val="none" w:sz="0" w:space="0" w:color="auto"/>
      </w:divBdr>
    </w:div>
    <w:div w:id="2132165272">
      <w:bodyDiv w:val="1"/>
      <w:marLeft w:val="0"/>
      <w:marRight w:val="0"/>
      <w:marTop w:val="0"/>
      <w:marBottom w:val="0"/>
      <w:divBdr>
        <w:top w:val="none" w:sz="0" w:space="0" w:color="auto"/>
        <w:left w:val="none" w:sz="0" w:space="0" w:color="auto"/>
        <w:bottom w:val="none" w:sz="0" w:space="0" w:color="auto"/>
        <w:right w:val="none" w:sz="0" w:space="0" w:color="auto"/>
      </w:divBdr>
    </w:div>
    <w:div w:id="2134009885">
      <w:bodyDiv w:val="1"/>
      <w:marLeft w:val="0"/>
      <w:marRight w:val="0"/>
      <w:marTop w:val="0"/>
      <w:marBottom w:val="0"/>
      <w:divBdr>
        <w:top w:val="none" w:sz="0" w:space="0" w:color="auto"/>
        <w:left w:val="none" w:sz="0" w:space="0" w:color="auto"/>
        <w:bottom w:val="none" w:sz="0" w:space="0" w:color="auto"/>
        <w:right w:val="none" w:sz="0" w:space="0" w:color="auto"/>
      </w:divBdr>
    </w:div>
    <w:div w:id="2135293998">
      <w:bodyDiv w:val="1"/>
      <w:marLeft w:val="0"/>
      <w:marRight w:val="0"/>
      <w:marTop w:val="0"/>
      <w:marBottom w:val="0"/>
      <w:divBdr>
        <w:top w:val="none" w:sz="0" w:space="0" w:color="auto"/>
        <w:left w:val="none" w:sz="0" w:space="0" w:color="auto"/>
        <w:bottom w:val="none" w:sz="0" w:space="0" w:color="auto"/>
        <w:right w:val="none" w:sz="0" w:space="0" w:color="auto"/>
      </w:divBdr>
    </w:div>
    <w:div w:id="2136168620">
      <w:bodyDiv w:val="1"/>
      <w:marLeft w:val="0"/>
      <w:marRight w:val="0"/>
      <w:marTop w:val="0"/>
      <w:marBottom w:val="0"/>
      <w:divBdr>
        <w:top w:val="none" w:sz="0" w:space="0" w:color="auto"/>
        <w:left w:val="none" w:sz="0" w:space="0" w:color="auto"/>
        <w:bottom w:val="none" w:sz="0" w:space="0" w:color="auto"/>
        <w:right w:val="none" w:sz="0" w:space="0" w:color="auto"/>
      </w:divBdr>
    </w:div>
    <w:div w:id="2137603203">
      <w:bodyDiv w:val="1"/>
      <w:marLeft w:val="0"/>
      <w:marRight w:val="0"/>
      <w:marTop w:val="0"/>
      <w:marBottom w:val="0"/>
      <w:divBdr>
        <w:top w:val="none" w:sz="0" w:space="0" w:color="auto"/>
        <w:left w:val="none" w:sz="0" w:space="0" w:color="auto"/>
        <w:bottom w:val="none" w:sz="0" w:space="0" w:color="auto"/>
        <w:right w:val="none" w:sz="0" w:space="0" w:color="auto"/>
      </w:divBdr>
    </w:div>
    <w:div w:id="2138916333">
      <w:bodyDiv w:val="1"/>
      <w:marLeft w:val="0"/>
      <w:marRight w:val="0"/>
      <w:marTop w:val="0"/>
      <w:marBottom w:val="0"/>
      <w:divBdr>
        <w:top w:val="none" w:sz="0" w:space="0" w:color="auto"/>
        <w:left w:val="none" w:sz="0" w:space="0" w:color="auto"/>
        <w:bottom w:val="none" w:sz="0" w:space="0" w:color="auto"/>
        <w:right w:val="none" w:sz="0" w:space="0" w:color="auto"/>
      </w:divBdr>
    </w:div>
    <w:div w:id="2139494284">
      <w:bodyDiv w:val="1"/>
      <w:marLeft w:val="0"/>
      <w:marRight w:val="0"/>
      <w:marTop w:val="0"/>
      <w:marBottom w:val="0"/>
      <w:divBdr>
        <w:top w:val="none" w:sz="0" w:space="0" w:color="auto"/>
        <w:left w:val="none" w:sz="0" w:space="0" w:color="auto"/>
        <w:bottom w:val="none" w:sz="0" w:space="0" w:color="auto"/>
        <w:right w:val="none" w:sz="0" w:space="0" w:color="auto"/>
      </w:divBdr>
    </w:div>
    <w:div w:id="2140029628">
      <w:bodyDiv w:val="1"/>
      <w:marLeft w:val="0"/>
      <w:marRight w:val="0"/>
      <w:marTop w:val="0"/>
      <w:marBottom w:val="0"/>
      <w:divBdr>
        <w:top w:val="none" w:sz="0" w:space="0" w:color="auto"/>
        <w:left w:val="none" w:sz="0" w:space="0" w:color="auto"/>
        <w:bottom w:val="none" w:sz="0" w:space="0" w:color="auto"/>
        <w:right w:val="none" w:sz="0" w:space="0" w:color="auto"/>
      </w:divBdr>
    </w:div>
    <w:div w:id="2141454654">
      <w:bodyDiv w:val="1"/>
      <w:marLeft w:val="0"/>
      <w:marRight w:val="0"/>
      <w:marTop w:val="0"/>
      <w:marBottom w:val="0"/>
      <w:divBdr>
        <w:top w:val="none" w:sz="0" w:space="0" w:color="auto"/>
        <w:left w:val="none" w:sz="0" w:space="0" w:color="auto"/>
        <w:bottom w:val="none" w:sz="0" w:space="0" w:color="auto"/>
        <w:right w:val="none" w:sz="0" w:space="0" w:color="auto"/>
      </w:divBdr>
    </w:div>
    <w:div w:id="2142964603">
      <w:bodyDiv w:val="1"/>
      <w:marLeft w:val="0"/>
      <w:marRight w:val="0"/>
      <w:marTop w:val="0"/>
      <w:marBottom w:val="0"/>
      <w:divBdr>
        <w:top w:val="none" w:sz="0" w:space="0" w:color="auto"/>
        <w:left w:val="none" w:sz="0" w:space="0" w:color="auto"/>
        <w:bottom w:val="none" w:sz="0" w:space="0" w:color="auto"/>
        <w:right w:val="none" w:sz="0" w:space="0" w:color="auto"/>
      </w:divBdr>
    </w:div>
    <w:div w:id="214461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spPr>
            <a:solidFill>
              <a:schemeClr val="bg2"/>
            </a:solidFill>
            <a:effectLst/>
          </c:spPr>
          <c:dPt>
            <c:idx val="0"/>
            <c:bubble3D val="0"/>
            <c:spPr>
              <a:solidFill>
                <a:schemeClr val="bg2"/>
              </a:solidFill>
              <a:ln>
                <a:solidFill>
                  <a:schemeClr val="bg1">
                    <a:lumMod val="95000"/>
                  </a:schemeClr>
                </a:solidFill>
              </a:ln>
              <a:effectLst/>
            </c:spPr>
            <c:extLst>
              <c:ext xmlns:c16="http://schemas.microsoft.com/office/drawing/2014/chart" uri="{C3380CC4-5D6E-409C-BE32-E72D297353CC}">
                <c16:uniqueId val="{00000001-5408-4992-A31E-CEABC7380A6F}"/>
              </c:ext>
            </c:extLst>
          </c:dPt>
          <c:dPt>
            <c:idx val="1"/>
            <c:bubble3D val="0"/>
            <c:spPr>
              <a:solidFill>
                <a:schemeClr val="bg2"/>
              </a:solidFill>
              <a:ln>
                <a:solidFill>
                  <a:schemeClr val="bg2"/>
                </a:solidFill>
              </a:ln>
              <a:effectLst/>
            </c:spPr>
            <c:extLst>
              <c:ext xmlns:c16="http://schemas.microsoft.com/office/drawing/2014/chart" uri="{C3380CC4-5D6E-409C-BE32-E72D297353CC}">
                <c16:uniqueId val="{00000002-5408-4992-A31E-CEABC7380A6F}"/>
              </c:ext>
            </c:extLst>
          </c:dPt>
          <c:dPt>
            <c:idx val="2"/>
            <c:bubble3D val="0"/>
            <c:spPr>
              <a:solidFill>
                <a:schemeClr val="bg2"/>
              </a:solidFill>
              <a:ln>
                <a:noFill/>
              </a:ln>
              <a:effectLst/>
            </c:spPr>
            <c:extLst>
              <c:ext xmlns:c16="http://schemas.microsoft.com/office/drawing/2014/chart" uri="{C3380CC4-5D6E-409C-BE32-E72D297353CC}">
                <c16:uniqueId val="{00000003-5408-4992-A31E-CEABC7380A6F}"/>
              </c:ext>
            </c:extLst>
          </c:dPt>
          <c:dPt>
            <c:idx val="3"/>
            <c:bubble3D val="0"/>
            <c:spPr>
              <a:solidFill>
                <a:schemeClr val="bg2"/>
              </a:solidFill>
              <a:ln>
                <a:noFill/>
              </a:ln>
              <a:effectLst/>
            </c:spPr>
            <c:extLst>
              <c:ext xmlns:c16="http://schemas.microsoft.com/office/drawing/2014/chart" uri="{C3380CC4-5D6E-409C-BE32-E72D297353CC}">
                <c16:uniqueId val="{00000004-5408-4992-A31E-CEABC7380A6F}"/>
              </c:ext>
            </c:extLst>
          </c:dPt>
          <c:dPt>
            <c:idx val="4"/>
            <c:bubble3D val="0"/>
            <c:spPr>
              <a:solidFill>
                <a:schemeClr val="bg2"/>
              </a:solidFill>
              <a:ln>
                <a:solidFill>
                  <a:schemeClr val="bg2"/>
                </a:solidFill>
              </a:ln>
              <a:effectLst/>
            </c:spPr>
            <c:extLst>
              <c:ext xmlns:c16="http://schemas.microsoft.com/office/drawing/2014/chart" uri="{C3380CC4-5D6E-409C-BE32-E72D297353CC}">
                <c16:uniqueId val="{00000005-5408-4992-A31E-CEABC7380A6F}"/>
              </c:ext>
            </c:extLst>
          </c:dPt>
          <c:dPt>
            <c:idx val="5"/>
            <c:bubble3D val="0"/>
            <c:spPr>
              <a:solidFill>
                <a:schemeClr val="accent1">
                  <a:lumMod val="60000"/>
                  <a:lumOff val="40000"/>
                </a:schemeClr>
              </a:solidFill>
              <a:ln>
                <a:solidFill>
                  <a:schemeClr val="accent1"/>
                </a:solidFill>
              </a:ln>
              <a:effectLst/>
            </c:spPr>
            <c:extLst>
              <c:ext xmlns:c16="http://schemas.microsoft.com/office/drawing/2014/chart" uri="{C3380CC4-5D6E-409C-BE32-E72D297353CC}">
                <c16:uniqueId val="{00000006-5408-4992-A31E-CEABC7380A6F}"/>
              </c:ext>
            </c:extLst>
          </c:dPt>
          <c:dPt>
            <c:idx val="6"/>
            <c:bubble3D val="0"/>
            <c:spPr>
              <a:solidFill>
                <a:schemeClr val="accent1"/>
              </a:solidFill>
              <a:ln>
                <a:solidFill>
                  <a:schemeClr val="accent1"/>
                </a:solidFill>
              </a:ln>
              <a:effectLst/>
            </c:spPr>
            <c:extLst>
              <c:ext xmlns:c16="http://schemas.microsoft.com/office/drawing/2014/chart" uri="{C3380CC4-5D6E-409C-BE32-E72D297353CC}">
                <c16:uniqueId val="{00000007-5408-4992-A31E-CEABC7380A6F}"/>
              </c:ext>
            </c:extLst>
          </c:dPt>
          <c:dPt>
            <c:idx val="7"/>
            <c:bubble3D val="0"/>
            <c:spPr>
              <a:solidFill>
                <a:schemeClr val="accent1">
                  <a:lumMod val="20000"/>
                  <a:lumOff val="80000"/>
                </a:schemeClr>
              </a:solidFill>
              <a:ln>
                <a:solidFill>
                  <a:schemeClr val="accent1"/>
                </a:solidFill>
              </a:ln>
              <a:effectLst/>
            </c:spPr>
            <c:extLst>
              <c:ext xmlns:c16="http://schemas.microsoft.com/office/drawing/2014/chart" uri="{C3380CC4-5D6E-409C-BE32-E72D297353CC}">
                <c16:uniqueId val="{00000008-5408-4992-A31E-CEABC7380A6F}"/>
              </c:ext>
            </c:extLst>
          </c:dPt>
          <c:dLbls>
            <c:dLbl>
              <c:idx val="0"/>
              <c:layout>
                <c:manualLayout>
                  <c:x val="-0.52893518518518523"/>
                  <c:y val="0.23865860517435319"/>
                </c:manualLayout>
              </c:layout>
              <c:tx>
                <c:rich>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r>
                      <a:rPr lang="en-US"/>
                      <a:t>4. Differentiation</a:t>
                    </a:r>
                  </a:p>
                </c:rich>
              </c:tx>
              <c:spPr>
                <a:noFill/>
                <a:ln>
                  <a:noFill/>
                </a:ln>
                <a:effectLst/>
              </c:spPr>
              <c:txPr>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0.23363425925925926"/>
                      <c:h val="6.0337457817772777E-2"/>
                    </c:manualLayout>
                  </c15:layout>
                  <c15:showDataLabelsRange val="0"/>
                </c:ext>
                <c:ext xmlns:c16="http://schemas.microsoft.com/office/drawing/2014/chart" uri="{C3380CC4-5D6E-409C-BE32-E72D297353CC}">
                  <c16:uniqueId val="{00000001-5408-4992-A31E-CEABC7380A6F}"/>
                </c:ext>
              </c:extLst>
            </c:dLbl>
            <c:dLbl>
              <c:idx val="1"/>
              <c:layout>
                <c:manualLayout>
                  <c:x val="-0.22222222222222221"/>
                  <c:y val="0.25396825396825395"/>
                </c:manualLayout>
              </c:layout>
              <c:tx>
                <c:rich>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r>
                      <a:rPr lang="en-US"/>
                      <a:t>Not</a:t>
                    </a:r>
                    <a:r>
                      <a:rPr lang="en-US" baseline="0"/>
                      <a:t> Relevant for SHP 1-2; 6; 7-8. </a:t>
                    </a:r>
                    <a:endParaRPr lang="en-US"/>
                  </a:p>
                </c:rich>
              </c:tx>
              <c:spPr>
                <a:noFill/>
                <a:ln>
                  <a:noFill/>
                </a:ln>
                <a:effectLst/>
              </c:spPr>
              <c:txPr>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0.21249999999999999"/>
                      <c:h val="0.16250000000000001"/>
                    </c:manualLayout>
                  </c15:layout>
                  <c15:showDataLabelsRange val="0"/>
                </c:ext>
                <c:ext xmlns:c16="http://schemas.microsoft.com/office/drawing/2014/chart" uri="{C3380CC4-5D6E-409C-BE32-E72D297353CC}">
                  <c16:uniqueId val="{00000002-5408-4992-A31E-CEABC7380A6F}"/>
                </c:ext>
              </c:extLst>
            </c:dLbl>
            <c:dLbl>
              <c:idx val="2"/>
              <c:delete val="1"/>
              <c:extLst>
                <c:ext xmlns:c15="http://schemas.microsoft.com/office/drawing/2012/chart" uri="{CE6537A1-D6FC-4f65-9D91-7224C49458BB}"/>
                <c:ext xmlns:c16="http://schemas.microsoft.com/office/drawing/2014/chart" uri="{C3380CC4-5D6E-409C-BE32-E72D297353CC}">
                  <c16:uniqueId val="{00000003-5408-4992-A31E-CEABC7380A6F}"/>
                </c:ext>
              </c:extLst>
            </c:dLbl>
            <c:dLbl>
              <c:idx val="3"/>
              <c:delete val="1"/>
              <c:extLst>
                <c:ext xmlns:c15="http://schemas.microsoft.com/office/drawing/2012/chart" uri="{CE6537A1-D6FC-4f65-9D91-7224C49458BB}"/>
                <c:ext xmlns:c16="http://schemas.microsoft.com/office/drawing/2014/chart" uri="{C3380CC4-5D6E-409C-BE32-E72D297353CC}">
                  <c16:uniqueId val="{00000004-5408-4992-A31E-CEABC7380A6F}"/>
                </c:ext>
              </c:extLst>
            </c:dLbl>
            <c:dLbl>
              <c:idx val="4"/>
              <c:delete val="1"/>
              <c:extLst>
                <c:ext xmlns:c15="http://schemas.microsoft.com/office/drawing/2012/chart" uri="{CE6537A1-D6FC-4f65-9D91-7224C49458BB}"/>
                <c:ext xmlns:c16="http://schemas.microsoft.com/office/drawing/2014/chart" uri="{C3380CC4-5D6E-409C-BE32-E72D297353CC}">
                  <c16:uniqueId val="{00000005-5408-4992-A31E-CEABC7380A6F}"/>
                </c:ext>
              </c:extLst>
            </c:dLbl>
            <c:dLbl>
              <c:idx val="5"/>
              <c:delete val="1"/>
              <c:extLst>
                <c:ext xmlns:c15="http://schemas.microsoft.com/office/drawing/2012/chart" uri="{CE6537A1-D6FC-4f65-9D91-7224C49458BB}">
                  <c15:layout>
                    <c:manualLayout>
                      <c:w val="0.24541666666666667"/>
                      <c:h val="0.13869047619047617"/>
                    </c:manualLayout>
                  </c15:layout>
                </c:ext>
                <c:ext xmlns:c16="http://schemas.microsoft.com/office/drawing/2014/chart" uri="{C3380CC4-5D6E-409C-BE32-E72D297353CC}">
                  <c16:uniqueId val="{00000006-5408-4992-A31E-CEABC7380A6F}"/>
                </c:ext>
              </c:extLst>
            </c:dLbl>
            <c:dLbl>
              <c:idx val="6"/>
              <c:layout>
                <c:manualLayout>
                  <c:x val="0.11689823928258967"/>
                  <c:y val="-0.23015857392825897"/>
                </c:manualLayout>
              </c:layout>
              <c:tx>
                <c:rich>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r>
                      <a:rPr lang="en-US"/>
                      <a:t>5.</a:t>
                    </a:r>
                    <a:r>
                      <a:rPr lang="en-US" baseline="0"/>
                      <a:t> Focused Differentiation</a:t>
                    </a:r>
                    <a:endParaRPr lang="en-US"/>
                  </a:p>
                </c:rich>
              </c:tx>
              <c:spPr>
                <a:noFill/>
                <a:ln>
                  <a:noFill/>
                </a:ln>
                <a:effectLst/>
              </c:spPr>
              <c:txPr>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0.34159722222222216"/>
                      <c:h val="0.11230158730158728"/>
                    </c:manualLayout>
                  </c15:layout>
                  <c15:showDataLabelsRange val="0"/>
                </c:ext>
                <c:ext xmlns:c16="http://schemas.microsoft.com/office/drawing/2014/chart" uri="{C3380CC4-5D6E-409C-BE32-E72D297353CC}">
                  <c16:uniqueId val="{00000007-5408-4992-A31E-CEABC7380A6F}"/>
                </c:ext>
              </c:extLst>
            </c:dLbl>
            <c:dLbl>
              <c:idx val="7"/>
              <c:layout>
                <c:manualLayout>
                  <c:x val="-0.125"/>
                  <c:y val="0.58730158730158732"/>
                </c:manualLayout>
              </c:layout>
              <c:tx>
                <c:rich>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r>
                      <a:rPr lang="en-US"/>
                      <a:t>3.</a:t>
                    </a:r>
                    <a:r>
                      <a:rPr lang="en-US" baseline="0"/>
                      <a:t> Hybrid</a:t>
                    </a:r>
                    <a:endParaRPr lang="en-US"/>
                  </a:p>
                </c:rich>
              </c:tx>
              <c:spPr>
                <a:noFill/>
                <a:ln>
                  <a:noFill/>
                </a:ln>
                <a:effectLst/>
              </c:spPr>
              <c:txPr>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5408-4992-A31E-CEABC7380A6F}"/>
                </c:ext>
              </c:extLst>
            </c:dLbl>
            <c:spPr>
              <a:noFill/>
              <a:ln>
                <a:noFill/>
              </a:ln>
              <a:effectLst/>
            </c:spPr>
            <c:txPr>
              <a:bodyPr rot="0" spcFirstLastPara="1" vertOverflow="ellipsis" vert="horz" wrap="square" anchor="ctr" anchorCtr="1"/>
              <a:lstStyle/>
              <a:p>
                <a:pPr>
                  <a:defRPr sz="1100" b="1" i="0" u="none" strike="noStrike" kern="1200" spc="0" baseline="0">
                    <a:solidFill>
                      <a:schemeClr val="accent1">
                        <a:lumMod val="75000"/>
                      </a:schemeClr>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0"/>
            <c:showBubbleSize val="0"/>
            <c:showLeaderLines val="0"/>
            <c:extLst>
              <c:ext xmlns:c15="http://schemas.microsoft.com/office/drawing/2012/chart" uri="{CE6537A1-D6FC-4f65-9D91-7224C49458BB}"/>
            </c:extLst>
          </c:dLbls>
          <c:cat>
            <c:numRef>
              <c:f>Sheet1!$A$2:$A$9</c:f>
              <c:numCache>
                <c:formatCode>General</c:formatCode>
                <c:ptCount val="8"/>
                <c:pt idx="0">
                  <c:v>1</c:v>
                </c:pt>
                <c:pt idx="1">
                  <c:v>2</c:v>
                </c:pt>
                <c:pt idx="2">
                  <c:v>3</c:v>
                </c:pt>
                <c:pt idx="3">
                  <c:v>4</c:v>
                </c:pt>
                <c:pt idx="4">
                  <c:v>5</c:v>
                </c:pt>
                <c:pt idx="5">
                  <c:v>6</c:v>
                </c:pt>
                <c:pt idx="6">
                  <c:v>7</c:v>
                </c:pt>
                <c:pt idx="7">
                  <c:v>8</c:v>
                </c:pt>
              </c:numCache>
            </c:numRef>
          </c:cat>
          <c:val>
            <c:numRef>
              <c:f>Sheet1!$B$2:$B$9</c:f>
              <c:numCache>
                <c:formatCode>General</c:formatCode>
                <c:ptCount val="8"/>
                <c:pt idx="0">
                  <c:v>1</c:v>
                </c:pt>
                <c:pt idx="1">
                  <c:v>1</c:v>
                </c:pt>
                <c:pt idx="2">
                  <c:v>1</c:v>
                </c:pt>
                <c:pt idx="3">
                  <c:v>1</c:v>
                </c:pt>
                <c:pt idx="4">
                  <c:v>1</c:v>
                </c:pt>
                <c:pt idx="5">
                  <c:v>1</c:v>
                </c:pt>
                <c:pt idx="6">
                  <c:v>1</c:v>
                </c:pt>
                <c:pt idx="7">
                  <c:v>1</c:v>
                </c:pt>
              </c:numCache>
            </c:numRef>
          </c:val>
          <c:extLst>
            <c:ext xmlns:c16="http://schemas.microsoft.com/office/drawing/2014/chart" uri="{C3380CC4-5D6E-409C-BE32-E72D297353CC}">
              <c16:uniqueId val="{00000000-5408-4992-A31E-CEABC7380A6F}"/>
            </c:ext>
          </c:extLst>
        </c:ser>
        <c:dLbls>
          <c:dLblPos val="outEnd"/>
          <c:showLegendKey val="0"/>
          <c:showVal val="0"/>
          <c:showCatName val="1"/>
          <c:showSerName val="0"/>
          <c:showPercent val="0"/>
          <c:showBubbleSize val="0"/>
          <c:showLeaderLines val="0"/>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bg1"/>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E3EA35-2150-40E6-BE7A-BF0001FC1C8B}"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0EEAEA2E-45BC-4BDF-90F2-F21E8747DD1C}">
      <dgm:prSet phldrT="[Text]" custT="1"/>
      <dgm:spPr>
        <a:solidFill>
          <a:schemeClr val="tx2">
            <a:lumMod val="10000"/>
            <a:lumOff val="90000"/>
          </a:schemeClr>
        </a:solidFill>
        <a:ln>
          <a:solidFill>
            <a:schemeClr val="accent1"/>
          </a:solidFill>
        </a:ln>
      </dgm:spPr>
      <dgm:t>
        <a:bodyPr/>
        <a:lstStyle/>
        <a:p>
          <a:pPr algn="ctr"/>
          <a:r>
            <a:rPr lang="en-GB" sz="1400" b="1">
              <a:solidFill>
                <a:schemeClr val="accent1">
                  <a:lumMod val="75000"/>
                </a:schemeClr>
              </a:solidFill>
              <a:latin typeface="Arial" panose="020B0604020202020204" pitchFamily="34" charset="0"/>
              <a:cs typeface="Arial" panose="020B0604020202020204" pitchFamily="34" charset="0"/>
            </a:rPr>
            <a:t>Monitor:</a:t>
          </a:r>
        </a:p>
        <a:p>
          <a:pPr algn="ctr"/>
          <a:r>
            <a:rPr lang="en-GB" sz="1100" b="0">
              <a:solidFill>
                <a:sysClr val="windowText" lastClr="000000"/>
              </a:solidFill>
              <a:latin typeface="Arial" panose="020B0604020202020204" pitchFamily="34" charset="0"/>
              <a:cs typeface="Arial" panose="020B0604020202020204" pitchFamily="34" charset="0"/>
            </a:rPr>
            <a:t>Wider public &amp; businesse</a:t>
          </a:r>
        </a:p>
        <a:p>
          <a:pPr algn="ctr"/>
          <a:endParaRPr lang="en-GB" sz="1100" b="1">
            <a:solidFill>
              <a:sysClr val="windowText" lastClr="000000"/>
            </a:solidFill>
            <a:latin typeface="Arial" panose="020B0604020202020204" pitchFamily="34" charset="0"/>
            <a:cs typeface="Arial" panose="020B0604020202020204" pitchFamily="34" charset="0"/>
          </a:endParaRPr>
        </a:p>
        <a:p>
          <a:pPr algn="ctr"/>
          <a:endParaRPr lang="en-GB" sz="1100" b="1">
            <a:solidFill>
              <a:sysClr val="windowText" lastClr="000000"/>
            </a:solidFill>
            <a:latin typeface="Arial" panose="020B0604020202020204" pitchFamily="34" charset="0"/>
            <a:cs typeface="Arial" panose="020B0604020202020204" pitchFamily="34" charset="0"/>
          </a:endParaRPr>
        </a:p>
      </dgm:t>
    </dgm:pt>
    <dgm:pt modelId="{A777D9DF-6115-492C-9C89-5CCA8594A2E9}" type="parTrans" cxnId="{B1AF5E0C-41DD-4D17-ABA1-CD47A3FA4B8C}">
      <dgm:prSet/>
      <dgm:spPr/>
      <dgm:t>
        <a:bodyPr/>
        <a:lstStyle/>
        <a:p>
          <a:pPr algn="l"/>
          <a:endParaRPr lang="en-GB" sz="1050">
            <a:latin typeface="Arial" panose="020B0604020202020204" pitchFamily="34" charset="0"/>
            <a:cs typeface="Arial" panose="020B0604020202020204" pitchFamily="34" charset="0"/>
          </a:endParaRPr>
        </a:p>
      </dgm:t>
    </dgm:pt>
    <dgm:pt modelId="{042D5FAC-24A1-4878-BB81-AF147A97CFE5}" type="sibTrans" cxnId="{B1AF5E0C-41DD-4D17-ABA1-CD47A3FA4B8C}">
      <dgm:prSet/>
      <dgm:spPr/>
      <dgm:t>
        <a:bodyPr/>
        <a:lstStyle/>
        <a:p>
          <a:pPr algn="l"/>
          <a:endParaRPr lang="en-GB" sz="1050">
            <a:latin typeface="Arial" panose="020B0604020202020204" pitchFamily="34" charset="0"/>
            <a:cs typeface="Arial" panose="020B0604020202020204" pitchFamily="34" charset="0"/>
          </a:endParaRPr>
        </a:p>
      </dgm:t>
    </dgm:pt>
    <dgm:pt modelId="{93A08F9A-01E3-4CF2-83D6-47E497B45941}">
      <dgm:prSet phldrT="[Text]" custT="1"/>
      <dgm:spPr>
        <a:solidFill>
          <a:schemeClr val="tx2">
            <a:lumMod val="10000"/>
            <a:lumOff val="90000"/>
          </a:schemeClr>
        </a:solidFill>
        <a:ln>
          <a:solidFill>
            <a:schemeClr val="accent1"/>
          </a:solidFill>
        </a:ln>
      </dgm:spPr>
      <dgm:t>
        <a:bodyPr/>
        <a:lstStyle/>
        <a:p>
          <a:pPr algn="ctr"/>
          <a:r>
            <a:rPr lang="en-GB" sz="1400" b="1">
              <a:solidFill>
                <a:schemeClr val="accent1">
                  <a:lumMod val="75000"/>
                </a:schemeClr>
              </a:solidFill>
              <a:latin typeface="Arial" panose="020B0604020202020204" pitchFamily="34" charset="0"/>
              <a:cs typeface="Arial" panose="020B0604020202020204" pitchFamily="34" charset="0"/>
            </a:rPr>
            <a:t>Keep informed:</a:t>
          </a:r>
          <a:endParaRPr lang="en-GB" sz="1050" b="1">
            <a:solidFill>
              <a:schemeClr val="accent1">
                <a:lumMod val="75000"/>
              </a:schemeClr>
            </a:solidFill>
            <a:latin typeface="Arial" panose="020B0604020202020204" pitchFamily="34" charset="0"/>
            <a:cs typeface="Arial" panose="020B0604020202020204" pitchFamily="34" charset="0"/>
          </a:endParaRPr>
        </a:p>
        <a:p>
          <a:pPr algn="ctr"/>
          <a:r>
            <a:rPr lang="en-GB" sz="1100" b="0">
              <a:solidFill>
                <a:sysClr val="windowText" lastClr="000000"/>
              </a:solidFill>
              <a:latin typeface="Arial" panose="020B0604020202020204" pitchFamily="34" charset="0"/>
              <a:cs typeface="Arial" panose="020B0604020202020204" pitchFamily="34" charset="0"/>
            </a:rPr>
            <a:t>Tenants, residents and community associations</a:t>
          </a:r>
          <a:endParaRPr lang="en-GB" sz="1100" b="1">
            <a:solidFill>
              <a:sysClr val="windowText" lastClr="000000"/>
            </a:solidFill>
            <a:latin typeface="Arial" panose="020B0604020202020204" pitchFamily="34" charset="0"/>
            <a:cs typeface="Arial" panose="020B0604020202020204" pitchFamily="34" charset="0"/>
          </a:endParaRPr>
        </a:p>
        <a:p>
          <a:pPr algn="ctr"/>
          <a:endParaRPr lang="en-GB" sz="1100" b="1">
            <a:solidFill>
              <a:sysClr val="windowText" lastClr="000000"/>
            </a:solidFill>
            <a:latin typeface="Arial" panose="020B0604020202020204" pitchFamily="34" charset="0"/>
            <a:cs typeface="Arial" panose="020B0604020202020204" pitchFamily="34" charset="0"/>
          </a:endParaRPr>
        </a:p>
      </dgm:t>
    </dgm:pt>
    <dgm:pt modelId="{D0722EB9-F452-44EA-81F5-0750E1A5766A}" type="parTrans" cxnId="{35749AC9-CDD7-4A32-AB6E-025D56BEE73B}">
      <dgm:prSet/>
      <dgm:spPr/>
      <dgm:t>
        <a:bodyPr/>
        <a:lstStyle/>
        <a:p>
          <a:pPr algn="l"/>
          <a:endParaRPr lang="en-GB" sz="1050">
            <a:latin typeface="Arial" panose="020B0604020202020204" pitchFamily="34" charset="0"/>
            <a:cs typeface="Arial" panose="020B0604020202020204" pitchFamily="34" charset="0"/>
          </a:endParaRPr>
        </a:p>
      </dgm:t>
    </dgm:pt>
    <dgm:pt modelId="{B577EA4F-0789-442C-B15D-1A4FD5996E95}" type="sibTrans" cxnId="{35749AC9-CDD7-4A32-AB6E-025D56BEE73B}">
      <dgm:prSet/>
      <dgm:spPr/>
      <dgm:t>
        <a:bodyPr/>
        <a:lstStyle/>
        <a:p>
          <a:pPr algn="l"/>
          <a:endParaRPr lang="en-GB" sz="1050">
            <a:latin typeface="Arial" panose="020B0604020202020204" pitchFamily="34" charset="0"/>
            <a:cs typeface="Arial" panose="020B0604020202020204" pitchFamily="34" charset="0"/>
          </a:endParaRPr>
        </a:p>
      </dgm:t>
    </dgm:pt>
    <dgm:pt modelId="{A36021E0-3C46-49ED-8780-78EF066A520D}">
      <dgm:prSet phldrT="[Text]" custT="1"/>
      <dgm:spPr>
        <a:solidFill>
          <a:schemeClr val="tx2">
            <a:lumMod val="10000"/>
            <a:lumOff val="90000"/>
          </a:schemeClr>
        </a:solidFill>
        <a:ln>
          <a:solidFill>
            <a:schemeClr val="accent1"/>
          </a:solidFill>
        </a:ln>
      </dgm:spPr>
      <dgm:t>
        <a:bodyPr/>
        <a:lstStyle/>
        <a:p>
          <a:pPr algn="ctr"/>
          <a:endParaRPr lang="en-GB" sz="1400" b="1">
            <a:solidFill>
              <a:schemeClr val="accent1">
                <a:lumMod val="75000"/>
              </a:schemeClr>
            </a:solidFill>
            <a:latin typeface="Arial" panose="020B0604020202020204" pitchFamily="34" charset="0"/>
            <a:cs typeface="Arial" panose="020B0604020202020204" pitchFamily="34" charset="0"/>
          </a:endParaRPr>
        </a:p>
        <a:p>
          <a:pPr algn="ctr"/>
          <a:r>
            <a:rPr lang="en-GB" sz="1400" b="1">
              <a:solidFill>
                <a:schemeClr val="accent1">
                  <a:lumMod val="75000"/>
                </a:schemeClr>
              </a:solidFill>
              <a:latin typeface="Arial" panose="020B0604020202020204" pitchFamily="34" charset="0"/>
              <a:cs typeface="Arial" panose="020B0604020202020204" pitchFamily="34" charset="0"/>
            </a:rPr>
            <a:t>Keep satisfied:</a:t>
          </a:r>
          <a:endParaRPr lang="en-GB" sz="1100" b="1">
            <a:solidFill>
              <a:schemeClr val="accent1">
                <a:lumMod val="75000"/>
              </a:schemeClr>
            </a:solidFill>
            <a:latin typeface="Arial" panose="020B0604020202020204" pitchFamily="34" charset="0"/>
            <a:cs typeface="Arial" panose="020B0604020202020204" pitchFamily="34" charset="0"/>
          </a:endParaRPr>
        </a:p>
        <a:p>
          <a:pPr algn="ctr"/>
          <a:r>
            <a:rPr lang="en-GB" sz="1100" b="0">
              <a:solidFill>
                <a:sysClr val="windowText" lastClr="000000"/>
              </a:solidFill>
              <a:latin typeface="Arial" panose="020B0604020202020204" pitchFamily="34" charset="0"/>
              <a:cs typeface="Arial" panose="020B0604020202020204" pitchFamily="34" charset="0"/>
            </a:rPr>
            <a:t>Government funding bodies</a:t>
          </a:r>
        </a:p>
        <a:p>
          <a:pPr algn="ctr"/>
          <a:r>
            <a:rPr lang="en-GB" sz="1100" b="0">
              <a:solidFill>
                <a:sysClr val="windowText" lastClr="000000"/>
              </a:solidFill>
              <a:latin typeface="Arial" panose="020B0604020202020204" pitchFamily="34" charset="0"/>
              <a:cs typeface="Arial" panose="020B0604020202020204" pitchFamily="34" charset="0"/>
            </a:rPr>
            <a:t>Health &amp; Safety regulators</a:t>
          </a:r>
        </a:p>
        <a:p>
          <a:pPr algn="ctr"/>
          <a:endParaRPr lang="en-GB" sz="1100" b="0">
            <a:solidFill>
              <a:sysClr val="windowText" lastClr="000000"/>
            </a:solidFill>
            <a:latin typeface="Arial" panose="020B0604020202020204" pitchFamily="34" charset="0"/>
            <a:cs typeface="Arial" panose="020B0604020202020204" pitchFamily="34" charset="0"/>
          </a:endParaRPr>
        </a:p>
        <a:p>
          <a:pPr algn="ctr"/>
          <a:endParaRPr lang="en-GB" sz="1100" b="1">
            <a:solidFill>
              <a:sysClr val="windowText" lastClr="000000"/>
            </a:solidFill>
            <a:latin typeface="Arial" panose="020B0604020202020204" pitchFamily="34" charset="0"/>
            <a:cs typeface="Arial" panose="020B0604020202020204" pitchFamily="34" charset="0"/>
          </a:endParaRPr>
        </a:p>
        <a:p>
          <a:pPr algn="ctr"/>
          <a:r>
            <a:rPr lang="en-GB" sz="1100" b="1">
              <a:solidFill>
                <a:sysClr val="windowText" lastClr="000000"/>
              </a:solidFill>
              <a:latin typeface="Arial" panose="020B0604020202020204" pitchFamily="34" charset="0"/>
              <a:cs typeface="Arial" panose="020B0604020202020204" pitchFamily="34" charset="0"/>
            </a:rPr>
            <a:t> </a:t>
          </a:r>
        </a:p>
      </dgm:t>
    </dgm:pt>
    <dgm:pt modelId="{0E76153D-01DE-4CD6-8664-72BABCD52FB5}" type="parTrans" cxnId="{981B9690-EC38-46DC-9AC1-6990ECA9A0A1}">
      <dgm:prSet/>
      <dgm:spPr/>
      <dgm:t>
        <a:bodyPr/>
        <a:lstStyle/>
        <a:p>
          <a:pPr algn="l"/>
          <a:endParaRPr lang="en-GB" sz="1050">
            <a:latin typeface="Arial" panose="020B0604020202020204" pitchFamily="34" charset="0"/>
            <a:cs typeface="Arial" panose="020B0604020202020204" pitchFamily="34" charset="0"/>
          </a:endParaRPr>
        </a:p>
      </dgm:t>
    </dgm:pt>
    <dgm:pt modelId="{D9C75421-839A-4DED-A1C7-15F950189368}" type="sibTrans" cxnId="{981B9690-EC38-46DC-9AC1-6990ECA9A0A1}">
      <dgm:prSet/>
      <dgm:spPr/>
      <dgm:t>
        <a:bodyPr/>
        <a:lstStyle/>
        <a:p>
          <a:pPr algn="l"/>
          <a:endParaRPr lang="en-GB" sz="1050">
            <a:latin typeface="Arial" panose="020B0604020202020204" pitchFamily="34" charset="0"/>
            <a:cs typeface="Arial" panose="020B0604020202020204" pitchFamily="34" charset="0"/>
          </a:endParaRPr>
        </a:p>
      </dgm:t>
    </dgm:pt>
    <dgm:pt modelId="{73D5CA76-C82F-4617-B692-EC6AB38354E1}">
      <dgm:prSet phldrT="[Text]" custT="1"/>
      <dgm:spPr>
        <a:solidFill>
          <a:schemeClr val="tx2">
            <a:lumMod val="10000"/>
            <a:lumOff val="90000"/>
          </a:schemeClr>
        </a:solidFill>
        <a:ln>
          <a:solidFill>
            <a:schemeClr val="accent1"/>
          </a:solidFill>
        </a:ln>
      </dgm:spPr>
      <dgm:t>
        <a:bodyPr/>
        <a:lstStyle/>
        <a:p>
          <a:pPr algn="ctr"/>
          <a:endParaRPr lang="en-GB" sz="1400" b="1">
            <a:solidFill>
              <a:schemeClr val="accent1">
                <a:lumMod val="75000"/>
              </a:schemeClr>
            </a:solidFill>
            <a:latin typeface="Arial" panose="020B0604020202020204" pitchFamily="34" charset="0"/>
            <a:cs typeface="Arial" panose="020B0604020202020204" pitchFamily="34" charset="0"/>
          </a:endParaRPr>
        </a:p>
        <a:p>
          <a:pPr algn="ctr"/>
          <a:r>
            <a:rPr lang="en-GB" sz="1400" b="1">
              <a:solidFill>
                <a:schemeClr val="accent1">
                  <a:lumMod val="75000"/>
                </a:schemeClr>
              </a:solidFill>
              <a:latin typeface="Arial" panose="020B0604020202020204" pitchFamily="34" charset="0"/>
              <a:cs typeface="Arial" panose="020B0604020202020204" pitchFamily="34" charset="0"/>
            </a:rPr>
            <a:t>Manage Closely:</a:t>
          </a:r>
          <a:endParaRPr lang="en-GB" sz="1100" b="0">
            <a:solidFill>
              <a:sysClr val="windowText" lastClr="000000"/>
            </a:solidFill>
            <a:latin typeface="Arial" panose="020B0604020202020204" pitchFamily="34" charset="0"/>
            <a:cs typeface="Arial" panose="020B0604020202020204" pitchFamily="34" charset="0"/>
          </a:endParaRPr>
        </a:p>
        <a:p>
          <a:pPr algn="ctr"/>
          <a:r>
            <a:rPr lang="en-GB" sz="1100" b="0">
              <a:solidFill>
                <a:sysClr val="windowText" lastClr="000000"/>
              </a:solidFill>
              <a:latin typeface="Arial" panose="020B0604020202020204" pitchFamily="34" charset="0"/>
              <a:cs typeface="Arial" panose="020B0604020202020204" pitchFamily="34" charset="0"/>
            </a:rPr>
            <a:t>London Borough of Sutton </a:t>
          </a:r>
        </a:p>
        <a:p>
          <a:pPr algn="ctr"/>
          <a:r>
            <a:rPr lang="en-GB" sz="1100" b="0">
              <a:solidFill>
                <a:sysClr val="windowText" lastClr="000000"/>
              </a:solidFill>
              <a:latin typeface="Arial" panose="020B0604020202020204" pitchFamily="34" charset="0"/>
              <a:cs typeface="Arial" panose="020B0604020202020204" pitchFamily="34" charset="0"/>
            </a:rPr>
            <a:t>Regulator of Social Housing </a:t>
          </a:r>
        </a:p>
        <a:p>
          <a:pPr algn="ctr"/>
          <a:r>
            <a:rPr lang="en-GB" sz="1100" b="0">
              <a:solidFill>
                <a:sysClr val="windowText" lastClr="000000"/>
              </a:solidFill>
              <a:latin typeface="Arial" panose="020B0604020202020204" pitchFamily="34" charset="0"/>
              <a:cs typeface="Arial" panose="020B0604020202020204" pitchFamily="34" charset="0"/>
            </a:rPr>
            <a:t>SHP Board</a:t>
          </a:r>
        </a:p>
        <a:p>
          <a:pPr algn="ctr"/>
          <a:endParaRPr lang="en-GB" sz="1100" b="0">
            <a:solidFill>
              <a:sysClr val="windowText" lastClr="000000"/>
            </a:solidFill>
            <a:latin typeface="Arial" panose="020B0604020202020204" pitchFamily="34" charset="0"/>
            <a:cs typeface="Arial" panose="020B0604020202020204" pitchFamily="34" charset="0"/>
          </a:endParaRPr>
        </a:p>
        <a:p>
          <a:pPr algn="ctr"/>
          <a:endParaRPr lang="en-GB" sz="1100" b="0">
            <a:solidFill>
              <a:sysClr val="windowText" lastClr="000000"/>
            </a:solidFill>
            <a:latin typeface="Arial" panose="020B0604020202020204" pitchFamily="34" charset="0"/>
            <a:cs typeface="Arial" panose="020B0604020202020204" pitchFamily="34" charset="0"/>
          </a:endParaRPr>
        </a:p>
      </dgm:t>
    </dgm:pt>
    <dgm:pt modelId="{488CC7A9-6853-4E8B-BF96-E56C272CD12C}" type="parTrans" cxnId="{F8FE34AA-235F-4110-B035-8135F7245008}">
      <dgm:prSet/>
      <dgm:spPr/>
      <dgm:t>
        <a:bodyPr/>
        <a:lstStyle/>
        <a:p>
          <a:pPr algn="l"/>
          <a:endParaRPr lang="en-GB" sz="1050">
            <a:latin typeface="Arial" panose="020B0604020202020204" pitchFamily="34" charset="0"/>
            <a:cs typeface="Arial" panose="020B0604020202020204" pitchFamily="34" charset="0"/>
          </a:endParaRPr>
        </a:p>
      </dgm:t>
    </dgm:pt>
    <dgm:pt modelId="{E35429D7-AE14-4F44-9846-5DEDA7CC51C5}" type="sibTrans" cxnId="{F8FE34AA-235F-4110-B035-8135F7245008}">
      <dgm:prSet/>
      <dgm:spPr/>
      <dgm:t>
        <a:bodyPr/>
        <a:lstStyle/>
        <a:p>
          <a:pPr algn="l"/>
          <a:endParaRPr lang="en-GB" sz="1050">
            <a:latin typeface="Arial" panose="020B0604020202020204" pitchFamily="34" charset="0"/>
            <a:cs typeface="Arial" panose="020B0604020202020204" pitchFamily="34" charset="0"/>
          </a:endParaRPr>
        </a:p>
      </dgm:t>
    </dgm:pt>
    <dgm:pt modelId="{24B7CF25-0259-4AD0-9D36-5867F5D332C8}" type="pres">
      <dgm:prSet presAssocID="{1FE3EA35-2150-40E6-BE7A-BF0001FC1C8B}" presName="diagram" presStyleCnt="0">
        <dgm:presLayoutVars>
          <dgm:dir/>
          <dgm:resizeHandles val="exact"/>
        </dgm:presLayoutVars>
      </dgm:prSet>
      <dgm:spPr/>
    </dgm:pt>
    <dgm:pt modelId="{872F252C-F4A7-49EC-84A5-E4C91288C587}" type="pres">
      <dgm:prSet presAssocID="{0EEAEA2E-45BC-4BDF-90F2-F21E8747DD1C}" presName="node" presStyleLbl="node1" presStyleIdx="0" presStyleCnt="4" custLinFactNeighborX="10226" custLinFactNeighborY="-115">
        <dgm:presLayoutVars>
          <dgm:bulletEnabled val="1"/>
        </dgm:presLayoutVars>
      </dgm:prSet>
      <dgm:spPr/>
    </dgm:pt>
    <dgm:pt modelId="{478F57C7-CB34-4F66-91B3-EEAB9BB4DD53}" type="pres">
      <dgm:prSet presAssocID="{042D5FAC-24A1-4878-BB81-AF147A97CFE5}" presName="sibTrans" presStyleCnt="0"/>
      <dgm:spPr/>
    </dgm:pt>
    <dgm:pt modelId="{9D102A3C-EB96-4CC7-ACE3-74EC48A692C1}" type="pres">
      <dgm:prSet presAssocID="{93A08F9A-01E3-4CF2-83D6-47E497B45941}" presName="node" presStyleLbl="node1" presStyleIdx="1" presStyleCnt="4">
        <dgm:presLayoutVars>
          <dgm:bulletEnabled val="1"/>
        </dgm:presLayoutVars>
      </dgm:prSet>
      <dgm:spPr/>
    </dgm:pt>
    <dgm:pt modelId="{2B7F413F-306B-457D-B222-3A6283F9C39D}" type="pres">
      <dgm:prSet presAssocID="{B577EA4F-0789-442C-B15D-1A4FD5996E95}" presName="sibTrans" presStyleCnt="0"/>
      <dgm:spPr/>
    </dgm:pt>
    <dgm:pt modelId="{1DA3EDBD-715F-4429-8886-E0BBB7672313}" type="pres">
      <dgm:prSet presAssocID="{A36021E0-3C46-49ED-8780-78EF066A520D}" presName="node" presStyleLbl="node1" presStyleIdx="2" presStyleCnt="4" custLinFactNeighborX="10225" custLinFactNeighborY="-16525">
        <dgm:presLayoutVars>
          <dgm:bulletEnabled val="1"/>
        </dgm:presLayoutVars>
      </dgm:prSet>
      <dgm:spPr/>
    </dgm:pt>
    <dgm:pt modelId="{9188A240-30BF-4869-9F75-4825EF5E8E19}" type="pres">
      <dgm:prSet presAssocID="{D9C75421-839A-4DED-A1C7-15F950189368}" presName="sibTrans" presStyleCnt="0"/>
      <dgm:spPr/>
    </dgm:pt>
    <dgm:pt modelId="{1B76417B-71A5-4055-A3A3-1EC9AF0E301F}" type="pres">
      <dgm:prSet presAssocID="{73D5CA76-C82F-4617-B692-EC6AB38354E1}" presName="node" presStyleLbl="node1" presStyleIdx="3" presStyleCnt="4" custLinFactNeighborY="-16525">
        <dgm:presLayoutVars>
          <dgm:bulletEnabled val="1"/>
        </dgm:presLayoutVars>
      </dgm:prSet>
      <dgm:spPr/>
    </dgm:pt>
  </dgm:ptLst>
  <dgm:cxnLst>
    <dgm:cxn modelId="{9C56C20A-5E84-4951-8D6A-401134F83224}" type="presOf" srcId="{93A08F9A-01E3-4CF2-83D6-47E497B45941}" destId="{9D102A3C-EB96-4CC7-ACE3-74EC48A692C1}" srcOrd="0" destOrd="0" presId="urn:microsoft.com/office/officeart/2005/8/layout/default"/>
    <dgm:cxn modelId="{B1AF5E0C-41DD-4D17-ABA1-CD47A3FA4B8C}" srcId="{1FE3EA35-2150-40E6-BE7A-BF0001FC1C8B}" destId="{0EEAEA2E-45BC-4BDF-90F2-F21E8747DD1C}" srcOrd="0" destOrd="0" parTransId="{A777D9DF-6115-492C-9C89-5CCA8594A2E9}" sibTransId="{042D5FAC-24A1-4878-BB81-AF147A97CFE5}"/>
    <dgm:cxn modelId="{981B9690-EC38-46DC-9AC1-6990ECA9A0A1}" srcId="{1FE3EA35-2150-40E6-BE7A-BF0001FC1C8B}" destId="{A36021E0-3C46-49ED-8780-78EF066A520D}" srcOrd="2" destOrd="0" parTransId="{0E76153D-01DE-4CD6-8664-72BABCD52FB5}" sibTransId="{D9C75421-839A-4DED-A1C7-15F950189368}"/>
    <dgm:cxn modelId="{F7D2C899-3F96-4A89-BBDB-1B70E9111E13}" type="presOf" srcId="{1FE3EA35-2150-40E6-BE7A-BF0001FC1C8B}" destId="{24B7CF25-0259-4AD0-9D36-5867F5D332C8}" srcOrd="0" destOrd="0" presId="urn:microsoft.com/office/officeart/2005/8/layout/default"/>
    <dgm:cxn modelId="{2C45CA9B-4C5A-48A4-B2DC-D5D50BC993F4}" type="presOf" srcId="{A36021E0-3C46-49ED-8780-78EF066A520D}" destId="{1DA3EDBD-715F-4429-8886-E0BBB7672313}" srcOrd="0" destOrd="0" presId="urn:microsoft.com/office/officeart/2005/8/layout/default"/>
    <dgm:cxn modelId="{F8FE34AA-235F-4110-B035-8135F7245008}" srcId="{1FE3EA35-2150-40E6-BE7A-BF0001FC1C8B}" destId="{73D5CA76-C82F-4617-B692-EC6AB38354E1}" srcOrd="3" destOrd="0" parTransId="{488CC7A9-6853-4E8B-BF96-E56C272CD12C}" sibTransId="{E35429D7-AE14-4F44-9846-5DEDA7CC51C5}"/>
    <dgm:cxn modelId="{35749AC9-CDD7-4A32-AB6E-025D56BEE73B}" srcId="{1FE3EA35-2150-40E6-BE7A-BF0001FC1C8B}" destId="{93A08F9A-01E3-4CF2-83D6-47E497B45941}" srcOrd="1" destOrd="0" parTransId="{D0722EB9-F452-44EA-81F5-0750E1A5766A}" sibTransId="{B577EA4F-0789-442C-B15D-1A4FD5996E95}"/>
    <dgm:cxn modelId="{398C03DF-CC90-4845-AF48-76E80750D7DB}" type="presOf" srcId="{73D5CA76-C82F-4617-B692-EC6AB38354E1}" destId="{1B76417B-71A5-4055-A3A3-1EC9AF0E301F}" srcOrd="0" destOrd="0" presId="urn:microsoft.com/office/officeart/2005/8/layout/default"/>
    <dgm:cxn modelId="{9C1825E9-AF2C-49EB-8381-1FB9AFFFFDBC}" type="presOf" srcId="{0EEAEA2E-45BC-4BDF-90F2-F21E8747DD1C}" destId="{872F252C-F4A7-49EC-84A5-E4C91288C587}" srcOrd="0" destOrd="0" presId="urn:microsoft.com/office/officeart/2005/8/layout/default"/>
    <dgm:cxn modelId="{34A9E0B1-8FFA-46EE-83CD-7AC9CBB3C64F}" type="presParOf" srcId="{24B7CF25-0259-4AD0-9D36-5867F5D332C8}" destId="{872F252C-F4A7-49EC-84A5-E4C91288C587}" srcOrd="0" destOrd="0" presId="urn:microsoft.com/office/officeart/2005/8/layout/default"/>
    <dgm:cxn modelId="{6C46CBB8-5695-4E81-BF2B-6AB10EF84137}" type="presParOf" srcId="{24B7CF25-0259-4AD0-9D36-5867F5D332C8}" destId="{478F57C7-CB34-4F66-91B3-EEAB9BB4DD53}" srcOrd="1" destOrd="0" presId="urn:microsoft.com/office/officeart/2005/8/layout/default"/>
    <dgm:cxn modelId="{ACE215A4-4AFA-4422-ACB6-1A71BDFF0F13}" type="presParOf" srcId="{24B7CF25-0259-4AD0-9D36-5867F5D332C8}" destId="{9D102A3C-EB96-4CC7-ACE3-74EC48A692C1}" srcOrd="2" destOrd="0" presId="urn:microsoft.com/office/officeart/2005/8/layout/default"/>
    <dgm:cxn modelId="{F3CE65E3-7D8F-4EE2-BE40-5E7B05A424DE}" type="presParOf" srcId="{24B7CF25-0259-4AD0-9D36-5867F5D332C8}" destId="{2B7F413F-306B-457D-B222-3A6283F9C39D}" srcOrd="3" destOrd="0" presId="urn:microsoft.com/office/officeart/2005/8/layout/default"/>
    <dgm:cxn modelId="{26ECCC37-54E6-45D3-8B7B-C932D6B2420F}" type="presParOf" srcId="{24B7CF25-0259-4AD0-9D36-5867F5D332C8}" destId="{1DA3EDBD-715F-4429-8886-E0BBB7672313}" srcOrd="4" destOrd="0" presId="urn:microsoft.com/office/officeart/2005/8/layout/default"/>
    <dgm:cxn modelId="{4D2485F4-1382-4F8D-81F8-8051315C7978}" type="presParOf" srcId="{24B7CF25-0259-4AD0-9D36-5867F5D332C8}" destId="{9188A240-30BF-4869-9F75-4825EF5E8E19}" srcOrd="5" destOrd="0" presId="urn:microsoft.com/office/officeart/2005/8/layout/default"/>
    <dgm:cxn modelId="{3F106459-4E60-4876-A5EF-9C42A5DED656}" type="presParOf" srcId="{24B7CF25-0259-4AD0-9D36-5867F5D332C8}" destId="{1B76417B-71A5-4055-A3A3-1EC9AF0E301F}" srcOrd="6"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2F252C-F4A7-49EC-84A5-E4C91288C587}">
      <dsp:nvSpPr>
        <dsp:cNvPr id="0" name=""/>
        <dsp:cNvSpPr/>
      </dsp:nvSpPr>
      <dsp:spPr>
        <a:xfrm>
          <a:off x="897459" y="0"/>
          <a:ext cx="2031939" cy="1219163"/>
        </a:xfrm>
        <a:prstGeom prst="rect">
          <a:avLst/>
        </a:prstGeom>
        <a:solidFill>
          <a:schemeClr val="tx2">
            <a:lumMod val="10000"/>
            <a:lumOff val="90000"/>
          </a:schemeClr>
        </a:solidFill>
        <a:ln w="19050" cap="flat" cmpd="sng" algn="ctr">
          <a:solidFill>
            <a:schemeClr val="accent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accent1">
                  <a:lumMod val="75000"/>
                </a:schemeClr>
              </a:solidFill>
              <a:latin typeface="Arial" panose="020B0604020202020204" pitchFamily="34" charset="0"/>
              <a:cs typeface="Arial" panose="020B0604020202020204" pitchFamily="34" charset="0"/>
            </a:rPr>
            <a:t>Monitor:</a:t>
          </a: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Wider public &amp; businesse</a:t>
          </a:r>
        </a:p>
        <a:p>
          <a:pPr marL="0" lvl="0" indent="0" algn="ctr" defTabSz="622300">
            <a:lnSpc>
              <a:spcPct val="90000"/>
            </a:lnSpc>
            <a:spcBef>
              <a:spcPct val="0"/>
            </a:spcBef>
            <a:spcAft>
              <a:spcPct val="35000"/>
            </a:spcAft>
            <a:buNone/>
          </a:pPr>
          <a:endParaRPr lang="en-GB" sz="1100" b="1"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100" b="1" kern="1200">
            <a:solidFill>
              <a:sysClr val="windowText" lastClr="000000"/>
            </a:solidFill>
            <a:latin typeface="Arial" panose="020B0604020202020204" pitchFamily="34" charset="0"/>
            <a:cs typeface="Arial" panose="020B0604020202020204" pitchFamily="34" charset="0"/>
          </a:endParaRPr>
        </a:p>
      </dsp:txBody>
      <dsp:txXfrm>
        <a:off x="897459" y="0"/>
        <a:ext cx="2031939" cy="1219163"/>
      </dsp:txXfrm>
    </dsp:sp>
    <dsp:sp modelId="{9D102A3C-EB96-4CC7-ACE3-74EC48A692C1}">
      <dsp:nvSpPr>
        <dsp:cNvPr id="0" name=""/>
        <dsp:cNvSpPr/>
      </dsp:nvSpPr>
      <dsp:spPr>
        <a:xfrm>
          <a:off x="2924806" y="1309"/>
          <a:ext cx="2031939" cy="1219163"/>
        </a:xfrm>
        <a:prstGeom prst="rect">
          <a:avLst/>
        </a:prstGeom>
        <a:solidFill>
          <a:schemeClr val="tx2">
            <a:lumMod val="10000"/>
            <a:lumOff val="90000"/>
          </a:schemeClr>
        </a:solidFill>
        <a:ln w="19050" cap="flat" cmpd="sng" algn="ctr">
          <a:solidFill>
            <a:schemeClr val="accent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accent1">
                  <a:lumMod val="75000"/>
                </a:schemeClr>
              </a:solidFill>
              <a:latin typeface="Arial" panose="020B0604020202020204" pitchFamily="34" charset="0"/>
              <a:cs typeface="Arial" panose="020B0604020202020204" pitchFamily="34" charset="0"/>
            </a:rPr>
            <a:t>Keep informed:</a:t>
          </a:r>
          <a:endParaRPr lang="en-GB" sz="1050" b="1" kern="1200">
            <a:solidFill>
              <a:schemeClr val="accent1">
                <a:lumMod val="75000"/>
              </a:schemeClr>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Tenants, residents and community associations</a:t>
          </a:r>
          <a:endParaRPr lang="en-GB" sz="1100" b="1"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100" b="1" kern="1200">
            <a:solidFill>
              <a:sysClr val="windowText" lastClr="000000"/>
            </a:solidFill>
            <a:latin typeface="Arial" panose="020B0604020202020204" pitchFamily="34" charset="0"/>
            <a:cs typeface="Arial" panose="020B0604020202020204" pitchFamily="34" charset="0"/>
          </a:endParaRPr>
        </a:p>
      </dsp:txBody>
      <dsp:txXfrm>
        <a:off x="2924806" y="1309"/>
        <a:ext cx="2031939" cy="1219163"/>
      </dsp:txXfrm>
    </dsp:sp>
    <dsp:sp modelId="{1DA3EDBD-715F-4429-8886-E0BBB7672313}">
      <dsp:nvSpPr>
        <dsp:cNvPr id="0" name=""/>
        <dsp:cNvSpPr/>
      </dsp:nvSpPr>
      <dsp:spPr>
        <a:xfrm>
          <a:off x="897439" y="1222200"/>
          <a:ext cx="2031939" cy="1219163"/>
        </a:xfrm>
        <a:prstGeom prst="rect">
          <a:avLst/>
        </a:prstGeom>
        <a:solidFill>
          <a:schemeClr val="tx2">
            <a:lumMod val="10000"/>
            <a:lumOff val="90000"/>
          </a:schemeClr>
        </a:solidFill>
        <a:ln w="19050" cap="flat" cmpd="sng" algn="ctr">
          <a:solidFill>
            <a:schemeClr val="accent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endParaRPr lang="en-GB" sz="1400" b="1" kern="1200">
            <a:solidFill>
              <a:schemeClr val="accent1">
                <a:lumMod val="75000"/>
              </a:schemeClr>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400" b="1" kern="1200">
              <a:solidFill>
                <a:schemeClr val="accent1">
                  <a:lumMod val="75000"/>
                </a:schemeClr>
              </a:solidFill>
              <a:latin typeface="Arial" panose="020B0604020202020204" pitchFamily="34" charset="0"/>
              <a:cs typeface="Arial" panose="020B0604020202020204" pitchFamily="34" charset="0"/>
            </a:rPr>
            <a:t>Keep satisfied:</a:t>
          </a:r>
          <a:endParaRPr lang="en-GB" sz="1100" b="1" kern="1200">
            <a:solidFill>
              <a:schemeClr val="accent1">
                <a:lumMod val="75000"/>
              </a:schemeClr>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Government funding bodies</a:t>
          </a: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Health &amp; Safety regulators</a:t>
          </a:r>
        </a:p>
        <a:p>
          <a:pPr marL="0" lvl="0" indent="0" algn="ctr" defTabSz="622300">
            <a:lnSpc>
              <a:spcPct val="90000"/>
            </a:lnSpc>
            <a:spcBef>
              <a:spcPct val="0"/>
            </a:spcBef>
            <a:spcAft>
              <a:spcPct val="35000"/>
            </a:spcAft>
            <a:buNone/>
          </a:pPr>
          <a:endParaRPr lang="en-GB" sz="1100" b="0"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100" b="1"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100" b="1" kern="1200">
              <a:solidFill>
                <a:sysClr val="windowText" lastClr="000000"/>
              </a:solidFill>
              <a:latin typeface="Arial" panose="020B0604020202020204" pitchFamily="34" charset="0"/>
              <a:cs typeface="Arial" panose="020B0604020202020204" pitchFamily="34" charset="0"/>
            </a:rPr>
            <a:t> </a:t>
          </a:r>
        </a:p>
      </dsp:txBody>
      <dsp:txXfrm>
        <a:off x="897439" y="1222200"/>
        <a:ext cx="2031939" cy="1219163"/>
      </dsp:txXfrm>
    </dsp:sp>
    <dsp:sp modelId="{1B76417B-71A5-4055-A3A3-1EC9AF0E301F}">
      <dsp:nvSpPr>
        <dsp:cNvPr id="0" name=""/>
        <dsp:cNvSpPr/>
      </dsp:nvSpPr>
      <dsp:spPr>
        <a:xfrm>
          <a:off x="2924806" y="1222200"/>
          <a:ext cx="2031939" cy="1219163"/>
        </a:xfrm>
        <a:prstGeom prst="rect">
          <a:avLst/>
        </a:prstGeom>
        <a:solidFill>
          <a:schemeClr val="tx2">
            <a:lumMod val="10000"/>
            <a:lumOff val="90000"/>
          </a:schemeClr>
        </a:solidFill>
        <a:ln w="19050" cap="flat" cmpd="sng" algn="ctr">
          <a:solidFill>
            <a:schemeClr val="accent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endParaRPr lang="en-GB" sz="1400" b="1" kern="1200">
            <a:solidFill>
              <a:schemeClr val="accent1">
                <a:lumMod val="75000"/>
              </a:schemeClr>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400" b="1" kern="1200">
              <a:solidFill>
                <a:schemeClr val="accent1">
                  <a:lumMod val="75000"/>
                </a:schemeClr>
              </a:solidFill>
              <a:latin typeface="Arial" panose="020B0604020202020204" pitchFamily="34" charset="0"/>
              <a:cs typeface="Arial" panose="020B0604020202020204" pitchFamily="34" charset="0"/>
            </a:rPr>
            <a:t>Manage Closely:</a:t>
          </a:r>
          <a:endParaRPr lang="en-GB" sz="1100" b="0"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London Borough of Sutton </a:t>
          </a: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Regulator of Social Housing </a:t>
          </a:r>
        </a:p>
        <a:p>
          <a:pPr marL="0" lvl="0" indent="0" algn="ctr" defTabSz="622300">
            <a:lnSpc>
              <a:spcPct val="90000"/>
            </a:lnSpc>
            <a:spcBef>
              <a:spcPct val="0"/>
            </a:spcBef>
            <a:spcAft>
              <a:spcPct val="35000"/>
            </a:spcAft>
            <a:buNone/>
          </a:pPr>
          <a:r>
            <a:rPr lang="en-GB" sz="1100" b="0" kern="1200">
              <a:solidFill>
                <a:sysClr val="windowText" lastClr="000000"/>
              </a:solidFill>
              <a:latin typeface="Arial" panose="020B0604020202020204" pitchFamily="34" charset="0"/>
              <a:cs typeface="Arial" panose="020B0604020202020204" pitchFamily="34" charset="0"/>
            </a:rPr>
            <a:t>SHP Board</a:t>
          </a:r>
        </a:p>
        <a:p>
          <a:pPr marL="0" lvl="0" indent="0" algn="ctr" defTabSz="622300">
            <a:lnSpc>
              <a:spcPct val="90000"/>
            </a:lnSpc>
            <a:spcBef>
              <a:spcPct val="0"/>
            </a:spcBef>
            <a:spcAft>
              <a:spcPct val="35000"/>
            </a:spcAft>
            <a:buNone/>
          </a:pPr>
          <a:endParaRPr lang="en-GB" sz="1100" b="0" kern="1200">
            <a:solidFill>
              <a:sysClr val="windowText" lastClr="000000"/>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100" b="0" kern="1200">
            <a:solidFill>
              <a:sysClr val="windowText" lastClr="000000"/>
            </a:solidFill>
            <a:latin typeface="Arial" panose="020B0604020202020204" pitchFamily="34" charset="0"/>
            <a:cs typeface="Arial" panose="020B0604020202020204" pitchFamily="34" charset="0"/>
          </a:endParaRPr>
        </a:p>
      </dsp:txBody>
      <dsp:txXfrm>
        <a:off x="2924806" y="1222200"/>
        <a:ext cx="2031939" cy="1219163"/>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0.05476</cdr:x>
      <cdr:y>0.13061</cdr:y>
    </cdr:from>
    <cdr:to>
      <cdr:x>0.05635</cdr:x>
      <cdr:y>0.92449</cdr:y>
    </cdr:to>
    <cdr:cxnSp macro="">
      <cdr:nvCxnSpPr>
        <cdr:cNvPr id="3" name="Straight Arrow Connector 2"/>
        <cdr:cNvCxnSpPr/>
      </cdr:nvCxnSpPr>
      <cdr:spPr>
        <a:xfrm xmlns:a="http://schemas.openxmlformats.org/drawingml/2006/main">
          <a:off x="300446" y="418011"/>
          <a:ext cx="8708" cy="2540726"/>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0.05139</cdr:x>
      <cdr:y>0.91122</cdr:y>
    </cdr:from>
    <cdr:to>
      <cdr:x>0.89484</cdr:x>
      <cdr:y>0.91429</cdr:y>
    </cdr:to>
    <cdr:cxnSp macro="">
      <cdr:nvCxnSpPr>
        <cdr:cNvPr id="12" name="Straight Arrow Connector 11"/>
        <cdr:cNvCxnSpPr/>
      </cdr:nvCxnSpPr>
      <cdr:spPr>
        <a:xfrm xmlns:a="http://schemas.openxmlformats.org/drawingml/2006/main" flipV="1">
          <a:off x="281940" y="2916283"/>
          <a:ext cx="4627517" cy="9797"/>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03D50AED19C4A519AC629107FC826AC"/>
        <w:category>
          <w:name w:val="General"/>
          <w:gallery w:val="placeholder"/>
        </w:category>
        <w:types>
          <w:type w:val="bbPlcHdr"/>
        </w:types>
        <w:behaviors>
          <w:behavior w:val="content"/>
        </w:behaviors>
        <w:guid w:val="{A6B46A9B-D7CF-4578-880E-13C6CB74EBBD}"/>
      </w:docPartPr>
      <w:docPartBody>
        <w:p w:rsidR="00CB6D33" w:rsidRDefault="00CB6D33" w:rsidP="00CB6D33">
          <w:pPr>
            <w:pStyle w:val="C03D50AED19C4A519AC629107FC826A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33"/>
    <w:rsid w:val="002F303C"/>
    <w:rsid w:val="005B0760"/>
    <w:rsid w:val="006E0C14"/>
    <w:rsid w:val="00806A64"/>
    <w:rsid w:val="00807E8B"/>
    <w:rsid w:val="00882DD5"/>
    <w:rsid w:val="008B5996"/>
    <w:rsid w:val="00CB6D33"/>
    <w:rsid w:val="00D25656"/>
    <w:rsid w:val="00DA45ED"/>
    <w:rsid w:val="00E96CB4"/>
    <w:rsid w:val="00FD0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3D50AED19C4A519AC629107FC826AC">
    <w:name w:val="C03D50AED19C4A519AC629107FC826AC"/>
    <w:rsid w:val="00CB6D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SHP251</b:Tag>
    <b:SourceType>InternetSite</b:SourceType>
    <b:Guid>{7A984B0D-9F74-4B61-A583-050DB006B800}</b:Guid>
    <b:Title>About Us</b:Title>
    <b:Year>2025</b:Year>
    <b:Author>
      <b:Author>
        <b:Corporate>SHP</b:Corporate>
      </b:Author>
    </b:Author>
    <b:YearAccessed>2025</b:YearAccessed>
    <b:MonthAccessed>November</b:MonthAccessed>
    <b:DayAccessed>22</b:DayAccessed>
    <b:URL>https://www.suttonhousingpartnership.org.uk/about-us</b:URL>
    <b:RefOrder>1</b:RefOrder>
  </b:Source>
  <b:Source>
    <b:Tag>Whi19</b:Tag>
    <b:SourceType>Book</b:SourceType>
    <b:Guid>{775E4A90-0E3B-4629-A4F2-C4A35FFB8D50}</b:Guid>
    <b:Title>Exploring Strategy, Text and Cases</b:Title>
    <b:Year>2019</b:Year>
    <b:Author>
      <b:Author>
        <b:NameList>
          <b:Person>
            <b:Last>Whittington</b:Last>
            <b:First>R.</b:First>
          </b:Person>
          <b:Person>
            <b:Last>Regnér</b:Last>
            <b:First>P.</b:First>
          </b:Person>
          <b:Person>
            <b:Last>Angwin</b:Last>
            <b:First>D.</b:First>
          </b:Person>
          <b:Person>
            <b:Last>Johnson</b:Last>
            <b:First>G.</b:First>
          </b:Person>
          <b:Person>
            <b:Last>Scholes</b:Last>
            <b:First>K.</b:First>
          </b:Person>
        </b:NameList>
      </b:Author>
    </b:Author>
    <b:City>Harlow</b:City>
    <b:Publisher>Pearson Higher Education &amp; Professional Group</b:Publisher>
    <b:Edition>12t</b:Edition>
    <b:RefOrder>19</b:RefOrder>
  </b:Source>
  <b:Source>
    <b:Tag>Car19</b:Tag>
    <b:SourceType>Book</b:SourceType>
    <b:Guid>{87943AB6-B761-4A44-8FEB-9EC79B04E4A8}</b:Guid>
    <b:Author>
      <b:Author>
        <b:NameList>
          <b:Person>
            <b:Last>Carvalho</b:Last>
            <b:First>J.C.</b:First>
            <b:Middle>de A.</b:Middle>
          </b:Person>
          <b:Person>
            <b:Last>Sabino</b:Last>
            <b:First>E.M.C.B.</b:First>
          </b:Person>
        </b:NameList>
      </b:Author>
    </b:Author>
    <b:Title>Strategy and Superior Performance of Micro and Small Businesses in Volatile Economies</b:Title>
    <b:Year>2019</b:Year>
    <b:City>Hershey</b:City>
    <b:Publisher> IGI Global</b:Publisher>
    <b:Edition>1st</b:Edition>
    <b:RefOrder>32</b:RefOrder>
  </b:Source>
  <b:Source>
    <b:Tag>Mil19</b:Tag>
    <b:SourceType>JournalArticle</b:SourceType>
    <b:Guid>{17D3FCAC-D45D-46DC-B295-A3FEBEFB7C62}</b:Guid>
    <b:Title>'Affordable housing governance and finance: innovation, partnerships and comparative perspectives'</b:Title>
    <b:Year>2019</b:Year>
    <b:Author>
      <b:Author>
        <b:NameList>
          <b:Person>
            <b:Last>Milligan</b:Last>
            <b:First>V.</b:First>
          </b:Person>
        </b:NameList>
      </b:Author>
    </b:Author>
    <b:JournalName>Journal of housing and the built environment</b:JournalName>
    <b:Pages>1173–1175</b:Pages>
    <b:Volume>12</b:Volume>
    <b:Issue>1</b:Issue>
    <b:RefOrder>3</b:RefOrder>
  </b:Source>
  <b:Source>
    <b:Tag>Car22</b:Tag>
    <b:SourceType>JournalArticle</b:SourceType>
    <b:Guid>{AA4E0E9F-930C-4756-9288-AF0C41B24B6B}</b:Guid>
    <b:Title>'Marginalisation, Grenfell Tower and the voice of the social-housing resident: a critical juncture in housing law and policy?'</b:Title>
    <b:Year>2022</b:Year>
    <b:Author>
      <b:Author>
        <b:NameList>
          <b:Person>
            <b:Last>Carr</b:Last>
            <b:First>H.</b:First>
          </b:Person>
          <b:Person>
            <b:Last>Cowan</b:Last>
            <b:First>D.</b:First>
          </b:Person>
          <b:Person>
            <b:Last>Kirton-Darling</b:Last>
            <b:First>E.</b:First>
          </b:Person>
        </b:NameList>
      </b:Author>
    </b:Author>
    <b:JournalName>International journal of law in context</b:JournalName>
    <b:Pages>10–24</b:Pages>
    <b:Volume>18</b:Volume>
    <b:Issue>1</b:Issue>
    <b:RefOrder>6</b:RefOrder>
  </b:Source>
  <b:Source>
    <b:Tag>Fur25</b:Tag>
    <b:SourceType>JournalArticle</b:SourceType>
    <b:Guid>{4393D9A6-594D-42E8-9C18-B97057A0A64F}</b:Guid>
    <b:Author>
      <b:Author>
        <b:NameList>
          <b:Person>
            <b:Last>Furman</b:Last>
            <b:First>S.</b:First>
          </b:Person>
          <b:Person>
            <b:Last>Hadjri</b:Last>
            <b:First>K.</b:First>
          </b:Person>
          <b:Person>
            <b:Last>Martínez Duran</b:Last>
            <b:First>A.</b:First>
          </b:Person>
          <b:Person>
            <b:Last>Martín Tost</b:Last>
            <b:First>X.</b:First>
          </b:Person>
        </b:NameList>
      </b:Author>
    </b:Author>
    <b:Title>'Residents’ Values: Co-Designing Social Housing Retrofit'</b:Title>
    <b:JournalName>Architecture (Basel)</b:JournalName>
    <b:Year>2025</b:Year>
    <b:Pages>58</b:Pages>
    <b:Volume>5</b:Volume>
    <b:Issue>3</b:Issue>
    <b:RefOrder>31</b:RefOrder>
  </b:Source>
  <b:Source>
    <b:Tag>Shw24</b:Tag>
    <b:SourceType>JournalArticle</b:SourceType>
    <b:Guid>{A8DF0F19-FD69-499D-B4E3-6D77B8E1115E}</b:Guid>
    <b:Author>
      <b:Author>
        <b:NameList>
          <b:Person>
            <b:Last>Shwashreh</b:Last>
            <b:First>L.</b:First>
          </b:Person>
          <b:Person>
            <b:Last>Taki</b:Last>
            <b:First>A.</b:First>
          </b:Person>
          <b:Person>
            <b:Last>Kagioglou</b:Last>
            <b:First>M.</b:First>
          </b:Person>
        </b:NameList>
      </b:Author>
    </b:Author>
    <b:Title>'Retrofit Strategies for Alleviating Fuel Poverty and Improving Subjective Well-Being in the UK’s Social Housing'</b:Title>
    <b:JournalName>Buildings (Basel)</b:JournalName>
    <b:Year>2024</b:Year>
    <b:Pages>316</b:Pages>
    <b:Volume>14</b:Volume>
    <b:Issue>2</b:Issue>
    <b:RefOrder>26</b:RefOrder>
  </b:Source>
  <b:Source>
    <b:Tag>Cha25</b:Tag>
    <b:SourceType>JournalArticle</b:SourceType>
    <b:Guid>{6E54CFE5-A05D-4927-9495-9913DFCC62A8}</b:Guid>
    <b:Author>
      <b:Author>
        <b:NameList>
          <b:Person>
            <b:Last>Charles</b:Last>
            <b:First>H.</b:First>
          </b:Person>
        </b:NameList>
      </b:Author>
    </b:Author>
    <b:Title>'Beyond the building: governance challenges in social housing retrofit'</b:Title>
    <b:JournalName>Buildings &amp; cities</b:JournalName>
    <b:Year>2025</b:Year>
    <b:Pages>433–449</b:Pages>
    <b:Volume>6</b:Volume>
    <b:Issue>1</b:Issue>
    <b:RefOrder>21</b:RefOrder>
  </b:Source>
  <b:Source>
    <b:Tag>Mul18</b:Tag>
    <b:SourceType>JournalArticle</b:SourceType>
    <b:Guid>{8E211B27-8203-4A8A-9F55-693799E10847}</b:Guid>
    <b:Author>
      <b:Author>
        <b:NameList>
          <b:Person>
            <b:Last>Mullins</b:Last>
            <b:First>D.</b:First>
          </b:Person>
          <b:Person>
            <b:Last>Moore</b:Last>
            <b:First>T.</b:First>
          </b:Person>
        </b:NameList>
      </b:Author>
    </b:Author>
    <b:Title>‘Self-organised and civil society participation in housing provision’</b:Title>
    <b:JournalName>European journal of housing policy</b:JournalName>
    <b:Year>2018</b:Year>
    <b:Pages>1-14</b:Pages>
    <b:Volume>18</b:Volume>
    <b:Issue>1</b:Issue>
    <b:RefOrder>8</b:RefOrder>
  </b:Source>
  <b:Source>
    <b:Tag>Phi24</b:Tag>
    <b:SourceType>JournalArticle</b:SourceType>
    <b:Guid>{0FE85E65-881C-4DDD-BB0A-8D1DAFCEAE77}</b:Guid>
    <b:Author>
      <b:Author>
        <b:NameList>
          <b:Person>
            <b:Last>Phillips</b:Last>
            <b:First>Olivia</b:First>
            <b:Middle>R.</b:Middle>
          </b:Person>
          <b:Person>
            <b:Last>Mardell</b:Last>
            <b:First>Denise.</b:First>
          </b:Person>
          <b:Person>
            <b:Last>Stephenson</b:Last>
            <b:First>Kolin.</b:First>
          </b:Person>
          <b:Person>
            <b:Last>Hussain</b:Last>
            <b:First>Sabrina.</b:First>
          </b:Person>
          <b:Person>
            <b:Last>Burton</b:Last>
            <b:First>Dawn.</b:First>
          </b:Person>
          <b:Person>
            <b:Last>Bernard</b:Last>
            <b:First>Barbara.</b:First>
          </b:Person>
          <b:Person>
            <b:Last>Stevenson</b:Last>
            <b:First>Sue.</b:First>
          </b:Person>
          <b:Person>
            <b:Last>Morling</b:Last>
            <b:First>Joanne</b:First>
            <b:Middle>R.</b:Middle>
          </b:Person>
        </b:NameList>
      </b:Author>
    </b:Author>
    <b:Title>‘Bringing the voice of social housing tenants into shaping the health and care research agenda’</b:Title>
    <b:JournalName>Research involvement and engagement</b:JournalName>
    <b:Year>2024</b:Year>
    <b:Pages>85-12</b:Pages>
    <b:Volume>10</b:Volume>
    <b:Issue>1</b:Issue>
    <b:RefOrder>20</b:RefOrder>
  </b:Source>
  <b:Source>
    <b:Tag>Per25</b:Tag>
    <b:SourceType>JournalArticle</b:SourceType>
    <b:Guid>{4377F28E-0A83-4245-9B2D-133C15E7A056}</b:Guid>
    <b:Author>
      <b:Author>
        <b:NameList>
          <b:Person>
            <b:Last>Perobelli</b:Last>
            <b:First>Eleonora.</b:First>
          </b:Person>
          <b:Person>
            <b:Last>Cappellaro</b:Last>
            <b:First>Giulia.</b:First>
          </b:Person>
          <b:Person>
            <b:Last>Saporito</b:Last>
            <b:First>Raffaella</b:First>
          </b:Person>
        </b:NameList>
      </b:Author>
    </b:Author>
    <b:Title>‘Public-private hybrid organisations in the public sector: Evidence and future directions from a systematic literature review’</b:Title>
    <b:JournalName>Public management review</b:JournalName>
    <b:Year>2025</b:Year>
    <b:Pages>2615–2642</b:Pages>
    <b:Volume>27</b:Volume>
    <b:Issue>11</b:Issue>
    <b:RefOrder>2</b:RefOrder>
  </b:Source>
  <b:Source>
    <b:Tag>Lev24</b:Tag>
    <b:SourceType>InternetSite</b:SourceType>
    <b:Guid>{16699230-E51B-4FB3-B9A1-47D8FCF0D98E}</b:Guid>
    <b:Title>The Finances and Sustainability of the Social Housing Sector – Report Summary</b:Title>
    <b:Year>2024</b:Year>
    <b:Author>
      <b:Author>
        <b:Corporate>Levelling UP, Housing and Communities Committee</b:Corporate>
      </b:Author>
    </b:Author>
    <b:YearAccessed>2025</b:YearAccessed>
    <b:MonthAccessed>November</b:MonthAccessed>
    <b:DayAccessed>25</b:DayAccessed>
    <b:URL>https://publications.parliament.uk/pa/cm5804/cmselect/cmcomloc/60/summary.html</b:URL>
    <b:RefOrder>9</b:RefOrder>
  </b:Source>
  <b:Source>
    <b:Tag>Hui23</b:Tag>
    <b:SourceType>JournalArticle</b:SourceType>
    <b:Guid>{170155A0-7D1C-4FF7-8F5A-5FAB8ADF6710}</b:Guid>
    <b:Title>‘Between Self-organization and Formal Participation: Increasing Tenants’ Influence through Self-management? - A Dutch Case-study’</b:Title>
    <b:Year>2023</b:Year>
    <b:Author>
      <b:Author>
        <b:NameList>
          <b:Person>
            <b:Last>Huisman</b:Last>
            <b:First>C.</b:First>
          </b:Person>
          <b:Person>
            <b:Last>Czischke</b:Last>
            <b:First>D.</b:First>
          </b:Person>
        </b:NameList>
      </b:Author>
    </b:Author>
    <b:JournalName>Housing, theory, and society</b:JournalName>
    <b:Pages>219–237</b:Pages>
    <b:Volume>40</b:Volume>
    <b:Issue>2</b:Issue>
    <b:RefOrder>4</b:RefOrder>
  </b:Source>
  <b:Source>
    <b:Tag>Bar19</b:Tag>
    <b:SourceType>Book</b:SourceType>
    <b:Guid>{3FDDC9C1-FD8C-4354-B7B1-8263F3D9F769}</b:Guid>
    <b:Title>Strategic management and competitive advantage : concepts and cases</b:Title>
    <b:Year>2019</b:Year>
    <b:Author>
      <b:Author>
        <b:NameList>
          <b:Person>
            <b:Last>Barney</b:Last>
            <b:First>J.B.</b:First>
          </b:Person>
          <b:Person>
            <b:Last>Hesterly</b:Last>
            <b:First>W.S.</b:First>
          </b:Person>
        </b:NameList>
      </b:Author>
    </b:Author>
    <b:City>Harlow</b:City>
    <b:Publisher>Pearson Education Limited</b:Publisher>
    <b:Edition>6th</b:Edition>
    <b:RefOrder>10</b:RefOrder>
  </b:Source>
  <b:Source>
    <b:Tag>Ton18</b:Tag>
    <b:SourceType>Book</b:SourceType>
    <b:Guid>{44C4E25C-9B8C-48D8-ABB0-4772AB451E32}</b:Guid>
    <b:Author>
      <b:Author>
        <b:NameList>
          <b:Person>
            <b:Last>Proctor</b:Last>
            <b:First>Tony</b:First>
          </b:Person>
        </b:NameList>
      </b:Author>
    </b:Author>
    <b:Title>Creative problem solving for managers: developing skills for decision making and innovation</b:Title>
    <b:Year>2018</b:Year>
    <b:City>New York</b:City>
    <b:Publisher>Routledge</b:Publisher>
    <b:Edition>5th</b:Edition>
    <b:RefOrder>17</b:RefOrder>
  </b:Source>
  <b:Source>
    <b:Tag>SHP252</b:Tag>
    <b:SourceType>InternetSite</b:SourceType>
    <b:Guid>{B147228A-FB4A-4B2E-A0B1-03C33307553B}</b:Guid>
    <b:Author>
      <b:Author>
        <b:Corporate>SHP</b:Corporate>
      </b:Author>
    </b:Author>
    <b:Title>Sutton Housing Partnership Delivery Plan 2024 - 2027</b:Title>
    <b:Year>2025</b:Year>
    <b:YearAccessed>2025</b:YearAccessed>
    <b:MonthAccessed>November</b:MonthAccessed>
    <b:DayAccessed>26</b:DayAccessed>
    <b:URL>https://www.suttonhousingpartnership.org.uk/download/sutton-housing-partnership-delivery-plan-2024-2027-4pdf.pdf?ver=8919&amp;doc=docm93jijm4n6316</b:URL>
    <b:RefOrder>16</b:RefOrder>
  </b:Source>
  <b:Source>
    <b:Tag>SHP253</b:Tag>
    <b:SourceType>InternetSite</b:SourceType>
    <b:Guid>{DAEF6582-AE57-44DD-AADC-0CBD01731582}</b:Guid>
    <b:Author>
      <b:Author>
        <b:Corporate>SHP</b:Corporate>
      </b:Author>
    </b:Author>
    <b:Title>Plans &amp; Performance</b:Title>
    <b:Year>2025</b:Year>
    <b:YearAccessed>2025</b:YearAccessed>
    <b:MonthAccessed>November</b:MonthAccessed>
    <b:DayAccessed>30</b:DayAccessed>
    <b:URL>https://www.suttonhousingpartnership.org.uk/our-plans-performance/</b:URL>
    <b:RefOrder>7</b:RefOrder>
  </b:Source>
  <b:Source>
    <b:Tag>Por08</b:Tag>
    <b:SourceType>Book</b:SourceType>
    <b:Guid>{5A58A34F-AA70-41BF-B3FD-53E52CBE59EF}</b:Guid>
    <b:Title>On competition</b:Title>
    <b:Year>2008</b:Year>
    <b:Author>
      <b:Author>
        <b:NameList>
          <b:Person>
            <b:Last>Porter</b:Last>
            <b:First>M.</b:First>
            <b:Middle>E.</b:Middle>
          </b:Person>
        </b:NameList>
      </b:Author>
    </b:Author>
    <b:City>Boston, Massachusetts</b:City>
    <b:Publisher>Harvard Business School Publishing Corporation</b:Publisher>
    <b:Edition>Updated and expanded</b:Edition>
    <b:RefOrder>18</b:RefOrder>
  </b:Source>
  <b:Source>
    <b:Tag>Ans57</b:Tag>
    <b:SourceType>JournalArticle</b:SourceType>
    <b:Guid>{EE2DF3BE-EBC7-4E74-B873-24F3F38423D7}</b:Guid>
    <b:Title>Strategies for Diversification</b:Title>
    <b:Year>1957</b:Year>
    <b:Author>
      <b:Author>
        <b:NameList>
          <b:Person>
            <b:Last>Ansoff</b:Last>
            <b:First>H.</b:First>
            <b:Middle>I.</b:Middle>
          </b:Person>
        </b:NameList>
      </b:Author>
    </b:Author>
    <b:JournalName>Harvard Business Review</b:JournalName>
    <b:Pages>113–124</b:Pages>
    <b:Volume>35</b:Volume>
    <b:Issue>5</b:Issue>
    <b:RefOrder>23</b:RefOrder>
  </b:Source>
  <b:Source>
    <b:Tag>Din24</b:Tag>
    <b:SourceType>JournalArticle</b:SourceType>
    <b:Guid>{976D7480-DD56-4FA2-AAF0-A75A9DA6D93D}</b:Guid>
    <b:Author>
      <b:Author>
        <b:NameList>
          <b:Person>
            <b:Last>Ding</b:Last>
            <b:First>H.</b:First>
          </b:Person>
          <b:Person>
            <b:Last>Sun</b:Last>
            <b:First>J.</b:First>
          </b:Person>
        </b:NameList>
      </b:Author>
    </b:Author>
    <b:Title>‘A Systematic Review of Technology Innovations in Housing Management in Scotland’</b:Title>
    <b:JournalName>SAGE open</b:JournalName>
    <b:Year>2024</b:Year>
    <b:Pages>16</b:Pages>
    <b:Volume>14</b:Volume>
    <b:Issue>2</b:Issue>
    <b:RefOrder>22</b:RefOrder>
  </b:Source>
  <b:Source>
    <b:Tag>Fre84</b:Tag>
    <b:SourceType>Book</b:SourceType>
    <b:Guid>{10BA1231-A997-4F15-AF84-FC682CA7A4CD}</b:Guid>
    <b:Author>
      <b:Author>
        <b:NameList>
          <b:Person>
            <b:Last>Freeman</b:Last>
            <b:First>Edward,</b:First>
            <b:Middle>R.</b:Middle>
          </b:Person>
        </b:NameList>
      </b:Author>
    </b:Author>
    <b:Title>Strategic Management: A Stakeholder Approach</b:Title>
    <b:Year>1984</b:Year>
    <b:City>New York</b:City>
    <b:Publisher>Cambridge University Press</b:Publisher>
    <b:RefOrder>27</b:RefOrder>
  </b:Source>
  <b:Source>
    <b:Tag>Mon25</b:Tag>
    <b:SourceType>JournalArticle</b:SourceType>
    <b:Guid>{BB2DB864-8556-401B-B2D1-09B96DA9A976}</b:Guid>
    <b:Author>
      <b:Author>
        <b:NameList>
          <b:Person>
            <b:Last>Monwabisi S. Xegwana</b:Last>
          </b:Person>
          <b:Person>
            <b:Last>Twum-Darko</b:Last>
            <b:First>Michael</b:First>
          </b:Person>
          <b:Person>
            <b:Last>Tengeh</b:Last>
            <b:First>Robertson</b:First>
            <b:Middle>K.</b:Middle>
          </b:Person>
        </b:NameList>
      </b:Author>
    </b:Author>
    <b:Title> ‘Stakeholder engagement framework to improve public housing delivery: A Stellenbosch case study’</b:Title>
    <b:JournalName>Journal of local government research and innovation (Online)</b:JournalName>
    <b:Year>2025</b:Year>
    <b:Pages>e1–e9</b:Pages>
    <b:Volume>6</b:Volume>
    <b:RefOrder>28</b:RefOrder>
  </b:Source>
  <b:Source>
    <b:Tag>Bry181</b:Tag>
    <b:SourceType>Book</b:SourceType>
    <b:Guid>{0BFDF87D-CBA3-44D7-BAC9-8216704E5A1C}</b:Guid>
    <b:Title>Strategic planning for public and nonprofit organizations : a guide to strengthening and sustaining organizational achievement</b:Title>
    <b:Year>2018</b:Year>
    <b:City>Hoboken, New Jersey</b:City>
    <b:Publisher>Wiley</b:Publisher>
    <b:Author>
      <b:Author>
        <b:NameList>
          <b:Person>
            <b:Last>Bryson</b:Last>
            <b:First>J.M.</b:First>
          </b:Person>
        </b:NameList>
      </b:Author>
    </b:Author>
    <b:Edition>5th</b:Edition>
    <b:RefOrder>5</b:RefOrder>
  </b:Source>
  <b:Source>
    <b:Tag>Min251</b:Tag>
    <b:SourceType>InternetSite</b:SourceType>
    <b:Guid>{00908959-AC5E-473E-93A2-46EA3A7C84E8}</b:Guid>
    <b:Author>
      <b:Author>
        <b:Corporate>MHCLG</b:Corporate>
      </b:Author>
    </b:Author>
    <b:Title>Awaab’s Law: Guidance for social landlords</b:Title>
    <b:Year>2025</b:Year>
    <b:YearAccessed>2025</b:YearAccessed>
    <b:MonthAccessed>November</b:MonthAccessed>
    <b:DayAccessed>26</b:DayAccessed>
    <b:URL>https://www.gov.uk/government/publications/awaabs-law-guidance-for-social-landlords</b:URL>
    <b:RefOrder>12</b:RefOrder>
  </b:Source>
  <b:Source>
    <b:Tag>Hou25</b:Tag>
    <b:SourceType>InternetSite</b:SourceType>
    <b:Guid>{B2B2DCFA-2F65-4AE2-9B5F-2673DBC9022F}</b:Guid>
    <b:Title>Annual Complaints Review 2024-25</b:Title>
    <b:Year>2025</b:Year>
    <b:Author>
      <b:Author>
        <b:Corporate>Housing Ombudsman Service</b:Corporate>
      </b:Author>
    </b:Author>
    <b:YearAccessed>2025</b:YearAccessed>
    <b:MonthAccessed>December</b:MonthAccessed>
    <b:DayAccessed>4</b:DayAccessed>
    <b:URL>https://www.housing-ombudsman.org.uk/annual-complaint-review-reports/annual-complaints-review-2024-25/</b:URL>
    <b:RefOrder>30</b:RefOrder>
  </b:Source>
  <b:Source>
    <b:Tag>Reg24</b:Tag>
    <b:SourceType>InternetSite</b:SourceType>
    <b:Guid>{1FB23077-2D70-456B-B3F2-1243ED494C9B}</b:Guid>
    <b:Title>Consumer standards Code of Practice</b:Title>
    <b:Year>2024</b:Year>
    <b:Author>
      <b:Author>
        <b:Corporate>RSH</b:Corporate>
      </b:Author>
    </b:Author>
    <b:YearAccessed>2025</b:YearAccessed>
    <b:MonthAccessed>November</b:MonthAccessed>
    <b:DayAccessed>22</b:DayAccessed>
    <b:URL>https://www.gov.uk/government/publications/consumer-standards-code-of-practice</b:URL>
    <b:RefOrder>14</b:RefOrder>
  </b:Source>
  <b:Source>
    <b:Tag>Dep251</b:Tag>
    <b:SourceType>InternetSite</b:SourceType>
    <b:Guid>{D67137EC-840B-4F7D-81FF-0DBC2ED95C0C}</b:Guid>
    <b:Author>
      <b:Author>
        <b:Corporate>DESNZ</b:Corporate>
      </b:Author>
    </b:Author>
    <b:Title>Improving the Energy Efficiency of Socially Rented Homes in England</b:Title>
    <b:Year>2025</b:Year>
    <b:YearAccessed>2025</b:YearAccessed>
    <b:MonthAccessed>November</b:MonthAccessed>
    <b:DayAccessed>26</b:DayAccessed>
    <b:URL>https://www.gov.uk/government/consultations/improving-the-energy-efficiency-of-socially-rented-homes-in-england</b:URL>
    <b:RefOrder>15</b:RefOrder>
  </b:Source>
  <b:Source>
    <b:Tag>Reg25</b:Tag>
    <b:SourceType>InternetSite</b:SourceType>
    <b:Guid>{D7DC7772-63AD-40A2-AC3E-7A8F9D92F70B}</b:Guid>
    <b:Title>Social housing providers' finances impacted by rising repairs and remediation spend</b:Title>
    <b:Year>2025</b:Year>
    <b:Author>
      <b:Author>
        <b:Corporate>RSH</b:Corporate>
      </b:Author>
    </b:Author>
    <b:YearAccessed>2025</b:YearAccessed>
    <b:MonthAccessed>November</b:MonthAccessed>
    <b:DayAccessed>26</b:DayAccessed>
    <b:URL>https://www.gov.uk/government/news/social-housing-providers-finances-impacted-by-rising-repairs-and-remediation-spend</b:URL>
    <b:RefOrder>13</b:RefOrder>
  </b:Source>
  <b:Source>
    <b:Tag>Ans88</b:Tag>
    <b:SourceType>Book</b:SourceType>
    <b:Guid>{046D2B5C-5D0B-4402-B127-B2EC57790FA4}</b:Guid>
    <b:Author>
      <b:Author>
        <b:NameList>
          <b:Person>
            <b:Last>Ansoff</b:Last>
            <b:First>H.</b:First>
            <b:Middle>I.</b:Middle>
          </b:Person>
        </b:NameList>
      </b:Author>
    </b:Author>
    <b:Title>Corporate Strategy</b:Title>
    <b:Year>1988</b:Year>
    <b:Publisher>Penguin Books</b:Publisher>
    <b:City>London</b:City>
    <b:RefOrder>24</b:RefOrder>
  </b:Source>
  <b:Source>
    <b:Tag>Bow97</b:Tag>
    <b:SourceType>Book</b:SourceType>
    <b:Guid>{F7EDD3A3-99F0-4D01-8DFD-AD8364608314}</b:Guid>
    <b:Author>
      <b:Author>
        <b:NameList>
          <b:Person>
            <b:Last>Bowman</b:Last>
            <b:First>C.</b:First>
          </b:Person>
          <b:Person>
            <b:Last>Faulkner</b:Last>
            <b:First>D.</b:First>
          </b:Person>
        </b:NameList>
      </b:Author>
    </b:Author>
    <b:Title>Competitive and Corporate Strategy</b:Title>
    <b:Year>1997</b:Year>
    <b:Publisher>Irwin</b:Publisher>
    <b:City>London</b:City>
    <b:RefOrder>25</b:RefOrder>
  </b:Source>
  <b:Source>
    <b:Tag>Bur22</b:Tag>
    <b:SourceType>Book</b:SourceType>
    <b:Guid>{4ABF0BAA-C219-43A2-AE06-4EDB92552360}</b:Guid>
    <b:Title>Entrepreneurship and Small Business</b:Title>
    <b:Year>2022</b:Year>
    <b:Author>
      <b:Author>
        <b:NameList>
          <b:Person>
            <b:Last>Burns</b:Last>
            <b:First>P.</b:First>
          </b:Person>
        </b:NameList>
      </b:Author>
    </b:Author>
    <b:Publisher>Bloomsbury Publishing</b:Publisher>
    <b:Edition>5th</b:Edition>
    <b:City>London</b:City>
    <b:RefOrder>11</b:RefOrder>
  </b:Source>
  <b:Source>
    <b:Tag>Men81</b:Tag>
    <b:SourceType>ConferenceProceedings</b:SourceType>
    <b:Guid>{130B2716-818E-4187-88CC-2E3C15844F92}</b:Guid>
    <b:Author>
      <b:Author>
        <b:NameList>
          <b:Person>
            <b:Last>Mendelow</b:Last>
            <b:First>A.</b:First>
          </b:Person>
        </b:NameList>
      </b:Author>
    </b:Author>
    <b:Title>Environmental Scanning: The Impact of the Stakeholder Concept</b:Title>
    <b:Year>1981</b:Year>
    <b:Publisher>ICIS Proceedings</b:Publisher>
    <b:City>New York</b:City>
    <b:RefOrder>29</b:RefOrder>
  </b:Source>
</b:Sources>
</file>

<file path=customXml/itemProps1.xml><?xml version="1.0" encoding="utf-8"?>
<ds:datastoreItem xmlns:ds="http://schemas.openxmlformats.org/officeDocument/2006/customXml" ds:itemID="{6139C564-8A48-4468-940C-7B9CD5FBB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6097</Words>
  <Characters>41780</Characters>
  <Application>Microsoft Office Word</Application>
  <DocSecurity>0</DocSecurity>
  <Lines>1413</Lines>
  <Paragraphs>573</Paragraphs>
  <ScaleCrop>false</ScaleCrop>
  <HeadingPairs>
    <vt:vector size="2" baseType="variant">
      <vt:variant>
        <vt:lpstr>Title</vt:lpstr>
      </vt:variant>
      <vt:variant>
        <vt:i4>1</vt:i4>
      </vt:variant>
    </vt:vector>
  </HeadingPairs>
  <TitlesOfParts>
    <vt:vector size="1" baseType="lpstr">
      <vt:lpstr>Strategic Analysis and Future Growth Strategy for Sutton Housing Partnership as a Public–SME Housing Provider</vt:lpstr>
    </vt:vector>
  </TitlesOfParts>
  <Company/>
  <LinksUpToDate>false</LinksUpToDate>
  <CharactersWithSpaces>47452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and Future Growth Strategy for Sutton Housing Partnership as a Public–SME Housing Provider</dc:title>
  <dc:subject/>
  <dc:creator>Dijana Sklancec</dc:creator>
  <cp:keywords/>
  <dc:description/>
  <cp:lastModifiedBy>Dijana Sklancec</cp:lastModifiedBy>
  <cp:revision>96</cp:revision>
  <dcterms:created xsi:type="dcterms:W3CDTF">2025-12-07T00:27:00Z</dcterms:created>
  <dcterms:modified xsi:type="dcterms:W3CDTF">2025-12-10T20:55:00Z</dcterms:modified>
</cp:coreProperties>
</file>