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1"/>
        <w:keepLines w:val="1"/>
        <w:spacing w:before="480" w:line="276" w:lineRule="auto"/>
        <w:jc w:val="righ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name:Manea Andi Catalin</w:t>
      </w:r>
    </w:p>
    <w:p w:rsidR="00000000" w:rsidDel="00000000" w:rsidP="00000000" w:rsidRDefault="00000000" w:rsidRPr="00000000" w14:paraId="00000002">
      <w:pPr>
        <w:keepNext w:val="1"/>
        <w:keepLines w:val="1"/>
        <w:spacing w:before="480" w:line="276" w:lineRule="auto"/>
        <w:jc w:val="righ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ID:2113863</w:t>
      </w:r>
    </w:p>
    <w:p w:rsidR="00000000" w:rsidDel="00000000" w:rsidP="00000000" w:rsidRDefault="00000000" w:rsidRPr="00000000" w14:paraId="00000003">
      <w:pPr>
        <w:keepNext w:val="1"/>
        <w:keepLines w:val="1"/>
        <w:spacing w:before="480" w:line="276" w:lineRule="auto"/>
        <w:jc w:val="righ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name:Management Economics</w:t>
      </w:r>
    </w:p>
    <w:p w:rsidR="00000000" w:rsidDel="00000000" w:rsidP="00000000" w:rsidRDefault="00000000" w:rsidRPr="00000000" w14:paraId="00000004">
      <w:pPr>
        <w:keepNext w:val="1"/>
        <w:keepLines w:val="1"/>
        <w:spacing w:before="480" w:line="276" w:lineRule="auto"/>
        <w:jc w:val="righ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Lecturer:Munodzinesa Zuwirai</w:t>
      </w:r>
    </w:p>
    <w:p w:rsidR="00000000" w:rsidDel="00000000" w:rsidP="00000000" w:rsidRDefault="00000000" w:rsidRPr="00000000" w14:paraId="00000005">
      <w:pPr>
        <w:spacing w:line="36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6">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spacing w:line="360" w:lineRule="auto"/>
        <w:jc w:val="both"/>
        <w:rPr>
          <w:b w:val="1"/>
          <w:sz w:val="56"/>
          <w:szCs w:val="56"/>
        </w:rPr>
      </w:pPr>
      <w:r w:rsidDel="00000000" w:rsidR="00000000" w:rsidRPr="00000000">
        <w:rPr>
          <w:b w:val="1"/>
          <w:sz w:val="56"/>
          <w:szCs w:val="56"/>
          <w:rtl w:val="0"/>
        </w:rPr>
        <w:t xml:space="preserve">                    Business Report</w:t>
      </w:r>
    </w:p>
    <w:p w:rsidR="00000000" w:rsidDel="00000000" w:rsidP="00000000" w:rsidRDefault="00000000" w:rsidRPr="00000000" w14:paraId="0000000C">
      <w:pPr>
        <w:spacing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To: Jesse Zole</w:t>
      </w:r>
    </w:p>
    <w:p w:rsidR="00000000" w:rsidDel="00000000" w:rsidP="00000000" w:rsidRDefault="00000000" w:rsidRPr="00000000" w14:paraId="0000000D">
      <w:pPr>
        <w:spacing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From: Business Planning Manager</w:t>
      </w:r>
    </w:p>
    <w:p w:rsidR="00000000" w:rsidDel="00000000" w:rsidP="00000000" w:rsidRDefault="00000000" w:rsidRPr="00000000" w14:paraId="0000000E">
      <w:pPr>
        <w:spacing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Date:23.06.2023</w:t>
      </w:r>
    </w:p>
    <w:p w:rsidR="00000000" w:rsidDel="00000000" w:rsidP="00000000" w:rsidRDefault="00000000" w:rsidRPr="00000000" w14:paraId="0000000F">
      <w:pPr>
        <w:spacing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Subject:Business Report to ASSI management</w:t>
      </w:r>
    </w:p>
    <w:p w:rsidR="00000000" w:rsidDel="00000000" w:rsidP="00000000" w:rsidRDefault="00000000" w:rsidRPr="00000000" w14:paraId="0000001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3">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6">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8">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A">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F">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1">
      <w:pPr>
        <w:rPr>
          <w:rFonts w:ascii="Arial" w:cs="Arial" w:eastAsia="Arial" w:hAnsi="Arial"/>
          <w:b w:val="1"/>
          <w:color w:val="2f5496"/>
          <w:sz w:val="22"/>
          <w:szCs w:val="22"/>
        </w:rPr>
      </w:pPr>
      <w:r w:rsidDel="00000000" w:rsidR="00000000" w:rsidRPr="00000000">
        <w:rPr>
          <w:rtl w:val="0"/>
        </w:rPr>
      </w:r>
    </w:p>
    <w:p w:rsidR="00000000" w:rsidDel="00000000" w:rsidP="00000000" w:rsidRDefault="00000000" w:rsidRPr="00000000" w14:paraId="00000022">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3">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4">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5">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6">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7">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8">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9">
      <w:pPr>
        <w:pStyle w:val="Heading1"/>
        <w:rPr>
          <w:rFonts w:ascii="Arial" w:cs="Arial" w:eastAsia="Arial" w:hAnsi="Arial"/>
          <w:sz w:val="22"/>
          <w:szCs w:val="22"/>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A">
          <w:pPr>
            <w:widowControl w:val="0"/>
            <w:tabs>
              <w:tab w:val="right" w:leader="dot" w:pos="9360"/>
            </w:tabs>
            <w:spacing w:before="60" w:lineRule="auto"/>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
            <w:r w:rsidDel="00000000" w:rsidR="00000000" w:rsidRPr="00000000">
              <w:rPr>
                <w:b w:val="1"/>
                <w:color w:val="000000"/>
                <w:u w:val="none"/>
                <w:rtl w:val="0"/>
              </w:rPr>
              <w:t xml:space="preserve">Introduction:</w:t>
              <w:tab/>
            </w:r>
          </w:hyperlink>
          <w:r w:rsidDel="00000000" w:rsidR="00000000" w:rsidRPr="00000000">
            <w:fldChar w:fldCharType="begin"/>
            <w:instrText xml:space="preserve"> PAGEREF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B">
          <w:pPr>
            <w:widowControl w:val="0"/>
            <w:tabs>
              <w:tab w:val="right" w:leader="dot" w:pos="9360"/>
            </w:tabs>
            <w:spacing w:before="60" w:lineRule="auto"/>
            <w:ind w:left="360" w:firstLine="0"/>
            <w:rPr>
              <w:color w:val="000000"/>
              <w:u w:val="none"/>
            </w:rPr>
          </w:pPr>
          <w:hyperlink w:anchor="_gjdgxs">
            <w:r w:rsidDel="00000000" w:rsidR="00000000" w:rsidRPr="00000000">
              <w:rPr>
                <w:color w:val="000000"/>
                <w:u w:val="none"/>
                <w:rtl w:val="0"/>
              </w:rPr>
              <w:t xml:space="preserve">Explain Profit Maximisation Theory:</w:t>
              <w:tab/>
            </w:r>
          </w:hyperlink>
          <w:r w:rsidDel="00000000" w:rsidR="00000000" w:rsidRPr="00000000">
            <w:fldChar w:fldCharType="begin"/>
            <w:instrText xml:space="preserve"> PAGEREF _gjdgxs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C">
          <w:pPr>
            <w:widowControl w:val="0"/>
            <w:tabs>
              <w:tab w:val="right" w:leader="dot" w:pos="9360"/>
            </w:tabs>
            <w:spacing w:before="60" w:lineRule="auto"/>
            <w:ind w:left="360" w:firstLine="0"/>
            <w:rPr>
              <w:color w:val="000000"/>
              <w:u w:val="none"/>
            </w:rPr>
          </w:pPr>
          <w:hyperlink w:anchor="_30j0zll">
            <w:r w:rsidDel="00000000" w:rsidR="00000000" w:rsidRPr="00000000">
              <w:rPr>
                <w:color w:val="000000"/>
                <w:u w:val="none"/>
                <w:rtl w:val="0"/>
              </w:rPr>
              <w:t xml:space="preserve">Apply appropriate economic theories:</w:t>
              <w:tab/>
            </w:r>
          </w:hyperlink>
          <w:r w:rsidDel="00000000" w:rsidR="00000000" w:rsidRPr="00000000">
            <w:fldChar w:fldCharType="begin"/>
            <w:instrText xml:space="preserve"> PAGEREF _30j0zll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D">
          <w:pPr>
            <w:widowControl w:val="0"/>
            <w:tabs>
              <w:tab w:val="right" w:leader="dot" w:pos="9360"/>
            </w:tabs>
            <w:spacing w:before="60" w:lineRule="auto"/>
            <w:ind w:left="720" w:firstLine="0"/>
            <w:rPr>
              <w:color w:val="000000"/>
              <w:u w:val="none"/>
            </w:rPr>
          </w:pPr>
          <w:hyperlink w:anchor="_ka1aaqebk9dk">
            <w:r w:rsidDel="00000000" w:rsidR="00000000" w:rsidRPr="00000000">
              <w:rPr>
                <w:color w:val="000000"/>
                <w:u w:val="none"/>
                <w:rtl w:val="0"/>
              </w:rPr>
              <w:t xml:space="preserve">Porter's Five Forces</w:t>
              <w:tab/>
            </w:r>
          </w:hyperlink>
          <w:r w:rsidDel="00000000" w:rsidR="00000000" w:rsidRPr="00000000">
            <w:fldChar w:fldCharType="begin"/>
            <w:instrText xml:space="preserve"> PAGEREF _ka1aaqebk9dk \h </w:instrText>
            <w:fldChar w:fldCharType="separate"/>
          </w:r>
          <w:r w:rsidDel="00000000" w:rsidR="00000000" w:rsidRPr="00000000">
            <w:rPr>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E">
          <w:pPr>
            <w:widowControl w:val="0"/>
            <w:tabs>
              <w:tab w:val="right" w:leader="dot" w:pos="9360"/>
            </w:tabs>
            <w:spacing w:before="60" w:lineRule="auto"/>
            <w:ind w:left="720" w:firstLine="0"/>
            <w:rPr>
              <w:color w:val="000000"/>
              <w:u w:val="none"/>
            </w:rPr>
          </w:pPr>
          <w:hyperlink w:anchor="_3sisdlasu20d">
            <w:r w:rsidDel="00000000" w:rsidR="00000000" w:rsidRPr="00000000">
              <w:rPr>
                <w:color w:val="000000"/>
                <w:u w:val="none"/>
                <w:rtl w:val="0"/>
              </w:rPr>
              <w:t xml:space="preserve">PESTLE Factor</w:t>
              <w:tab/>
            </w:r>
          </w:hyperlink>
          <w:r w:rsidDel="00000000" w:rsidR="00000000" w:rsidRPr="00000000">
            <w:fldChar w:fldCharType="begin"/>
            <w:instrText xml:space="preserve"> PAGEREF _3sisdlasu20d \h </w:instrText>
            <w:fldChar w:fldCharType="separate"/>
          </w:r>
          <w:r w:rsidDel="00000000" w:rsidR="00000000" w:rsidRPr="00000000">
            <w:rPr>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F">
          <w:pPr>
            <w:widowControl w:val="0"/>
            <w:tabs>
              <w:tab w:val="right" w:leader="dot" w:pos="9360"/>
            </w:tabs>
            <w:spacing w:before="60" w:lineRule="auto"/>
            <w:ind w:left="720" w:firstLine="0"/>
            <w:rPr>
              <w:color w:val="000000"/>
              <w:u w:val="none"/>
            </w:rPr>
          </w:pPr>
          <w:hyperlink w:anchor="_dv4nibf311p7">
            <w:r w:rsidDel="00000000" w:rsidR="00000000" w:rsidRPr="00000000">
              <w:rPr>
                <w:color w:val="000000"/>
                <w:u w:val="none"/>
                <w:rtl w:val="0"/>
              </w:rPr>
              <w:t xml:space="preserve">SWOT Analysis</w:t>
              <w:tab/>
            </w:r>
          </w:hyperlink>
          <w:r w:rsidDel="00000000" w:rsidR="00000000" w:rsidRPr="00000000">
            <w:fldChar w:fldCharType="begin"/>
            <w:instrText xml:space="preserve"> PAGEREF _dv4nibf311p7 \h </w:instrText>
            <w:fldChar w:fldCharType="separate"/>
          </w:r>
          <w:r w:rsidDel="00000000" w:rsidR="00000000" w:rsidRPr="00000000">
            <w:rPr>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0">
          <w:pPr>
            <w:widowControl w:val="0"/>
            <w:tabs>
              <w:tab w:val="right" w:leader="dot" w:pos="9360"/>
            </w:tabs>
            <w:spacing w:before="60" w:lineRule="auto"/>
            <w:rPr>
              <w:b w:val="1"/>
              <w:color w:val="000000"/>
              <w:u w:val="none"/>
            </w:rPr>
          </w:pPr>
          <w:hyperlink w:anchor="_1fob9te">
            <w:r w:rsidDel="00000000" w:rsidR="00000000" w:rsidRPr="00000000">
              <w:rPr>
                <w:b w:val="1"/>
                <w:color w:val="000000"/>
                <w:u w:val="none"/>
                <w:rtl w:val="0"/>
              </w:rPr>
              <w:t xml:space="preserve">Conclude and produce recommendations for ASSI’s management</w:t>
              <w:tab/>
            </w:r>
          </w:hyperlink>
          <w:r w:rsidDel="00000000" w:rsidR="00000000" w:rsidRPr="00000000">
            <w:fldChar w:fldCharType="begin"/>
            <w:instrText xml:space="preserve"> PAGEREF _1fob9te \h </w:instrText>
            <w:fldChar w:fldCharType="separate"/>
          </w:r>
          <w:r w:rsidDel="00000000" w:rsidR="00000000" w:rsidRPr="00000000">
            <w:rPr>
              <w:b w:val="1"/>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1">
          <w:pPr>
            <w:widowControl w:val="0"/>
            <w:tabs>
              <w:tab w:val="right" w:leader="dot" w:pos="9360"/>
            </w:tabs>
            <w:spacing w:before="60" w:lineRule="auto"/>
            <w:rPr>
              <w:b w:val="1"/>
              <w:color w:val="000000"/>
              <w:u w:val="none"/>
            </w:rPr>
          </w:pPr>
          <w:hyperlink w:anchor="_3znysh7">
            <w:r w:rsidDel="00000000" w:rsidR="00000000" w:rsidRPr="00000000">
              <w:rPr>
                <w:b w:val="1"/>
                <w:color w:val="000000"/>
                <w:u w:val="none"/>
                <w:rtl w:val="0"/>
              </w:rPr>
              <w:t xml:space="preserve">References:</w:t>
              <w:tab/>
            </w:r>
          </w:hyperlink>
          <w:r w:rsidDel="00000000" w:rsidR="00000000" w:rsidRPr="00000000">
            <w:fldChar w:fldCharType="begin"/>
            <w:instrText xml:space="preserve"> PAGEREF _3znysh7 \h </w:instrText>
            <w:fldChar w:fldCharType="separate"/>
          </w:r>
          <w:r w:rsidDel="00000000" w:rsidR="00000000" w:rsidRPr="00000000">
            <w:rPr>
              <w:b w:val="1"/>
              <w:rtl w:val="0"/>
            </w:rPr>
            <w:t xml:space="preserve">10</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2">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3">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4">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5">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7">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8">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9">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A">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C">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D">
      <w:pPr>
        <w:pStyle w:val="Heading1"/>
        <w:rPr/>
      </w:pPr>
      <w:r w:rsidDel="00000000" w:rsidR="00000000" w:rsidRPr="00000000">
        <w:rPr>
          <w:rtl w:val="0"/>
        </w:rPr>
        <w:t xml:space="preserve">Introduction:</w:t>
      </w:r>
    </w:p>
    <w:p w:rsidR="00000000" w:rsidDel="00000000" w:rsidP="00000000" w:rsidRDefault="00000000" w:rsidRPr="00000000" w14:paraId="0000003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scenario given it is this one:, ASSI, a major consumer goods retailer in the UK with a significant market share, has seen significant growth and revenue pressure. Jesse Zole, the company's largest shareholder who inherited his portion, has voiced his displeasure with the diminishing profitability. Jesse Zole proposed a similar course of action, particularly for ASSI's exclusive product line, drawing on his grandfather's (the company's founder) approach of raising pricing.The necessity for further discussion among the management to consider the implications of such a pricing plan in the current market situation was spurred by Jesse Zole's statement. This assignment aims to critically evaluate All Seasons Supplies Incorporated's (ASSI) proposed strategy of raising prices to increase earnings, utilizing economic theories, strategic frameworks, and considering stakeholder perspectives. The outcome will be actionable recommendations for ASSI's management to ensure informed decision-making.</w:t>
      </w:r>
    </w:p>
    <w:p w:rsidR="00000000" w:rsidDel="00000000" w:rsidP="00000000" w:rsidRDefault="00000000" w:rsidRPr="00000000" w14:paraId="0000003F">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0">
      <w:pPr>
        <w:pStyle w:val="Heading2"/>
        <w:rPr>
          <w:rFonts w:ascii="Arial" w:cs="Arial" w:eastAsia="Arial" w:hAnsi="Arial"/>
          <w:sz w:val="32"/>
          <w:szCs w:val="32"/>
        </w:rPr>
      </w:pPr>
      <w:bookmarkStart w:colFirst="0" w:colLast="0" w:name="_gjdgxs" w:id="0"/>
      <w:bookmarkEnd w:id="0"/>
      <w:r w:rsidDel="00000000" w:rsidR="00000000" w:rsidRPr="00000000">
        <w:rPr>
          <w:rFonts w:ascii="Arial" w:cs="Arial" w:eastAsia="Arial" w:hAnsi="Arial"/>
          <w:sz w:val="32"/>
          <w:szCs w:val="32"/>
          <w:rtl w:val="0"/>
        </w:rPr>
        <w:t xml:space="preserve">Explain Profit Maximisation Theory:</w:t>
      </w:r>
    </w:p>
    <w:p w:rsidR="00000000" w:rsidDel="00000000" w:rsidP="00000000" w:rsidRDefault="00000000" w:rsidRPr="00000000" w14:paraId="0000004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ASSI's case, a sudden increase in the prices of our own branded products could result in a similar circumstance where customers may start to question the value they receive, which can destroy customer base loyalty, lower sales volume, and ultimately lower profits (case study,nd)</w:t>
      </w:r>
    </w:p>
    <w:p w:rsidR="00000000" w:rsidDel="00000000" w:rsidP="00000000" w:rsidRDefault="00000000" w:rsidRPr="00000000" w14:paraId="0000004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J.C. Penney, a US store, is a prime illustration of a failure brought on by disregarding competitors in the market. The retailer changed to a high-low pricing strategy without taking market trends into account in an effort to handle the rising prices. In the end, J.C. Penney's market share and profitability significantly declined as a result of the competitors' continued use of their standard low pricing strategy (Crunchbase,nd)For ASSI, failing to consider the competitive environment and sharply raising our pricing would encourage rivals to fill the void by providing comparable items at a lower price, reducing our market share. Given that ASSI has been in business for more than a century, it has developed a solid brand reputation that needs to be upheld. A sense of price gouging may result from abrupt price increases, which could harm a company's reputation (Biron,2022)As a result, in the real world of business, sustainability is crucial and has developed into a key element when it comes to the long-term elements of the business, even though profit maximisation is also the ultimate objective. Therefore, as part of our overall business strategy, it is crucial to evaluate the aspects connected to supply chain resilience, employee happiness, and environmental effect (Consultancy.uk,2022).</w:t>
      </w:r>
    </w:p>
    <w:p w:rsidR="00000000" w:rsidDel="00000000" w:rsidP="00000000" w:rsidRDefault="00000000" w:rsidRPr="00000000" w14:paraId="0000004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 economic theory known as the "profit maximisation theory" states that a company's ultimate goal should be to generate the highest possible returns for its owners. Finding the sweet spot where benefits outweigh expenses by the greatest margin and, as a result, provide the largest profits is implied by this, according to Henderson and Douglad(2004).The notion is predicated on rational behaviour, competitive markets, and businesses' constant pursuit of the maximum net return.When analysing the situation, it's critical to look at Jesse Zole and the remark that suggests this idea. He advocated for higher product prices, particularly for ASSI's unique brands, in order to improve the company's earnings. ASSI has a sizable market share, this could decrease if our prices rise above those of our competitors. Competitors might take advantage of the chance to undercut our pricing, which would result in a loss of market share (Pasztor and Jarosz, 2020)In addition to focusing on product offerings, in-store experiences, and digital transformation, ASSI must also ensure continuous growth in these areas. It is a risk for the firm to ignore these essential growth drivers if it only focuses on increasing revenue because that will damage the company's brand image. The Profit Maximisation Theory is supported by this tactic (Pasztor and Jarosz, 2020)If the demand for these products continues to be inelastic, increasing the prices of the product lines can simply increase revenues. It is crucial to note that in terms of this, maximum profit is related to business operations and is not the only factor in determining a company's long-term viability or health (Retail Week,2020) In addition, other aspects must be taken into account. Other crucial considerations in light of ASSI's circumstance include:One of ASSI's most valuable assets as a retailer of consumer products is its customer base. Unjustified price increases may cause customers to become dissatisfied and switch to more aggressive competitors. Price increases and consumer satisfaction levels must be balanced, according to Consultancy(2017).Profit maximisation theory has important applications, but they must be used in a larger strategic context. A balanced strategy that takes into account profit maximisation in addition to these crucial variables is required given the current situation at ASSI (Pasztor and Jarosz, 2020)Customer contentment When Borders, a big chain of bookstores, increased their pricing to bolster their profit margins, some of the customers simply stopped shopping there because they felt the move was unjustified given the service or product improvements. The outcome was a drop in income as a result of the price increase designed to maximise profit (Pasztor and Jarosz, 2020)</w:t>
      </w:r>
    </w:p>
    <w:p w:rsidR="00000000" w:rsidDel="00000000" w:rsidP="00000000" w:rsidRDefault="00000000" w:rsidRPr="00000000" w14:paraId="0000004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5">
      <w:pPr>
        <w:pStyle w:val="Heading2"/>
        <w:rPr>
          <w:rFonts w:ascii="Arial" w:cs="Arial" w:eastAsia="Arial" w:hAnsi="Arial"/>
          <w:sz w:val="32"/>
          <w:szCs w:val="32"/>
        </w:rPr>
      </w:pPr>
      <w:bookmarkStart w:colFirst="0" w:colLast="0" w:name="_30j0zll" w:id="1"/>
      <w:bookmarkEnd w:id="1"/>
      <w:r w:rsidDel="00000000" w:rsidR="00000000" w:rsidRPr="00000000">
        <w:rPr>
          <w:rFonts w:ascii="Arial" w:cs="Arial" w:eastAsia="Arial" w:hAnsi="Arial"/>
          <w:sz w:val="32"/>
          <w:szCs w:val="32"/>
          <w:rtl w:val="0"/>
        </w:rPr>
        <w:t xml:space="preserve">Apply appropriate economic theories:</w:t>
      </w:r>
    </w:p>
    <w:p w:rsidR="00000000" w:rsidDel="00000000" w:rsidP="00000000" w:rsidRDefault="00000000" w:rsidRPr="00000000" w14:paraId="0000004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the law of demand, the quantity demanded decreases as prices rise.Therefore, ASSI must always consider the elasticity of the pricing in relation to the demand for the particular goods, and if elasticity exists, the price will rise further and lead to a considerable decrease in the amount required, resulting in a decrease in income(Marketline,2022)An noteworthy illustration to back up the aforementioned claim is HBO, whose subscription costs increased by 10% in 2021. Because the demand for their service was more elastic than they had anticipated, it led to a sizable loss of customers (Pasztor and Jarosz, 2020)</w:t>
      </w:r>
    </w:p>
    <w:p w:rsidR="00000000" w:rsidDel="00000000" w:rsidP="00000000" w:rsidRDefault="00000000" w:rsidRPr="00000000" w14:paraId="0000004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ASSI should think about how a price increase would affect the cost of things sold when analysing the supply side. The predicted rise in profit margins may be undermined if suppliers increase their pricing in response (Retail Week,2020)</w:t>
      </w:r>
    </w:p>
    <w:p w:rsidR="00000000" w:rsidDel="00000000" w:rsidP="00000000" w:rsidRDefault="00000000" w:rsidRPr="00000000" w14:paraId="0000004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In this section, it is crucial to take into account the elements that have an influence on the company's operations, according to the case study. Useful frameworks to do this include Porter's Five Forces, Pestle, and Swot. One particularly important aspect to consider from an economic standpoint is how changes in consumer behaviour and the expanding e-commerce trend may affect our decision to raise prices. For instance, many shops who raised prices in the wake of the 2008 financial crisis reported a drop in sales volume as consumer spending power decreased (Pasztor and Jarosz, 2020)ASSI competes in a fiercely competitive retail market that is characterised by low entry and exit barriers and high levels of competition. In certain areas, a substantial price rise might result in a decline in market share. This market characteristic was successfully used by Walmart's "everyday low prices" strategy to seize a sizeable share of the retail market (Pasztor and Jarosz, 2020)Given ASSI's substantial market share and the distinctive value proposition of its premium products, it is easy to see a significant degree of price inelasticity, which means that for customers, raising prices will be perceived as unfair. An excellent illustration of this is the harsh criticism Samsung received recently  for being of lower quality than Apple. Customers looked for alternatives despite Apple's large market share, which prompted them to make major product improvements. We must make sure that the value of our premium products remains in line with their cost. Customers can readily switch as a result when prices rise (Statista, 2023).</w:t>
      </w:r>
    </w:p>
    <w:p w:rsidR="00000000" w:rsidDel="00000000" w:rsidP="00000000" w:rsidRDefault="00000000" w:rsidRPr="00000000" w14:paraId="0000004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addition to profit maximisation, goals including market dominance, client satisfaction, brand loyalty, and long-term growth must also be taken into account. In order to achieve long-term growth and consumer pleasure, businesses like Amazon have frequently sacrificed short-term earnings (Turvey,2022)</w:t>
      </w:r>
    </w:p>
    <w:p w:rsidR="00000000" w:rsidDel="00000000" w:rsidP="00000000" w:rsidRDefault="00000000" w:rsidRPr="00000000" w14:paraId="0000004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It's important to take into account all stakeholders, including the community at large, customers, suppliers, and employees. For instance, if price increases result in lower sales, it would be necessary to reduce the staff, which would have an effect on worker morale and productivity. Online buying has significantly changed the retail industry. This pattern was intensified globally, including in the UK, by the COVID-19 pandemic. ASSI's pricing strategy and overarching business plan should take these trends into account.</w:t>
      </w:r>
    </w:p>
    <w:p w:rsidR="00000000" w:rsidDel="00000000" w:rsidP="00000000" w:rsidRDefault="00000000" w:rsidRPr="00000000" w14:paraId="0000004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ASSI's objective is to maintain market dominance and brand recognition in addition to generating income. A quick price rise might enhance earnings in the near term, but it might also harm the company's reputation. For instance, Aldi  a retailer renowned for its high-quality goods, encountered criticism for raising milk prices in 2015. The scandal damaged their brand's reputation, and the retailer struggled to regain the confidence of their customers (Deloitte,2022)</w:t>
      </w:r>
    </w:p>
    <w:p w:rsidR="00000000" w:rsidDel="00000000" w:rsidP="00000000" w:rsidRDefault="00000000" w:rsidRPr="00000000" w14:paraId="0000004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Despite ASSI's significant market share, there are several competitors in the UK's retail industry, including Aldi, Tesco. A big price increase can entice these rivals to steal our clients by providing comparable goods at lower costs.It is crucial that ASSI's management consider the big picture, keeping in mind the market structure, business environment, other business objectives, and stakeholder interests in this context because Jesse Zole's idea to increase prices of exclusive products may align with the revenue maximisation objective.To achieve sustainable growth and profitability, ASSI's management must carefully balance the goal of profit maximisation with these factors. Long-term strategic benefits for ASSI and its stakeholders should be considered while making any decisions (Deloitte,2022)</w:t>
      </w:r>
    </w:p>
    <w:p w:rsidR="00000000" w:rsidDel="00000000" w:rsidP="00000000" w:rsidRDefault="00000000" w:rsidRPr="00000000" w14:paraId="0000004D">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F">
      <w:pPr>
        <w:spacing w:line="360" w:lineRule="auto"/>
        <w:jc w:val="both"/>
        <w:rPr>
          <w:rFonts w:ascii="Arial" w:cs="Arial" w:eastAsia="Arial" w:hAnsi="Arial"/>
          <w:sz w:val="22"/>
          <w:szCs w:val="22"/>
        </w:rPr>
      </w:pPr>
      <w:r w:rsidDel="00000000" w:rsidR="00000000" w:rsidRPr="00000000">
        <w:rPr>
          <w:rtl w:val="0"/>
        </w:rPr>
      </w:r>
    </w:p>
    <w:tbl>
      <w:tblPr>
        <w:tblStyle w:val="Table1"/>
        <w:tblW w:w="9795.0" w:type="dxa"/>
        <w:jc w:val="left"/>
        <w:tblBorders>
          <w:top w:color="9cc3e5" w:space="0" w:sz="4" w:val="single"/>
          <w:left w:color="9cc3e5" w:space="0" w:sz="4" w:val="single"/>
          <w:bottom w:color="9cc3e5" w:space="0" w:sz="4" w:val="single"/>
          <w:right w:color="9cc3e5" w:space="0" w:sz="4" w:val="single"/>
          <w:insideH w:color="9cc3e5" w:space="0" w:sz="4" w:val="single"/>
          <w:insideV w:color="9cc3e5" w:space="0" w:sz="4" w:val="single"/>
        </w:tblBorders>
        <w:tblLayout w:type="fixed"/>
        <w:tblLook w:val="04A0"/>
      </w:tblPr>
      <w:tblGrid>
        <w:gridCol w:w="3809"/>
        <w:gridCol w:w="5986"/>
        <w:tblGridChange w:id="0">
          <w:tblGrid>
            <w:gridCol w:w="3809"/>
            <w:gridCol w:w="5986"/>
          </w:tblGrid>
        </w:tblGridChange>
      </w:tblGrid>
      <w:tr>
        <w:trPr>
          <w:cantSplit w:val="0"/>
          <w:tblHeader w:val="0"/>
        </w:trPr>
        <w:tc>
          <w:tcPr/>
          <w:p w:rsidR="00000000" w:rsidDel="00000000" w:rsidP="00000000" w:rsidRDefault="00000000" w:rsidRPr="00000000" w14:paraId="00000050">
            <w:pPr>
              <w:pStyle w:val="Heading3"/>
              <w:spacing w:line="360" w:lineRule="auto"/>
              <w:jc w:val="both"/>
              <w:rPr>
                <w:rFonts w:ascii="Arial" w:cs="Arial" w:eastAsia="Arial" w:hAnsi="Arial"/>
                <w:sz w:val="26"/>
                <w:szCs w:val="26"/>
              </w:rPr>
            </w:pPr>
            <w:bookmarkStart w:colFirst="0" w:colLast="0" w:name="_ka1aaqebk9dk" w:id="2"/>
            <w:bookmarkEnd w:id="2"/>
            <w:r w:rsidDel="00000000" w:rsidR="00000000" w:rsidRPr="00000000">
              <w:rPr>
                <w:rFonts w:ascii="Arial" w:cs="Arial" w:eastAsia="Arial" w:hAnsi="Arial"/>
                <w:sz w:val="26"/>
                <w:szCs w:val="26"/>
                <w:rtl w:val="0"/>
              </w:rPr>
              <w:t xml:space="preserve">Porter's Five Forces</w:t>
            </w:r>
          </w:p>
        </w:tc>
        <w:tc>
          <w:tcPr/>
          <w:p w:rsidR="00000000" w:rsidDel="00000000" w:rsidP="00000000" w:rsidRDefault="00000000" w:rsidRPr="00000000" w14:paraId="0000005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Analysis</w:t>
            </w:r>
          </w:p>
        </w:tc>
      </w:tr>
      <w:tr>
        <w:trPr>
          <w:cantSplit w:val="0"/>
          <w:tblHeader w:val="0"/>
        </w:trPr>
        <w:tc>
          <w:tcPr/>
          <w:p w:rsidR="00000000" w:rsidDel="00000000" w:rsidP="00000000" w:rsidRDefault="00000000" w:rsidRPr="00000000" w14:paraId="00000052">
            <w:pPr>
              <w:spacing w:line="36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Bargaining Power of Suppliers</w:t>
            </w:r>
            <w:r w:rsidDel="00000000" w:rsidR="00000000" w:rsidRPr="00000000">
              <w:rPr>
                <w:rtl w:val="0"/>
              </w:rPr>
            </w:r>
          </w:p>
        </w:tc>
        <w:tc>
          <w:tcPr/>
          <w:p w:rsidR="00000000" w:rsidDel="00000000" w:rsidP="00000000" w:rsidRDefault="00000000" w:rsidRPr="00000000" w14:paraId="0000005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Strong supplier relationships crucial for product supply</w:t>
            </w:r>
          </w:p>
          <w:p w:rsidR="00000000" w:rsidDel="00000000" w:rsidP="00000000" w:rsidRDefault="00000000" w:rsidRPr="00000000" w14:paraId="0000005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 Potential risk of price increase from suppliers</w:t>
            </w:r>
          </w:p>
        </w:tc>
      </w:tr>
      <w:tr>
        <w:trPr>
          <w:cantSplit w:val="0"/>
          <w:tblHeader w:val="0"/>
        </w:trPr>
        <w:tc>
          <w:tcPr/>
          <w:p w:rsidR="00000000" w:rsidDel="00000000" w:rsidP="00000000" w:rsidRDefault="00000000" w:rsidRPr="00000000" w14:paraId="00000055">
            <w:pPr>
              <w:spacing w:line="36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Bargaining Power of Buyers</w:t>
            </w:r>
            <w:r w:rsidDel="00000000" w:rsidR="00000000" w:rsidRPr="00000000">
              <w:rPr>
                <w:rtl w:val="0"/>
              </w:rPr>
            </w:r>
          </w:p>
        </w:tc>
        <w:tc>
          <w:tcPr/>
          <w:p w:rsidR="00000000" w:rsidDel="00000000" w:rsidP="00000000" w:rsidRDefault="00000000" w:rsidRPr="00000000" w14:paraId="0000005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High due to intense competition and variety of products</w:t>
            </w:r>
          </w:p>
          <w:p w:rsidR="00000000" w:rsidDel="00000000" w:rsidP="00000000" w:rsidRDefault="00000000" w:rsidRPr="00000000" w14:paraId="0000005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 Pricing decisions directly impact customer behavior</w:t>
            </w:r>
          </w:p>
        </w:tc>
      </w:tr>
      <w:tr>
        <w:trPr>
          <w:cantSplit w:val="0"/>
          <w:tblHeader w:val="0"/>
        </w:trPr>
        <w:tc>
          <w:tcPr/>
          <w:p w:rsidR="00000000" w:rsidDel="00000000" w:rsidP="00000000" w:rsidRDefault="00000000" w:rsidRPr="00000000" w14:paraId="00000058">
            <w:pPr>
              <w:spacing w:line="36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Threat of New Entrants</w:t>
            </w:r>
            <w:r w:rsidDel="00000000" w:rsidR="00000000" w:rsidRPr="00000000">
              <w:rPr>
                <w:rtl w:val="0"/>
              </w:rPr>
            </w:r>
          </w:p>
        </w:tc>
        <w:tc>
          <w:tcPr/>
          <w:p w:rsidR="00000000" w:rsidDel="00000000" w:rsidP="00000000" w:rsidRDefault="00000000" w:rsidRPr="00000000" w14:paraId="0000005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Moderate; significant capital requirement</w:t>
            </w:r>
          </w:p>
          <w:p w:rsidR="00000000" w:rsidDel="00000000" w:rsidP="00000000" w:rsidRDefault="00000000" w:rsidRPr="00000000" w14:paraId="0000005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Brand reputation acts as a barrier(Statista,2022)</w:t>
            </w:r>
          </w:p>
        </w:tc>
      </w:tr>
      <w:tr>
        <w:trPr>
          <w:cantSplit w:val="0"/>
          <w:tblHeader w:val="0"/>
        </w:trPr>
        <w:tc>
          <w:tcPr/>
          <w:p w:rsidR="00000000" w:rsidDel="00000000" w:rsidP="00000000" w:rsidRDefault="00000000" w:rsidRPr="00000000" w14:paraId="0000005B">
            <w:pPr>
              <w:spacing w:line="36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Threat of Substitute Products or Services</w:t>
            </w:r>
            <w:r w:rsidDel="00000000" w:rsidR="00000000" w:rsidRPr="00000000">
              <w:rPr>
                <w:rtl w:val="0"/>
              </w:rPr>
            </w:r>
          </w:p>
        </w:tc>
        <w:tc>
          <w:tcPr/>
          <w:p w:rsidR="00000000" w:rsidDel="00000000" w:rsidP="00000000" w:rsidRDefault="00000000" w:rsidRPr="00000000" w14:paraId="0000005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High due to the wide range of similar products</w:t>
            </w:r>
          </w:p>
          <w:p w:rsidR="00000000" w:rsidDel="00000000" w:rsidP="00000000" w:rsidRDefault="00000000" w:rsidRPr="00000000" w14:paraId="0000005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 Switching costs for consumers are low (Pasztor and Jarosz, 2020)</w:t>
            </w:r>
          </w:p>
        </w:tc>
      </w:tr>
      <w:tr>
        <w:trPr>
          <w:cantSplit w:val="0"/>
          <w:tblHeader w:val="0"/>
        </w:trPr>
        <w:tc>
          <w:tcPr/>
          <w:p w:rsidR="00000000" w:rsidDel="00000000" w:rsidP="00000000" w:rsidRDefault="00000000" w:rsidRPr="00000000" w14:paraId="0000005E">
            <w:pPr>
              <w:spacing w:line="36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Rivalry among Existing Competitors</w:t>
            </w:r>
            <w:r w:rsidDel="00000000" w:rsidR="00000000" w:rsidRPr="00000000">
              <w:rPr>
                <w:rtl w:val="0"/>
              </w:rPr>
            </w:r>
          </w:p>
        </w:tc>
        <w:tc>
          <w:tcPr/>
          <w:p w:rsidR="00000000" w:rsidDel="00000000" w:rsidP="00000000" w:rsidRDefault="00000000" w:rsidRPr="00000000" w14:paraId="0000005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Intense due to numerous competitors</w:t>
            </w:r>
          </w:p>
          <w:p w:rsidR="00000000" w:rsidDel="00000000" w:rsidP="00000000" w:rsidRDefault="00000000" w:rsidRPr="00000000" w14:paraId="0000006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Price plays a significant role in competition</w:t>
            </w:r>
          </w:p>
        </w:tc>
      </w:tr>
    </w:tbl>
    <w:p w:rsidR="00000000" w:rsidDel="00000000" w:rsidP="00000000" w:rsidRDefault="00000000" w:rsidRPr="00000000" w14:paraId="00000061">
      <w:pPr>
        <w:spacing w:line="360" w:lineRule="auto"/>
        <w:jc w:val="both"/>
        <w:rPr>
          <w:rFonts w:ascii="Arial" w:cs="Arial" w:eastAsia="Arial" w:hAnsi="Arial"/>
          <w:sz w:val="22"/>
          <w:szCs w:val="22"/>
        </w:rPr>
      </w:pPr>
      <w:r w:rsidDel="00000000" w:rsidR="00000000" w:rsidRPr="00000000">
        <w:rPr>
          <w:rtl w:val="0"/>
        </w:rPr>
      </w:r>
    </w:p>
    <w:tbl>
      <w:tblPr>
        <w:tblStyle w:val="Table2"/>
        <w:tblW w:w="9795.0" w:type="dxa"/>
        <w:jc w:val="left"/>
        <w:tblBorders>
          <w:top w:color="9cc3e5" w:space="0" w:sz="4" w:val="single"/>
          <w:left w:color="9cc3e5" w:space="0" w:sz="4" w:val="single"/>
          <w:bottom w:color="9cc3e5" w:space="0" w:sz="4" w:val="single"/>
          <w:right w:color="9cc3e5" w:space="0" w:sz="4" w:val="single"/>
          <w:insideH w:color="9cc3e5" w:space="0" w:sz="4" w:val="single"/>
          <w:insideV w:color="9cc3e5" w:space="0" w:sz="4" w:val="single"/>
        </w:tblBorders>
        <w:tblLayout w:type="fixed"/>
        <w:tblLook w:val="04A0"/>
      </w:tblPr>
      <w:tblGrid>
        <w:gridCol w:w="2208"/>
        <w:gridCol w:w="7587"/>
        <w:tblGridChange w:id="0">
          <w:tblGrid>
            <w:gridCol w:w="2208"/>
            <w:gridCol w:w="7587"/>
          </w:tblGrid>
        </w:tblGridChange>
      </w:tblGrid>
      <w:tr>
        <w:trPr>
          <w:cantSplit w:val="0"/>
          <w:tblHeader w:val="0"/>
        </w:trPr>
        <w:tc>
          <w:tcPr/>
          <w:p w:rsidR="00000000" w:rsidDel="00000000" w:rsidP="00000000" w:rsidRDefault="00000000" w:rsidRPr="00000000" w14:paraId="00000062">
            <w:pPr>
              <w:pStyle w:val="Heading3"/>
              <w:spacing w:line="360" w:lineRule="auto"/>
              <w:jc w:val="both"/>
              <w:rPr>
                <w:rFonts w:ascii="Arial" w:cs="Arial" w:eastAsia="Arial" w:hAnsi="Arial"/>
                <w:sz w:val="26"/>
                <w:szCs w:val="26"/>
              </w:rPr>
            </w:pPr>
            <w:bookmarkStart w:colFirst="0" w:colLast="0" w:name="_3sisdlasu20d" w:id="3"/>
            <w:bookmarkEnd w:id="3"/>
            <w:r w:rsidDel="00000000" w:rsidR="00000000" w:rsidRPr="00000000">
              <w:rPr>
                <w:rFonts w:ascii="Arial" w:cs="Arial" w:eastAsia="Arial" w:hAnsi="Arial"/>
                <w:sz w:val="26"/>
                <w:szCs w:val="26"/>
                <w:rtl w:val="0"/>
              </w:rPr>
              <w:t xml:space="preserve">PESTLE Factor</w:t>
            </w:r>
          </w:p>
        </w:tc>
        <w:tc>
          <w:tcPr/>
          <w:p w:rsidR="00000000" w:rsidDel="00000000" w:rsidP="00000000" w:rsidRDefault="00000000" w:rsidRPr="00000000" w14:paraId="0000006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Analysis</w:t>
            </w:r>
          </w:p>
        </w:tc>
      </w:tr>
      <w:tr>
        <w:trPr>
          <w:cantSplit w:val="0"/>
          <w:tblHeader w:val="0"/>
        </w:trPr>
        <w:tc>
          <w:tcPr/>
          <w:p w:rsidR="00000000" w:rsidDel="00000000" w:rsidP="00000000" w:rsidRDefault="00000000" w:rsidRPr="00000000" w14:paraId="0000006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Political</w:t>
            </w:r>
          </w:p>
        </w:tc>
        <w:tc>
          <w:tcPr/>
          <w:p w:rsidR="00000000" w:rsidDel="00000000" w:rsidP="00000000" w:rsidRDefault="00000000" w:rsidRPr="00000000" w14:paraId="0000006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Brexit may influence trade regulations</w:t>
            </w:r>
          </w:p>
          <w:p w:rsidR="00000000" w:rsidDel="00000000" w:rsidP="00000000" w:rsidRDefault="00000000" w:rsidRPr="00000000" w14:paraId="0000006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Stable political environment generally</w:t>
            </w:r>
          </w:p>
        </w:tc>
      </w:tr>
      <w:tr>
        <w:trPr>
          <w:cantSplit w:val="0"/>
          <w:tblHeader w:val="0"/>
        </w:trPr>
        <w:tc>
          <w:tcPr/>
          <w:p w:rsidR="00000000" w:rsidDel="00000000" w:rsidP="00000000" w:rsidRDefault="00000000" w:rsidRPr="00000000" w14:paraId="0000006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Economic</w:t>
            </w:r>
          </w:p>
        </w:tc>
        <w:tc>
          <w:tcPr/>
          <w:p w:rsidR="00000000" w:rsidDel="00000000" w:rsidP="00000000" w:rsidRDefault="00000000" w:rsidRPr="00000000" w14:paraId="0000006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Potential economic growth post-COVID recovery</w:t>
            </w:r>
          </w:p>
          <w:p w:rsidR="00000000" w:rsidDel="00000000" w:rsidP="00000000" w:rsidRDefault="00000000" w:rsidRPr="00000000" w14:paraId="0000006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 Currency fluctuations could impact costs</w:t>
            </w:r>
          </w:p>
        </w:tc>
      </w:tr>
      <w:tr>
        <w:trPr>
          <w:cantSplit w:val="0"/>
          <w:tblHeader w:val="0"/>
        </w:trPr>
        <w:tc>
          <w:tcPr/>
          <w:p w:rsidR="00000000" w:rsidDel="00000000" w:rsidP="00000000" w:rsidRDefault="00000000" w:rsidRPr="00000000" w14:paraId="0000006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Sociocultural</w:t>
            </w:r>
          </w:p>
        </w:tc>
        <w:tc>
          <w:tcPr/>
          <w:p w:rsidR="00000000" w:rsidDel="00000000" w:rsidP="00000000" w:rsidRDefault="00000000" w:rsidRPr="00000000" w14:paraId="0000006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High consumer awareness about sustainability</w:t>
            </w:r>
          </w:p>
          <w:p w:rsidR="00000000" w:rsidDel="00000000" w:rsidP="00000000" w:rsidRDefault="00000000" w:rsidRPr="00000000" w14:paraId="0000006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Shift towards online shopping(Statista,2022)</w:t>
            </w:r>
          </w:p>
        </w:tc>
      </w:tr>
      <w:tr>
        <w:trPr>
          <w:cantSplit w:val="0"/>
          <w:tblHeader w:val="0"/>
        </w:trPr>
        <w:tc>
          <w:tcPr/>
          <w:p w:rsidR="00000000" w:rsidDel="00000000" w:rsidP="00000000" w:rsidRDefault="00000000" w:rsidRPr="00000000" w14:paraId="0000006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Technological</w:t>
            </w:r>
          </w:p>
        </w:tc>
        <w:tc>
          <w:tcPr/>
          <w:p w:rsidR="00000000" w:rsidDel="00000000" w:rsidP="00000000" w:rsidRDefault="00000000" w:rsidRPr="00000000" w14:paraId="0000006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Rapid advancements in e-commerce</w:t>
            </w:r>
          </w:p>
          <w:p w:rsidR="00000000" w:rsidDel="00000000" w:rsidP="00000000" w:rsidRDefault="00000000" w:rsidRPr="00000000" w14:paraId="0000006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 Increasing importance of data security</w:t>
            </w:r>
          </w:p>
        </w:tc>
      </w:tr>
      <w:tr>
        <w:trPr>
          <w:cantSplit w:val="0"/>
          <w:tblHeader w:val="0"/>
        </w:trPr>
        <w:tc>
          <w:tcPr/>
          <w:p w:rsidR="00000000" w:rsidDel="00000000" w:rsidP="00000000" w:rsidRDefault="00000000" w:rsidRPr="00000000" w14:paraId="0000007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Legal</w:t>
            </w:r>
          </w:p>
        </w:tc>
        <w:tc>
          <w:tcPr/>
          <w:p w:rsidR="00000000" w:rsidDel="00000000" w:rsidP="00000000" w:rsidRDefault="00000000" w:rsidRPr="00000000" w14:paraId="0000007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GDPR and data protection laws</w:t>
            </w:r>
          </w:p>
          <w:p w:rsidR="00000000" w:rsidDel="00000000" w:rsidP="00000000" w:rsidRDefault="00000000" w:rsidRPr="00000000" w14:paraId="0000007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 Strict labor and environmental regulations(Studysmarter,2022)</w:t>
            </w:r>
          </w:p>
        </w:tc>
      </w:tr>
      <w:tr>
        <w:trPr>
          <w:cantSplit w:val="0"/>
          <w:tblHeader w:val="0"/>
        </w:trPr>
        <w:tc>
          <w:tcPr/>
          <w:p w:rsidR="00000000" w:rsidDel="00000000" w:rsidP="00000000" w:rsidRDefault="00000000" w:rsidRPr="00000000" w14:paraId="0000007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Environmental</w:t>
            </w:r>
          </w:p>
        </w:tc>
        <w:tc>
          <w:tcPr/>
          <w:p w:rsidR="00000000" w:rsidDel="00000000" w:rsidP="00000000" w:rsidRDefault="00000000" w:rsidRPr="00000000" w14:paraId="0000007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Increased scrutiny of plastic and packaging waste</w:t>
            </w:r>
          </w:p>
          <w:p w:rsidR="00000000" w:rsidDel="00000000" w:rsidP="00000000" w:rsidRDefault="00000000" w:rsidRPr="00000000" w14:paraId="0000007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 Pressure to reduce carbon footprint</w:t>
            </w:r>
          </w:p>
        </w:tc>
      </w:tr>
    </w:tbl>
    <w:p w:rsidR="00000000" w:rsidDel="00000000" w:rsidP="00000000" w:rsidRDefault="00000000" w:rsidRPr="00000000" w14:paraId="00000076">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7">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8">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9">
      <w:pPr>
        <w:spacing w:line="360" w:lineRule="auto"/>
        <w:jc w:val="both"/>
        <w:rPr>
          <w:rFonts w:ascii="Arial" w:cs="Arial" w:eastAsia="Arial" w:hAnsi="Arial"/>
          <w:sz w:val="22"/>
          <w:szCs w:val="22"/>
        </w:rPr>
      </w:pPr>
      <w:r w:rsidDel="00000000" w:rsidR="00000000" w:rsidRPr="00000000">
        <w:rPr>
          <w:rtl w:val="0"/>
        </w:rPr>
      </w:r>
    </w:p>
    <w:tbl>
      <w:tblPr>
        <w:tblStyle w:val="Table3"/>
        <w:tblW w:w="9795.0" w:type="dxa"/>
        <w:jc w:val="left"/>
        <w:tblBorders>
          <w:top w:color="9cc3e5" w:space="0" w:sz="4" w:val="single"/>
          <w:left w:color="9cc3e5" w:space="0" w:sz="4" w:val="single"/>
          <w:bottom w:color="9cc3e5" w:space="0" w:sz="4" w:val="single"/>
          <w:right w:color="9cc3e5" w:space="0" w:sz="4" w:val="single"/>
          <w:insideH w:color="9cc3e5" w:space="0" w:sz="4" w:val="single"/>
          <w:insideV w:color="9cc3e5" w:space="0" w:sz="4" w:val="single"/>
        </w:tblBorders>
        <w:tblLayout w:type="fixed"/>
        <w:tblLook w:val="04A0"/>
      </w:tblPr>
      <w:tblGrid>
        <w:gridCol w:w="1884"/>
        <w:gridCol w:w="7911"/>
        <w:tblGridChange w:id="0">
          <w:tblGrid>
            <w:gridCol w:w="1884"/>
            <w:gridCol w:w="7911"/>
          </w:tblGrid>
        </w:tblGridChange>
      </w:tblGrid>
      <w:tr>
        <w:trPr>
          <w:cantSplit w:val="0"/>
          <w:tblHeader w:val="0"/>
        </w:trPr>
        <w:tc>
          <w:tcPr/>
          <w:p w:rsidR="00000000" w:rsidDel="00000000" w:rsidP="00000000" w:rsidRDefault="00000000" w:rsidRPr="00000000" w14:paraId="0000007A">
            <w:pPr>
              <w:pStyle w:val="Heading3"/>
              <w:spacing w:line="360" w:lineRule="auto"/>
              <w:jc w:val="both"/>
              <w:rPr>
                <w:rFonts w:ascii="Arial" w:cs="Arial" w:eastAsia="Arial" w:hAnsi="Arial"/>
                <w:sz w:val="26"/>
                <w:szCs w:val="26"/>
              </w:rPr>
            </w:pPr>
            <w:bookmarkStart w:colFirst="0" w:colLast="0" w:name="_dv4nibf311p7" w:id="4"/>
            <w:bookmarkEnd w:id="4"/>
            <w:r w:rsidDel="00000000" w:rsidR="00000000" w:rsidRPr="00000000">
              <w:rPr>
                <w:rFonts w:ascii="Arial" w:cs="Arial" w:eastAsia="Arial" w:hAnsi="Arial"/>
                <w:sz w:val="26"/>
                <w:szCs w:val="26"/>
                <w:rtl w:val="0"/>
              </w:rPr>
              <w:t xml:space="preserve">SWOT Analysis</w:t>
            </w:r>
          </w:p>
        </w:tc>
        <w:tc>
          <w:tcPr/>
          <w:p w:rsidR="00000000" w:rsidDel="00000000" w:rsidP="00000000" w:rsidRDefault="00000000" w:rsidRPr="00000000" w14:paraId="0000007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Details</w:t>
            </w:r>
          </w:p>
        </w:tc>
      </w:tr>
      <w:tr>
        <w:trPr>
          <w:cantSplit w:val="0"/>
          <w:tblHeader w:val="0"/>
        </w:trPr>
        <w:tc>
          <w:tcPr/>
          <w:p w:rsidR="00000000" w:rsidDel="00000000" w:rsidP="00000000" w:rsidRDefault="00000000" w:rsidRPr="00000000" w14:paraId="0000007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Strengths</w:t>
            </w:r>
          </w:p>
        </w:tc>
        <w:tc>
          <w:tcPr/>
          <w:p w:rsidR="00000000" w:rsidDel="00000000" w:rsidP="00000000" w:rsidRDefault="00000000" w:rsidRPr="00000000" w14:paraId="0000007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Established brand reputation</w:t>
            </w:r>
          </w:p>
          <w:p w:rsidR="00000000" w:rsidDel="00000000" w:rsidP="00000000" w:rsidRDefault="00000000" w:rsidRPr="00000000" w14:paraId="0000007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Large market share</w:t>
            </w:r>
          </w:p>
          <w:p w:rsidR="00000000" w:rsidDel="00000000" w:rsidP="00000000" w:rsidRDefault="00000000" w:rsidRPr="00000000" w14:paraId="0000007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 Exclusive product line</w:t>
            </w:r>
          </w:p>
        </w:tc>
      </w:tr>
      <w:tr>
        <w:trPr>
          <w:cantSplit w:val="0"/>
          <w:tblHeader w:val="0"/>
        </w:trPr>
        <w:tc>
          <w:tcPr/>
          <w:p w:rsidR="00000000" w:rsidDel="00000000" w:rsidP="00000000" w:rsidRDefault="00000000" w:rsidRPr="00000000" w14:paraId="0000008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Weaknesses</w:t>
            </w:r>
          </w:p>
        </w:tc>
        <w:tc>
          <w:tcPr/>
          <w:p w:rsidR="00000000" w:rsidDel="00000000" w:rsidP="00000000" w:rsidRDefault="00000000" w:rsidRPr="00000000" w14:paraId="0000008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Potential customer backlash to price increases</w:t>
            </w:r>
          </w:p>
          <w:p w:rsidR="00000000" w:rsidDel="00000000" w:rsidP="00000000" w:rsidRDefault="00000000" w:rsidRPr="00000000" w14:paraId="0000008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 Dependence on supplier pricing</w:t>
            </w:r>
          </w:p>
        </w:tc>
      </w:tr>
      <w:tr>
        <w:trPr>
          <w:cantSplit w:val="0"/>
          <w:tblHeader w:val="0"/>
        </w:trPr>
        <w:tc>
          <w:tcPr/>
          <w:p w:rsidR="00000000" w:rsidDel="00000000" w:rsidP="00000000" w:rsidRDefault="00000000" w:rsidRPr="00000000" w14:paraId="0000008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Opportunities</w:t>
            </w:r>
          </w:p>
        </w:tc>
        <w:tc>
          <w:tcPr/>
          <w:p w:rsidR="00000000" w:rsidDel="00000000" w:rsidP="00000000" w:rsidRDefault="00000000" w:rsidRPr="00000000" w14:paraId="0000008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Growing trend of online shopping</w:t>
            </w:r>
          </w:p>
          <w:p w:rsidR="00000000" w:rsidDel="00000000" w:rsidP="00000000" w:rsidRDefault="00000000" w:rsidRPr="00000000" w14:paraId="0000008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 Potential to expand product line</w:t>
            </w:r>
          </w:p>
          <w:p w:rsidR="00000000" w:rsidDel="00000000" w:rsidP="00000000" w:rsidRDefault="00000000" w:rsidRPr="00000000" w14:paraId="0000008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 Opportunity to enhance sustainability efforts</w:t>
            </w:r>
          </w:p>
        </w:tc>
      </w:tr>
      <w:tr>
        <w:trPr>
          <w:cantSplit w:val="0"/>
          <w:tblHeader w:val="0"/>
        </w:trPr>
        <w:tc>
          <w:tcPr/>
          <w:p w:rsidR="00000000" w:rsidDel="00000000" w:rsidP="00000000" w:rsidRDefault="00000000" w:rsidRPr="00000000" w14:paraId="0000008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Threats</w:t>
            </w:r>
          </w:p>
        </w:tc>
        <w:tc>
          <w:tcPr/>
          <w:p w:rsidR="00000000" w:rsidDel="00000000" w:rsidP="00000000" w:rsidRDefault="00000000" w:rsidRPr="00000000" w14:paraId="0000008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Intense market competition</w:t>
            </w:r>
          </w:p>
          <w:p w:rsidR="00000000" w:rsidDel="00000000" w:rsidP="00000000" w:rsidRDefault="00000000" w:rsidRPr="00000000" w14:paraId="0000008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 Changing consumer behavior</w:t>
            </w:r>
          </w:p>
          <w:p w:rsidR="00000000" w:rsidDel="00000000" w:rsidP="00000000" w:rsidRDefault="00000000" w:rsidRPr="00000000" w14:paraId="0000008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 Economic instability affecting consumer spending (Pasztor and Jarosz, 2020)</w:t>
            </w:r>
          </w:p>
        </w:tc>
      </w:tr>
    </w:tbl>
    <w:p w:rsidR="00000000" w:rsidDel="00000000" w:rsidP="00000000" w:rsidRDefault="00000000" w:rsidRPr="00000000" w14:paraId="0000008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D">
      <w:pPr>
        <w:pStyle w:val="Heading1"/>
        <w:rPr>
          <w:rFonts w:ascii="Arial" w:cs="Arial" w:eastAsia="Arial" w:hAnsi="Arial"/>
          <w:sz w:val="30"/>
          <w:szCs w:val="30"/>
        </w:rPr>
      </w:pPr>
      <w:bookmarkStart w:colFirst="0" w:colLast="0" w:name="_1fob9te" w:id="5"/>
      <w:bookmarkEnd w:id="5"/>
      <w:r w:rsidDel="00000000" w:rsidR="00000000" w:rsidRPr="00000000">
        <w:rPr>
          <w:rFonts w:ascii="Arial" w:cs="Arial" w:eastAsia="Arial" w:hAnsi="Arial"/>
          <w:sz w:val="30"/>
          <w:szCs w:val="30"/>
          <w:rtl w:val="0"/>
        </w:rPr>
        <w:t xml:space="preserve">Conclude and produce recommendations for ASSI’s management</w:t>
      </w:r>
    </w:p>
    <w:p w:rsidR="00000000" w:rsidDel="00000000" w:rsidP="00000000" w:rsidRDefault="00000000" w:rsidRPr="00000000" w14:paraId="0000008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Considering the numerous variables at play, ASSI's recommended price increase plan, and these are ineligible. It is crucial to keep in mind that the retail scene now is considerably different from what has been discussed here in relation to ASSI, and what was successful before might not be successful now. A big price increase might not be the best course of action for profit maximisation in a fiercely competitive retail industry with price-sensitive customers and quickly expanding online shopping tendencies. Therefore, while making any strategic decisions, the ASSI management should ensure that there is a balanced approach that considers all these factors. This would help ASSI to secure a stable and prosperous future as well as to preserve its market leadership over the long term.</w:t>
      </w:r>
    </w:p>
    <w:p w:rsidR="00000000" w:rsidDel="00000000" w:rsidP="00000000" w:rsidRDefault="00000000" w:rsidRPr="00000000" w14:paraId="0000009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Below I have consider somre recommendation as based on the given results:</w:t>
      </w:r>
    </w:p>
    <w:p w:rsidR="00000000" w:rsidDel="00000000" w:rsidP="00000000" w:rsidRDefault="00000000" w:rsidRPr="00000000" w14:paraId="0000009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a price increase is deemed necessary, it should be carried out gradually and justifiably while keeping customers informed of the developments. For instance, customers might be more understanding if price increases are tied to greater quality, sustainability initiatives, or improved customer service. It is crucial to increase operational efficiency to save expenses considering the revenue pressure that the ASSI has been taking into consideration for the firm (Deloitte,2022) This could entail improving inventory management, optimising supply chain processes, or investing in technology to further reduce operational redundancies should think about expanding its e-commerce considering the expanding e-commerce to further improve customer experience, diversify its customer base, and tap into the expanding digital market (Pasztor and Jarosz, 2020)</w:t>
      </w:r>
    </w:p>
    <w:p w:rsidR="00000000" w:rsidDel="00000000" w:rsidP="00000000" w:rsidRDefault="00000000" w:rsidRPr="00000000" w14:paraId="0000009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It is also essential for ASSI to further engage with relationship and to foster them also in ters of the suppliers and also to consider to negotiate favourable terms to control costs. This would red</w:t>
      </w:r>
    </w:p>
    <w:p w:rsidR="00000000" w:rsidDel="00000000" w:rsidP="00000000" w:rsidRDefault="00000000" w:rsidRPr="00000000" w14:paraId="0000009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the risk of cost increase from suppliers following a price hike.</w:t>
      </w:r>
    </w:p>
    <w:p w:rsidR="00000000" w:rsidDel="00000000" w:rsidP="00000000" w:rsidRDefault="00000000" w:rsidRPr="00000000" w14:paraId="0000009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Considering ASSI’s established brand and exclusive product line, the company should consider investing in product innovation and differentiation to create more value for its customers. This would help sustain a premium pricing strategy without causing significant backlash from clients.</w:t>
      </w:r>
    </w:p>
    <w:p w:rsidR="00000000" w:rsidDel="00000000" w:rsidP="00000000" w:rsidRDefault="00000000" w:rsidRPr="00000000" w14:paraId="0000009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Therefore, has been consider additionally recommendation for the company case study in terms of coming with a clear sustainability strategy as now the clients are starting to be more and more aware in terms of the environmental impact of the items they are getting. Thus coming with relevant practices in terms of this sustainability plan can further help the company case study to strengthen its brand reputation and justify any necessary price increases.</w:t>
      </w:r>
    </w:p>
    <w:p w:rsidR="00000000" w:rsidDel="00000000" w:rsidP="00000000" w:rsidRDefault="00000000" w:rsidRPr="00000000" w14:paraId="0000009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Given the intense market competition, the company should consider to come with relevant client retention strategies in terms of the loyalty programs, excellent customer service, and a unique shopping experience. Maintaining a strong customer base is vital to weather revenue pressures and can provide a cushion against potential losses from a price hike.Therefore, lastly the company required to further monitor the market and thus maintain an eye on competitors' strategies, economic indicators, and changing consumer behaviours. Having this information on hand will allow the company to make timely and informed strategic decisions.</w:t>
      </w:r>
    </w:p>
    <w:p w:rsidR="00000000" w:rsidDel="00000000" w:rsidP="00000000" w:rsidRDefault="00000000" w:rsidRPr="00000000" w14:paraId="00000098">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9">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A">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D">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E">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F">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1">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2">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3">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5">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6">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7">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8">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9">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A">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D">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E">
      <w:pPr>
        <w:pStyle w:val="Heading1"/>
        <w:rPr/>
      </w:pPr>
      <w:bookmarkStart w:colFirst="0" w:colLast="0" w:name="_3znysh7" w:id="6"/>
      <w:bookmarkEnd w:id="6"/>
      <w:r w:rsidDel="00000000" w:rsidR="00000000" w:rsidRPr="00000000">
        <w:rPr>
          <w:rtl w:val="0"/>
        </w:rPr>
        <w:t xml:space="preserve">References:</w:t>
      </w:r>
    </w:p>
    <w:p w:rsidR="00000000" w:rsidDel="00000000" w:rsidP="00000000" w:rsidRDefault="00000000" w:rsidRPr="00000000" w14:paraId="000000AF">
      <w:pPr>
        <w:numPr>
          <w:ilvl w:val="0"/>
          <w:numId w:val="1"/>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Biron, B. (2022). The Rise and Fall of Abercrombie &amp; Fitch. </w:t>
      </w:r>
      <w:r w:rsidDel="00000000" w:rsidR="00000000" w:rsidRPr="00000000">
        <w:rPr>
          <w:rFonts w:ascii="Arial" w:cs="Arial" w:eastAsia="Arial" w:hAnsi="Arial"/>
          <w:i w:val="1"/>
          <w:sz w:val="22"/>
          <w:szCs w:val="22"/>
          <w:rtl w:val="0"/>
        </w:rPr>
        <w:t xml:space="preserve">Business Insider</w:t>
      </w:r>
      <w:r w:rsidDel="00000000" w:rsidR="00000000" w:rsidRPr="00000000">
        <w:rPr>
          <w:rFonts w:ascii="Arial" w:cs="Arial" w:eastAsia="Arial" w:hAnsi="Arial"/>
          <w:sz w:val="22"/>
          <w:szCs w:val="22"/>
          <w:rtl w:val="0"/>
        </w:rPr>
        <w:t xml:space="preserve">. Available at: </w:t>
      </w:r>
      <w:hyperlink r:id="rId6">
        <w:r w:rsidDel="00000000" w:rsidR="00000000" w:rsidRPr="00000000">
          <w:rPr>
            <w:rFonts w:ascii="Arial" w:cs="Arial" w:eastAsia="Arial" w:hAnsi="Arial"/>
            <w:color w:val="0563c1"/>
            <w:sz w:val="22"/>
            <w:szCs w:val="22"/>
            <w:u w:val="single"/>
            <w:rtl w:val="0"/>
          </w:rPr>
          <w:t xml:space="preserve">https://www.businessinsider.com/abercrombie-and-fitch-rise-and-fall-lawsuits-controversy-comeback-2022-8</w:t>
        </w:r>
      </w:hyperlink>
      <w:r w:rsidDel="00000000" w:rsidR="00000000" w:rsidRPr="00000000">
        <w:rPr>
          <w:rFonts w:ascii="Arial" w:cs="Arial" w:eastAsia="Arial" w:hAnsi="Arial"/>
          <w:sz w:val="22"/>
          <w:szCs w:val="22"/>
          <w:rtl w:val="0"/>
        </w:rPr>
        <w:t xml:space="preserve"> (Accessed: 18 June 2023).</w:t>
      </w:r>
    </w:p>
    <w:p w:rsidR="00000000" w:rsidDel="00000000" w:rsidP="00000000" w:rsidRDefault="00000000" w:rsidRPr="00000000" w14:paraId="000000B0">
      <w:pPr>
        <w:numPr>
          <w:ilvl w:val="0"/>
          <w:numId w:val="1"/>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Crunchbase, (n.d.). Organization: Assis. </w:t>
      </w:r>
      <w:r w:rsidDel="00000000" w:rsidR="00000000" w:rsidRPr="00000000">
        <w:rPr>
          <w:rFonts w:ascii="Arial" w:cs="Arial" w:eastAsia="Arial" w:hAnsi="Arial"/>
          <w:i w:val="1"/>
          <w:sz w:val="22"/>
          <w:szCs w:val="22"/>
          <w:rtl w:val="0"/>
        </w:rPr>
        <w:t xml:space="preserve">Crunchbase</w:t>
      </w:r>
      <w:r w:rsidDel="00000000" w:rsidR="00000000" w:rsidRPr="00000000">
        <w:rPr>
          <w:rFonts w:ascii="Arial" w:cs="Arial" w:eastAsia="Arial" w:hAnsi="Arial"/>
          <w:sz w:val="22"/>
          <w:szCs w:val="22"/>
          <w:rtl w:val="0"/>
        </w:rPr>
        <w:t xml:space="preserve">.Available at: </w:t>
      </w:r>
      <w:hyperlink r:id="rId7">
        <w:r w:rsidDel="00000000" w:rsidR="00000000" w:rsidRPr="00000000">
          <w:rPr>
            <w:rFonts w:ascii="Arial" w:cs="Arial" w:eastAsia="Arial" w:hAnsi="Arial"/>
            <w:color w:val="0563c1"/>
            <w:sz w:val="22"/>
            <w:szCs w:val="22"/>
            <w:u w:val="single"/>
            <w:rtl w:val="0"/>
          </w:rPr>
          <w:t xml:space="preserve">https://www.crunchbase.com/organization/assis</w:t>
        </w:r>
      </w:hyperlink>
      <w:r w:rsidDel="00000000" w:rsidR="00000000" w:rsidRPr="00000000">
        <w:rPr>
          <w:rFonts w:ascii="Arial" w:cs="Arial" w:eastAsia="Arial" w:hAnsi="Arial"/>
          <w:sz w:val="22"/>
          <w:szCs w:val="22"/>
          <w:rtl w:val="0"/>
        </w:rPr>
        <w:t xml:space="preserve"> (Accessed: 18 June 2023).</w:t>
      </w:r>
    </w:p>
    <w:p w:rsidR="00000000" w:rsidDel="00000000" w:rsidP="00000000" w:rsidRDefault="00000000" w:rsidRPr="00000000" w14:paraId="000000B1">
      <w:pPr>
        <w:numPr>
          <w:ilvl w:val="0"/>
          <w:numId w:val="1"/>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Consultancy.uk. (2017). McKinsey Associate Principal Assi Gol joins online retailer Shop Direct. </w:t>
      </w:r>
      <w:r w:rsidDel="00000000" w:rsidR="00000000" w:rsidRPr="00000000">
        <w:rPr>
          <w:rFonts w:ascii="Arial" w:cs="Arial" w:eastAsia="Arial" w:hAnsi="Arial"/>
          <w:i w:val="1"/>
          <w:sz w:val="22"/>
          <w:szCs w:val="22"/>
          <w:rtl w:val="0"/>
        </w:rPr>
        <w:t xml:space="preserve">Consultancy.</w:t>
      </w:r>
      <w:r w:rsidDel="00000000" w:rsidR="00000000" w:rsidRPr="00000000">
        <w:rPr>
          <w:rFonts w:ascii="Arial" w:cs="Arial" w:eastAsia="Arial" w:hAnsi="Arial"/>
          <w:sz w:val="22"/>
          <w:szCs w:val="22"/>
          <w:rtl w:val="0"/>
        </w:rPr>
        <w:t xml:space="preserve"> Available at: https://www.consultancy.uk/news/12542/mckinsey-associate-principal-assi-gol-joins-online-retailer-shop-direct (Accessed: 19 June 2023).</w:t>
      </w:r>
    </w:p>
    <w:p w:rsidR="00000000" w:rsidDel="00000000" w:rsidP="00000000" w:rsidRDefault="00000000" w:rsidRPr="00000000" w14:paraId="000000B2">
      <w:pPr>
        <w:numPr>
          <w:ilvl w:val="0"/>
          <w:numId w:val="1"/>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Henderson and Douglas, H. (2004</w:t>
      </w:r>
      <w:r w:rsidDel="00000000" w:rsidR="00000000" w:rsidRPr="00000000">
        <w:rPr>
          <w:rFonts w:ascii="Arial" w:cs="Arial" w:eastAsia="Arial" w:hAnsi="Arial"/>
          <w:i w:val="1"/>
          <w:sz w:val="22"/>
          <w:szCs w:val="22"/>
          <w:rtl w:val="0"/>
        </w:rPr>
        <w:t xml:space="preserve">) Supply and Demand</w:t>
      </w:r>
      <w:r w:rsidDel="00000000" w:rsidR="00000000" w:rsidRPr="00000000">
        <w:rPr>
          <w:rFonts w:ascii="Arial" w:cs="Arial" w:eastAsia="Arial" w:hAnsi="Arial"/>
          <w:sz w:val="22"/>
          <w:szCs w:val="22"/>
          <w:rtl w:val="0"/>
        </w:rPr>
        <w:t xml:space="preserve">. [edition unavailable]. Perlego. Available at: https://www.perlego.com/book/1825157/supply-and-demand-pdf (Accessed: 19 June 2023).</w:t>
      </w:r>
    </w:p>
    <w:p w:rsidR="00000000" w:rsidDel="00000000" w:rsidP="00000000" w:rsidRDefault="00000000" w:rsidRPr="00000000" w14:paraId="000000B3">
      <w:pPr>
        <w:numPr>
          <w:ilvl w:val="0"/>
          <w:numId w:val="1"/>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Pasztor, M. and Jarosz, D. (2020) I</w:t>
      </w:r>
      <w:r w:rsidDel="00000000" w:rsidR="00000000" w:rsidRPr="00000000">
        <w:rPr>
          <w:rFonts w:ascii="Arial" w:cs="Arial" w:eastAsia="Arial" w:hAnsi="Arial"/>
          <w:i w:val="1"/>
          <w:sz w:val="22"/>
          <w:szCs w:val="22"/>
          <w:rtl w:val="0"/>
        </w:rPr>
        <w:t xml:space="preserve">ncrease Supply, Reduce Demand and Punish Severely. </w:t>
      </w:r>
      <w:r w:rsidDel="00000000" w:rsidR="00000000" w:rsidRPr="00000000">
        <w:rPr>
          <w:rFonts w:ascii="Arial" w:cs="Arial" w:eastAsia="Arial" w:hAnsi="Arial"/>
          <w:sz w:val="22"/>
          <w:szCs w:val="22"/>
          <w:rtl w:val="0"/>
        </w:rPr>
        <w:t xml:space="preserve">1st edn. Peter Lang Group. Available at: https://www.perlego.com/book/2089510/increase-supply-reduce-demand-and-punish-severely-a-contextual-history-of-meat-in-communist-poland-pdf (Accessed: 19 June 2023).</w:t>
      </w:r>
    </w:p>
    <w:p w:rsidR="00000000" w:rsidDel="00000000" w:rsidP="00000000" w:rsidRDefault="00000000" w:rsidRPr="00000000" w14:paraId="000000B4">
      <w:pPr>
        <w:numPr>
          <w:ilvl w:val="0"/>
          <w:numId w:val="1"/>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Retail Week. (2020). The UK's top 30 most productive retailers of 2020. </w:t>
      </w:r>
      <w:r w:rsidDel="00000000" w:rsidR="00000000" w:rsidRPr="00000000">
        <w:rPr>
          <w:rFonts w:ascii="Arial" w:cs="Arial" w:eastAsia="Arial" w:hAnsi="Arial"/>
          <w:i w:val="1"/>
          <w:sz w:val="22"/>
          <w:szCs w:val="22"/>
          <w:rtl w:val="0"/>
        </w:rPr>
        <w:t xml:space="preserve">Retail Wekk</w:t>
      </w:r>
      <w:r w:rsidDel="00000000" w:rsidR="00000000" w:rsidRPr="00000000">
        <w:rPr>
          <w:rFonts w:ascii="Arial" w:cs="Arial" w:eastAsia="Arial" w:hAnsi="Arial"/>
          <w:sz w:val="22"/>
          <w:szCs w:val="22"/>
          <w:rtl w:val="0"/>
        </w:rPr>
        <w:t xml:space="preserve">.Available at: https://reports.retail-week.com/-the-uk-s-top-30-most-productive-retailers-of-2020-/index.html (Accessed: 18 June 2023).</w:t>
      </w:r>
    </w:p>
    <w:p w:rsidR="00000000" w:rsidDel="00000000" w:rsidP="00000000" w:rsidRDefault="00000000" w:rsidRPr="00000000" w14:paraId="000000B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i w:val="0"/>
          <w:smallCaps w:val="0"/>
          <w:strike w:val="0"/>
          <w:color w:val="000000"/>
          <w:sz w:val="22"/>
          <w:szCs w:val="22"/>
          <w:shd w:fill="auto" w:val="clear"/>
          <w:vertAlign w:val="baseline"/>
        </w:rPr>
      </w:pP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Statista, (n.d.). Business Environment - United Kingdom. </w:t>
      </w:r>
      <w:r w:rsidDel="00000000" w:rsidR="00000000" w:rsidRPr="00000000">
        <w:rPr>
          <w:rFonts w:ascii="Arial" w:cs="Arial" w:eastAsia="Arial" w:hAnsi="Arial"/>
          <w:i w:val="1"/>
          <w:smallCaps w:val="0"/>
          <w:strike w:val="0"/>
          <w:color w:val="000000"/>
          <w:sz w:val="22"/>
          <w:szCs w:val="22"/>
          <w:u w:val="none"/>
          <w:shd w:fill="auto" w:val="clear"/>
          <w:vertAlign w:val="baseline"/>
          <w:rtl w:val="0"/>
        </w:rPr>
        <w:t xml:space="preserve">Statista.</w:t>
      </w:r>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Available at: </w:t>
      </w:r>
      <w:hyperlink r:id="rId8">
        <w:r w:rsidDel="00000000" w:rsidR="00000000" w:rsidRPr="00000000">
          <w:rPr>
            <w:rFonts w:ascii="Arial" w:cs="Arial" w:eastAsia="Arial" w:hAnsi="Arial"/>
            <w:i w:val="0"/>
            <w:smallCaps w:val="0"/>
            <w:strike w:val="0"/>
            <w:color w:val="0563c1"/>
            <w:sz w:val="22"/>
            <w:szCs w:val="22"/>
            <w:u w:val="single"/>
            <w:shd w:fill="auto" w:val="clear"/>
            <w:vertAlign w:val="baseline"/>
            <w:rtl w:val="0"/>
          </w:rPr>
          <w:t xml:space="preserve">https://www.statista.com/outlook/co/business-environment/united-kingdom</w:t>
        </w:r>
      </w:hyperlink>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 (Accessed: 18 June 2023)</w:t>
      </w:r>
    </w:p>
    <w:p w:rsidR="00000000" w:rsidDel="00000000" w:rsidP="00000000" w:rsidRDefault="00000000" w:rsidRPr="00000000" w14:paraId="000000B6">
      <w:pPr>
        <w:numPr>
          <w:ilvl w:val="0"/>
          <w:numId w:val="1"/>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Stock Exchange of Thailand, (n.d.). Financial Report: R561-0000020842. </w:t>
      </w:r>
      <w:r w:rsidDel="00000000" w:rsidR="00000000" w:rsidRPr="00000000">
        <w:rPr>
          <w:rFonts w:ascii="Arial" w:cs="Arial" w:eastAsia="Arial" w:hAnsi="Arial"/>
          <w:i w:val="1"/>
          <w:sz w:val="22"/>
          <w:szCs w:val="22"/>
          <w:rtl w:val="0"/>
        </w:rPr>
        <w:t xml:space="preserve">FR.</w:t>
      </w:r>
      <w:r w:rsidDel="00000000" w:rsidR="00000000" w:rsidRPr="00000000">
        <w:rPr>
          <w:rFonts w:ascii="Arial" w:cs="Arial" w:eastAsia="Arial" w:hAnsi="Arial"/>
          <w:sz w:val="22"/>
          <w:szCs w:val="22"/>
          <w:rtl w:val="0"/>
        </w:rPr>
        <w:t xml:space="preserve">Available at: </w:t>
      </w:r>
      <w:hyperlink r:id="rId9">
        <w:r w:rsidDel="00000000" w:rsidR="00000000" w:rsidRPr="00000000">
          <w:rPr>
            <w:rFonts w:ascii="Arial" w:cs="Arial" w:eastAsia="Arial" w:hAnsi="Arial"/>
            <w:color w:val="0563c1"/>
            <w:sz w:val="22"/>
            <w:szCs w:val="22"/>
            <w:u w:val="single"/>
            <w:rtl w:val="0"/>
          </w:rPr>
          <w:t xml:space="preserve">https://market.sec.or.th/public/idisc/en/FinancialReport/R561-0000020842?ref_id=0&amp;content_id=1</w:t>
        </w:r>
      </w:hyperlink>
      <w:r w:rsidDel="00000000" w:rsidR="00000000" w:rsidRPr="00000000">
        <w:rPr>
          <w:rFonts w:ascii="Arial" w:cs="Arial" w:eastAsia="Arial" w:hAnsi="Arial"/>
          <w:sz w:val="22"/>
          <w:szCs w:val="22"/>
          <w:rtl w:val="0"/>
        </w:rPr>
        <w:t xml:space="preserve"> (Accessed: 19 June 2023).</w:t>
      </w:r>
    </w:p>
    <w:p w:rsidR="00000000" w:rsidDel="00000000" w:rsidP="00000000" w:rsidRDefault="00000000" w:rsidRPr="00000000" w14:paraId="000000B7">
      <w:pPr>
        <w:numPr>
          <w:ilvl w:val="0"/>
          <w:numId w:val="1"/>
        </w:numPr>
        <w:spacing w:line="36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Turvey, R. (2022) </w:t>
      </w:r>
      <w:r w:rsidDel="00000000" w:rsidR="00000000" w:rsidRPr="00000000">
        <w:rPr>
          <w:rFonts w:ascii="Arial" w:cs="Arial" w:eastAsia="Arial" w:hAnsi="Arial"/>
          <w:i w:val="1"/>
          <w:sz w:val="22"/>
          <w:szCs w:val="22"/>
          <w:rtl w:val="0"/>
        </w:rPr>
        <w:t xml:space="preserve">Demand and Supply</w:t>
      </w:r>
      <w:r w:rsidDel="00000000" w:rsidR="00000000" w:rsidRPr="00000000">
        <w:rPr>
          <w:rFonts w:ascii="Arial" w:cs="Arial" w:eastAsia="Arial" w:hAnsi="Arial"/>
          <w:sz w:val="22"/>
          <w:szCs w:val="22"/>
          <w:rtl w:val="0"/>
        </w:rPr>
        <w:t xml:space="preserve">. 1st edn. Taylor and Francis. Available at: https://www.perlego.com/book/3264931/demand-and-supply-pdf (Accessed:  20 June 2023).</w:t>
      </w:r>
    </w:p>
    <w:p w:rsidR="00000000" w:rsidDel="00000000" w:rsidP="00000000" w:rsidRDefault="00000000" w:rsidRPr="00000000" w14:paraId="000000B8">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9">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A">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B">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C">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D">
      <w:pPr>
        <w:spacing w:line="360" w:lineRule="auto"/>
        <w:jc w:val="both"/>
        <w:rPr>
          <w:rFonts w:ascii="Arial" w:cs="Arial" w:eastAsia="Arial" w:hAnsi="Arial"/>
          <w:sz w:val="22"/>
          <w:szCs w:val="22"/>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KW"/>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spacing w:before="40" w:lineRule="auto"/>
    </w:pPr>
    <w:rPr>
      <w:rFonts w:ascii="Calibri" w:cs="Calibri" w:eastAsia="Calibri" w:hAnsi="Calibri"/>
      <w:i w:val="1"/>
      <w:color w:val="2f5496"/>
      <w:sz w:val="20"/>
      <w:szCs w:val="20"/>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08.0" w:type="dxa"/>
        <w:bottom w:w="0.0" w:type="dxa"/>
        <w:right w:w="108.0" w:type="dxa"/>
      </w:tblCellMar>
    </w:tblPr>
    <w:tblStylePr w:type="band1Horz">
      <w:tcPr>
        <w:shd w:fill="deebf6" w:val="clear"/>
      </w:tcPr>
    </w:tblStylePr>
    <w:tblStylePr w:type="band1Vert">
      <w:tcPr>
        <w:shd w:fill="deebf6" w:val="clear"/>
      </w:tcPr>
    </w:tblStylePr>
    <w:tblStylePr w:type="firstCol">
      <w:pPr>
        <w:jc w:val="right"/>
      </w:pPr>
      <w:rPr>
        <w:i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9cc3e5" w:space="0" w:sz="4" w:val="single"/>
        </w:tcBorders>
      </w:tcPr>
    </w:tblStylePr>
    <w:tblStylePr w:type="nwCell">
      <w:tcPr>
        <w:tcBorders>
          <w:bottom w:color="9cc3e5" w:space="0" w:sz="4" w:val="single"/>
        </w:tcBorders>
      </w:tcPr>
    </w:tblStylePr>
    <w:tblStylePr w:type="seCell">
      <w:tcPr>
        <w:tcBorders>
          <w:top w:color="9cc3e5" w:space="0" w:sz="4" w:val="single"/>
        </w:tcBorders>
      </w:tcPr>
    </w:tblStylePr>
    <w:tblStylePr w:type="swCell">
      <w:tcPr>
        <w:tcBorders>
          <w:top w:color="9cc3e5" w:space="0" w:sz="4" w:val="single"/>
        </w:tcBorders>
      </w:tcPr>
    </w:tblStylePr>
  </w:style>
  <w:style w:type="table" w:styleId="Table2">
    <w:basedOn w:val="TableNormal"/>
    <w:tblPr>
      <w:tblStyleRowBandSize w:val="1"/>
      <w:tblStyleColBandSize w:val="1"/>
      <w:tblCellMar>
        <w:top w:w="0.0" w:type="dxa"/>
        <w:left w:w="108.0" w:type="dxa"/>
        <w:bottom w:w="0.0" w:type="dxa"/>
        <w:right w:w="108.0" w:type="dxa"/>
      </w:tblCellMar>
    </w:tblPr>
    <w:tblStylePr w:type="band1Horz">
      <w:tcPr>
        <w:shd w:fill="deebf6" w:val="clear"/>
      </w:tcPr>
    </w:tblStylePr>
    <w:tblStylePr w:type="band1Vert">
      <w:tcPr>
        <w:shd w:fill="deebf6" w:val="clear"/>
      </w:tcPr>
    </w:tblStylePr>
    <w:tblStylePr w:type="firstCol">
      <w:rPr>
        <w:b w:val="1"/>
      </w:rPr>
    </w:tblStylePr>
    <w:tblStylePr w:type="firstRow">
      <w:rPr>
        <w:b w:val="1"/>
        <w:color w:val="ffffff"/>
      </w:rPr>
      <w:tcPr>
        <w:tcBorders>
          <w:top w:color="5b9bd5" w:space="0" w:sz="4" w:val="single"/>
          <w:left w:color="5b9bd5" w:space="0" w:sz="4" w:val="single"/>
          <w:bottom w:color="5b9bd5" w:space="0" w:sz="4" w:val="single"/>
          <w:right w:color="5b9bd5" w:space="0" w:sz="4" w:val="single"/>
          <w:insideH w:color="000000" w:space="0" w:sz="0" w:val="nil"/>
          <w:insideV w:color="000000" w:space="0" w:sz="0" w:val="nil"/>
        </w:tcBorders>
        <w:shd w:fill="5b9bd5" w:val="clear"/>
      </w:tcPr>
    </w:tblStylePr>
    <w:tblStylePr w:type="lastCol">
      <w:rPr>
        <w:b w:val="1"/>
      </w:rPr>
    </w:tblStylePr>
    <w:tblStylePr w:type="lastRow">
      <w:rPr>
        <w:b w:val="1"/>
      </w:rPr>
      <w:tcPr>
        <w:tcBorders>
          <w:top w:color="5b9bd5" w:space="0" w:sz="4" w:val="single"/>
        </w:tcBorders>
      </w:tcPr>
    </w:tblStylePr>
  </w:style>
  <w:style w:type="table" w:styleId="Table3">
    <w:basedOn w:val="TableNormal"/>
    <w:tblPr>
      <w:tblStyleRowBandSize w:val="1"/>
      <w:tblStyleColBandSize w:val="1"/>
      <w:tblCellMar>
        <w:top w:w="0.0" w:type="dxa"/>
        <w:left w:w="108.0" w:type="dxa"/>
        <w:bottom w:w="0.0" w:type="dxa"/>
        <w:right w:w="108.0" w:type="dxa"/>
      </w:tblCellMar>
    </w:tblPr>
    <w:tblStylePr w:type="band1Horz">
      <w:tcPr>
        <w:shd w:fill="deebf6" w:val="clear"/>
      </w:tcPr>
    </w:tblStylePr>
    <w:tblStylePr w:type="band1Vert">
      <w:tcPr>
        <w:shd w:fill="deebf6" w:val="clear"/>
      </w:tcPr>
    </w:tblStylePr>
    <w:tblStylePr w:type="firstCol">
      <w:rPr>
        <w:b w:val="1"/>
      </w:rPr>
    </w:tblStylePr>
    <w:tblStylePr w:type="firstRow">
      <w:rPr>
        <w:b w:val="1"/>
        <w:color w:val="ffffff"/>
      </w:rPr>
      <w:tcPr>
        <w:tcBorders>
          <w:top w:color="5b9bd5" w:space="0" w:sz="4" w:val="single"/>
          <w:left w:color="5b9bd5" w:space="0" w:sz="4" w:val="single"/>
          <w:bottom w:color="5b9bd5" w:space="0" w:sz="4" w:val="single"/>
          <w:right w:color="5b9bd5" w:space="0" w:sz="4" w:val="single"/>
          <w:insideH w:color="000000" w:space="0" w:sz="0" w:val="nil"/>
          <w:insideV w:color="000000" w:space="0" w:sz="0" w:val="nil"/>
        </w:tcBorders>
        <w:shd w:fill="5b9bd5" w:val="clear"/>
      </w:tcPr>
    </w:tblStylePr>
    <w:tblStylePr w:type="lastCol">
      <w:rPr>
        <w:b w:val="1"/>
      </w:rPr>
    </w:tblStylePr>
    <w:tblStylePr w:type="lastRow">
      <w:rPr>
        <w:b w:val="1"/>
      </w:rPr>
      <w:tcPr>
        <w:tcBorders>
          <w:top w:color="5b9bd5"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market.sec.or.th/public/idisc/en/FinancialReport/R561-0000020842?ref_id=0&amp;content_id=1" TargetMode="External"/><Relationship Id="rId5" Type="http://schemas.openxmlformats.org/officeDocument/2006/relationships/styles" Target="styles.xml"/><Relationship Id="rId6" Type="http://schemas.openxmlformats.org/officeDocument/2006/relationships/hyperlink" Target="https://www.businessinsider.com/abercrombie-and-fitch-rise-and-fall-lawsuits-controversy-comeback-2022-8" TargetMode="External"/><Relationship Id="rId7" Type="http://schemas.openxmlformats.org/officeDocument/2006/relationships/hyperlink" Target="https://www.crunchbase.com/organization/assis" TargetMode="External"/><Relationship Id="rId8" Type="http://schemas.openxmlformats.org/officeDocument/2006/relationships/hyperlink" Target="https://www.statista.com/outlook/co/business-environment/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