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4.11.0 -->
  <w:body>
    <w:p w:rsidR="009E11F8"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bookmarkStart w:id="0" w:name="_GoBack"/>
      <w:bookmarkEnd w:id="0"/>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7F3104" w:rsidRPr="001D56B6" w:rsidP="007F3104">
      <w:pPr>
        <w:spacing w:line="360" w:lineRule="auto"/>
        <w:jc w:val="both"/>
        <w:rPr>
          <w:rFonts w:ascii="Arial" w:hAnsi="Arial" w:cs="Arial"/>
        </w:rPr>
      </w:pPr>
    </w:p>
    <w:p w:rsidR="007F3104" w:rsidRPr="001D56B6" w:rsidP="001D56B6">
      <w:pPr>
        <w:spacing w:line="360" w:lineRule="auto"/>
        <w:jc w:val="center"/>
        <w:rPr>
          <w:rFonts w:ascii="Arial" w:hAnsi="Arial" w:cs="Arial"/>
        </w:rPr>
      </w:pPr>
      <w:r w:rsidRPr="001D56B6">
        <w:rPr>
          <w:rFonts w:ascii="Arial" w:hAnsi="Arial" w:cs="Arial"/>
        </w:rPr>
        <w:t>Quality Assurance and Service Improvements</w:t>
      </w:r>
    </w:p>
    <w:p w:rsidR="007F3104" w:rsidRPr="001D56B6" w:rsidP="001D56B6">
      <w:pPr>
        <w:spacing w:line="360" w:lineRule="auto"/>
        <w:jc w:val="center"/>
        <w:rPr>
          <w:rFonts w:ascii="Arial" w:hAnsi="Arial" w:cs="Arial"/>
        </w:rPr>
      </w:pPr>
      <w:r w:rsidRPr="001D56B6">
        <w:rPr>
          <w:rFonts w:ascii="Arial" w:hAnsi="Arial" w:cs="Arial"/>
        </w:rPr>
        <w:t>Service Improvement Report</w:t>
      </w:r>
    </w:p>
    <w:p w:rsidR="001D56B6" w:rsidRPr="001D56B6" w:rsidP="001D56B6">
      <w:pPr>
        <w:spacing w:line="360" w:lineRule="auto"/>
        <w:jc w:val="center"/>
        <w:rPr>
          <w:rFonts w:ascii="Arial" w:hAnsi="Arial" w:cs="Arial"/>
        </w:rPr>
      </w:pPr>
      <w:r w:rsidRPr="001D56B6">
        <w:rPr>
          <w:rFonts w:ascii="Arial" w:hAnsi="Arial" w:cs="Arial"/>
        </w:rPr>
        <w:t>Student Name: [Your Full Name]</w:t>
      </w:r>
    </w:p>
    <w:p w:rsidR="001D56B6" w:rsidRPr="001D56B6" w:rsidP="001D56B6">
      <w:pPr>
        <w:spacing w:line="360" w:lineRule="auto"/>
        <w:jc w:val="center"/>
        <w:rPr>
          <w:rFonts w:ascii="Arial" w:hAnsi="Arial" w:cs="Arial"/>
        </w:rPr>
      </w:pPr>
      <w:r w:rsidRPr="001D56B6">
        <w:rPr>
          <w:rFonts w:ascii="Arial" w:hAnsi="Arial" w:cs="Arial"/>
        </w:rPr>
        <w:t>Student ID: [Your Student ID]</w:t>
      </w:r>
    </w:p>
    <w:p w:rsidR="007F3104" w:rsidRPr="001D56B6" w:rsidP="007F3104">
      <w:pPr>
        <w:spacing w:line="360" w:lineRule="auto"/>
        <w:jc w:val="both"/>
        <w:rPr>
          <w:rFonts w:ascii="Arial" w:hAnsi="Arial" w:cs="Arial"/>
        </w:rPr>
      </w:pPr>
    </w:p>
    <w:p w:rsidR="007F3104" w:rsidRPr="001D56B6" w:rsidP="007F3104">
      <w:pPr>
        <w:spacing w:line="360" w:lineRule="auto"/>
        <w:jc w:val="both"/>
        <w:rPr>
          <w:rFonts w:ascii="Arial" w:hAnsi="Arial" w:cs="Arial"/>
        </w:rPr>
      </w:pPr>
    </w:p>
    <w:p w:rsidR="007F3104" w:rsidRPr="001D56B6" w:rsidP="007F3104">
      <w:pPr>
        <w:spacing w:line="360" w:lineRule="auto"/>
        <w:jc w:val="both"/>
        <w:rPr>
          <w:rFonts w:ascii="Arial" w:hAnsi="Arial" w:cs="Arial"/>
        </w:rPr>
      </w:pPr>
    </w:p>
    <w:p w:rsidR="007F3104" w:rsidRPr="001D56B6" w:rsidP="007F3104">
      <w:pPr>
        <w:spacing w:line="360" w:lineRule="auto"/>
        <w:jc w:val="both"/>
        <w:rPr>
          <w:rFonts w:ascii="Arial" w:hAnsi="Arial" w:cs="Arial"/>
        </w:rPr>
      </w:pPr>
    </w:p>
    <w:p w:rsidR="007F3104" w:rsidRPr="001D56B6" w:rsidP="007F3104">
      <w:pPr>
        <w:spacing w:line="360" w:lineRule="auto"/>
        <w:jc w:val="both"/>
        <w:rPr>
          <w:rFonts w:ascii="Arial" w:hAnsi="Arial" w:cs="Arial"/>
        </w:rPr>
      </w:pPr>
    </w:p>
    <w:p w:rsidR="007F3104" w:rsidRPr="001D56B6" w:rsidP="007F3104">
      <w:pPr>
        <w:spacing w:line="360" w:lineRule="auto"/>
        <w:jc w:val="both"/>
        <w:rPr>
          <w:rFonts w:ascii="Arial" w:hAnsi="Arial" w:cs="Arial"/>
        </w:rPr>
      </w:pPr>
    </w:p>
    <w:p w:rsidR="007F3104" w:rsidRPr="001D56B6" w:rsidP="007F3104">
      <w:pPr>
        <w:spacing w:line="360" w:lineRule="auto"/>
        <w:jc w:val="both"/>
        <w:rPr>
          <w:rFonts w:ascii="Arial" w:hAnsi="Arial" w:cs="Arial"/>
        </w:rPr>
      </w:pPr>
    </w:p>
    <w:p w:rsidR="007F3104" w:rsidP="007F3104">
      <w:pPr>
        <w:spacing w:line="360" w:lineRule="auto"/>
        <w:jc w:val="both"/>
        <w:rPr>
          <w:rFonts w:ascii="Arial" w:hAnsi="Arial" w:cs="Arial"/>
        </w:rPr>
      </w:pPr>
    </w:p>
    <w:p w:rsidR="001D56B6" w:rsidRPr="001D56B6" w:rsidP="007F3104">
      <w:pPr>
        <w:spacing w:line="360" w:lineRule="auto"/>
        <w:jc w:val="both"/>
        <w:rPr>
          <w:rFonts w:ascii="Arial" w:hAnsi="Arial" w:cs="Arial"/>
        </w:rPr>
      </w:pPr>
    </w:p>
    <w:sdt>
      <w:sdtPr>
        <w:rPr>
          <w:rFonts w:ascii="Arial" w:hAnsi="Arial" w:cs="Arial"/>
          <w:b/>
          <w:color w:val="000000" w:themeColor="text1"/>
          <w:sz w:val="22"/>
          <w:szCs w:val="22"/>
        </w:rPr>
        <w:id w:val="1093896761"/>
        <w:docPartObj>
          <w:docPartGallery w:val="Table of Contents"/>
          <w:docPartUnique/>
        </w:docPartObj>
      </w:sdtPr>
      <w:sdtEndPr>
        <w:rPr>
          <w:rFonts w:eastAsiaTheme="minorHAnsi"/>
          <w:bCs/>
          <w:noProof/>
          <w:color w:val="auto"/>
        </w:rPr>
      </w:sdtEndPr>
      <w:sdtContent>
        <w:p w:rsidR="007F3104" w:rsidRPr="001D56B6" w:rsidP="007F3104">
          <w:pPr>
            <w:pStyle w:val="TOCHeading"/>
            <w:jc w:val="center"/>
            <w:rPr>
              <w:rFonts w:ascii="Arial" w:hAnsi="Arial" w:cs="Arial"/>
              <w:b/>
              <w:color w:val="000000" w:themeColor="text1"/>
              <w:sz w:val="22"/>
              <w:szCs w:val="22"/>
            </w:rPr>
          </w:pPr>
          <w:r w:rsidRPr="001D56B6">
            <w:rPr>
              <w:rFonts w:ascii="Arial" w:hAnsi="Arial" w:cs="Arial"/>
              <w:b/>
              <w:color w:val="000000" w:themeColor="text1"/>
              <w:sz w:val="22"/>
              <w:szCs w:val="22"/>
            </w:rPr>
            <w:t>Table of Contents</w:t>
          </w:r>
        </w:p>
        <w:p w:rsidR="001D56B6" w:rsidRPr="001D56B6">
          <w:pPr>
            <w:pStyle w:val="TOC1"/>
            <w:tabs>
              <w:tab w:val="right" w:leader="dot" w:pos="9350"/>
            </w:tabs>
            <w:rPr>
              <w:rFonts w:ascii="Arial" w:hAnsi="Arial" w:eastAsiaTheme="minorEastAsia" w:cs="Arial"/>
              <w:noProof/>
            </w:rPr>
          </w:pPr>
          <w:r w:rsidRPr="001D56B6">
            <w:rPr>
              <w:rFonts w:ascii="Arial" w:hAnsi="Arial" w:cs="Arial"/>
            </w:rPr>
            <w:fldChar w:fldCharType="begin"/>
          </w:r>
          <w:r w:rsidRPr="001D56B6">
            <w:rPr>
              <w:rFonts w:ascii="Arial" w:hAnsi="Arial" w:cs="Arial"/>
            </w:rPr>
            <w:instrText xml:space="preserve"> TOC \o "1-3" \h \z \u </w:instrText>
          </w:r>
          <w:r w:rsidRPr="001D56B6">
            <w:rPr>
              <w:rFonts w:ascii="Arial" w:hAnsi="Arial" w:cs="Arial"/>
            </w:rPr>
            <w:fldChar w:fldCharType="separate"/>
          </w:r>
          <w:hyperlink w:anchor="_Toc223143360" w:history="1">
            <w:r w:rsidRPr="001D56B6">
              <w:rPr>
                <w:rStyle w:val="Hyperlink"/>
                <w:rFonts w:ascii="Arial" w:eastAsia="Times New Roman" w:hAnsi="Arial" w:cs="Arial"/>
                <w:noProof/>
              </w:rPr>
              <w:t>Introduction</w:t>
            </w:r>
            <w:r w:rsidRPr="001D56B6">
              <w:rPr>
                <w:rFonts w:ascii="Arial" w:hAnsi="Arial" w:cs="Arial"/>
                <w:noProof/>
                <w:webHidden/>
              </w:rPr>
              <w:tab/>
            </w:r>
            <w:r w:rsidRPr="001D56B6">
              <w:rPr>
                <w:rFonts w:ascii="Arial" w:hAnsi="Arial" w:cs="Arial"/>
                <w:noProof/>
                <w:webHidden/>
              </w:rPr>
              <w:fldChar w:fldCharType="begin"/>
            </w:r>
            <w:r w:rsidRPr="001D56B6">
              <w:rPr>
                <w:rFonts w:ascii="Arial" w:hAnsi="Arial" w:cs="Arial"/>
                <w:noProof/>
                <w:webHidden/>
              </w:rPr>
              <w:instrText xml:space="preserve"> PAGEREF _Toc223143360 \h </w:instrText>
            </w:r>
            <w:r w:rsidRPr="001D56B6">
              <w:rPr>
                <w:rFonts w:ascii="Arial" w:hAnsi="Arial" w:cs="Arial"/>
                <w:noProof/>
                <w:webHidden/>
              </w:rPr>
              <w:fldChar w:fldCharType="separate"/>
            </w:r>
            <w:r w:rsidRPr="001D56B6">
              <w:rPr>
                <w:rFonts w:ascii="Arial" w:hAnsi="Arial" w:cs="Arial"/>
                <w:noProof/>
                <w:webHidden/>
              </w:rPr>
              <w:t>3</w:t>
            </w:r>
            <w:r w:rsidRPr="001D56B6">
              <w:rPr>
                <w:rFonts w:ascii="Arial" w:hAnsi="Arial" w:cs="Arial"/>
                <w:noProof/>
                <w:webHidden/>
              </w:rPr>
              <w:fldChar w:fldCharType="end"/>
            </w:r>
          </w:hyperlink>
        </w:p>
        <w:p w:rsidR="001D56B6" w:rsidRPr="001D56B6">
          <w:pPr>
            <w:pStyle w:val="TOC1"/>
            <w:tabs>
              <w:tab w:val="right" w:leader="dot" w:pos="9350"/>
            </w:tabs>
            <w:rPr>
              <w:rFonts w:ascii="Arial" w:hAnsi="Arial" w:eastAsiaTheme="minorEastAsia" w:cs="Arial"/>
              <w:noProof/>
            </w:rPr>
          </w:pPr>
          <w:hyperlink w:anchor="_Toc223143361" w:history="1">
            <w:r w:rsidRPr="001D56B6">
              <w:rPr>
                <w:rStyle w:val="Hyperlink"/>
                <w:rFonts w:ascii="Arial" w:eastAsia="Times New Roman" w:hAnsi="Arial" w:cs="Arial"/>
                <w:noProof/>
              </w:rPr>
              <w:t>Defining the quality problem and rationale for frameworks</w:t>
            </w:r>
            <w:r w:rsidRPr="001D56B6">
              <w:rPr>
                <w:rFonts w:ascii="Arial" w:hAnsi="Arial" w:cs="Arial"/>
                <w:noProof/>
                <w:webHidden/>
              </w:rPr>
              <w:tab/>
            </w:r>
            <w:r w:rsidRPr="001D56B6">
              <w:rPr>
                <w:rFonts w:ascii="Arial" w:hAnsi="Arial" w:cs="Arial"/>
                <w:noProof/>
                <w:webHidden/>
              </w:rPr>
              <w:fldChar w:fldCharType="begin"/>
            </w:r>
            <w:r w:rsidRPr="001D56B6">
              <w:rPr>
                <w:rFonts w:ascii="Arial" w:hAnsi="Arial" w:cs="Arial"/>
                <w:noProof/>
                <w:webHidden/>
              </w:rPr>
              <w:instrText xml:space="preserve"> PAGEREF _Toc223143361 \h </w:instrText>
            </w:r>
            <w:r w:rsidRPr="001D56B6">
              <w:rPr>
                <w:rFonts w:ascii="Arial" w:hAnsi="Arial" w:cs="Arial"/>
                <w:noProof/>
                <w:webHidden/>
              </w:rPr>
              <w:fldChar w:fldCharType="separate"/>
            </w:r>
            <w:r w:rsidRPr="001D56B6">
              <w:rPr>
                <w:rFonts w:ascii="Arial" w:hAnsi="Arial" w:cs="Arial"/>
                <w:noProof/>
                <w:webHidden/>
              </w:rPr>
              <w:t>4</w:t>
            </w:r>
            <w:r w:rsidRPr="001D56B6">
              <w:rPr>
                <w:rFonts w:ascii="Arial" w:hAnsi="Arial" w:cs="Arial"/>
                <w:noProof/>
                <w:webHidden/>
              </w:rPr>
              <w:fldChar w:fldCharType="end"/>
            </w:r>
          </w:hyperlink>
        </w:p>
        <w:p w:rsidR="001D56B6" w:rsidRPr="001D56B6">
          <w:pPr>
            <w:pStyle w:val="TOC1"/>
            <w:tabs>
              <w:tab w:val="right" w:leader="dot" w:pos="9350"/>
            </w:tabs>
            <w:rPr>
              <w:rFonts w:ascii="Arial" w:hAnsi="Arial" w:eastAsiaTheme="minorEastAsia" w:cs="Arial"/>
              <w:noProof/>
            </w:rPr>
          </w:pPr>
          <w:hyperlink w:anchor="_Toc223143362" w:history="1">
            <w:r w:rsidRPr="001D56B6">
              <w:rPr>
                <w:rStyle w:val="Hyperlink"/>
                <w:rFonts w:ascii="Arial" w:eastAsia="Times New Roman" w:hAnsi="Arial" w:cs="Arial"/>
                <w:noProof/>
              </w:rPr>
              <w:t>Root cause analysis using Fishbone categories</w:t>
            </w:r>
            <w:r w:rsidRPr="001D56B6">
              <w:rPr>
                <w:rFonts w:ascii="Arial" w:hAnsi="Arial" w:cs="Arial"/>
                <w:noProof/>
                <w:webHidden/>
              </w:rPr>
              <w:tab/>
            </w:r>
            <w:r w:rsidRPr="001D56B6">
              <w:rPr>
                <w:rFonts w:ascii="Arial" w:hAnsi="Arial" w:cs="Arial"/>
                <w:noProof/>
                <w:webHidden/>
              </w:rPr>
              <w:fldChar w:fldCharType="begin"/>
            </w:r>
            <w:r w:rsidRPr="001D56B6">
              <w:rPr>
                <w:rFonts w:ascii="Arial" w:hAnsi="Arial" w:cs="Arial"/>
                <w:noProof/>
                <w:webHidden/>
              </w:rPr>
              <w:instrText xml:space="preserve"> PAGEREF _Toc223143362 \h </w:instrText>
            </w:r>
            <w:r w:rsidRPr="001D56B6">
              <w:rPr>
                <w:rFonts w:ascii="Arial" w:hAnsi="Arial" w:cs="Arial"/>
                <w:noProof/>
                <w:webHidden/>
              </w:rPr>
              <w:fldChar w:fldCharType="separate"/>
            </w:r>
            <w:r w:rsidRPr="001D56B6">
              <w:rPr>
                <w:rFonts w:ascii="Arial" w:hAnsi="Arial" w:cs="Arial"/>
                <w:noProof/>
                <w:webHidden/>
              </w:rPr>
              <w:t>4</w:t>
            </w:r>
            <w:r w:rsidRPr="001D56B6">
              <w:rPr>
                <w:rFonts w:ascii="Arial" w:hAnsi="Arial" w:cs="Arial"/>
                <w:noProof/>
                <w:webHidden/>
              </w:rPr>
              <w:fldChar w:fldCharType="end"/>
            </w:r>
          </w:hyperlink>
        </w:p>
        <w:p w:rsidR="001D56B6" w:rsidRPr="001D56B6">
          <w:pPr>
            <w:pStyle w:val="TOC1"/>
            <w:tabs>
              <w:tab w:val="right" w:leader="dot" w:pos="9350"/>
            </w:tabs>
            <w:rPr>
              <w:rFonts w:ascii="Arial" w:hAnsi="Arial" w:eastAsiaTheme="minorEastAsia" w:cs="Arial"/>
              <w:noProof/>
            </w:rPr>
          </w:pPr>
          <w:hyperlink w:anchor="_Toc223143363" w:history="1">
            <w:r w:rsidRPr="001D56B6">
              <w:rPr>
                <w:rStyle w:val="Hyperlink"/>
                <w:rFonts w:ascii="Arial" w:eastAsia="Times New Roman" w:hAnsi="Arial" w:cs="Arial"/>
                <w:noProof/>
              </w:rPr>
              <w:t>“5 Whys” synthesis to reach system-level drivers</w:t>
            </w:r>
            <w:r w:rsidRPr="001D56B6">
              <w:rPr>
                <w:rFonts w:ascii="Arial" w:hAnsi="Arial" w:cs="Arial"/>
                <w:noProof/>
                <w:webHidden/>
              </w:rPr>
              <w:tab/>
            </w:r>
            <w:r w:rsidRPr="001D56B6">
              <w:rPr>
                <w:rFonts w:ascii="Arial" w:hAnsi="Arial" w:cs="Arial"/>
                <w:noProof/>
                <w:webHidden/>
              </w:rPr>
              <w:fldChar w:fldCharType="begin"/>
            </w:r>
            <w:r w:rsidRPr="001D56B6">
              <w:rPr>
                <w:rFonts w:ascii="Arial" w:hAnsi="Arial" w:cs="Arial"/>
                <w:noProof/>
                <w:webHidden/>
              </w:rPr>
              <w:instrText xml:space="preserve"> PAGEREF _Toc223143363 \h </w:instrText>
            </w:r>
            <w:r w:rsidRPr="001D56B6">
              <w:rPr>
                <w:rFonts w:ascii="Arial" w:hAnsi="Arial" w:cs="Arial"/>
                <w:noProof/>
                <w:webHidden/>
              </w:rPr>
              <w:fldChar w:fldCharType="separate"/>
            </w:r>
            <w:r w:rsidRPr="001D56B6">
              <w:rPr>
                <w:rFonts w:ascii="Arial" w:hAnsi="Arial" w:cs="Arial"/>
                <w:noProof/>
                <w:webHidden/>
              </w:rPr>
              <w:t>6</w:t>
            </w:r>
            <w:r w:rsidRPr="001D56B6">
              <w:rPr>
                <w:rFonts w:ascii="Arial" w:hAnsi="Arial" w:cs="Arial"/>
                <w:noProof/>
                <w:webHidden/>
              </w:rPr>
              <w:fldChar w:fldCharType="end"/>
            </w:r>
          </w:hyperlink>
        </w:p>
        <w:p w:rsidR="001D56B6" w:rsidRPr="001D56B6">
          <w:pPr>
            <w:pStyle w:val="TOC1"/>
            <w:tabs>
              <w:tab w:val="right" w:leader="dot" w:pos="9350"/>
            </w:tabs>
            <w:rPr>
              <w:rFonts w:ascii="Arial" w:hAnsi="Arial" w:eastAsiaTheme="minorEastAsia" w:cs="Arial"/>
              <w:noProof/>
            </w:rPr>
          </w:pPr>
          <w:hyperlink w:anchor="_Toc223143364" w:history="1">
            <w:r w:rsidRPr="001D56B6">
              <w:rPr>
                <w:rStyle w:val="Hyperlink"/>
                <w:rFonts w:ascii="Arial" w:eastAsia="Times New Roman" w:hAnsi="Arial" w:cs="Arial"/>
                <w:noProof/>
              </w:rPr>
              <w:t>Donabedian's analysis of the quality concern</w:t>
            </w:r>
            <w:r w:rsidRPr="001D56B6">
              <w:rPr>
                <w:rFonts w:ascii="Arial" w:hAnsi="Arial" w:cs="Arial"/>
                <w:noProof/>
                <w:webHidden/>
              </w:rPr>
              <w:tab/>
            </w:r>
            <w:r w:rsidRPr="001D56B6">
              <w:rPr>
                <w:rFonts w:ascii="Arial" w:hAnsi="Arial" w:cs="Arial"/>
                <w:noProof/>
                <w:webHidden/>
              </w:rPr>
              <w:fldChar w:fldCharType="begin"/>
            </w:r>
            <w:r w:rsidRPr="001D56B6">
              <w:rPr>
                <w:rFonts w:ascii="Arial" w:hAnsi="Arial" w:cs="Arial"/>
                <w:noProof/>
                <w:webHidden/>
              </w:rPr>
              <w:instrText xml:space="preserve"> PAGEREF _Toc223143364 \h </w:instrText>
            </w:r>
            <w:r w:rsidRPr="001D56B6">
              <w:rPr>
                <w:rFonts w:ascii="Arial" w:hAnsi="Arial" w:cs="Arial"/>
                <w:noProof/>
                <w:webHidden/>
              </w:rPr>
              <w:fldChar w:fldCharType="separate"/>
            </w:r>
            <w:r w:rsidRPr="001D56B6">
              <w:rPr>
                <w:rFonts w:ascii="Arial" w:hAnsi="Arial" w:cs="Arial"/>
                <w:noProof/>
                <w:webHidden/>
              </w:rPr>
              <w:t>7</w:t>
            </w:r>
            <w:r w:rsidRPr="001D56B6">
              <w:rPr>
                <w:rFonts w:ascii="Arial" w:hAnsi="Arial" w:cs="Arial"/>
                <w:noProof/>
                <w:webHidden/>
              </w:rPr>
              <w:fldChar w:fldCharType="end"/>
            </w:r>
          </w:hyperlink>
        </w:p>
        <w:p w:rsidR="001D56B6" w:rsidRPr="001D56B6">
          <w:pPr>
            <w:pStyle w:val="TOC1"/>
            <w:tabs>
              <w:tab w:val="right" w:leader="dot" w:pos="9350"/>
            </w:tabs>
            <w:rPr>
              <w:rFonts w:ascii="Arial" w:hAnsi="Arial" w:eastAsiaTheme="minorEastAsia" w:cs="Arial"/>
              <w:noProof/>
            </w:rPr>
          </w:pPr>
          <w:hyperlink w:anchor="_Toc223143365" w:history="1">
            <w:r w:rsidRPr="001D56B6">
              <w:rPr>
                <w:rStyle w:val="Hyperlink"/>
                <w:rFonts w:ascii="Arial" w:eastAsia="Times New Roman" w:hAnsi="Arial" w:cs="Arial"/>
                <w:noProof/>
              </w:rPr>
              <w:t>Recommendations and implementation strategy (approximately 800 words)</w:t>
            </w:r>
            <w:r w:rsidRPr="001D56B6">
              <w:rPr>
                <w:rFonts w:ascii="Arial" w:hAnsi="Arial" w:cs="Arial"/>
                <w:noProof/>
                <w:webHidden/>
              </w:rPr>
              <w:tab/>
            </w:r>
            <w:r w:rsidRPr="001D56B6">
              <w:rPr>
                <w:rFonts w:ascii="Arial" w:hAnsi="Arial" w:cs="Arial"/>
                <w:noProof/>
                <w:webHidden/>
              </w:rPr>
              <w:fldChar w:fldCharType="begin"/>
            </w:r>
            <w:r w:rsidRPr="001D56B6">
              <w:rPr>
                <w:rFonts w:ascii="Arial" w:hAnsi="Arial" w:cs="Arial"/>
                <w:noProof/>
                <w:webHidden/>
              </w:rPr>
              <w:instrText xml:space="preserve"> PAGEREF _Toc223143365 \h </w:instrText>
            </w:r>
            <w:r w:rsidRPr="001D56B6">
              <w:rPr>
                <w:rFonts w:ascii="Arial" w:hAnsi="Arial" w:cs="Arial"/>
                <w:noProof/>
                <w:webHidden/>
              </w:rPr>
              <w:fldChar w:fldCharType="separate"/>
            </w:r>
            <w:r w:rsidRPr="001D56B6">
              <w:rPr>
                <w:rFonts w:ascii="Arial" w:hAnsi="Arial" w:cs="Arial"/>
                <w:noProof/>
                <w:webHidden/>
              </w:rPr>
              <w:t>11</w:t>
            </w:r>
            <w:r w:rsidRPr="001D56B6">
              <w:rPr>
                <w:rFonts w:ascii="Arial" w:hAnsi="Arial" w:cs="Arial"/>
                <w:noProof/>
                <w:webHidden/>
              </w:rPr>
              <w:fldChar w:fldCharType="end"/>
            </w:r>
          </w:hyperlink>
        </w:p>
        <w:p w:rsidR="001D56B6" w:rsidRPr="001D56B6">
          <w:pPr>
            <w:pStyle w:val="TOC1"/>
            <w:tabs>
              <w:tab w:val="right" w:leader="dot" w:pos="9350"/>
            </w:tabs>
            <w:rPr>
              <w:rFonts w:ascii="Arial" w:hAnsi="Arial" w:eastAsiaTheme="minorEastAsia" w:cs="Arial"/>
              <w:noProof/>
            </w:rPr>
          </w:pPr>
          <w:hyperlink w:anchor="_Toc223143366" w:history="1">
            <w:r w:rsidRPr="001D56B6">
              <w:rPr>
                <w:rStyle w:val="Hyperlink"/>
                <w:rFonts w:ascii="Arial" w:eastAsia="Times New Roman" w:hAnsi="Arial" w:cs="Arial"/>
                <w:noProof/>
              </w:rPr>
              <w:t>Conclusion</w:t>
            </w:r>
            <w:r w:rsidRPr="001D56B6">
              <w:rPr>
                <w:rFonts w:ascii="Arial" w:hAnsi="Arial" w:cs="Arial"/>
                <w:noProof/>
                <w:webHidden/>
              </w:rPr>
              <w:tab/>
            </w:r>
            <w:r w:rsidRPr="001D56B6">
              <w:rPr>
                <w:rFonts w:ascii="Arial" w:hAnsi="Arial" w:cs="Arial"/>
                <w:noProof/>
                <w:webHidden/>
              </w:rPr>
              <w:fldChar w:fldCharType="begin"/>
            </w:r>
            <w:r w:rsidRPr="001D56B6">
              <w:rPr>
                <w:rFonts w:ascii="Arial" w:hAnsi="Arial" w:cs="Arial"/>
                <w:noProof/>
                <w:webHidden/>
              </w:rPr>
              <w:instrText xml:space="preserve"> PAGEREF _Toc223143366 \h </w:instrText>
            </w:r>
            <w:r w:rsidRPr="001D56B6">
              <w:rPr>
                <w:rFonts w:ascii="Arial" w:hAnsi="Arial" w:cs="Arial"/>
                <w:noProof/>
                <w:webHidden/>
              </w:rPr>
              <w:fldChar w:fldCharType="separate"/>
            </w:r>
            <w:r w:rsidRPr="001D56B6">
              <w:rPr>
                <w:rFonts w:ascii="Arial" w:hAnsi="Arial" w:cs="Arial"/>
                <w:noProof/>
                <w:webHidden/>
              </w:rPr>
              <w:t>15</w:t>
            </w:r>
            <w:r w:rsidRPr="001D56B6">
              <w:rPr>
                <w:rFonts w:ascii="Arial" w:hAnsi="Arial" w:cs="Arial"/>
                <w:noProof/>
                <w:webHidden/>
              </w:rPr>
              <w:fldChar w:fldCharType="end"/>
            </w:r>
          </w:hyperlink>
        </w:p>
        <w:p w:rsidR="001D56B6" w:rsidRPr="001D56B6">
          <w:pPr>
            <w:pStyle w:val="TOC1"/>
            <w:tabs>
              <w:tab w:val="right" w:leader="dot" w:pos="9350"/>
            </w:tabs>
            <w:rPr>
              <w:rFonts w:ascii="Arial" w:hAnsi="Arial" w:eastAsiaTheme="minorEastAsia" w:cs="Arial"/>
              <w:noProof/>
            </w:rPr>
          </w:pPr>
          <w:hyperlink w:anchor="_Toc223143367" w:history="1">
            <w:r w:rsidRPr="001D56B6">
              <w:rPr>
                <w:rStyle w:val="Hyperlink"/>
                <w:rFonts w:ascii="Arial" w:eastAsia="Times New Roman" w:hAnsi="Arial" w:cs="Arial"/>
                <w:noProof/>
              </w:rPr>
              <w:t>References</w:t>
            </w:r>
            <w:r w:rsidRPr="001D56B6">
              <w:rPr>
                <w:rFonts w:ascii="Arial" w:hAnsi="Arial" w:cs="Arial"/>
                <w:noProof/>
                <w:webHidden/>
              </w:rPr>
              <w:tab/>
            </w:r>
            <w:r w:rsidRPr="001D56B6">
              <w:rPr>
                <w:rFonts w:ascii="Arial" w:hAnsi="Arial" w:cs="Arial"/>
                <w:noProof/>
                <w:webHidden/>
              </w:rPr>
              <w:fldChar w:fldCharType="begin"/>
            </w:r>
            <w:r w:rsidRPr="001D56B6">
              <w:rPr>
                <w:rFonts w:ascii="Arial" w:hAnsi="Arial" w:cs="Arial"/>
                <w:noProof/>
                <w:webHidden/>
              </w:rPr>
              <w:instrText xml:space="preserve"> PAGEREF _Toc223143367 \h </w:instrText>
            </w:r>
            <w:r w:rsidRPr="001D56B6">
              <w:rPr>
                <w:rFonts w:ascii="Arial" w:hAnsi="Arial" w:cs="Arial"/>
                <w:noProof/>
                <w:webHidden/>
              </w:rPr>
              <w:fldChar w:fldCharType="separate"/>
            </w:r>
            <w:r w:rsidRPr="001D56B6">
              <w:rPr>
                <w:rFonts w:ascii="Arial" w:hAnsi="Arial" w:cs="Arial"/>
                <w:noProof/>
                <w:webHidden/>
              </w:rPr>
              <w:t>16</w:t>
            </w:r>
            <w:r w:rsidRPr="001D56B6">
              <w:rPr>
                <w:rFonts w:ascii="Arial" w:hAnsi="Arial" w:cs="Arial"/>
                <w:noProof/>
                <w:webHidden/>
              </w:rPr>
              <w:fldChar w:fldCharType="end"/>
            </w:r>
          </w:hyperlink>
        </w:p>
        <w:p w:rsidR="007F3104" w:rsidRPr="001D56B6">
          <w:pPr>
            <w:rPr>
              <w:rFonts w:ascii="Arial" w:hAnsi="Arial" w:cs="Arial"/>
            </w:rPr>
          </w:pPr>
          <w:r w:rsidRPr="001D56B6">
            <w:rPr>
              <w:rFonts w:ascii="Arial" w:hAnsi="Arial" w:cs="Arial"/>
              <w:b/>
              <w:bCs/>
              <w:noProof/>
            </w:rPr>
            <w:fldChar w:fldCharType="end"/>
          </w:r>
        </w:p>
      </w:sdtContent>
    </w:sdt>
    <w:p w:rsidR="007F3104"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7F3104" w:rsidRPr="001D56B6" w:rsidP="007F3104">
      <w:pPr>
        <w:spacing w:line="360" w:lineRule="auto"/>
        <w:jc w:val="both"/>
        <w:rPr>
          <w:rFonts w:ascii="Arial" w:hAnsi="Arial" w:cs="Arial"/>
        </w:rPr>
      </w:pPr>
    </w:p>
    <w:p w:rsidR="007F3104"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spacing w:line="360" w:lineRule="auto"/>
        <w:jc w:val="both"/>
        <w:rPr>
          <w:rFonts w:ascii="Arial" w:hAnsi="Arial" w:cs="Arial"/>
        </w:rPr>
      </w:pPr>
    </w:p>
    <w:p w:rsidR="0022180E" w:rsidRPr="001D56B6" w:rsidP="007F3104">
      <w:pPr>
        <w:pStyle w:val="Heading1"/>
        <w:rPr>
          <w:rFonts w:eastAsia="Times New Roman" w:cs="Arial"/>
          <w:szCs w:val="22"/>
        </w:rPr>
      </w:pPr>
      <w:bookmarkStart w:id="1" w:name="_Toc223143360"/>
      <w:r w:rsidRPr="001D56B6">
        <w:rPr>
          <w:rFonts w:eastAsia="Times New Roman" w:cs="Arial"/>
          <w:szCs w:val="22"/>
        </w:rPr>
        <w:t>Introduction</w:t>
      </w:r>
      <w:bookmarkEnd w:id="1"/>
      <w:r w:rsidRPr="001D56B6">
        <w:rPr>
          <w:rFonts w:eastAsia="Times New Roman" w:cs="Arial"/>
          <w:szCs w:val="22"/>
        </w:rPr>
        <w:t xml:space="preserve"> </w:t>
      </w:r>
    </w:p>
    <w:p w:rsidR="00921FB1"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 xml:space="preserve">The chosen public health quality issue is the lack of detection and optimal utilisation of depressed male adults in primary care and community-based services, which leads to inappropriate follow-up, legacies, and prevention of deterioration (including the risk of comorbid insomnia and suicidality). Some data shows that men can manifest depression in less </w:t>
      </w:r>
      <w:r w:rsidRPr="001D56B6">
        <w:rPr>
          <w:rFonts w:ascii="Arial" w:eastAsia="Times New Roman" w:hAnsi="Arial" w:cs="Arial"/>
        </w:rPr>
        <w:t>recognisabl</w:t>
      </w:r>
      <w:r w:rsidRPr="001D56B6">
        <w:rPr>
          <w:rFonts w:ascii="Arial" w:eastAsia="Times New Roman" w:hAnsi="Arial" w:cs="Arial"/>
        </w:rPr>
        <w:t xml:space="preserve">e, typical low mood, such as irritability, anger, and risk-directed coping </w:t>
      </w:r>
      <w:r w:rsidRPr="001D56B6">
        <w:rPr>
          <w:rFonts w:ascii="Arial" w:eastAsia="Times New Roman" w:hAnsi="Arial" w:cs="Arial"/>
        </w:rPr>
        <w:t>behaviours</w:t>
      </w:r>
      <w:r w:rsidRPr="001D56B6">
        <w:rPr>
          <w:rFonts w:ascii="Arial" w:eastAsia="Times New Roman" w:hAnsi="Arial" w:cs="Arial"/>
        </w:rPr>
        <w:t>, which improves recognition and prompt referral in case services use more traditional symptom scripts (Rice, 2022). This develops into a quality problem due to increased avoidable morbidity, low rates of early recovery, and the emergence of downstream strains on crisis care, emergency departments, and specialist services (</w:t>
      </w:r>
      <w:r w:rsidRPr="001D56B6">
        <w:rPr>
          <w:rFonts w:ascii="Arial" w:eastAsia="Times New Roman" w:hAnsi="Arial" w:cs="Arial"/>
        </w:rPr>
        <w:t>Flehr</w:t>
      </w:r>
      <w:r w:rsidRPr="001D56B6">
        <w:rPr>
          <w:rFonts w:ascii="Arial" w:eastAsia="Times New Roman" w:hAnsi="Arial" w:cs="Arial"/>
        </w:rPr>
        <w:t>, 2025).</w:t>
      </w:r>
    </w:p>
    <w:p w:rsidR="00921FB1"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Depression is widespread in adult patients and is generally treated in primary care, although gaps in detection occur when the clinical time is insufficient, continuity is disrupted, and the staff level of confidence differs (</w:t>
      </w:r>
      <w:r w:rsidRPr="001D56B6">
        <w:rPr>
          <w:rFonts w:ascii="Arial" w:eastAsia="Times New Roman" w:hAnsi="Arial" w:cs="Arial"/>
        </w:rPr>
        <w:t>Habtamu</w:t>
      </w:r>
      <w:r w:rsidRPr="001D56B6">
        <w:rPr>
          <w:rFonts w:ascii="Arial" w:eastAsia="Times New Roman" w:hAnsi="Arial" w:cs="Arial"/>
        </w:rPr>
        <w:t>, 2023). Primary care screening instruments, such as the PHQ-9, are extensively tested for effectiveness. Yet, such testing is insufficient to ensure effectiveness in practice, and implementation effects depend on workflow design, staff education, documentation, and confirmatory assessment and follow-up pathways (</w:t>
      </w:r>
      <w:r w:rsidRPr="001D56B6">
        <w:rPr>
          <w:rFonts w:ascii="Arial" w:eastAsia="Times New Roman" w:hAnsi="Arial" w:cs="Arial"/>
        </w:rPr>
        <w:t>Costantini</w:t>
      </w:r>
      <w:r w:rsidRPr="001D56B6">
        <w:rPr>
          <w:rFonts w:ascii="Arial" w:eastAsia="Times New Roman" w:hAnsi="Arial" w:cs="Arial"/>
        </w:rPr>
        <w:t>, 2021). Other obstacles in men include stigma, masculine expectations, lack of disclosure of emotional distress, which may change the manifestation to somatic symptoms, drugs or substance use, or even so-called functional symptoms of fatigue and work incapability, making it hard to notice and approach (</w:t>
      </w:r>
      <w:r w:rsidRPr="001D56B6">
        <w:rPr>
          <w:rFonts w:ascii="Arial" w:eastAsia="Times New Roman" w:hAnsi="Arial" w:cs="Arial"/>
        </w:rPr>
        <w:t>Eggenberger</w:t>
      </w:r>
      <w:r w:rsidRPr="001D56B6">
        <w:rPr>
          <w:rFonts w:ascii="Arial" w:eastAsia="Times New Roman" w:hAnsi="Arial" w:cs="Arial"/>
        </w:rPr>
        <w:t>, 2023). An intervention focused on stigma reduction and gender responsiveness is directly applicable to service quality, as it affects help-seeking and the frames of interpretation applied by clinicians (Sweeney, 2024).</w:t>
      </w:r>
    </w:p>
    <w:p w:rsidR="00921FB1"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A very critical co-existing issue on this quality concern is sleep disturbance. Depression and sleep issues have a bidirectional effect; depressive symptoms can be aggravated by insomnia, and vice versa, the sleep disturbance can be aggravated by depression, which enhances the relapse and impairs functioning (</w:t>
      </w:r>
      <w:r w:rsidRPr="001D56B6">
        <w:rPr>
          <w:rFonts w:ascii="Arial" w:eastAsia="Times New Roman" w:hAnsi="Arial" w:cs="Arial"/>
        </w:rPr>
        <w:t>Yasugaki</w:t>
      </w:r>
      <w:r w:rsidRPr="001D56B6">
        <w:rPr>
          <w:rFonts w:ascii="Arial" w:eastAsia="Times New Roman" w:hAnsi="Arial" w:cs="Arial"/>
        </w:rPr>
        <w:t>, 2025). Insomnia may equally be a more acceptable presenting complaint among some men as an opportunity to ensure that mental health is identified earlier, should services consider the assessment of mental health as part of sleep-related consultation (Furukawa, 2024). CBT therapy involving digital and therapist assistance with insomnia</w:t>
      </w:r>
      <w:r w:rsidRPr="001D56B6">
        <w:rPr>
          <w:rFonts w:ascii="Arial" w:eastAsia="Times New Roman" w:hAnsi="Arial" w:cs="Arial"/>
        </w:rPr>
        <w:t xml:space="preserve"> is also beneficial for sleep and depressive symptoms, which is operationally and clinically appealing at the integrated care pathway (Lee, 2023).</w:t>
      </w:r>
    </w:p>
    <w:p w:rsidR="0022180E" w:rsidRPr="001D56B6" w:rsidP="007F3104">
      <w:pPr>
        <w:spacing w:before="100" w:beforeAutospacing="1" w:after="100" w:afterAutospacing="1" w:line="360" w:lineRule="auto"/>
        <w:jc w:val="both"/>
        <w:rPr>
          <w:rFonts w:ascii="Arial" w:eastAsia="Times New Roman" w:hAnsi="Arial" w:cs="Arial"/>
        </w:rPr>
      </w:pPr>
      <w:r w:rsidRPr="001D56B6">
        <w:rPr>
          <w:rFonts w:ascii="Arial" w:eastAsia="Times New Roman" w:hAnsi="Arial" w:cs="Arial"/>
        </w:rPr>
        <w:t xml:space="preserve">This report can be </w:t>
      </w:r>
      <w:r w:rsidRPr="001D56B6">
        <w:rPr>
          <w:rFonts w:ascii="Arial" w:eastAsia="Times New Roman" w:hAnsi="Arial" w:cs="Arial"/>
        </w:rPr>
        <w:t>analysed</w:t>
      </w:r>
      <w:r w:rsidRPr="001D56B6">
        <w:rPr>
          <w:rFonts w:ascii="Arial" w:eastAsia="Times New Roman" w:hAnsi="Arial" w:cs="Arial"/>
        </w:rPr>
        <w:t xml:space="preserve"> in terms of the root causes of under-identification and poor engagement in men with depression using a Fishbone Diagram and 5 Whys to understand the quality and identify strategies to clarify the </w:t>
      </w:r>
      <w:r w:rsidRPr="001D56B6">
        <w:rPr>
          <w:rFonts w:ascii="Arial" w:eastAsia="Times New Roman" w:hAnsi="Arial" w:cs="Arial"/>
        </w:rPr>
        <w:t>organisational</w:t>
      </w:r>
      <w:r w:rsidRPr="001D56B6">
        <w:rPr>
          <w:rFonts w:ascii="Arial" w:eastAsia="Times New Roman" w:hAnsi="Arial" w:cs="Arial"/>
        </w:rPr>
        <w:t xml:space="preserve"> situation (SWOT). The report eventually makes action recommendations and implementation strategy based on PDSA/PDCA and Lean/Six Sigma principles to entrench sustainable improvement.</w:t>
      </w:r>
    </w:p>
    <w:p w:rsidR="0022180E" w:rsidRPr="001D56B6" w:rsidP="007F3104">
      <w:pPr>
        <w:pStyle w:val="Heading1"/>
        <w:rPr>
          <w:rFonts w:eastAsia="Times New Roman" w:cs="Arial"/>
          <w:szCs w:val="22"/>
        </w:rPr>
      </w:pPr>
      <w:bookmarkStart w:id="2" w:name="_Toc223143361"/>
      <w:r w:rsidRPr="001D56B6">
        <w:rPr>
          <w:rFonts w:eastAsia="Times New Roman" w:cs="Arial"/>
          <w:szCs w:val="22"/>
        </w:rPr>
        <w:t>Defining the quality problem and rationale for frameworks</w:t>
      </w:r>
      <w:bookmarkEnd w:id="2"/>
    </w:p>
    <w:p w:rsidR="0092737A"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 xml:space="preserve">The quality issue may be stated as a recurrent service deficiency to identify depression in male patients with reliability and involvement in evidence-based care, first presentation, and follow-up. Regarding quality assurance, this is not just a clinician-level problem but a system design problem, a culture problem, a measurement practice problem, and a reliability problem in pathways. The literature on continuous quality improvement highlights that </w:t>
      </w:r>
      <w:r w:rsidRPr="001D56B6">
        <w:rPr>
          <w:rFonts w:ascii="Arial" w:eastAsia="Times New Roman" w:hAnsi="Arial" w:cs="Arial"/>
        </w:rPr>
        <w:t>organisations</w:t>
      </w:r>
      <w:r w:rsidRPr="001D56B6">
        <w:rPr>
          <w:rFonts w:ascii="Arial" w:eastAsia="Times New Roman" w:hAnsi="Arial" w:cs="Arial"/>
        </w:rPr>
        <w:t xml:space="preserve"> that better consider clinical performance as a property of processes that can be measured, redesigned, tested, and </w:t>
      </w:r>
      <w:r w:rsidRPr="001D56B6">
        <w:rPr>
          <w:rFonts w:ascii="Arial" w:eastAsia="Times New Roman" w:hAnsi="Arial" w:cs="Arial"/>
        </w:rPr>
        <w:t>standardised</w:t>
      </w:r>
      <w:r w:rsidRPr="001D56B6">
        <w:rPr>
          <w:rFonts w:ascii="Arial" w:eastAsia="Times New Roman" w:hAnsi="Arial" w:cs="Arial"/>
        </w:rPr>
        <w:t xml:space="preserve"> (</w:t>
      </w:r>
      <w:r w:rsidRPr="001D56B6">
        <w:rPr>
          <w:rFonts w:ascii="Arial" w:eastAsia="Times New Roman" w:hAnsi="Arial" w:cs="Arial"/>
        </w:rPr>
        <w:t>Endalamaw</w:t>
      </w:r>
      <w:r w:rsidRPr="001D56B6">
        <w:rPr>
          <w:rFonts w:ascii="Arial" w:eastAsia="Times New Roman" w:hAnsi="Arial" w:cs="Arial"/>
        </w:rPr>
        <w:t>, 2024). In the case of mental illness, this is an escalated problem since, in addition to using biomedical tests, the identification relies on communication, trust, stigma, and interpretive competence (</w:t>
      </w:r>
      <w:r w:rsidRPr="001D56B6">
        <w:rPr>
          <w:rFonts w:ascii="Arial" w:eastAsia="Times New Roman" w:hAnsi="Arial" w:cs="Arial"/>
        </w:rPr>
        <w:t>Zhamaliyeva</w:t>
      </w:r>
      <w:r w:rsidRPr="001D56B6">
        <w:rPr>
          <w:rFonts w:ascii="Arial" w:eastAsia="Times New Roman" w:hAnsi="Arial" w:cs="Arial"/>
        </w:rPr>
        <w:t>, 2025).</w:t>
      </w:r>
    </w:p>
    <w:p w:rsidR="0092737A" w:rsidRPr="0022180E"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The chosen models meet the brief's needs to assess its root causes and develop its strategic plan. The Fishbone Diagram is appropriate because it provides multi-factor causation within categories and multidisciplinary consensus-building in situations where problems are cross-cutting and complex (</w:t>
      </w:r>
      <w:r w:rsidRPr="001D56B6">
        <w:rPr>
          <w:rFonts w:ascii="Arial" w:eastAsia="Times New Roman" w:hAnsi="Arial" w:cs="Arial"/>
        </w:rPr>
        <w:t>Kumah</w:t>
      </w:r>
      <w:r w:rsidRPr="001D56B6">
        <w:rPr>
          <w:rFonts w:ascii="Arial" w:eastAsia="Times New Roman" w:hAnsi="Arial" w:cs="Arial"/>
        </w:rPr>
        <w:t xml:space="preserve">, 2024). The 5 Whys is applied to go beyond surface-level explanations (e.g., men do not seek help) and reach process and system drivers (Singh, 2024). </w:t>
      </w:r>
      <w:r w:rsidRPr="001D56B6">
        <w:rPr>
          <w:rFonts w:ascii="Arial" w:eastAsia="Times New Roman" w:hAnsi="Arial" w:cs="Arial"/>
        </w:rPr>
        <w:t>The Donabedian</w:t>
      </w:r>
      <w:r w:rsidRPr="001D56B6">
        <w:rPr>
          <w:rFonts w:ascii="Arial" w:eastAsia="Times New Roman" w:hAnsi="Arial" w:cs="Arial"/>
        </w:rPr>
        <w:t xml:space="preserve"> model offers a strict quality prism, in which the structures (resources and </w:t>
      </w:r>
      <w:r w:rsidRPr="001D56B6">
        <w:rPr>
          <w:rFonts w:ascii="Arial" w:eastAsia="Times New Roman" w:hAnsi="Arial" w:cs="Arial"/>
        </w:rPr>
        <w:t>organisational</w:t>
      </w:r>
      <w:r w:rsidRPr="001D56B6">
        <w:rPr>
          <w:rFonts w:ascii="Arial" w:eastAsia="Times New Roman" w:hAnsi="Arial" w:cs="Arial"/>
        </w:rPr>
        <w:t xml:space="preserve"> conditions) remain transparent, the processes (what care is actually provided), and the outcomes (patient and system effects) are traced to measurable improvements (Moayed, 2022). Lastly, SWOT supports strategic planning by helping the company understand its internal strengths and weaknesses, as well as external opportunities and threats, to shape its sustainability and feasibility (O'Brien, 2023).</w:t>
      </w:r>
    </w:p>
    <w:p w:rsidR="0022180E" w:rsidRPr="001D56B6" w:rsidP="007F3104">
      <w:pPr>
        <w:pStyle w:val="Heading1"/>
        <w:rPr>
          <w:rFonts w:eastAsia="Times New Roman" w:cs="Arial"/>
          <w:szCs w:val="22"/>
        </w:rPr>
      </w:pPr>
      <w:bookmarkStart w:id="3" w:name="_Toc223143362"/>
      <w:r w:rsidRPr="001D56B6">
        <w:rPr>
          <w:rFonts w:eastAsia="Times New Roman" w:cs="Arial"/>
          <w:szCs w:val="22"/>
        </w:rPr>
        <w:t>Root cause analysis using Fishbone categories</w:t>
      </w:r>
      <w:bookmarkEnd w:id="3"/>
    </w:p>
    <w:p w:rsidR="0092737A"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 xml:space="preserve">With a Fishbone approach, under-identification and poor engagement can be divided into people /workforce, methods/workflows, measurement/documentation, environment/technology, and patient/community. Workforce issues comprise inconsistent confidence in detecting the exhibitions of depression amongst men and unfamiliarity with male-characteristic </w:t>
      </w:r>
      <w:r w:rsidRPr="001D56B6">
        <w:rPr>
          <w:rFonts w:ascii="Arial" w:eastAsia="Times New Roman" w:hAnsi="Arial" w:cs="Arial"/>
        </w:rPr>
        <w:t>externalising</w:t>
      </w:r>
      <w:r w:rsidRPr="001D56B6">
        <w:rPr>
          <w:rFonts w:ascii="Arial" w:eastAsia="Times New Roman" w:hAnsi="Arial" w:cs="Arial"/>
        </w:rPr>
        <w:t xml:space="preserve"> </w:t>
      </w:r>
      <w:r w:rsidRPr="001D56B6">
        <w:rPr>
          <w:rFonts w:ascii="Arial" w:eastAsia="Times New Roman" w:hAnsi="Arial" w:cs="Arial"/>
        </w:rPr>
        <w:t xml:space="preserve">manifestations (like irritability and anger) that conceal the sadness-oriented ones (Rice, 2022). When clinicians understand irritability as only </w:t>
      </w:r>
      <w:r w:rsidRPr="001D56B6">
        <w:rPr>
          <w:rFonts w:ascii="Arial" w:eastAsia="Times New Roman" w:hAnsi="Arial" w:cs="Arial"/>
        </w:rPr>
        <w:t>behavioural</w:t>
      </w:r>
      <w:r w:rsidRPr="001D56B6">
        <w:rPr>
          <w:rFonts w:ascii="Arial" w:eastAsia="Times New Roman" w:hAnsi="Arial" w:cs="Arial"/>
        </w:rPr>
        <w:t xml:space="preserve"> or situational, rather than depressive in nature, they miss opportunities for early detection (Vidal-</w:t>
      </w:r>
      <w:r w:rsidRPr="001D56B6">
        <w:rPr>
          <w:rFonts w:ascii="Arial" w:eastAsia="Times New Roman" w:hAnsi="Arial" w:cs="Arial"/>
        </w:rPr>
        <w:t>Ribas</w:t>
      </w:r>
      <w:r w:rsidRPr="001D56B6">
        <w:rPr>
          <w:rFonts w:ascii="Arial" w:eastAsia="Times New Roman" w:hAnsi="Arial" w:cs="Arial"/>
        </w:rPr>
        <w:t>, 2021). This brings about inequality since the reported pathway is implicitly discriminatory towards those reporting traditional symptoms.</w:t>
      </w:r>
    </w:p>
    <w:p w:rsidR="0092737A"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Factors that are workflow-related include short consultations, gaps in continuity of care and lack of clarity in screening or follow-up thresholds. It has been indicated that there is greater potential for interventions aimed at enhancing detection in primary care when they include multiple components, such as staff training, formal screening processes, and clear referral and follow-up protocols, rather than relying on a single tool (</w:t>
      </w:r>
      <w:r w:rsidRPr="001D56B6">
        <w:rPr>
          <w:rFonts w:ascii="Arial" w:eastAsia="Times New Roman" w:hAnsi="Arial" w:cs="Arial"/>
        </w:rPr>
        <w:t>Habtamu</w:t>
      </w:r>
      <w:r w:rsidRPr="001D56B6">
        <w:rPr>
          <w:rFonts w:ascii="Arial" w:eastAsia="Times New Roman" w:hAnsi="Arial" w:cs="Arial"/>
        </w:rPr>
        <w:t>, 2023). In the case of screening that is not followed by a specific confirmatory assessment step, risk assessment might be enhanced by creating documentation, yet with no real, effective results. This is why measurement-based care should be linked to decision-support and effective follow-up protocols (Abdulla, 2025).</w:t>
      </w:r>
    </w:p>
    <w:p w:rsidR="0092737A"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The measurement and documentation problems encountered have been identified as related to inconsistent coding, the lack of outcome measures, and the ineffective visibility of longitudinal risk signals. The integrated models of care rely on the timely sharing of information and the quality of its future recording, without which the teams are not in a position to monitor the process of engagement improvement or the drop-off from the initial contact among men (Yang, 2025). Factors related to technology and the environment involve the availability of a few digital solutions for follow-up (reducing disclosure), inadequate privacy in reception/triage areas, and the unavailability of simple self-referral strategies to psychological support. Only when embedded in the routine workflow and marketed in terms men deem acceptable, telehealth and blended care can expand access to men seeking more practical, time-efficient help (Pence, 2024).</w:t>
      </w:r>
    </w:p>
    <w:p w:rsidR="0092737A"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 xml:space="preserve">The patient and community influences are quite significant, and they encompass stigma, masculinity norms, and unwillingness to seek help. Stigma reduction intervention reviews in men show that changes in attitude and online-based shifts in interest in seeking support can be achieved through messaging that frames helping-seeking as strength-focused and that also supports the desired roles (Sweeney, 2024). Qualitative and culturally specific data demonstrate that masculinity-related norms may influence recognition, disclosure, and acceptance of the treatment; that is, service design needs to actively decrease identity threat and enhance relational </w:t>
      </w:r>
      <w:r w:rsidRPr="001D56B6">
        <w:rPr>
          <w:rFonts w:ascii="Arial" w:eastAsia="Times New Roman" w:hAnsi="Arial" w:cs="Arial"/>
        </w:rPr>
        <w:t>safety (</w:t>
      </w:r>
      <w:r w:rsidRPr="001D56B6">
        <w:rPr>
          <w:rFonts w:ascii="Arial" w:eastAsia="Times New Roman" w:hAnsi="Arial" w:cs="Arial"/>
        </w:rPr>
        <w:t>Swetlitz</w:t>
      </w:r>
      <w:r w:rsidRPr="001D56B6">
        <w:rPr>
          <w:rFonts w:ascii="Arial" w:eastAsia="Times New Roman" w:hAnsi="Arial" w:cs="Arial"/>
        </w:rPr>
        <w:t xml:space="preserve">, 2024). It is also reported in male-type depression research that avoidance and </w:t>
      </w:r>
      <w:r w:rsidRPr="001D56B6">
        <w:rPr>
          <w:rFonts w:ascii="Arial" w:eastAsia="Times New Roman" w:hAnsi="Arial" w:cs="Arial"/>
        </w:rPr>
        <w:t>externalising</w:t>
      </w:r>
      <w:r w:rsidRPr="001D56B6">
        <w:rPr>
          <w:rFonts w:ascii="Arial" w:eastAsia="Times New Roman" w:hAnsi="Arial" w:cs="Arial"/>
        </w:rPr>
        <w:t xml:space="preserve"> patterns are the possible mediators of pathways that lead to suicidal thoughts, which builds upon the safety-critical role of missed detection (O’Gorman, 2022).</w:t>
      </w:r>
    </w:p>
    <w:p w:rsidR="00921FB1" w:rsidRPr="001D56B6" w:rsidP="007F3104">
      <w:pPr>
        <w:spacing w:before="100" w:beforeAutospacing="1" w:after="100" w:afterAutospacing="1" w:line="360" w:lineRule="auto"/>
        <w:jc w:val="both"/>
        <w:rPr>
          <w:rFonts w:ascii="Arial" w:eastAsia="Times New Roman" w:hAnsi="Arial" w:cs="Arial"/>
          <w:b/>
        </w:rPr>
      </w:pPr>
      <w:r w:rsidRPr="001D56B6">
        <w:rPr>
          <w:rFonts w:ascii="Arial" w:eastAsia="Times New Roman" w:hAnsi="Arial" w:cs="Arial"/>
          <w:b/>
        </w:rPr>
        <w:t>Table 1</w:t>
      </w:r>
      <w:r w:rsidRPr="001D56B6">
        <w:rPr>
          <w:rFonts w:ascii="Arial" w:eastAsia="Times New Roman" w:hAnsi="Arial" w:cs="Arial"/>
          <w:b/>
        </w:rPr>
        <w:t>: Root cause summary (Fishbone synthesis)</w:t>
      </w:r>
    </w:p>
    <w:tbl>
      <w:tblPr>
        <w:tblStyle w:val="PlainTable1"/>
        <w:tblW w:w="0" w:type="auto"/>
        <w:tblLook w:val="04A0"/>
      </w:tblPr>
      <w:tblGrid>
        <w:gridCol w:w="3273"/>
        <w:gridCol w:w="3791"/>
        <w:gridCol w:w="2286"/>
      </w:tblGrid>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Category (Fishbone)</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Main causes contributing to under-identification/poor engagement</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Why it matters for quality</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People/workforce</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 xml:space="preserve">Variable confidence in </w:t>
            </w:r>
            <w:r w:rsidRPr="00921FB1">
              <w:rPr>
                <w:rFonts w:ascii="Arial" w:eastAsia="Times New Roman" w:hAnsi="Arial" w:cs="Arial"/>
              </w:rPr>
              <w:t>recognising</w:t>
            </w:r>
            <w:r w:rsidRPr="00921FB1">
              <w:rPr>
                <w:rFonts w:ascii="Arial" w:eastAsia="Times New Roman" w:hAnsi="Arial" w:cs="Arial"/>
              </w:rPr>
              <w:t xml:space="preserve"> male-typical depression; inconsistent stigma-sensitive communication</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Leads to missed cues and reduced disclosure</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Methods/workflow</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No consistent trigger for screening; follow-up not reliably scheduled</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Creates variation and dropout after the first contact</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Measurement/documentation</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Incomplete coding; PHQ-9 not repeated; no tracking of missed follow-ups</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Makes improvement invisible and hard to sustain</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Environment/technology</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Privacy barriers, limited self-referral routes, and poor template usability</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Reduces disclosure and slows pathway entry</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Patient/community</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Masculinity norms; fear of judgement; preference for “practical” framing</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Low help-seeking and lower engagement with therapy</w:t>
            </w:r>
          </w:p>
        </w:tc>
      </w:tr>
    </w:tbl>
    <w:p w:rsidR="0022180E" w:rsidRPr="001D56B6" w:rsidP="007F3104">
      <w:pPr>
        <w:pStyle w:val="Heading1"/>
        <w:rPr>
          <w:rFonts w:eastAsia="Times New Roman" w:cs="Arial"/>
          <w:szCs w:val="22"/>
        </w:rPr>
      </w:pPr>
      <w:bookmarkStart w:id="4" w:name="_Toc223143363"/>
      <w:r w:rsidRPr="001D56B6">
        <w:rPr>
          <w:rFonts w:eastAsia="Times New Roman" w:cs="Arial"/>
          <w:szCs w:val="22"/>
        </w:rPr>
        <w:t>“5 Whys” synthesis to reach system-level drivers</w:t>
      </w:r>
      <w:bookmarkEnd w:id="4"/>
    </w:p>
    <w:p w:rsidR="007F3104"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 xml:space="preserve">A more profound chain can be achieved by using the 5 Whys on the problem of men with depression not always being identified and engaged. Males are not always diagnosed, as presentations are often indirect and clinicians are not always screening or investigating mood when patients express what appear to be somatic or </w:t>
      </w:r>
      <w:r w:rsidRPr="001D56B6">
        <w:rPr>
          <w:rFonts w:ascii="Arial" w:eastAsia="Times New Roman" w:hAnsi="Arial" w:cs="Arial"/>
        </w:rPr>
        <w:t>behavioural</w:t>
      </w:r>
      <w:r w:rsidRPr="001D56B6">
        <w:rPr>
          <w:rFonts w:ascii="Arial" w:eastAsia="Times New Roman" w:hAnsi="Arial" w:cs="Arial"/>
        </w:rPr>
        <w:t xml:space="preserve"> symptoms (</w:t>
      </w:r>
      <w:r w:rsidRPr="001D56B6">
        <w:rPr>
          <w:rFonts w:ascii="Arial" w:eastAsia="Times New Roman" w:hAnsi="Arial" w:cs="Arial"/>
        </w:rPr>
        <w:t>Eggenberger</w:t>
      </w:r>
      <w:r w:rsidRPr="001D56B6">
        <w:rPr>
          <w:rFonts w:ascii="Arial" w:eastAsia="Times New Roman" w:hAnsi="Arial" w:cs="Arial"/>
        </w:rPr>
        <w:t xml:space="preserve">, 2023). The screening process is not routine among clinicians due to limited time available, and the service has no </w:t>
      </w:r>
      <w:r w:rsidRPr="001D56B6">
        <w:rPr>
          <w:rFonts w:ascii="Arial" w:eastAsia="Times New Roman" w:hAnsi="Arial" w:cs="Arial"/>
        </w:rPr>
        <w:t>standardised</w:t>
      </w:r>
      <w:r w:rsidRPr="001D56B6">
        <w:rPr>
          <w:rFonts w:ascii="Arial" w:eastAsia="Times New Roman" w:hAnsi="Arial" w:cs="Arial"/>
        </w:rPr>
        <w:t xml:space="preserve"> triggers or workflow, with opportunistic screening and follow-up (</w:t>
      </w:r>
      <w:r w:rsidRPr="001D56B6">
        <w:rPr>
          <w:rFonts w:ascii="Arial" w:eastAsia="Times New Roman" w:hAnsi="Arial" w:cs="Arial"/>
        </w:rPr>
        <w:t>Habtamu</w:t>
      </w:r>
      <w:r w:rsidRPr="001D56B6">
        <w:rPr>
          <w:rFonts w:ascii="Arial" w:eastAsia="Times New Roman" w:hAnsi="Arial" w:cs="Arial"/>
        </w:rPr>
        <w:t xml:space="preserve">, 2023). The </w:t>
      </w:r>
      <w:r w:rsidRPr="001D56B6">
        <w:rPr>
          <w:rFonts w:ascii="Arial" w:eastAsia="Times New Roman" w:hAnsi="Arial" w:cs="Arial"/>
        </w:rPr>
        <w:t>standardisation</w:t>
      </w:r>
      <w:r w:rsidRPr="001D56B6">
        <w:rPr>
          <w:rFonts w:ascii="Arial" w:eastAsia="Times New Roman" w:hAnsi="Arial" w:cs="Arial"/>
        </w:rPr>
        <w:t xml:space="preserve"> of the workflow fails to adequately operationalise the quality goals </w:t>
      </w:r>
      <w:r w:rsidRPr="001D56B6">
        <w:rPr>
          <w:rFonts w:ascii="Arial" w:eastAsia="Times New Roman" w:hAnsi="Arial" w:cs="Arial"/>
        </w:rPr>
        <w:t xml:space="preserve">and measures </w:t>
      </w:r>
      <w:r w:rsidRPr="001D56B6">
        <w:rPr>
          <w:rFonts w:ascii="Arial" w:eastAsia="Times New Roman" w:hAnsi="Arial" w:cs="Arial"/>
        </w:rPr>
        <w:t>into team processes and accountability (</w:t>
      </w:r>
      <w:r w:rsidRPr="001D56B6">
        <w:rPr>
          <w:rFonts w:ascii="Arial" w:eastAsia="Times New Roman" w:hAnsi="Arial" w:cs="Arial"/>
        </w:rPr>
        <w:t>Endalamaw</w:t>
      </w:r>
      <w:r w:rsidRPr="001D56B6">
        <w:rPr>
          <w:rFonts w:ascii="Arial" w:eastAsia="Times New Roman" w:hAnsi="Arial" w:cs="Arial"/>
        </w:rPr>
        <w:t xml:space="preserve">, 2024). Quality objectives are not </w:t>
      </w:r>
      <w:r w:rsidRPr="001D56B6">
        <w:rPr>
          <w:rFonts w:ascii="Arial" w:eastAsia="Times New Roman" w:hAnsi="Arial" w:cs="Arial"/>
        </w:rPr>
        <w:t>operationalised</w:t>
      </w:r>
      <w:r w:rsidRPr="001D56B6">
        <w:rPr>
          <w:rFonts w:ascii="Arial" w:eastAsia="Times New Roman" w:hAnsi="Arial" w:cs="Arial"/>
        </w:rPr>
        <w:t>, as data systems and leadership practices can be more focused on activity measures (such as the number of appointments) rather than outcome measures, and fail to routinely audit engagement, symptom change, or points of dropout (Chen, 2024). Routines for data and leadership are immature due to asymmetries in the ability to improve and secure time and training in QI techniques, which restrict sustained redesign and embedding (Barr, 2024).</w:t>
      </w:r>
    </w:p>
    <w:p w:rsidR="00921FB1" w:rsidRPr="001D56B6" w:rsidP="007F3104">
      <w:pPr>
        <w:spacing w:before="100" w:beforeAutospacing="1" w:after="100" w:afterAutospacing="1" w:line="360" w:lineRule="auto"/>
        <w:jc w:val="center"/>
        <w:rPr>
          <w:rFonts w:ascii="Arial" w:eastAsia="Times New Roman" w:hAnsi="Arial" w:cs="Arial"/>
        </w:rPr>
      </w:pPr>
      <w:r w:rsidRPr="001D56B6">
        <w:rPr>
          <w:rFonts w:ascii="Arial" w:eastAsia="Times New Roman" w:hAnsi="Arial" w:cs="Arial"/>
          <w:noProof/>
        </w:rPr>
        <w:drawing>
          <wp:inline distT="0" distB="0" distL="0" distR="0">
            <wp:extent cx="5943600" cy="31699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1_RunChart_ScreeningRate.png"/>
                    <pic:cNvPicPr/>
                  </pic:nvPicPr>
                  <pic:blipFill>
                    <a:blip xmlns:r="http://schemas.openxmlformats.org/officeDocument/2006/relationships" r:embed="rId5" cstate="print">
                      <a:extLst>
                        <a:ext xmlns:a="http://schemas.openxmlformats.org/drawingml/2006/main" uri="{28A0092B-C50C-407E-A947-70E740481C1C}">
                          <a14:useLocalDpi xmlns:a14="http://schemas.microsoft.com/office/drawing/2010/main" val="0"/>
                        </a:ext>
                      </a:extLst>
                    </a:blip>
                    <a:stretch>
                      <a:fillRect/>
                    </a:stretch>
                  </pic:blipFill>
                  <pic:spPr>
                    <a:xfrm>
                      <a:off x="0" y="0"/>
                      <a:ext cx="5943600" cy="3169920"/>
                    </a:xfrm>
                    <a:prstGeom prst="rect">
                      <a:avLst/>
                    </a:prstGeom>
                  </pic:spPr>
                </pic:pic>
              </a:graphicData>
            </a:graphic>
          </wp:inline>
        </w:drawing>
      </w:r>
    </w:p>
    <w:p w:rsidR="00921FB1" w:rsidRPr="0022180E" w:rsidP="007F3104">
      <w:pPr>
        <w:spacing w:before="100" w:beforeAutospacing="1" w:after="100" w:afterAutospacing="1" w:line="360" w:lineRule="auto"/>
        <w:jc w:val="center"/>
        <w:rPr>
          <w:rFonts w:ascii="Arial" w:eastAsia="Times New Roman" w:hAnsi="Arial" w:cs="Arial"/>
          <w:b/>
        </w:rPr>
      </w:pPr>
      <w:r w:rsidRPr="001D56B6">
        <w:rPr>
          <w:rFonts w:ascii="Arial" w:eastAsia="Times New Roman" w:hAnsi="Arial" w:cs="Arial"/>
          <w:b/>
        </w:rPr>
        <w:t>Figure 1: screening completion rate over weeks</w:t>
      </w:r>
    </w:p>
    <w:p w:rsidR="0092737A" w:rsidRPr="0022180E"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 xml:space="preserve">This chain of 'why' turns the deficit story on men (they do not talk) into an improvement story about the reliability of the service (we have not created care to identify and interact with disparate presentations). The point is that ethical quality improvement cannot be achieved without that reframing, as it enhances </w:t>
      </w:r>
      <w:r w:rsidRPr="001D56B6">
        <w:rPr>
          <w:rFonts w:ascii="Arial" w:eastAsia="Times New Roman" w:hAnsi="Arial" w:cs="Arial"/>
        </w:rPr>
        <w:t>organisational</w:t>
      </w:r>
      <w:r w:rsidRPr="001D56B6">
        <w:rPr>
          <w:rFonts w:ascii="Arial" w:eastAsia="Times New Roman" w:hAnsi="Arial" w:cs="Arial"/>
        </w:rPr>
        <w:t xml:space="preserve"> agency and reduces blame.</w:t>
      </w:r>
    </w:p>
    <w:p w:rsidR="0022180E" w:rsidRPr="001D56B6" w:rsidP="007F3104">
      <w:pPr>
        <w:pStyle w:val="Heading1"/>
        <w:rPr>
          <w:rFonts w:eastAsia="Times New Roman" w:cs="Arial"/>
          <w:szCs w:val="22"/>
        </w:rPr>
      </w:pPr>
      <w:bookmarkStart w:id="5" w:name="_Toc223143364"/>
      <w:r w:rsidRPr="001D56B6">
        <w:rPr>
          <w:rFonts w:eastAsia="Times New Roman" w:cs="Arial"/>
          <w:szCs w:val="22"/>
        </w:rPr>
        <w:t>Donabedian</w:t>
      </w:r>
      <w:r w:rsidRPr="001D56B6">
        <w:rPr>
          <w:rFonts w:eastAsia="Times New Roman" w:cs="Arial"/>
          <w:szCs w:val="22"/>
        </w:rPr>
        <w:t>'s analysis of the quality concern</w:t>
      </w:r>
      <w:bookmarkEnd w:id="5"/>
    </w:p>
    <w:p w:rsidR="0092737A"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 xml:space="preserve">In the context of the structure provided by </w:t>
      </w:r>
      <w:r w:rsidRPr="001D56B6">
        <w:rPr>
          <w:rFonts w:ascii="Arial" w:eastAsia="Times New Roman" w:hAnsi="Arial" w:cs="Arial"/>
        </w:rPr>
        <w:t>Donabedian</w:t>
      </w:r>
      <w:r w:rsidRPr="001D56B6">
        <w:rPr>
          <w:rFonts w:ascii="Arial" w:eastAsia="Times New Roman" w:hAnsi="Arial" w:cs="Arial"/>
        </w:rPr>
        <w:t xml:space="preserve">, the workforce skill mix, training delivery, lifespan of appointments, provision of psychological therapies, digital accessibility, and relations with the community have been identified as key limitations for mental health and crisis services. The research informed by </w:t>
      </w:r>
      <w:r w:rsidRPr="001D56B6">
        <w:rPr>
          <w:rFonts w:ascii="Arial" w:eastAsia="Times New Roman" w:hAnsi="Arial" w:cs="Arial"/>
        </w:rPr>
        <w:t>Donabedian</w:t>
      </w:r>
      <w:r w:rsidRPr="001D56B6">
        <w:rPr>
          <w:rFonts w:ascii="Arial" w:eastAsia="Times New Roman" w:hAnsi="Arial" w:cs="Arial"/>
        </w:rPr>
        <w:t xml:space="preserve"> still demonstrates that structures influence </w:t>
      </w:r>
      <w:r w:rsidRPr="001D56B6">
        <w:rPr>
          <w:rFonts w:ascii="Arial" w:eastAsia="Times New Roman" w:hAnsi="Arial" w:cs="Arial"/>
        </w:rPr>
        <w:t>processes and outcomes, especially in contexts where the ability of staff members and the system to implement guidelines determines whether this is possible (Moayed, 2022). The informational infrastructure is also part of the structure: the electronic record supports care grounded in measurements and whether care plans can be shared across professional lines within a team (Yang, 2025).</w:t>
      </w:r>
    </w:p>
    <w:p w:rsidR="0092737A"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Significant areas of core failures in the process domain include inconsistent case-finding, inconsistent risk assessment, absent shared decision-making, and inadequate continuity of follow-up. It has also been shown that systematic interventions may help enhance detection, and the outcome depends on wrestling screening within care pathways and clinician action rather than treating screening as the goal (</w:t>
      </w:r>
      <w:r w:rsidRPr="001D56B6">
        <w:rPr>
          <w:rFonts w:ascii="Arial" w:eastAsia="Times New Roman" w:hAnsi="Arial" w:cs="Arial"/>
        </w:rPr>
        <w:t>Habtamu</w:t>
      </w:r>
      <w:r w:rsidRPr="001D56B6">
        <w:rPr>
          <w:rFonts w:ascii="Arial" w:eastAsia="Times New Roman" w:hAnsi="Arial" w:cs="Arial"/>
        </w:rPr>
        <w:t xml:space="preserve">, 2023). Collaborative care models focus on improving the quality of processes through </w:t>
      </w:r>
      <w:r w:rsidRPr="001D56B6">
        <w:rPr>
          <w:rFonts w:ascii="Arial" w:eastAsia="Times New Roman" w:hAnsi="Arial" w:cs="Arial"/>
        </w:rPr>
        <w:t>formalisation</w:t>
      </w:r>
      <w:r w:rsidRPr="001D56B6">
        <w:rPr>
          <w:rFonts w:ascii="Arial" w:eastAsia="Times New Roman" w:hAnsi="Arial" w:cs="Arial"/>
        </w:rPr>
        <w:t xml:space="preserve"> of team-based follow-ups, stepped care, and measurement-based monitoring in primary care (</w:t>
      </w:r>
      <w:r w:rsidRPr="001D56B6">
        <w:rPr>
          <w:rFonts w:ascii="Arial" w:eastAsia="Times New Roman" w:hAnsi="Arial" w:cs="Arial"/>
        </w:rPr>
        <w:t>Kappelin</w:t>
      </w:r>
      <w:r w:rsidRPr="001D56B6">
        <w:rPr>
          <w:rFonts w:ascii="Arial" w:eastAsia="Times New Roman" w:hAnsi="Arial" w:cs="Arial"/>
        </w:rPr>
        <w:t xml:space="preserve">, 2022). Through the lens of </w:t>
      </w:r>
      <w:r w:rsidRPr="001D56B6">
        <w:rPr>
          <w:rFonts w:ascii="Arial" w:eastAsia="Times New Roman" w:hAnsi="Arial" w:cs="Arial"/>
        </w:rPr>
        <w:t>Donabedian</w:t>
      </w:r>
      <w:r w:rsidRPr="001D56B6">
        <w:rPr>
          <w:rFonts w:ascii="Arial" w:eastAsia="Times New Roman" w:hAnsi="Arial" w:cs="Arial"/>
        </w:rPr>
        <w:t xml:space="preserve">, collaborative care enhances reliability in the process </w:t>
      </w:r>
      <w:r w:rsidRPr="001D56B6">
        <w:rPr>
          <w:rFonts w:ascii="Arial" w:eastAsia="Times New Roman" w:hAnsi="Arial" w:cs="Arial"/>
        </w:rPr>
        <w:t>(</w:t>
      </w:r>
      <w:r w:rsidRPr="001D56B6">
        <w:rPr>
          <w:rFonts w:ascii="Arial" w:eastAsia="Times New Roman" w:hAnsi="Arial" w:cs="Arial"/>
        </w:rPr>
        <w:t>undo</w:t>
      </w:r>
      <w:r w:rsidRPr="001D56B6">
        <w:rPr>
          <w:rFonts w:ascii="Arial" w:eastAsia="Times New Roman" w:hAnsi="Arial" w:cs="Arial"/>
        </w:rPr>
        <w:t xml:space="preserve"> periodic review, active outreach) and, when done with fidelity, ought to result in better outcomes (symptom reduction and crisis worsening).</w:t>
      </w:r>
    </w:p>
    <w:p w:rsidR="0092737A"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 xml:space="preserve">Under-identification and low engagement in the outcomes domain are reflected by persistent symptoms of the disease, deterioration in functional status, re-relapse, comorbid insomnia, the use of substances to cope with the disease, and the increased risk of suicide. The </w:t>
      </w:r>
      <w:r w:rsidRPr="001D56B6">
        <w:rPr>
          <w:rFonts w:ascii="Arial" w:eastAsia="Times New Roman" w:hAnsi="Arial" w:cs="Arial"/>
        </w:rPr>
        <w:t>externalising</w:t>
      </w:r>
      <w:r w:rsidRPr="001D56B6">
        <w:rPr>
          <w:rFonts w:ascii="Arial" w:eastAsia="Times New Roman" w:hAnsi="Arial" w:cs="Arial"/>
        </w:rPr>
        <w:t xml:space="preserve"> symptoms of depression exhibited by men have been linked to an increased risk profile, which justifies the argument that the silence of detection is a safety issue and not a benign concept (O'Gorman, 2022). Sleep is a consequence and a moderator: by learning to improve sleep through CBT-I, one could alleviate the symptoms of depression, suggesting that the integrated mechanisms of sleep and mood might be a potent path to observable changes (Furukawa, 2024). Evidence of digital CBT-I also indicates scalable alternatives to address coverage gaps and alleviate waiting times, which is pertinent in situations where service capacity is an inherent structural constraint (Hwang, 2025).</w:t>
      </w:r>
    </w:p>
    <w:p w:rsidR="0022180E" w:rsidRPr="001D56B6" w:rsidP="007F3104">
      <w:pPr>
        <w:spacing w:before="100" w:beforeAutospacing="1" w:after="100" w:afterAutospacing="1" w:line="360" w:lineRule="auto"/>
        <w:jc w:val="both"/>
        <w:rPr>
          <w:rFonts w:ascii="Arial" w:eastAsia="Times New Roman" w:hAnsi="Arial" w:cs="Arial"/>
          <w:b/>
        </w:rPr>
      </w:pPr>
      <w:r w:rsidRPr="001D56B6">
        <w:rPr>
          <w:rFonts w:ascii="Arial" w:eastAsia="Times New Roman" w:hAnsi="Arial" w:cs="Arial"/>
          <w:b/>
        </w:rPr>
        <w:t>Table 2</w:t>
      </w:r>
      <w:r w:rsidRPr="001D56B6" w:rsidR="00921FB1">
        <w:rPr>
          <w:rFonts w:ascii="Arial" w:eastAsia="Times New Roman" w:hAnsi="Arial" w:cs="Arial"/>
          <w:b/>
        </w:rPr>
        <w:t xml:space="preserve">: </w:t>
      </w:r>
      <w:r w:rsidRPr="001D56B6" w:rsidR="00921FB1">
        <w:rPr>
          <w:rFonts w:ascii="Arial" w:eastAsia="Times New Roman" w:hAnsi="Arial" w:cs="Arial"/>
          <w:b/>
        </w:rPr>
        <w:t>Donabedian</w:t>
      </w:r>
      <w:r w:rsidRPr="001D56B6" w:rsidR="00921FB1">
        <w:rPr>
          <w:rFonts w:ascii="Arial" w:eastAsia="Times New Roman" w:hAnsi="Arial" w:cs="Arial"/>
          <w:b/>
        </w:rPr>
        <w:t xml:space="preserve"> indicators and measures</w:t>
      </w:r>
    </w:p>
    <w:tbl>
      <w:tblPr>
        <w:tblStyle w:val="PlainTable1"/>
        <w:tblW w:w="0" w:type="auto"/>
        <w:tblLook w:val="04A0"/>
      </w:tblPr>
      <w:tblGrid>
        <w:gridCol w:w="1557"/>
        <w:gridCol w:w="1900"/>
        <w:gridCol w:w="2628"/>
        <w:gridCol w:w="1680"/>
        <w:gridCol w:w="1585"/>
      </w:tblGrid>
      <w:tr w:rsidTr="0022180E">
        <w:tblPrEx>
          <w:tblW w:w="0" w:type="auto"/>
          <w:tblLook w:val="04A0"/>
        </w:tblPrEx>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Donabedian</w:t>
            </w:r>
            <w:r w:rsidRPr="0022180E">
              <w:rPr>
                <w:rFonts w:ascii="Arial" w:eastAsia="Times New Roman" w:hAnsi="Arial" w:cs="Arial"/>
              </w:rPr>
              <w:t xml:space="preserve"> domain</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Indicator</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Operational definition</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Data source</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Target</w:t>
            </w:r>
          </w:p>
        </w:tc>
      </w:tr>
      <w:tr w:rsidTr="0022180E">
        <w:tblPrEx>
          <w:tblW w:w="0" w:type="auto"/>
          <w:tblLook w:val="04A0"/>
        </w:tblPrEx>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Structure</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Staff trained in gender-responsive depression recognition</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 of clinical staff completing training on male-typical depression presentations and stigma-sensitive communication</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Training log / HR records</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 90% by Month 3</w:t>
            </w:r>
          </w:p>
        </w:tc>
      </w:tr>
      <w:tr w:rsidTr="0022180E">
        <w:tblPrEx>
          <w:tblW w:w="0" w:type="auto"/>
          <w:tblLook w:val="04A0"/>
        </w:tblPrEx>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Structure</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Care coordinator capacity</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Presence of a named coordinator and protected hours/week for proactive follow-up</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Workforce roster</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1 coordinator with ≥ 0.2 WTE equivalent</w:t>
            </w:r>
          </w:p>
        </w:tc>
      </w:tr>
      <w:tr w:rsidTr="0022180E">
        <w:tblPrEx>
          <w:tblW w:w="0" w:type="auto"/>
          <w:tblLook w:val="04A0"/>
        </w:tblPrEx>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Process</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Screening completion</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 of men meeting trigger criteria who complete PHQ-2 and, if positive, PHQ-9</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EHR template audit</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 70% by Week 12</w:t>
            </w:r>
          </w:p>
        </w:tc>
      </w:tr>
      <w:tr w:rsidTr="0022180E">
        <w:tblPrEx>
          <w:tblW w:w="0" w:type="auto"/>
          <w:tblLook w:val="04A0"/>
        </w:tblPrEx>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Process</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Follow-up timeliness</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 of men with positive screens who receive follow-up contact within 14 days</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EHR appointment record</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 65% by Week 12</w:t>
            </w:r>
          </w:p>
        </w:tc>
      </w:tr>
      <w:tr w:rsidTr="0022180E">
        <w:tblPrEx>
          <w:tblW w:w="0" w:type="auto"/>
          <w:tblLook w:val="04A0"/>
        </w:tblPrEx>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Process</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Sleep-first pathway uptake</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 of men with insomnia complaints offered the CBT-I option (digital or therapist-supported) and accepted</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Referral log</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 50% offered; ≥ 30% accept</w:t>
            </w:r>
          </w:p>
        </w:tc>
      </w:tr>
      <w:tr w:rsidTr="0022180E">
        <w:tblPrEx>
          <w:tblW w:w="0" w:type="auto"/>
          <w:tblLook w:val="04A0"/>
        </w:tblPrEx>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Outcome</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Symptom improvement</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Mean change in PHQ-9 between first contact and 4-week review</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PHQ-9 recorded at baseline and review</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Mean reduction ≥ 3 points</w:t>
            </w:r>
          </w:p>
        </w:tc>
      </w:tr>
      <w:tr w:rsidTr="0022180E">
        <w:tblPrEx>
          <w:tblW w:w="0" w:type="auto"/>
          <w:tblLook w:val="04A0"/>
        </w:tblPrEx>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Outcome</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Patient experience</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 xml:space="preserve">% reporting care felt “acceptable, relevant and </w:t>
            </w:r>
            <w:r w:rsidRPr="0022180E">
              <w:rPr>
                <w:rFonts w:ascii="Arial" w:eastAsia="Times New Roman" w:hAnsi="Arial" w:cs="Arial"/>
              </w:rPr>
              <w:t>non-judgemental</w:t>
            </w:r>
            <w:r w:rsidRPr="0022180E">
              <w:rPr>
                <w:rFonts w:ascii="Arial" w:eastAsia="Times New Roman" w:hAnsi="Arial" w:cs="Arial"/>
              </w:rPr>
              <w:t>”</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Short PREM survey</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 80% positive</w:t>
            </w:r>
          </w:p>
        </w:tc>
      </w:tr>
      <w:tr w:rsidTr="0022180E">
        <w:tblPrEx>
          <w:tblW w:w="0" w:type="auto"/>
          <w:tblLook w:val="04A0"/>
        </w:tblPrEx>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Outcome</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Escalation to crisis care</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Rate of crisis referrals / ED contacts among the identified cohort</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Local service reporting</w:t>
            </w:r>
          </w:p>
        </w:tc>
        <w:tc>
          <w:tcPr>
            <w:tcW w:w="0" w:type="auto"/>
            <w:hideMark/>
          </w:tcPr>
          <w:p w:rsidR="0022180E" w:rsidRPr="0022180E" w:rsidP="007F3104">
            <w:pPr>
              <w:spacing w:line="360" w:lineRule="auto"/>
              <w:jc w:val="both"/>
              <w:rPr>
                <w:rFonts w:ascii="Arial" w:eastAsia="Times New Roman" w:hAnsi="Arial" w:cs="Arial"/>
              </w:rPr>
            </w:pPr>
            <w:r w:rsidRPr="0022180E">
              <w:rPr>
                <w:rFonts w:ascii="Arial" w:eastAsia="Times New Roman" w:hAnsi="Arial" w:cs="Arial"/>
              </w:rPr>
              <w:t>Downward trend over 6 months</w:t>
            </w:r>
          </w:p>
        </w:tc>
      </w:tr>
    </w:tbl>
    <w:p w:rsidR="0022180E" w:rsidRPr="0022180E" w:rsidP="007F3104">
      <w:pPr>
        <w:spacing w:before="100" w:beforeAutospacing="1" w:after="100" w:afterAutospacing="1" w:line="360" w:lineRule="auto"/>
        <w:jc w:val="both"/>
        <w:rPr>
          <w:rFonts w:ascii="Arial" w:eastAsia="Times New Roman" w:hAnsi="Arial" w:cs="Arial"/>
        </w:rPr>
      </w:pPr>
    </w:p>
    <w:p w:rsidR="0022180E" w:rsidRPr="001D56B6" w:rsidP="007F3104">
      <w:pPr>
        <w:rPr>
          <w:rFonts w:ascii="Arial" w:hAnsi="Arial" w:cs="Arial"/>
          <w:b/>
        </w:rPr>
      </w:pPr>
      <w:r w:rsidRPr="001D56B6">
        <w:rPr>
          <w:rFonts w:ascii="Arial" w:hAnsi="Arial" w:cs="Arial"/>
          <w:b/>
        </w:rPr>
        <w:t xml:space="preserve">Table 3: </w:t>
      </w:r>
      <w:r w:rsidRPr="001D56B6">
        <w:rPr>
          <w:rFonts w:ascii="Arial" w:hAnsi="Arial" w:cs="Arial"/>
          <w:b/>
        </w:rPr>
        <w:t>SWOT analysis to support strategic planning</w:t>
      </w:r>
    </w:p>
    <w:tbl>
      <w:tblPr>
        <w:tblStyle w:val="PlainTable1"/>
        <w:tblW w:w="0" w:type="auto"/>
        <w:tblLook w:val="04A0"/>
      </w:tblPr>
      <w:tblGrid>
        <w:gridCol w:w="4406"/>
        <w:gridCol w:w="4944"/>
      </w:tblGrid>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Strengths</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Weaknesses</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b w:val="0"/>
              </w:rPr>
            </w:pPr>
            <w:r w:rsidRPr="00921FB1">
              <w:rPr>
                <w:rFonts w:ascii="Arial" w:eastAsia="Times New Roman" w:hAnsi="Arial" w:cs="Arial"/>
                <w:b w:val="0"/>
              </w:rPr>
              <w:t>Existing primary care access points and regular patient contact that enable opportunistic case-finding</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Short consultation times and inconsistent continuity of care reduce the depth of assessment and the reliability of follow-up.</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b w:val="0"/>
              </w:rPr>
            </w:pPr>
            <w:r w:rsidRPr="00921FB1">
              <w:rPr>
                <w:rFonts w:ascii="Arial" w:eastAsia="Times New Roman" w:hAnsi="Arial" w:cs="Arial"/>
                <w:b w:val="0"/>
              </w:rPr>
              <w:t xml:space="preserve">Availability of validated screening tools (PHQ-2/PHQ-9) and potential EHR templates to </w:t>
            </w:r>
            <w:r w:rsidRPr="00921FB1">
              <w:rPr>
                <w:rFonts w:ascii="Arial" w:eastAsia="Times New Roman" w:hAnsi="Arial" w:cs="Arial"/>
                <w:b w:val="0"/>
              </w:rPr>
              <w:t>standardise</w:t>
            </w:r>
            <w:r w:rsidRPr="00921FB1">
              <w:rPr>
                <w:rFonts w:ascii="Arial" w:eastAsia="Times New Roman" w:hAnsi="Arial" w:cs="Arial"/>
                <w:b w:val="0"/>
              </w:rPr>
              <w:t xml:space="preserve"> processes</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 xml:space="preserve">Variable staff confidence in </w:t>
            </w:r>
            <w:r w:rsidRPr="00921FB1">
              <w:rPr>
                <w:rFonts w:ascii="Arial" w:eastAsia="Times New Roman" w:hAnsi="Arial" w:cs="Arial"/>
              </w:rPr>
              <w:t>recognising</w:t>
            </w:r>
            <w:r w:rsidRPr="00921FB1">
              <w:rPr>
                <w:rFonts w:ascii="Arial" w:eastAsia="Times New Roman" w:hAnsi="Arial" w:cs="Arial"/>
              </w:rPr>
              <w:t xml:space="preserve"> male-typical depression presentations (irritability/anger/somatic focus)</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b w:val="0"/>
              </w:rPr>
            </w:pPr>
            <w:r w:rsidRPr="00921FB1">
              <w:rPr>
                <w:rFonts w:ascii="Arial" w:eastAsia="Times New Roman" w:hAnsi="Arial" w:cs="Arial"/>
                <w:b w:val="0"/>
              </w:rPr>
              <w:t>Ability to integrate sleep complaints as a practical entry route for assessment and engagement</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Inconsistent documentation/coding and limited routine outcome monitoring (e.g., PHQ-9 repeat at review)</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b w:val="0"/>
              </w:rPr>
            </w:pPr>
            <w:r w:rsidRPr="00921FB1">
              <w:rPr>
                <w:rFonts w:ascii="Arial" w:eastAsia="Times New Roman" w:hAnsi="Arial" w:cs="Arial"/>
                <w:b w:val="0"/>
              </w:rPr>
              <w:t>Multidisciplinary teams and referral links that can support a stepped-care pathway</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Dropout after first contact due to unclear follow-up rules and limited proactive outreach</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Opportunities</w:t>
            </w:r>
          </w:p>
        </w:tc>
        <w:tc>
          <w:tcPr>
            <w:tcW w:w="0" w:type="auto"/>
            <w:hideMark/>
          </w:tcPr>
          <w:p w:rsidR="00921FB1" w:rsidRPr="00921FB1" w:rsidP="007F3104">
            <w:pPr>
              <w:spacing w:line="360" w:lineRule="auto"/>
              <w:jc w:val="both"/>
              <w:rPr>
                <w:rFonts w:ascii="Arial" w:eastAsia="Times New Roman" w:hAnsi="Arial" w:cs="Arial"/>
                <w:b/>
                <w:bCs/>
              </w:rPr>
            </w:pPr>
            <w:r w:rsidRPr="00921FB1">
              <w:rPr>
                <w:rFonts w:ascii="Arial" w:eastAsia="Times New Roman" w:hAnsi="Arial" w:cs="Arial"/>
                <w:b/>
                <w:bCs/>
              </w:rPr>
              <w:t>Threats</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b w:val="0"/>
              </w:rPr>
            </w:pPr>
            <w:r w:rsidRPr="00921FB1">
              <w:rPr>
                <w:rFonts w:ascii="Arial" w:eastAsia="Times New Roman" w:hAnsi="Arial" w:cs="Arial"/>
                <w:b w:val="0"/>
              </w:rPr>
              <w:t xml:space="preserve">Implement a </w:t>
            </w:r>
            <w:r w:rsidRPr="00921FB1">
              <w:rPr>
                <w:rFonts w:ascii="Arial" w:eastAsia="Times New Roman" w:hAnsi="Arial" w:cs="Arial"/>
                <w:b w:val="0"/>
              </w:rPr>
              <w:t>standardised</w:t>
            </w:r>
            <w:r w:rsidRPr="00921FB1">
              <w:rPr>
                <w:rFonts w:ascii="Arial" w:eastAsia="Times New Roman" w:hAnsi="Arial" w:cs="Arial"/>
                <w:b w:val="0"/>
              </w:rPr>
              <w:t xml:space="preserve"> detection-and-engagement bundle with clear triggers, templates, and follow-up rules.</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Workforce shortages and rising demand may reduce the capacity to add new steps without redesigning the flow.</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b w:val="0"/>
              </w:rPr>
            </w:pPr>
            <w:r w:rsidRPr="00921FB1">
              <w:rPr>
                <w:rFonts w:ascii="Arial" w:eastAsia="Times New Roman" w:hAnsi="Arial" w:cs="Arial"/>
                <w:b w:val="0"/>
              </w:rPr>
              <w:t>Expand digital/telephone follow-up and offer digital CBT-I to improve convenience and privacy for men.</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Persistent stigma and masculinity norms may continue to suppress disclosure and help-seeking</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b w:val="0"/>
              </w:rPr>
            </w:pPr>
            <w:r w:rsidRPr="00921FB1">
              <w:rPr>
                <w:rFonts w:ascii="Arial" w:eastAsia="Times New Roman" w:hAnsi="Arial" w:cs="Arial"/>
                <w:b w:val="0"/>
              </w:rPr>
              <w:t>Introduce collaborative-care elements (care coordinator, measurement-based care, proactive reviews)</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Waiting lists for psychological therapies may undermine engagement even after identification.</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b w:val="0"/>
              </w:rPr>
            </w:pPr>
            <w:r w:rsidRPr="00921FB1">
              <w:rPr>
                <w:rFonts w:ascii="Arial" w:eastAsia="Times New Roman" w:hAnsi="Arial" w:cs="Arial"/>
                <w:b w:val="0"/>
              </w:rPr>
              <w:t xml:space="preserve">Partnership with community </w:t>
            </w:r>
            <w:r w:rsidRPr="00921FB1">
              <w:rPr>
                <w:rFonts w:ascii="Arial" w:eastAsia="Times New Roman" w:hAnsi="Arial" w:cs="Arial"/>
                <w:b w:val="0"/>
              </w:rPr>
              <w:t>organisations</w:t>
            </w:r>
            <w:r w:rsidRPr="00921FB1">
              <w:rPr>
                <w:rFonts w:ascii="Arial" w:eastAsia="Times New Roman" w:hAnsi="Arial" w:cs="Arial"/>
                <w:b w:val="0"/>
              </w:rPr>
              <w:t xml:space="preserve"> for acceptable, strength-based messaging</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Digital exclusion for some groups (due to limited access, skills, or privacy) may widen inequities.</w:t>
            </w:r>
          </w:p>
        </w:tc>
      </w:tr>
    </w:tbl>
    <w:p w:rsidR="0092737A" w:rsidRPr="0022180E"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 xml:space="preserve">The SWOT analysis explains why the bundled approach of improvement is realistic but should be carried out cautiously. The strengths reveal that the service already possesses good touchpoints, i.e. primary care consultations where opportunistic case-finding is possible, and it can employ validated instruments like PHQ-2/PHQ-9 to standardise detection. These strengths </w:t>
      </w:r>
      <w:r w:rsidRPr="001D56B6">
        <w:rPr>
          <w:rFonts w:ascii="Arial" w:eastAsia="Times New Roman" w:hAnsi="Arial" w:cs="Arial"/>
        </w:rPr>
        <w:t>favour</w:t>
      </w:r>
      <w:r w:rsidRPr="001D56B6">
        <w:rPr>
          <w:rFonts w:ascii="Arial" w:eastAsia="Times New Roman" w:hAnsi="Arial" w:cs="Arial"/>
        </w:rPr>
        <w:t xml:space="preserve"> reliability, as they enable the </w:t>
      </w:r>
      <w:r w:rsidRPr="001D56B6">
        <w:rPr>
          <w:rFonts w:ascii="Arial" w:eastAsia="Times New Roman" w:hAnsi="Arial" w:cs="Arial"/>
        </w:rPr>
        <w:t>organisation</w:t>
      </w:r>
      <w:r w:rsidRPr="001D56B6">
        <w:rPr>
          <w:rFonts w:ascii="Arial" w:eastAsia="Times New Roman" w:hAnsi="Arial" w:cs="Arial"/>
        </w:rPr>
        <w:t xml:space="preserve"> to transition from fluctuating clinical judgement to a process that is consistent. Still, weaknesses show that the existing working processes prevent </w:t>
      </w:r>
      <w:r w:rsidRPr="001D56B6">
        <w:rPr>
          <w:rFonts w:ascii="Arial" w:eastAsia="Times New Roman" w:hAnsi="Arial" w:cs="Arial"/>
        </w:rPr>
        <w:t xml:space="preserve">the implementation of screening findings: brief appointments, inconsistent continuity, low reliability in male-typical manifestations, and low effectiveness in monitoring outcomes all increase the likelihood of experiencing, in consequence, a man screened but not solidly involved. Opportunities proposed suggest viable paths to eliminate these weaknesses (especially by incorporating templates and triggers on the EHR, introducing proactive follow-up rules, and applying collaborative-care principles (care coordination and measurement-based care). Enhanced acceptability can also be gained by integrating sleep complaints and offering alternatives based on digital CBT-I, which would offer a more practical entry point. Threats focus on </w:t>
      </w:r>
      <w:r w:rsidRPr="001D56B6">
        <w:rPr>
          <w:rFonts w:ascii="Arial" w:eastAsia="Times New Roman" w:hAnsi="Arial" w:cs="Arial"/>
        </w:rPr>
        <w:t>sustainability</w:t>
      </w:r>
      <w:r w:rsidRPr="001D56B6">
        <w:rPr>
          <w:rFonts w:ascii="Arial" w:eastAsia="Times New Roman" w:hAnsi="Arial" w:cs="Arial"/>
        </w:rPr>
        <w:t xml:space="preserve"> risks. Workforce problems, long waits in therapy, social stigmatisation, and digital marginalisation may lead to less impact, unless redesign minimises wasted steps, capacity exists, and equity protections are implemented.</w:t>
      </w:r>
    </w:p>
    <w:p w:rsidR="0022180E" w:rsidRPr="001D56B6" w:rsidP="007F3104">
      <w:pPr>
        <w:pStyle w:val="Heading1"/>
        <w:rPr>
          <w:rFonts w:eastAsia="Times New Roman" w:cs="Arial"/>
          <w:szCs w:val="22"/>
        </w:rPr>
      </w:pPr>
      <w:bookmarkStart w:id="6" w:name="_Toc223143365"/>
      <w:r w:rsidRPr="001D56B6">
        <w:rPr>
          <w:rFonts w:eastAsia="Times New Roman" w:cs="Arial"/>
          <w:szCs w:val="22"/>
        </w:rPr>
        <w:t>Recommendations and implementation strategy (approximately 800 words)</w:t>
      </w:r>
      <w:bookmarkEnd w:id="6"/>
    </w:p>
    <w:p w:rsidR="0092737A"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 xml:space="preserve">The proposed intervention </w:t>
      </w:r>
      <w:r w:rsidRPr="001D56B6">
        <w:rPr>
          <w:rFonts w:ascii="Arial" w:eastAsia="Times New Roman" w:hAnsi="Arial" w:cs="Arial"/>
        </w:rPr>
        <w:t>programme</w:t>
      </w:r>
      <w:r w:rsidRPr="001D56B6">
        <w:rPr>
          <w:rFonts w:ascii="Arial" w:eastAsia="Times New Roman" w:hAnsi="Arial" w:cs="Arial"/>
        </w:rPr>
        <w:t xml:space="preserve"> is a bundle intervention that streamlines the identification process, enhances engagement, and combines sleep and mood pathways for adult men who present to primary care and community-facing services. The recommendations are purposely system-based, as the evidence supports the effectiveness of multi-component interventions in improving detection and outcomes compared to isolated actions (</w:t>
      </w:r>
      <w:r w:rsidRPr="001D56B6">
        <w:rPr>
          <w:rFonts w:ascii="Arial" w:eastAsia="Times New Roman" w:hAnsi="Arial" w:cs="Arial"/>
        </w:rPr>
        <w:t>Habtamu</w:t>
      </w:r>
      <w:r w:rsidRPr="001D56B6">
        <w:rPr>
          <w:rFonts w:ascii="Arial" w:eastAsia="Times New Roman" w:hAnsi="Arial" w:cs="Arial"/>
        </w:rPr>
        <w:t>, 2023).</w:t>
      </w:r>
    </w:p>
    <w:p w:rsidR="0092737A"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 xml:space="preserve">To begin with, a </w:t>
      </w:r>
      <w:r w:rsidRPr="001D56B6">
        <w:rPr>
          <w:rFonts w:ascii="Arial" w:eastAsia="Times New Roman" w:hAnsi="Arial" w:cs="Arial"/>
        </w:rPr>
        <w:t>standardised</w:t>
      </w:r>
      <w:r w:rsidRPr="001D56B6">
        <w:rPr>
          <w:rFonts w:ascii="Arial" w:eastAsia="Times New Roman" w:hAnsi="Arial" w:cs="Arial"/>
        </w:rPr>
        <w:t xml:space="preserve"> bundle of detection and engagement, following typical male presentations that are associated with a risk of depression, should be set up by the service. This involves chronic fatigue, irritability, sleep disorders, impaired work functioning, frequent, inexplicable somatic complaints, and alcohol-substance-related coping issues. The initiator must provoke a two-step screening procedure with PHQ-2 and PHQ-9 in case of positivity and a specific step to confirmatory testing and risk analysis (</w:t>
      </w:r>
      <w:r w:rsidRPr="001D56B6">
        <w:rPr>
          <w:rFonts w:ascii="Arial" w:eastAsia="Times New Roman" w:hAnsi="Arial" w:cs="Arial"/>
        </w:rPr>
        <w:t>Costantini</w:t>
      </w:r>
      <w:r w:rsidRPr="001D56B6">
        <w:rPr>
          <w:rFonts w:ascii="Arial" w:eastAsia="Times New Roman" w:hAnsi="Arial" w:cs="Arial"/>
        </w:rPr>
        <w:t>, 2021). This must be built into the electronic record, along with templates that guide clinicians through mood evaluation, sleep evaluation, safety questions, and follow-up agreement. Achieving measurement-based care is enhanced when tools are integrated into the clinical workflow rather than treated as an optional element of paperwork (Abdulla, 2025). To minimise the threat of tick-box screening, a follow-up action, likely a scheduling of the review within two to four weeks in case of mild-to-moderate presentations, or an expedited avenue within the same week in case of high-risk presentations, should be automated in the workflow (</w:t>
      </w:r>
      <w:r w:rsidRPr="001D56B6">
        <w:rPr>
          <w:rFonts w:ascii="Arial" w:eastAsia="Times New Roman" w:hAnsi="Arial" w:cs="Arial"/>
        </w:rPr>
        <w:t>Kappelin</w:t>
      </w:r>
      <w:r w:rsidRPr="001D56B6">
        <w:rPr>
          <w:rFonts w:ascii="Arial" w:eastAsia="Times New Roman" w:hAnsi="Arial" w:cs="Arial"/>
        </w:rPr>
        <w:t>, 2022).</w:t>
      </w:r>
    </w:p>
    <w:p w:rsidR="0092737A"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 xml:space="preserve">So, the second staff training must focus on gender-responsive clinical communication and </w:t>
      </w:r>
      <w:r w:rsidRPr="001D56B6">
        <w:rPr>
          <w:rFonts w:ascii="Arial" w:eastAsia="Times New Roman" w:hAnsi="Arial" w:cs="Arial"/>
        </w:rPr>
        <w:t>on the recognition of externalising</w:t>
      </w:r>
      <w:r w:rsidRPr="001D56B6">
        <w:rPr>
          <w:rFonts w:ascii="Arial" w:eastAsia="Times New Roman" w:hAnsi="Arial" w:cs="Arial"/>
        </w:rPr>
        <w:t xml:space="preserve"> depression. They should be trained on how male depression can manifest as anger, irritation, and a </w:t>
      </w:r>
      <w:r w:rsidRPr="001D56B6">
        <w:rPr>
          <w:rFonts w:ascii="Arial" w:eastAsia="Times New Roman" w:hAnsi="Arial" w:cs="Arial"/>
        </w:rPr>
        <w:t>behaviour</w:t>
      </w:r>
      <w:r w:rsidRPr="001D56B6">
        <w:rPr>
          <w:rFonts w:ascii="Arial" w:eastAsia="Times New Roman" w:hAnsi="Arial" w:cs="Arial"/>
        </w:rPr>
        <w:t xml:space="preserve"> change and how to enquire about mood in practical and non-</w:t>
      </w:r>
      <w:r w:rsidRPr="001D56B6">
        <w:rPr>
          <w:rFonts w:ascii="Arial" w:eastAsia="Times New Roman" w:hAnsi="Arial" w:cs="Arial"/>
        </w:rPr>
        <w:t>stigmatising</w:t>
      </w:r>
      <w:r w:rsidRPr="001D56B6">
        <w:rPr>
          <w:rFonts w:ascii="Arial" w:eastAsia="Times New Roman" w:hAnsi="Arial" w:cs="Arial"/>
        </w:rPr>
        <w:t xml:space="preserve"> ways (Rice, 2022). The psychotherapy literature developed by males recommends that practice is best enhanced by interventions that posit experimentation as problem-solving, strength-based, and support to valued roles and identity (</w:t>
      </w:r>
      <w:r w:rsidRPr="001D56B6">
        <w:rPr>
          <w:rFonts w:ascii="Arial" w:eastAsia="Times New Roman" w:hAnsi="Arial" w:cs="Arial"/>
        </w:rPr>
        <w:t>Eggenberger</w:t>
      </w:r>
      <w:r w:rsidRPr="001D56B6">
        <w:rPr>
          <w:rFonts w:ascii="Arial" w:eastAsia="Times New Roman" w:hAnsi="Arial" w:cs="Arial"/>
        </w:rPr>
        <w:t xml:space="preserve">, 2023). </w:t>
      </w:r>
    </w:p>
    <w:p w:rsidR="0092737A"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 xml:space="preserve">Third, the </w:t>
      </w:r>
      <w:r w:rsidRPr="001D56B6">
        <w:rPr>
          <w:rFonts w:ascii="Arial" w:eastAsia="Times New Roman" w:hAnsi="Arial" w:cs="Arial"/>
        </w:rPr>
        <w:t>organisation</w:t>
      </w:r>
      <w:r w:rsidRPr="001D56B6">
        <w:rPr>
          <w:rFonts w:ascii="Arial" w:eastAsia="Times New Roman" w:hAnsi="Arial" w:cs="Arial"/>
        </w:rPr>
        <w:t xml:space="preserve"> must consider a collaborative care lite model of men diagnosed with depression that focuses on the contribution of proactive follow-up and joint care planning. Structured case management, frequent case symptom review, and psychiatric/psychological consultation, as needed, are evidence-based practices built on collaborative care that can be carried out within the primary care workflow (</w:t>
      </w:r>
      <w:r w:rsidRPr="001D56B6">
        <w:rPr>
          <w:rFonts w:ascii="Arial" w:eastAsia="Times New Roman" w:hAnsi="Arial" w:cs="Arial"/>
        </w:rPr>
        <w:t>Kappelin</w:t>
      </w:r>
      <w:r w:rsidRPr="001D56B6">
        <w:rPr>
          <w:rFonts w:ascii="Arial" w:eastAsia="Times New Roman" w:hAnsi="Arial" w:cs="Arial"/>
        </w:rPr>
        <w:t xml:space="preserve">, 2022). An adapted version can be adopted when a stepped approach is necessary due to the immediate lack of the possibility of full collaborative care with a specifically assigned care coordinator (e.g., a mental health practitioner) conducting brief checks, monitoring PHQ-9 changes, promoting adherence, and facilitating a referral. </w:t>
      </w:r>
    </w:p>
    <w:p w:rsidR="00921FB1" w:rsidRPr="001D56B6" w:rsidP="007F3104">
      <w:pPr>
        <w:spacing w:before="100" w:beforeAutospacing="1" w:after="100" w:afterAutospacing="1" w:line="360" w:lineRule="auto"/>
        <w:jc w:val="center"/>
        <w:rPr>
          <w:rFonts w:ascii="Arial" w:eastAsia="Times New Roman" w:hAnsi="Arial" w:cs="Arial"/>
        </w:rPr>
      </w:pPr>
      <w:r w:rsidRPr="001D56B6">
        <w:rPr>
          <w:rFonts w:ascii="Arial" w:eastAsia="Times New Roman" w:hAnsi="Arial" w:cs="Arial"/>
          <w:noProof/>
        </w:rPr>
        <w:drawing>
          <wp:inline distT="0" distB="0" distL="0" distR="0">
            <wp:extent cx="5360276" cy="3675455"/>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2_Bar_FollowUp14Days.png"/>
                    <pic:cNvPicPr/>
                  </pic:nvPicPr>
                  <pic:blipFill>
                    <a:blip xmlns:r="http://schemas.openxmlformats.org/officeDocument/2006/relationships" r:embed="rId6" cstate="print">
                      <a:extLst>
                        <a:ext xmlns:a="http://schemas.openxmlformats.org/drawingml/2006/main" uri="{28A0092B-C50C-407E-A947-70E740481C1C}">
                          <a14:useLocalDpi xmlns:a14="http://schemas.microsoft.com/office/drawing/2010/main" val="0"/>
                        </a:ext>
                      </a:extLst>
                    </a:blip>
                    <a:stretch>
                      <a:fillRect/>
                    </a:stretch>
                  </pic:blipFill>
                  <pic:spPr>
                    <a:xfrm>
                      <a:off x="0" y="0"/>
                      <a:ext cx="5392029" cy="3697228"/>
                    </a:xfrm>
                    <a:prstGeom prst="rect">
                      <a:avLst/>
                    </a:prstGeom>
                  </pic:spPr>
                </pic:pic>
              </a:graphicData>
            </a:graphic>
          </wp:inline>
        </w:drawing>
      </w:r>
    </w:p>
    <w:p w:rsidR="00921FB1" w:rsidRPr="0022180E" w:rsidP="007F3104">
      <w:pPr>
        <w:spacing w:before="100" w:beforeAutospacing="1" w:after="100" w:afterAutospacing="1" w:line="360" w:lineRule="auto"/>
        <w:jc w:val="center"/>
        <w:rPr>
          <w:rFonts w:ascii="Arial" w:eastAsia="Times New Roman" w:hAnsi="Arial" w:cs="Arial"/>
          <w:b/>
        </w:rPr>
      </w:pPr>
      <w:r w:rsidRPr="001D56B6">
        <w:rPr>
          <w:rFonts w:ascii="Arial" w:eastAsia="Times New Roman" w:hAnsi="Arial" w:cs="Arial"/>
          <w:b/>
        </w:rPr>
        <w:t>Figure 2: follow-up within 14 days (baseline vs post-bundle)</w:t>
      </w:r>
    </w:p>
    <w:p w:rsidR="007F3104"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 xml:space="preserve">Fourth, incorporate a sleep-first access route with regular mood checks. Since insomnia and depression are </w:t>
      </w:r>
      <w:r w:rsidRPr="001D56B6">
        <w:rPr>
          <w:rFonts w:ascii="Arial" w:eastAsia="Times New Roman" w:hAnsi="Arial" w:cs="Arial"/>
        </w:rPr>
        <w:t>bidirectional</w:t>
      </w:r>
      <w:r w:rsidRPr="001D56B6">
        <w:rPr>
          <w:rFonts w:ascii="Arial" w:eastAsia="Times New Roman" w:hAnsi="Arial" w:cs="Arial"/>
        </w:rPr>
        <w:t>, sleep consultation is a high-yield event where earlier identification and referral may be achieved (</w:t>
      </w:r>
      <w:r w:rsidRPr="001D56B6">
        <w:rPr>
          <w:rFonts w:ascii="Arial" w:eastAsia="Times New Roman" w:hAnsi="Arial" w:cs="Arial"/>
        </w:rPr>
        <w:t>Yasugaki</w:t>
      </w:r>
      <w:r w:rsidRPr="001D56B6">
        <w:rPr>
          <w:rFonts w:ascii="Arial" w:eastAsia="Times New Roman" w:hAnsi="Arial" w:cs="Arial"/>
        </w:rPr>
        <w:t>, 2025). The service must provide CBT-I-informed (where necessary) referrals to digital CBT-I (where appropriate), as evidence shows it can better treat insomnia and even lessen depressive symptoms (Lee, 2023). In instances where clinical complexity is intermediate, a referral to therapist-led CBT-I is more indicated as the updated meta-analytic evidence suggests that CBT-I can counter both insomnia and depression symptoms in patients with depression (Furukawa, 2024). This manual aligns with the Lean ideology because it helps a patient with a presenting complaint be treated while minimising the downstream wastefulness associated with the need to continuously book appointments to treat symptoms without resolving them (</w:t>
      </w:r>
      <w:r w:rsidRPr="001D56B6">
        <w:rPr>
          <w:rFonts w:ascii="Arial" w:eastAsia="Times New Roman" w:hAnsi="Arial" w:cs="Arial"/>
        </w:rPr>
        <w:t>Talero</w:t>
      </w:r>
      <w:r w:rsidRPr="001D56B6">
        <w:rPr>
          <w:rFonts w:ascii="Arial" w:eastAsia="Times New Roman" w:hAnsi="Arial" w:cs="Arial"/>
        </w:rPr>
        <w:t>-Sarmiento, 2024).</w:t>
      </w:r>
    </w:p>
    <w:p w:rsidR="007F3104" w:rsidRPr="001D56B6" w:rsidP="007F3104">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 xml:space="preserve">PDSA cycles should be used to test and refine the bundle before scaling up. Guidance on quality improvement methods has emphasised that iterative testing is most efficient when teams have clear objectives, choose a limited test population, gauge outcomes, and adjust based on learning rather than assuming an ideal design at the beginning (Barr, 2024). Four to six weeks of piloting the trigger-and-screen workflow in a single practice/team should constitute the initial PDSA cycle to quantify screening completion, the follow-up rate, and staff reactions to the burden and usability. The second cycle ought to optimise templates and implement follow-up by care coordinators for men with a score above an agreed limit or a report of experiencing functional impairment. </w:t>
      </w:r>
    </w:p>
    <w:p w:rsidR="00921FB1" w:rsidRPr="001D56B6" w:rsidP="007F3104">
      <w:pPr>
        <w:spacing w:before="100" w:beforeAutospacing="1" w:after="100" w:afterAutospacing="1" w:line="360" w:lineRule="auto"/>
        <w:jc w:val="both"/>
        <w:rPr>
          <w:rFonts w:ascii="Arial" w:eastAsia="Times New Roman" w:hAnsi="Arial" w:cs="Arial"/>
          <w:b/>
        </w:rPr>
      </w:pPr>
      <w:r w:rsidRPr="001D56B6">
        <w:rPr>
          <w:rFonts w:ascii="Arial" w:eastAsia="Times New Roman" w:hAnsi="Arial" w:cs="Arial"/>
          <w:b/>
        </w:rPr>
        <w:t>Table 4</w:t>
      </w:r>
      <w:r w:rsidRPr="001D56B6">
        <w:rPr>
          <w:rFonts w:ascii="Arial" w:eastAsia="Times New Roman" w:hAnsi="Arial" w:cs="Arial"/>
          <w:b/>
        </w:rPr>
        <w:t>: Implementation plan (PDSA cycles)</w:t>
      </w:r>
    </w:p>
    <w:tbl>
      <w:tblPr>
        <w:tblStyle w:val="PlainTable1"/>
        <w:tblW w:w="0" w:type="auto"/>
        <w:tblLook w:val="04A0"/>
      </w:tblPr>
      <w:tblGrid>
        <w:gridCol w:w="1145"/>
        <w:gridCol w:w="2546"/>
        <w:gridCol w:w="1679"/>
        <w:gridCol w:w="2059"/>
        <w:gridCol w:w="1921"/>
      </w:tblGrid>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PDSA cycle</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Change being tested</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Who/where</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Measures to monitor</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Expected learning</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Cycle 1 (Weeks 1–4)</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Add trigger + two-stage screening workflow (PHQ-2 → PHQ-9) using EHR template</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One pilot practice/team</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Screening completion %, staff usability feedback, and average consultation time</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Whether the trigger is practical and the template fits the workflow</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Cycle 2 (Weeks 5–8)</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Proactive follow-up rule (contact within 14 days) + named coordinator</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Pilot team + coordinator</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Follow-up within 14 days %, dropout points</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 xml:space="preserve">Whether follow-up improves </w:t>
            </w:r>
            <w:r w:rsidRPr="00921FB1">
              <w:rPr>
                <w:rFonts w:ascii="Arial" w:eastAsia="Times New Roman" w:hAnsi="Arial" w:cs="Arial"/>
              </w:rPr>
              <w:t>engagement without overload</w:t>
            </w:r>
          </w:p>
        </w:tc>
      </w:tr>
      <w:tr w:rsidTr="00921FB1">
        <w:tblPrEx>
          <w:tblW w:w="0" w:type="auto"/>
          <w:tblLook w:val="04A0"/>
        </w:tblPrEx>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Cycle 3 (Weeks 9–12)</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Sleep-first pathway: routine mood check + CBT-I offer (digital/therapist)</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Pilot team + sleep pathway</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CBT-I offer rate, uptake rate, and PHQ-9 change at 4 weeks</w:t>
            </w:r>
          </w:p>
        </w:tc>
        <w:tc>
          <w:tcPr>
            <w:tcW w:w="0" w:type="auto"/>
            <w:hideMark/>
          </w:tcPr>
          <w:p w:rsidR="00921FB1" w:rsidRPr="00921FB1" w:rsidP="007F3104">
            <w:pPr>
              <w:spacing w:line="360" w:lineRule="auto"/>
              <w:jc w:val="both"/>
              <w:rPr>
                <w:rFonts w:ascii="Arial" w:eastAsia="Times New Roman" w:hAnsi="Arial" w:cs="Arial"/>
              </w:rPr>
            </w:pPr>
            <w:r w:rsidRPr="00921FB1">
              <w:rPr>
                <w:rFonts w:ascii="Arial" w:eastAsia="Times New Roman" w:hAnsi="Arial" w:cs="Arial"/>
              </w:rPr>
              <w:t>Whether sleep entry improves acceptability and outcomes</w:t>
            </w:r>
          </w:p>
        </w:tc>
      </w:tr>
    </w:tbl>
    <w:p w:rsidR="007F3104" w:rsidRPr="001D56B6" w:rsidP="001D56B6">
      <w:pPr>
        <w:spacing w:before="100" w:beforeAutospacing="1" w:after="100" w:afterAutospacing="1" w:line="360" w:lineRule="auto"/>
        <w:ind w:firstLine="720"/>
        <w:jc w:val="both"/>
        <w:rPr>
          <w:rFonts w:ascii="Arial" w:eastAsia="Times New Roman" w:hAnsi="Arial" w:cs="Arial"/>
        </w:rPr>
      </w:pPr>
      <w:r w:rsidRPr="001D56B6">
        <w:rPr>
          <w:rFonts w:ascii="Arial" w:eastAsia="Times New Roman" w:hAnsi="Arial" w:cs="Arial"/>
        </w:rPr>
        <w:t>Lean/Six Sigma concepts are to be implemented to minimise variation and failure demand, supporting sustainability. Lean mapping may also help understand at what point men fall out (as at the stage of initial screening, before follow-up), and remodel flow to minimise handoffs and waiting (</w:t>
      </w:r>
      <w:r w:rsidRPr="001D56B6">
        <w:rPr>
          <w:rFonts w:ascii="Arial" w:eastAsia="Times New Roman" w:hAnsi="Arial" w:cs="Arial"/>
        </w:rPr>
        <w:t>Talero</w:t>
      </w:r>
      <w:r w:rsidRPr="001D56B6">
        <w:rPr>
          <w:rFonts w:ascii="Arial" w:eastAsia="Times New Roman" w:hAnsi="Arial" w:cs="Arial"/>
        </w:rPr>
        <w:t xml:space="preserve">-Sarmiento, 2024). Defects (missed follow-up within target time) and seven variants between clinicians and sites could be defined by Six Sigma thinking and reduced with the help of standard work and feedback loops (McDermott, 2022). The small number of outcome measures measured by </w:t>
      </w:r>
      <w:r w:rsidRPr="001D56B6">
        <w:rPr>
          <w:rFonts w:ascii="Arial" w:eastAsia="Times New Roman" w:hAnsi="Arial" w:cs="Arial"/>
        </w:rPr>
        <w:t>Donabedian</w:t>
      </w:r>
      <w:r w:rsidRPr="001D56B6">
        <w:rPr>
          <w:rFonts w:ascii="Arial" w:eastAsia="Times New Roman" w:hAnsi="Arial" w:cs="Arial"/>
        </w:rPr>
        <w:t xml:space="preserve">: structure indicators (completion of training, capacity of the coordinators), process indicators (screening and follow-up rates), and outcomes (PHQ-9 change, sleep improvement, patient-reported experience, and crisis escalation rates) should also be developed into routine practice by the </w:t>
      </w:r>
      <w:r w:rsidRPr="001D56B6">
        <w:rPr>
          <w:rFonts w:ascii="Arial" w:eastAsia="Times New Roman" w:hAnsi="Arial" w:cs="Arial"/>
        </w:rPr>
        <w:t>organisation</w:t>
      </w:r>
      <w:r w:rsidRPr="001D56B6">
        <w:rPr>
          <w:rFonts w:ascii="Arial" w:eastAsia="Times New Roman" w:hAnsi="Arial" w:cs="Arial"/>
        </w:rPr>
        <w:t xml:space="preserve"> (Moayed, 2022). </w:t>
      </w:r>
    </w:p>
    <w:p w:rsidR="00921FB1" w:rsidRPr="001D56B6" w:rsidP="007F3104">
      <w:pPr>
        <w:spacing w:before="100" w:beforeAutospacing="1" w:after="100" w:afterAutospacing="1" w:line="360" w:lineRule="auto"/>
        <w:jc w:val="center"/>
        <w:rPr>
          <w:rFonts w:ascii="Arial" w:eastAsia="Times New Roman" w:hAnsi="Arial" w:cs="Arial"/>
        </w:rPr>
      </w:pPr>
      <w:r w:rsidRPr="001D56B6">
        <w:rPr>
          <w:rFonts w:ascii="Arial" w:eastAsia="Times New Roman" w:hAnsi="Arial" w:cs="Arial"/>
          <w:noProof/>
        </w:rPr>
        <w:drawing>
          <wp:inline distT="0" distB="0" distL="0" distR="0">
            <wp:extent cx="5943600" cy="33566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3_Line_MeanPHQ9Change.png"/>
                    <pic:cNvPicPr/>
                  </pic:nvPicPr>
                  <pic:blipFill>
                    <a:blip xmlns:r="http://schemas.openxmlformats.org/officeDocument/2006/relationships" r:embed="rId7" cstate="print">
                      <a:extLst>
                        <a:ext xmlns:a="http://schemas.openxmlformats.org/drawingml/2006/main" uri="{28A0092B-C50C-407E-A947-70E740481C1C}">
                          <a14:useLocalDpi xmlns:a14="http://schemas.microsoft.com/office/drawing/2010/main" val="0"/>
                        </a:ext>
                      </a:extLst>
                    </a:blip>
                    <a:stretch>
                      <a:fillRect/>
                    </a:stretch>
                  </pic:blipFill>
                  <pic:spPr>
                    <a:xfrm>
                      <a:off x="0" y="0"/>
                      <a:ext cx="5943600" cy="3356610"/>
                    </a:xfrm>
                    <a:prstGeom prst="rect">
                      <a:avLst/>
                    </a:prstGeom>
                  </pic:spPr>
                </pic:pic>
              </a:graphicData>
            </a:graphic>
          </wp:inline>
        </w:drawing>
      </w:r>
    </w:p>
    <w:p w:rsidR="00921FB1" w:rsidRPr="0022180E" w:rsidP="007F3104">
      <w:pPr>
        <w:spacing w:before="100" w:beforeAutospacing="1" w:after="100" w:afterAutospacing="1" w:line="360" w:lineRule="auto"/>
        <w:jc w:val="center"/>
        <w:rPr>
          <w:rFonts w:ascii="Arial" w:eastAsia="Times New Roman" w:hAnsi="Arial" w:cs="Arial"/>
          <w:b/>
        </w:rPr>
      </w:pPr>
      <w:r w:rsidRPr="001D56B6">
        <w:rPr>
          <w:rFonts w:ascii="Arial" w:eastAsia="Times New Roman" w:hAnsi="Arial" w:cs="Arial"/>
          <w:b/>
        </w:rPr>
        <w:t>Figure 3: Mean PHQ-9 change (initial vs 4-week review across cohorts)</w:t>
      </w:r>
    </w:p>
    <w:p w:rsidR="007F3104" w:rsidRPr="001D56B6" w:rsidP="007F3104">
      <w:pPr>
        <w:pStyle w:val="Heading1"/>
        <w:rPr>
          <w:rFonts w:eastAsia="Times New Roman" w:cs="Arial"/>
          <w:szCs w:val="22"/>
        </w:rPr>
      </w:pPr>
      <w:bookmarkStart w:id="7" w:name="_Toc223143366"/>
      <w:r w:rsidRPr="001D56B6">
        <w:rPr>
          <w:rFonts w:eastAsia="Times New Roman" w:cs="Arial"/>
          <w:szCs w:val="22"/>
        </w:rPr>
        <w:t>Conclusion</w:t>
      </w:r>
      <w:bookmarkEnd w:id="7"/>
    </w:p>
    <w:p w:rsidR="007F3104" w:rsidRPr="001D56B6" w:rsidP="007F3104">
      <w:pPr>
        <w:rPr>
          <w:rFonts w:ascii="Arial" w:hAnsi="Arial" w:cs="Arial"/>
        </w:rPr>
      </w:pPr>
    </w:p>
    <w:p w:rsidR="007F3104" w:rsidRPr="001D56B6" w:rsidP="007F3104">
      <w:pPr>
        <w:spacing w:line="360" w:lineRule="auto"/>
        <w:ind w:firstLine="720"/>
        <w:jc w:val="both"/>
        <w:rPr>
          <w:rFonts w:ascii="Arial" w:eastAsia="Times New Roman" w:hAnsi="Arial" w:cs="Arial"/>
        </w:rPr>
      </w:pPr>
      <w:r w:rsidRPr="001D56B6">
        <w:rPr>
          <w:rFonts w:ascii="Arial" w:eastAsia="Times New Roman" w:hAnsi="Arial" w:cs="Arial"/>
        </w:rPr>
        <w:t xml:space="preserve">This report has examined one of the most significant quality issues in the field of providing health care to the population: the lack of proper identification and adequate participation of adult men with depressive disorders in the primary care unit and services oriented towards the community. It was analysed based on both Fishbone and the 5 Whys strategies to demonstrate that the issue is multi-causal in nature and systemic, as it occurs due to the lack of workforce capability, inconsistent workflows, ineffective method of follow-ups as a result of measurement, limitation of documentation and stigma and masculine norms in the community that lead to less disclosure. Male-typical depression and </w:t>
      </w:r>
      <w:r w:rsidRPr="001D56B6">
        <w:rPr>
          <w:rFonts w:ascii="Arial" w:eastAsia="Times New Roman" w:hAnsi="Arial" w:cs="Arial"/>
        </w:rPr>
        <w:t>externalising</w:t>
      </w:r>
      <w:r w:rsidRPr="001D56B6">
        <w:rPr>
          <w:rFonts w:ascii="Arial" w:eastAsia="Times New Roman" w:hAnsi="Arial" w:cs="Arial"/>
        </w:rPr>
        <w:t xml:space="preserve"> symptom evidence support the importance of missed detection, which is not a minor gap in this context, as it could be associated with </w:t>
      </w:r>
      <w:r w:rsidRPr="001D56B6">
        <w:rPr>
          <w:rFonts w:ascii="Arial" w:eastAsia="Times New Roman" w:hAnsi="Arial" w:cs="Arial"/>
        </w:rPr>
        <w:t>more risky</w:t>
      </w:r>
      <w:r w:rsidRPr="001D56B6">
        <w:rPr>
          <w:rFonts w:ascii="Arial" w:eastAsia="Times New Roman" w:hAnsi="Arial" w:cs="Arial"/>
        </w:rPr>
        <w:t xml:space="preserve"> coping styles and suicidality pathways, and suggests the urgency of relying on effective detection and engagement practices (O'Gorman, 2022). The </w:t>
      </w:r>
      <w:r w:rsidRPr="001D56B6">
        <w:rPr>
          <w:rFonts w:ascii="Arial" w:eastAsia="Times New Roman" w:hAnsi="Arial" w:cs="Arial"/>
        </w:rPr>
        <w:t>Donabedian</w:t>
      </w:r>
      <w:r w:rsidRPr="001D56B6">
        <w:rPr>
          <w:rFonts w:ascii="Arial" w:eastAsia="Times New Roman" w:hAnsi="Arial" w:cs="Arial"/>
        </w:rPr>
        <w:t xml:space="preserve"> model explained the role of structural conditions (training, capacity, information infrastructure) in process reliability (screening, risk assessment, follow-up) and their eventual effect on outcomes, such as symptom persistence, comorbid insomnia, and crisis escalation (Moayed, 2022).</w:t>
      </w:r>
    </w:p>
    <w:p w:rsidR="0022180E" w:rsidRPr="001D56B6" w:rsidP="007F3104">
      <w:pPr>
        <w:spacing w:line="360" w:lineRule="auto"/>
        <w:ind w:firstLine="720"/>
        <w:jc w:val="both"/>
        <w:rPr>
          <w:rFonts w:ascii="Arial" w:eastAsia="Times New Roman" w:hAnsi="Arial" w:cs="Arial"/>
        </w:rPr>
      </w:pPr>
      <w:r w:rsidRPr="001D56B6">
        <w:rPr>
          <w:rFonts w:ascii="Arial" w:eastAsia="Times New Roman" w:hAnsi="Arial" w:cs="Arial"/>
        </w:rPr>
        <w:t xml:space="preserve">SWOT-based strategic planning showed that it is possible to improve when </w:t>
      </w:r>
      <w:r w:rsidRPr="001D56B6">
        <w:rPr>
          <w:rFonts w:ascii="Arial" w:eastAsia="Times New Roman" w:hAnsi="Arial" w:cs="Arial"/>
        </w:rPr>
        <w:t>organisations</w:t>
      </w:r>
      <w:r w:rsidRPr="001D56B6">
        <w:rPr>
          <w:rFonts w:ascii="Arial" w:eastAsia="Times New Roman" w:hAnsi="Arial" w:cs="Arial"/>
        </w:rPr>
        <w:t xml:space="preserve"> leverage available access points and implement evidence-based opportunities such as collaborative care, digital follow-up, and integrated sleep-mood pathways. The suggested </w:t>
      </w:r>
      <w:r w:rsidRPr="001D56B6">
        <w:rPr>
          <w:rFonts w:ascii="Arial" w:eastAsia="Times New Roman" w:hAnsi="Arial" w:cs="Arial"/>
        </w:rPr>
        <w:t>programme</w:t>
      </w:r>
      <w:r w:rsidRPr="001D56B6">
        <w:rPr>
          <w:rFonts w:ascii="Arial" w:eastAsia="Times New Roman" w:hAnsi="Arial" w:cs="Arial"/>
        </w:rPr>
        <w:t xml:space="preserve"> includes a packaged intervention that </w:t>
      </w:r>
      <w:r w:rsidRPr="001D56B6">
        <w:rPr>
          <w:rFonts w:ascii="Arial" w:eastAsia="Times New Roman" w:hAnsi="Arial" w:cs="Arial"/>
        </w:rPr>
        <w:t>standardises</w:t>
      </w:r>
      <w:r w:rsidRPr="001D56B6">
        <w:rPr>
          <w:rFonts w:ascii="Arial" w:eastAsia="Times New Roman" w:hAnsi="Arial" w:cs="Arial"/>
        </w:rPr>
        <w:t xml:space="preserve"> triggering opportunities for opportunistic detection, adopts a two-stage screening strategy for confirmatory assessment and planned follow-up, enhances engagement through a gender-responsive communication-training </w:t>
      </w:r>
      <w:r w:rsidRPr="001D56B6">
        <w:rPr>
          <w:rFonts w:ascii="Arial" w:eastAsia="Times New Roman" w:hAnsi="Arial" w:cs="Arial"/>
        </w:rPr>
        <w:t>programme</w:t>
      </w:r>
      <w:r w:rsidRPr="001D56B6">
        <w:rPr>
          <w:rFonts w:ascii="Arial" w:eastAsia="Times New Roman" w:hAnsi="Arial" w:cs="Arial"/>
        </w:rPr>
        <w:t>, and applies the concept of collaborative care to reduce dropouts and increase continuity (</w:t>
      </w:r>
      <w:r w:rsidRPr="001D56B6">
        <w:rPr>
          <w:rFonts w:ascii="Arial" w:eastAsia="Times New Roman" w:hAnsi="Arial" w:cs="Arial"/>
        </w:rPr>
        <w:t>Kappelin</w:t>
      </w:r>
      <w:r w:rsidRPr="001D56B6">
        <w:rPr>
          <w:rFonts w:ascii="Arial" w:eastAsia="Times New Roman" w:hAnsi="Arial" w:cs="Arial"/>
        </w:rPr>
        <w:t xml:space="preserve">, 2022). The inclusion of CBT-I options reacts to the bidirectional relationship of depression-sleep, and provides numerous men with an effective, acceptable path to a better state (Furukawa, 2024). </w:t>
      </w:r>
    </w:p>
    <w:p w:rsidR="007F3104" w:rsidRPr="001D56B6" w:rsidP="007F3104">
      <w:pPr>
        <w:spacing w:line="360" w:lineRule="auto"/>
        <w:jc w:val="both"/>
        <w:rPr>
          <w:rFonts w:ascii="Arial" w:eastAsia="Times New Roman" w:hAnsi="Arial" w:cs="Arial"/>
        </w:rPr>
      </w:pPr>
    </w:p>
    <w:p w:rsidR="007F3104" w:rsidRPr="001D56B6" w:rsidP="007F3104">
      <w:pPr>
        <w:spacing w:line="360" w:lineRule="auto"/>
        <w:jc w:val="both"/>
        <w:rPr>
          <w:rFonts w:ascii="Arial" w:eastAsia="Times New Roman" w:hAnsi="Arial" w:cs="Arial"/>
        </w:rPr>
      </w:pPr>
    </w:p>
    <w:p w:rsidR="007F3104" w:rsidRPr="001D56B6" w:rsidP="007F3104">
      <w:pPr>
        <w:spacing w:line="360" w:lineRule="auto"/>
        <w:jc w:val="both"/>
        <w:rPr>
          <w:rFonts w:ascii="Arial" w:eastAsia="Times New Roman" w:hAnsi="Arial" w:cs="Arial"/>
        </w:rPr>
      </w:pPr>
    </w:p>
    <w:p w:rsidR="007F3104" w:rsidRPr="001D56B6" w:rsidP="007F3104">
      <w:pPr>
        <w:spacing w:line="360" w:lineRule="auto"/>
        <w:jc w:val="both"/>
        <w:rPr>
          <w:rFonts w:ascii="Arial" w:eastAsia="Times New Roman" w:hAnsi="Arial" w:cs="Arial"/>
        </w:rPr>
      </w:pPr>
    </w:p>
    <w:p w:rsidR="007F3104" w:rsidRPr="001D56B6" w:rsidP="007F3104">
      <w:pPr>
        <w:spacing w:line="360" w:lineRule="auto"/>
        <w:jc w:val="both"/>
        <w:rPr>
          <w:rFonts w:ascii="Arial" w:eastAsia="Times New Roman" w:hAnsi="Arial" w:cs="Arial"/>
        </w:rPr>
      </w:pPr>
    </w:p>
    <w:p w:rsidR="007F3104" w:rsidRPr="001D56B6" w:rsidP="001D56B6">
      <w:pPr>
        <w:pStyle w:val="Heading1"/>
        <w:rPr>
          <w:rFonts w:eastAsia="Times New Roman"/>
        </w:rPr>
      </w:pPr>
      <w:bookmarkStart w:id="8" w:name="_Toc223143367"/>
      <w:r w:rsidRPr="001D56B6">
        <w:rPr>
          <w:rFonts w:eastAsia="Times New Roman"/>
        </w:rPr>
        <w:t>References</w:t>
      </w:r>
      <w:bookmarkEnd w:id="8"/>
      <w:r w:rsidRPr="001D56B6">
        <w:rPr>
          <w:rFonts w:eastAsia="Times New Roman"/>
        </w:rPr>
        <w:t xml:space="preserve"> </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Abdulla, S.A.A., </w:t>
      </w:r>
      <w:r w:rsidRPr="001D56B6">
        <w:rPr>
          <w:rFonts w:ascii="Arial" w:hAnsi="Arial" w:cs="Arial"/>
          <w:sz w:val="22"/>
          <w:szCs w:val="22"/>
        </w:rPr>
        <w:t>AlFayez</w:t>
      </w:r>
      <w:r w:rsidRPr="001D56B6">
        <w:rPr>
          <w:rFonts w:ascii="Arial" w:hAnsi="Arial" w:cs="Arial"/>
          <w:sz w:val="22"/>
          <w:szCs w:val="22"/>
        </w:rPr>
        <w:t xml:space="preserve">, F., </w:t>
      </w:r>
      <w:r w:rsidRPr="001D56B6">
        <w:rPr>
          <w:rFonts w:ascii="Arial" w:hAnsi="Arial" w:cs="Arial"/>
          <w:sz w:val="22"/>
          <w:szCs w:val="22"/>
        </w:rPr>
        <w:t>AlMahdi</w:t>
      </w:r>
      <w:r w:rsidRPr="001D56B6">
        <w:rPr>
          <w:rFonts w:ascii="Arial" w:hAnsi="Arial" w:cs="Arial"/>
          <w:sz w:val="22"/>
          <w:szCs w:val="22"/>
        </w:rPr>
        <w:t xml:space="preserve">, S., </w:t>
      </w:r>
      <w:r w:rsidRPr="001D56B6">
        <w:rPr>
          <w:rFonts w:ascii="Arial" w:hAnsi="Arial" w:cs="Arial"/>
          <w:sz w:val="22"/>
          <w:szCs w:val="22"/>
        </w:rPr>
        <w:t>AlHammadi</w:t>
      </w:r>
      <w:r w:rsidRPr="001D56B6">
        <w:rPr>
          <w:rFonts w:ascii="Arial" w:hAnsi="Arial" w:cs="Arial"/>
          <w:sz w:val="22"/>
          <w:szCs w:val="22"/>
        </w:rPr>
        <w:t xml:space="preserve">, R., </w:t>
      </w:r>
      <w:r w:rsidRPr="001D56B6">
        <w:rPr>
          <w:rFonts w:ascii="Arial" w:hAnsi="Arial" w:cs="Arial"/>
          <w:sz w:val="22"/>
          <w:szCs w:val="22"/>
        </w:rPr>
        <w:t>AlKhayyat</w:t>
      </w:r>
      <w:r w:rsidRPr="001D56B6">
        <w:rPr>
          <w:rFonts w:ascii="Arial" w:hAnsi="Arial" w:cs="Arial"/>
          <w:sz w:val="22"/>
          <w:szCs w:val="22"/>
        </w:rPr>
        <w:t>, A., Al-</w:t>
      </w:r>
      <w:r w:rsidRPr="001D56B6">
        <w:rPr>
          <w:rFonts w:ascii="Arial" w:hAnsi="Arial" w:cs="Arial"/>
          <w:sz w:val="22"/>
          <w:szCs w:val="22"/>
        </w:rPr>
        <w:t>Mutawa</w:t>
      </w:r>
      <w:r w:rsidRPr="001D56B6">
        <w:rPr>
          <w:rFonts w:ascii="Arial" w:hAnsi="Arial" w:cs="Arial"/>
          <w:sz w:val="22"/>
          <w:szCs w:val="22"/>
        </w:rPr>
        <w:t>, K. and Al-</w:t>
      </w:r>
      <w:r w:rsidRPr="001D56B6">
        <w:rPr>
          <w:rFonts w:ascii="Arial" w:hAnsi="Arial" w:cs="Arial"/>
          <w:sz w:val="22"/>
          <w:szCs w:val="22"/>
        </w:rPr>
        <w:t>Kuwari</w:t>
      </w:r>
      <w:r w:rsidRPr="001D56B6">
        <w:rPr>
          <w:rFonts w:ascii="Arial" w:hAnsi="Arial" w:cs="Arial"/>
          <w:sz w:val="22"/>
          <w:szCs w:val="22"/>
        </w:rPr>
        <w:t xml:space="preserve">, M.G. (2025) ‘Evaluation of primary care mental health integration and outcomes using PHQ-9 and GAD-7 data’, </w:t>
      </w:r>
      <w:r w:rsidRPr="001D56B6">
        <w:rPr>
          <w:rStyle w:val="Emphasis"/>
          <w:rFonts w:ascii="Arial" w:hAnsi="Arial" w:cs="Arial"/>
          <w:sz w:val="22"/>
          <w:szCs w:val="22"/>
        </w:rPr>
        <w:t>Scientific Reports</w:t>
      </w:r>
      <w:r w:rsidRPr="001D56B6">
        <w:rPr>
          <w:rFonts w:ascii="Arial" w:hAnsi="Arial" w:cs="Arial"/>
          <w:sz w:val="22"/>
          <w:szCs w:val="22"/>
        </w:rPr>
        <w:t>, 15, Article number 29465.</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Barr, E. and Rison, R. (2024) ‘Quality Improvement Methods (LEAN, PDSA, SIX SIGMA)’, in </w:t>
      </w:r>
      <w:r w:rsidRPr="001D56B6">
        <w:rPr>
          <w:rStyle w:val="Emphasis"/>
          <w:rFonts w:ascii="Arial" w:hAnsi="Arial" w:cs="Arial"/>
          <w:sz w:val="22"/>
          <w:szCs w:val="22"/>
        </w:rPr>
        <w:t>StatPearls</w:t>
      </w:r>
      <w:r w:rsidRPr="001D56B6">
        <w:rPr>
          <w:rFonts w:ascii="Arial" w:hAnsi="Arial" w:cs="Arial"/>
          <w:sz w:val="22"/>
          <w:szCs w:val="22"/>
        </w:rPr>
        <w:t xml:space="preserve">. Treasure Island (FL): </w:t>
      </w:r>
      <w:r w:rsidRPr="001D56B6">
        <w:rPr>
          <w:rFonts w:ascii="Arial" w:hAnsi="Arial" w:cs="Arial"/>
          <w:sz w:val="22"/>
          <w:szCs w:val="22"/>
        </w:rPr>
        <w:t>StatPearls</w:t>
      </w:r>
      <w:r w:rsidRPr="001D56B6">
        <w:rPr>
          <w:rFonts w:ascii="Arial" w:hAnsi="Arial" w:cs="Arial"/>
          <w:sz w:val="22"/>
          <w:szCs w:val="22"/>
        </w:rPr>
        <w:t xml:space="preserve"> Publishing.</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Banks, S. and Collier, E. (2025) ‘Barriers to help-seeking in men with mental health issues: a </w:t>
      </w:r>
      <w:r w:rsidRPr="001D56B6">
        <w:rPr>
          <w:rFonts w:ascii="Arial" w:hAnsi="Arial" w:cs="Arial"/>
          <w:sz w:val="22"/>
          <w:szCs w:val="22"/>
        </w:rPr>
        <w:t>systematised</w:t>
      </w:r>
      <w:r w:rsidRPr="001D56B6">
        <w:rPr>
          <w:rFonts w:ascii="Arial" w:hAnsi="Arial" w:cs="Arial"/>
          <w:sz w:val="22"/>
          <w:szCs w:val="22"/>
        </w:rPr>
        <w:t xml:space="preserve"> literature review’, </w:t>
      </w:r>
      <w:r w:rsidRPr="001D56B6">
        <w:rPr>
          <w:rStyle w:val="Emphasis"/>
          <w:rFonts w:ascii="Arial" w:hAnsi="Arial" w:cs="Arial"/>
          <w:sz w:val="22"/>
          <w:szCs w:val="22"/>
        </w:rPr>
        <w:t>Mental Health Practice</w:t>
      </w:r>
      <w:r w:rsidRPr="001D56B6">
        <w:rPr>
          <w:rFonts w:ascii="Arial" w:hAnsi="Arial" w:cs="Arial"/>
          <w:sz w:val="22"/>
          <w:szCs w:val="22"/>
        </w:rPr>
        <w:t>, 29(1), pp. 1–10.</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Chen, C.C., Lai, C.K. and Chen, C.M. (2024) ‘The delivery model of perceived medical service quality integrating the </w:t>
      </w:r>
      <w:r w:rsidRPr="001D56B6">
        <w:rPr>
          <w:rFonts w:ascii="Arial" w:hAnsi="Arial" w:cs="Arial"/>
          <w:sz w:val="22"/>
          <w:szCs w:val="22"/>
        </w:rPr>
        <w:t>Donabedian</w:t>
      </w:r>
      <w:r w:rsidRPr="001D56B6">
        <w:rPr>
          <w:rFonts w:ascii="Arial" w:hAnsi="Arial" w:cs="Arial"/>
          <w:sz w:val="22"/>
          <w:szCs w:val="22"/>
        </w:rPr>
        <w:t xml:space="preserve"> SPO model and SERVQUAL’, </w:t>
      </w:r>
      <w:r w:rsidRPr="001D56B6">
        <w:rPr>
          <w:rStyle w:val="Emphasis"/>
          <w:rFonts w:ascii="Arial" w:hAnsi="Arial" w:cs="Arial"/>
          <w:sz w:val="22"/>
          <w:szCs w:val="22"/>
        </w:rPr>
        <w:t>Healthcare</w:t>
      </w:r>
      <w:r w:rsidRPr="001D56B6">
        <w:rPr>
          <w:rFonts w:ascii="Arial" w:hAnsi="Arial" w:cs="Arial"/>
          <w:sz w:val="22"/>
          <w:szCs w:val="22"/>
        </w:rPr>
        <w:t>, 12(8), Article number.</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Costantini</w:t>
      </w:r>
      <w:r w:rsidRPr="001D56B6">
        <w:rPr>
          <w:rFonts w:ascii="Arial" w:hAnsi="Arial" w:cs="Arial"/>
          <w:sz w:val="22"/>
          <w:szCs w:val="22"/>
        </w:rPr>
        <w:t xml:space="preserve">, L., </w:t>
      </w:r>
      <w:r w:rsidRPr="001D56B6">
        <w:rPr>
          <w:rFonts w:ascii="Arial" w:hAnsi="Arial" w:cs="Arial"/>
          <w:sz w:val="22"/>
          <w:szCs w:val="22"/>
        </w:rPr>
        <w:t>Pasquarella</w:t>
      </w:r>
      <w:r w:rsidRPr="001D56B6">
        <w:rPr>
          <w:rFonts w:ascii="Arial" w:hAnsi="Arial" w:cs="Arial"/>
          <w:sz w:val="22"/>
          <w:szCs w:val="22"/>
        </w:rPr>
        <w:t xml:space="preserve">, C., </w:t>
      </w:r>
      <w:r w:rsidRPr="001D56B6">
        <w:rPr>
          <w:rFonts w:ascii="Arial" w:hAnsi="Arial" w:cs="Arial"/>
          <w:sz w:val="22"/>
          <w:szCs w:val="22"/>
        </w:rPr>
        <w:t>Odone</w:t>
      </w:r>
      <w:r w:rsidRPr="001D56B6">
        <w:rPr>
          <w:rFonts w:ascii="Arial" w:hAnsi="Arial" w:cs="Arial"/>
          <w:sz w:val="22"/>
          <w:szCs w:val="22"/>
        </w:rPr>
        <w:t xml:space="preserve">, A., </w:t>
      </w:r>
      <w:r w:rsidRPr="001D56B6">
        <w:rPr>
          <w:rFonts w:ascii="Arial" w:hAnsi="Arial" w:cs="Arial"/>
          <w:sz w:val="22"/>
          <w:szCs w:val="22"/>
        </w:rPr>
        <w:t>Colucci</w:t>
      </w:r>
      <w:r w:rsidRPr="001D56B6">
        <w:rPr>
          <w:rFonts w:ascii="Arial" w:hAnsi="Arial" w:cs="Arial"/>
          <w:sz w:val="22"/>
          <w:szCs w:val="22"/>
        </w:rPr>
        <w:t xml:space="preserve">, M.E., </w:t>
      </w:r>
      <w:r w:rsidRPr="001D56B6">
        <w:rPr>
          <w:rFonts w:ascii="Arial" w:hAnsi="Arial" w:cs="Arial"/>
          <w:sz w:val="22"/>
          <w:szCs w:val="22"/>
        </w:rPr>
        <w:t>Costanza</w:t>
      </w:r>
      <w:r w:rsidRPr="001D56B6">
        <w:rPr>
          <w:rFonts w:ascii="Arial" w:hAnsi="Arial" w:cs="Arial"/>
          <w:sz w:val="22"/>
          <w:szCs w:val="22"/>
        </w:rPr>
        <w:t xml:space="preserve">, A., </w:t>
      </w:r>
      <w:r w:rsidRPr="001D56B6">
        <w:rPr>
          <w:rFonts w:ascii="Arial" w:hAnsi="Arial" w:cs="Arial"/>
          <w:sz w:val="22"/>
          <w:szCs w:val="22"/>
        </w:rPr>
        <w:t>Serafini</w:t>
      </w:r>
      <w:r w:rsidRPr="001D56B6">
        <w:rPr>
          <w:rFonts w:ascii="Arial" w:hAnsi="Arial" w:cs="Arial"/>
          <w:sz w:val="22"/>
          <w:szCs w:val="22"/>
        </w:rPr>
        <w:t xml:space="preserve">, G., </w:t>
      </w:r>
      <w:r w:rsidRPr="001D56B6">
        <w:rPr>
          <w:rFonts w:ascii="Arial" w:hAnsi="Arial" w:cs="Arial"/>
          <w:sz w:val="22"/>
          <w:szCs w:val="22"/>
        </w:rPr>
        <w:t>Aguglia</w:t>
      </w:r>
      <w:r w:rsidRPr="001D56B6">
        <w:rPr>
          <w:rFonts w:ascii="Arial" w:hAnsi="Arial" w:cs="Arial"/>
          <w:sz w:val="22"/>
          <w:szCs w:val="22"/>
        </w:rPr>
        <w:t xml:space="preserve">, A. and </w:t>
      </w:r>
      <w:r w:rsidRPr="001D56B6">
        <w:rPr>
          <w:rFonts w:ascii="Arial" w:hAnsi="Arial" w:cs="Arial"/>
          <w:sz w:val="22"/>
          <w:szCs w:val="22"/>
        </w:rPr>
        <w:t>Amerio</w:t>
      </w:r>
      <w:r w:rsidRPr="001D56B6">
        <w:rPr>
          <w:rFonts w:ascii="Arial" w:hAnsi="Arial" w:cs="Arial"/>
          <w:sz w:val="22"/>
          <w:szCs w:val="22"/>
        </w:rPr>
        <w:t xml:space="preserve">, A. (2021) ‘Screening for depression in primary care with Patient Health Questionnaire-9 (PHQ-9): a systematic review’, </w:t>
      </w:r>
      <w:r w:rsidRPr="001D56B6">
        <w:rPr>
          <w:rStyle w:val="Emphasis"/>
          <w:rFonts w:ascii="Arial" w:hAnsi="Arial" w:cs="Arial"/>
          <w:sz w:val="22"/>
          <w:szCs w:val="22"/>
        </w:rPr>
        <w:t>Journal of Affective Disorders</w:t>
      </w:r>
      <w:r w:rsidRPr="001D56B6">
        <w:rPr>
          <w:rFonts w:ascii="Arial" w:hAnsi="Arial" w:cs="Arial"/>
          <w:sz w:val="22"/>
          <w:szCs w:val="22"/>
        </w:rPr>
        <w:t>, 279, pp. 473–483.</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Eggenberger</w:t>
      </w:r>
      <w:r w:rsidRPr="001D56B6">
        <w:rPr>
          <w:rFonts w:ascii="Arial" w:hAnsi="Arial" w:cs="Arial"/>
          <w:sz w:val="22"/>
          <w:szCs w:val="22"/>
        </w:rPr>
        <w:t xml:space="preserve">, L., </w:t>
      </w:r>
      <w:r w:rsidRPr="001D56B6">
        <w:rPr>
          <w:rFonts w:ascii="Arial" w:hAnsi="Arial" w:cs="Arial"/>
          <w:sz w:val="22"/>
          <w:szCs w:val="22"/>
        </w:rPr>
        <w:t>Preisig</w:t>
      </w:r>
      <w:r w:rsidRPr="001D56B6">
        <w:rPr>
          <w:rFonts w:ascii="Arial" w:hAnsi="Arial" w:cs="Arial"/>
          <w:sz w:val="22"/>
          <w:szCs w:val="22"/>
        </w:rPr>
        <w:t xml:space="preserve">, M. and </w:t>
      </w:r>
      <w:r w:rsidRPr="001D56B6">
        <w:rPr>
          <w:rFonts w:ascii="Arial" w:hAnsi="Arial" w:cs="Arial"/>
          <w:sz w:val="22"/>
          <w:szCs w:val="22"/>
        </w:rPr>
        <w:t>Favrod</w:t>
      </w:r>
      <w:r w:rsidRPr="001D56B6">
        <w:rPr>
          <w:rFonts w:ascii="Arial" w:hAnsi="Arial" w:cs="Arial"/>
          <w:sz w:val="22"/>
          <w:szCs w:val="22"/>
        </w:rPr>
        <w:t xml:space="preserve">, J. (2023) ‘New directions in male-tailored psychotherapy for depression’, </w:t>
      </w:r>
      <w:r w:rsidRPr="001D56B6">
        <w:rPr>
          <w:rStyle w:val="Emphasis"/>
          <w:rFonts w:ascii="Arial" w:hAnsi="Arial" w:cs="Arial"/>
          <w:sz w:val="22"/>
          <w:szCs w:val="22"/>
        </w:rPr>
        <w:t>Frontiers in Psychology</w:t>
      </w:r>
      <w:r w:rsidRPr="001D56B6">
        <w:rPr>
          <w:rFonts w:ascii="Arial" w:hAnsi="Arial" w:cs="Arial"/>
          <w:sz w:val="22"/>
          <w:szCs w:val="22"/>
        </w:rPr>
        <w:t>, 14, 1146078.</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Endalamaw</w:t>
      </w:r>
      <w:r w:rsidRPr="001D56B6">
        <w:rPr>
          <w:rFonts w:ascii="Arial" w:hAnsi="Arial" w:cs="Arial"/>
          <w:sz w:val="22"/>
          <w:szCs w:val="22"/>
        </w:rPr>
        <w:t xml:space="preserve">, A., Tefera, Y.G., </w:t>
      </w:r>
      <w:r w:rsidRPr="001D56B6">
        <w:rPr>
          <w:rFonts w:ascii="Arial" w:hAnsi="Arial" w:cs="Arial"/>
          <w:sz w:val="22"/>
          <w:szCs w:val="22"/>
        </w:rPr>
        <w:t>Worku</w:t>
      </w:r>
      <w:r w:rsidRPr="001D56B6">
        <w:rPr>
          <w:rFonts w:ascii="Arial" w:hAnsi="Arial" w:cs="Arial"/>
          <w:sz w:val="22"/>
          <w:szCs w:val="22"/>
        </w:rPr>
        <w:t xml:space="preserve">, T. and </w:t>
      </w:r>
      <w:r w:rsidRPr="001D56B6">
        <w:rPr>
          <w:rFonts w:ascii="Arial" w:hAnsi="Arial" w:cs="Arial"/>
          <w:sz w:val="22"/>
          <w:szCs w:val="22"/>
        </w:rPr>
        <w:t>Assefa</w:t>
      </w:r>
      <w:r w:rsidRPr="001D56B6">
        <w:rPr>
          <w:rFonts w:ascii="Arial" w:hAnsi="Arial" w:cs="Arial"/>
          <w:sz w:val="22"/>
          <w:szCs w:val="22"/>
        </w:rPr>
        <w:t xml:space="preserve">, Y. (2024) ‘A scoping review of continuous quality improvement in healthcare’, </w:t>
      </w:r>
      <w:r w:rsidRPr="001D56B6">
        <w:rPr>
          <w:rStyle w:val="Emphasis"/>
          <w:rFonts w:ascii="Arial" w:hAnsi="Arial" w:cs="Arial"/>
          <w:sz w:val="22"/>
          <w:szCs w:val="22"/>
        </w:rPr>
        <w:t>BMC Health Services Research</w:t>
      </w:r>
      <w:r w:rsidRPr="001D56B6">
        <w:rPr>
          <w:rFonts w:ascii="Arial" w:hAnsi="Arial" w:cs="Arial"/>
          <w:sz w:val="22"/>
          <w:szCs w:val="22"/>
        </w:rPr>
        <w:t>, 24, 10828.</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Flehr</w:t>
      </w:r>
      <w:r w:rsidRPr="001D56B6">
        <w:rPr>
          <w:rFonts w:ascii="Arial" w:hAnsi="Arial" w:cs="Arial"/>
          <w:sz w:val="22"/>
          <w:szCs w:val="22"/>
        </w:rPr>
        <w:t xml:space="preserve">, A., et al. (2025) ‘Uniting depression care through </w:t>
      </w:r>
      <w:r w:rsidRPr="001D56B6">
        <w:rPr>
          <w:rFonts w:ascii="Arial" w:hAnsi="Arial" w:cs="Arial"/>
          <w:sz w:val="22"/>
          <w:szCs w:val="22"/>
        </w:rPr>
        <w:t>generalism</w:t>
      </w:r>
      <w:r w:rsidRPr="001D56B6">
        <w:rPr>
          <w:rFonts w:ascii="Arial" w:hAnsi="Arial" w:cs="Arial"/>
          <w:sz w:val="22"/>
          <w:szCs w:val="22"/>
        </w:rPr>
        <w:t xml:space="preserve">: primary care-focused recommendations’, </w:t>
      </w:r>
      <w:r w:rsidRPr="001D56B6">
        <w:rPr>
          <w:rStyle w:val="Emphasis"/>
          <w:rFonts w:ascii="Arial" w:hAnsi="Arial" w:cs="Arial"/>
          <w:sz w:val="22"/>
          <w:szCs w:val="22"/>
        </w:rPr>
        <w:t>The Lancet Primary Care</w:t>
      </w:r>
      <w:r w:rsidRPr="001D56B6">
        <w:rPr>
          <w:rFonts w:ascii="Arial" w:hAnsi="Arial" w:cs="Arial"/>
          <w:sz w:val="22"/>
          <w:szCs w:val="22"/>
        </w:rPr>
        <w:t>, Article number 00042-1.</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Furukawa, Y., et al. (2024) 'Cognitive behavioural therapy for insomnia to mitigate depression: updated systematic review and meta-analysis', </w:t>
      </w:r>
      <w:r w:rsidRPr="001D56B6">
        <w:rPr>
          <w:rStyle w:val="Emphasis"/>
          <w:rFonts w:ascii="Arial" w:hAnsi="Arial" w:cs="Arial"/>
          <w:sz w:val="22"/>
          <w:szCs w:val="22"/>
        </w:rPr>
        <w:t>Journal of Affective Disorders</w:t>
      </w:r>
      <w:r w:rsidRPr="001D56B6">
        <w:rPr>
          <w:rFonts w:ascii="Arial" w:hAnsi="Arial" w:cs="Arial"/>
          <w:sz w:val="22"/>
          <w:szCs w:val="22"/>
        </w:rPr>
        <w:t>, (volume/issue), Article number 14952.</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Guta</w:t>
      </w:r>
      <w:r w:rsidRPr="001D56B6">
        <w:rPr>
          <w:rFonts w:ascii="Arial" w:hAnsi="Arial" w:cs="Arial"/>
          <w:sz w:val="22"/>
          <w:szCs w:val="22"/>
        </w:rPr>
        <w:t xml:space="preserve">, N.M., et al. (2022) ‘Application of </w:t>
      </w:r>
      <w:r w:rsidRPr="001D56B6">
        <w:rPr>
          <w:rFonts w:ascii="Arial" w:hAnsi="Arial" w:cs="Arial"/>
          <w:sz w:val="22"/>
          <w:szCs w:val="22"/>
        </w:rPr>
        <w:t>Donabedian</w:t>
      </w:r>
      <w:r w:rsidRPr="001D56B6">
        <w:rPr>
          <w:rFonts w:ascii="Arial" w:hAnsi="Arial" w:cs="Arial"/>
          <w:sz w:val="22"/>
          <w:szCs w:val="22"/>
        </w:rPr>
        <w:t xml:space="preserve"> quality-of-care framework to healthcare assessment’, </w:t>
      </w:r>
      <w:r w:rsidRPr="001D56B6">
        <w:rPr>
          <w:rStyle w:val="Emphasis"/>
          <w:rFonts w:ascii="Arial" w:hAnsi="Arial" w:cs="Arial"/>
          <w:sz w:val="22"/>
          <w:szCs w:val="22"/>
        </w:rPr>
        <w:t>BMC Pediatrics</w:t>
      </w:r>
      <w:r w:rsidRPr="001D56B6">
        <w:rPr>
          <w:rFonts w:ascii="Arial" w:hAnsi="Arial" w:cs="Arial"/>
          <w:sz w:val="22"/>
          <w:szCs w:val="22"/>
        </w:rPr>
        <w:t>, 22, 3638.</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Habtamu</w:t>
      </w:r>
      <w:r w:rsidRPr="001D56B6">
        <w:rPr>
          <w:rFonts w:ascii="Arial" w:hAnsi="Arial" w:cs="Arial"/>
          <w:sz w:val="22"/>
          <w:szCs w:val="22"/>
        </w:rPr>
        <w:t xml:space="preserve">, K., et al. (2023) ‘Interventions to improve the detection of depression in primary healthcare: a systematic review’, </w:t>
      </w:r>
      <w:r w:rsidRPr="001D56B6">
        <w:rPr>
          <w:rStyle w:val="Emphasis"/>
          <w:rFonts w:ascii="Arial" w:hAnsi="Arial" w:cs="Arial"/>
          <w:sz w:val="22"/>
          <w:szCs w:val="22"/>
        </w:rPr>
        <w:t>Systematic Reviews</w:t>
      </w:r>
      <w:r w:rsidRPr="001D56B6">
        <w:rPr>
          <w:rFonts w:ascii="Arial" w:hAnsi="Arial" w:cs="Arial"/>
          <w:sz w:val="22"/>
          <w:szCs w:val="22"/>
        </w:rPr>
        <w:t>, 12, 2177.</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Hwang, J.W., et al. (2025) ‘Fully automated digital CBT-I: systematic review and meta-analysis’, </w:t>
      </w:r>
      <w:r w:rsidRPr="001D56B6">
        <w:rPr>
          <w:rStyle w:val="Emphasis"/>
          <w:rFonts w:ascii="Arial" w:hAnsi="Arial" w:cs="Arial"/>
          <w:sz w:val="22"/>
          <w:szCs w:val="22"/>
        </w:rPr>
        <w:t>NPJ Digital Medicine</w:t>
      </w:r>
      <w:r w:rsidRPr="001D56B6">
        <w:rPr>
          <w:rFonts w:ascii="Arial" w:hAnsi="Arial" w:cs="Arial"/>
          <w:sz w:val="22"/>
          <w:szCs w:val="22"/>
        </w:rPr>
        <w:t>, 8, 1514.</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Jiménez-Gonzalo, L., et al. (2025) ‘Bidirectional relationship between insomnia and depressive symptoms over time’, </w:t>
      </w:r>
      <w:r w:rsidRPr="001D56B6">
        <w:rPr>
          <w:rStyle w:val="Emphasis"/>
          <w:rFonts w:ascii="Arial" w:hAnsi="Arial" w:cs="Arial"/>
          <w:sz w:val="22"/>
          <w:szCs w:val="22"/>
        </w:rPr>
        <w:t>Healthcare</w:t>
      </w:r>
      <w:r w:rsidRPr="001D56B6">
        <w:rPr>
          <w:rFonts w:ascii="Arial" w:hAnsi="Arial" w:cs="Arial"/>
          <w:sz w:val="22"/>
          <w:szCs w:val="22"/>
        </w:rPr>
        <w:t xml:space="preserve">, 13, </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Kappelin</w:t>
      </w:r>
      <w:r w:rsidRPr="001D56B6">
        <w:rPr>
          <w:rFonts w:ascii="Arial" w:hAnsi="Arial" w:cs="Arial"/>
          <w:sz w:val="22"/>
          <w:szCs w:val="22"/>
        </w:rPr>
        <w:t xml:space="preserve">, C., et al. (2022) ‘Specific content for collaborative care: a systematic review’, </w:t>
      </w:r>
      <w:r w:rsidRPr="001D56B6">
        <w:rPr>
          <w:rStyle w:val="Emphasis"/>
          <w:rFonts w:ascii="Arial" w:hAnsi="Arial" w:cs="Arial"/>
          <w:sz w:val="22"/>
          <w:szCs w:val="22"/>
        </w:rPr>
        <w:t>Family Practice</w:t>
      </w:r>
      <w:r w:rsidRPr="001D56B6">
        <w:rPr>
          <w:rFonts w:ascii="Arial" w:hAnsi="Arial" w:cs="Arial"/>
          <w:sz w:val="22"/>
          <w:szCs w:val="22"/>
        </w:rPr>
        <w:t>, 39(4), pp. 725–736.</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Kumah</w:t>
      </w:r>
      <w:r w:rsidRPr="001D56B6">
        <w:rPr>
          <w:rFonts w:ascii="Arial" w:hAnsi="Arial" w:cs="Arial"/>
          <w:sz w:val="22"/>
          <w:szCs w:val="22"/>
        </w:rPr>
        <w:t xml:space="preserve">, A., et al. (2024) </w:t>
      </w:r>
      <w:r w:rsidRPr="001D56B6">
        <w:rPr>
          <w:rFonts w:ascii="Arial" w:hAnsi="Arial" w:cs="Arial"/>
          <w:sz w:val="22"/>
          <w:szCs w:val="22"/>
        </w:rPr>
        <w:t>‘Cause</w:t>
      </w:r>
      <w:r w:rsidRPr="001D56B6">
        <w:rPr>
          <w:rFonts w:ascii="Arial" w:hAnsi="Arial" w:cs="Arial"/>
          <w:sz w:val="22"/>
          <w:szCs w:val="22"/>
        </w:rPr>
        <w:t xml:space="preserve">-and-Effect (Fishbone) Diagram: a tool for generating solutions in healthcare improvement’, </w:t>
      </w:r>
      <w:r w:rsidRPr="001D56B6">
        <w:rPr>
          <w:rStyle w:val="Emphasis"/>
          <w:rFonts w:ascii="Arial" w:hAnsi="Arial" w:cs="Arial"/>
          <w:sz w:val="22"/>
          <w:szCs w:val="22"/>
        </w:rPr>
        <w:t>Cureus</w:t>
      </w:r>
      <w:r w:rsidRPr="001D56B6" w:rsidR="001D56B6">
        <w:rPr>
          <w:rFonts w:ascii="Arial" w:hAnsi="Arial" w:cs="Arial"/>
          <w:sz w:val="22"/>
          <w:szCs w:val="22"/>
        </w:rPr>
        <w:t>, 16,</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Lee, S., et al. (2023) ‘Digital cognitive behavioral therapy for insomnia and comorbid depression outcomes: meta-analytic evidence’, </w:t>
      </w:r>
      <w:r w:rsidRPr="001D56B6">
        <w:rPr>
          <w:rStyle w:val="Emphasis"/>
          <w:rFonts w:ascii="Arial" w:hAnsi="Arial" w:cs="Arial"/>
          <w:sz w:val="22"/>
          <w:szCs w:val="22"/>
        </w:rPr>
        <w:t>Sleep Medicine Reviews</w:t>
      </w:r>
      <w:r w:rsidRPr="001D56B6">
        <w:rPr>
          <w:rFonts w:ascii="Arial" w:hAnsi="Arial" w:cs="Arial"/>
          <w:sz w:val="22"/>
          <w:szCs w:val="22"/>
        </w:rPr>
        <w:t>, (volume/issue), Article number 10039857.</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McAllister, S., et al. (2025) ‘A trust-wide quality improvement </w:t>
      </w:r>
      <w:r w:rsidRPr="001D56B6">
        <w:rPr>
          <w:rFonts w:ascii="Arial" w:hAnsi="Arial" w:cs="Arial"/>
          <w:sz w:val="22"/>
          <w:szCs w:val="22"/>
        </w:rPr>
        <w:t>programme</w:t>
      </w:r>
      <w:r w:rsidRPr="001D56B6">
        <w:rPr>
          <w:rFonts w:ascii="Arial" w:hAnsi="Arial" w:cs="Arial"/>
          <w:sz w:val="22"/>
          <w:szCs w:val="22"/>
        </w:rPr>
        <w:t xml:space="preserve"> across inpatient mental health services’, </w:t>
      </w:r>
      <w:r w:rsidRPr="001D56B6">
        <w:rPr>
          <w:rStyle w:val="Emphasis"/>
          <w:rFonts w:ascii="Arial" w:hAnsi="Arial" w:cs="Arial"/>
          <w:sz w:val="22"/>
          <w:szCs w:val="22"/>
        </w:rPr>
        <w:t>The Lancet Regional Health – Europe</w:t>
      </w:r>
      <w:r w:rsidRPr="001D56B6">
        <w:rPr>
          <w:rFonts w:ascii="Arial" w:hAnsi="Arial" w:cs="Arial"/>
          <w:sz w:val="22"/>
          <w:szCs w:val="22"/>
        </w:rPr>
        <w:t>, (volume/issue), Article number 002759.</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McDermott, O., Antony, J. and Douglas, J.A. (2022) ‘Lean Six Sigma in Healthcare: a systematic literature review on motivations and benefits’, </w:t>
      </w:r>
      <w:r w:rsidRPr="001D56B6">
        <w:rPr>
          <w:rStyle w:val="Emphasis"/>
          <w:rFonts w:ascii="Arial" w:hAnsi="Arial" w:cs="Arial"/>
          <w:sz w:val="22"/>
          <w:szCs w:val="22"/>
        </w:rPr>
        <w:t>Processes</w:t>
      </w:r>
      <w:r w:rsidRPr="001D56B6">
        <w:rPr>
          <w:rFonts w:ascii="Arial" w:hAnsi="Arial" w:cs="Arial"/>
          <w:sz w:val="22"/>
          <w:szCs w:val="22"/>
        </w:rPr>
        <w:t>, 10(10), 1910.</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Moayed, M.S., et al. (2022) ‘Factors determining the quality of health services provided: insights using the </w:t>
      </w:r>
      <w:r w:rsidRPr="001D56B6">
        <w:rPr>
          <w:rFonts w:ascii="Arial" w:hAnsi="Arial" w:cs="Arial"/>
          <w:sz w:val="22"/>
          <w:szCs w:val="22"/>
        </w:rPr>
        <w:t>Donabedian</w:t>
      </w:r>
      <w:r w:rsidRPr="001D56B6">
        <w:rPr>
          <w:rFonts w:ascii="Arial" w:hAnsi="Arial" w:cs="Arial"/>
          <w:sz w:val="22"/>
          <w:szCs w:val="22"/>
        </w:rPr>
        <w:t xml:space="preserve"> framework’, </w:t>
      </w:r>
      <w:r w:rsidRPr="001D56B6">
        <w:rPr>
          <w:rStyle w:val="Emphasis"/>
          <w:rFonts w:ascii="Arial" w:hAnsi="Arial" w:cs="Arial"/>
          <w:sz w:val="22"/>
          <w:szCs w:val="22"/>
        </w:rPr>
        <w:t>Frontiers in Public Health</w:t>
      </w:r>
      <w:r w:rsidRPr="001D56B6">
        <w:rPr>
          <w:rFonts w:ascii="Arial" w:hAnsi="Arial" w:cs="Arial"/>
          <w:sz w:val="22"/>
          <w:szCs w:val="22"/>
        </w:rPr>
        <w:t>, 10, 967431.</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O’Brien, N., et al. (2023) ‘Strengths, weaknesses, opportunities, and threats (SWOT) analysis in health systems’, </w:t>
      </w:r>
      <w:r w:rsidRPr="001D56B6">
        <w:rPr>
          <w:rStyle w:val="Emphasis"/>
          <w:rFonts w:ascii="Arial" w:hAnsi="Arial" w:cs="Arial"/>
          <w:sz w:val="22"/>
          <w:szCs w:val="22"/>
        </w:rPr>
        <w:t>JMIR</w:t>
      </w:r>
      <w:r w:rsidRPr="001D56B6">
        <w:rPr>
          <w:rFonts w:ascii="Arial" w:hAnsi="Arial" w:cs="Arial"/>
          <w:sz w:val="22"/>
          <w:szCs w:val="22"/>
        </w:rPr>
        <w:t xml:space="preserve">, 25, </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O’Gorman, K.M., Wilson, M.J., </w:t>
      </w:r>
      <w:r w:rsidRPr="001D56B6">
        <w:rPr>
          <w:rFonts w:ascii="Arial" w:hAnsi="Arial" w:cs="Arial"/>
          <w:sz w:val="22"/>
          <w:szCs w:val="22"/>
        </w:rPr>
        <w:t>Seidler</w:t>
      </w:r>
      <w:r w:rsidRPr="001D56B6">
        <w:rPr>
          <w:rFonts w:ascii="Arial" w:hAnsi="Arial" w:cs="Arial"/>
          <w:sz w:val="22"/>
          <w:szCs w:val="22"/>
        </w:rPr>
        <w:t xml:space="preserve">, Z.E., English, D., </w:t>
      </w:r>
      <w:r w:rsidRPr="001D56B6">
        <w:rPr>
          <w:rFonts w:ascii="Arial" w:hAnsi="Arial" w:cs="Arial"/>
          <w:sz w:val="22"/>
          <w:szCs w:val="22"/>
        </w:rPr>
        <w:t>Zajac</w:t>
      </w:r>
      <w:r w:rsidRPr="001D56B6">
        <w:rPr>
          <w:rFonts w:ascii="Arial" w:hAnsi="Arial" w:cs="Arial"/>
          <w:sz w:val="22"/>
          <w:szCs w:val="22"/>
        </w:rPr>
        <w:t xml:space="preserve">, I.T., Fisher, K.S. and Rice, S.M. (2022) ‘Male-type depression mediates the relationship between avoidant coping and suicidal ideation in men’, </w:t>
      </w:r>
      <w:r w:rsidRPr="001D56B6">
        <w:rPr>
          <w:rStyle w:val="Emphasis"/>
          <w:rFonts w:ascii="Arial" w:hAnsi="Arial" w:cs="Arial"/>
          <w:sz w:val="22"/>
          <w:szCs w:val="22"/>
        </w:rPr>
        <w:t>International Journal of Environmental Research and Public Health</w:t>
      </w:r>
      <w:r w:rsidRPr="001D56B6">
        <w:rPr>
          <w:rFonts w:ascii="Arial" w:hAnsi="Arial" w:cs="Arial"/>
          <w:sz w:val="22"/>
          <w:szCs w:val="22"/>
        </w:rPr>
        <w:t>, 19(17), 10874.</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Pence, B.W., et al. (2024) ‘Two implementation strategies to support the integration of depression care into chronic medical care’, </w:t>
      </w:r>
      <w:r w:rsidRPr="001D56B6">
        <w:rPr>
          <w:rStyle w:val="Emphasis"/>
          <w:rFonts w:ascii="Arial" w:hAnsi="Arial" w:cs="Arial"/>
          <w:sz w:val="22"/>
          <w:szCs w:val="22"/>
        </w:rPr>
        <w:t>The Lancet Global Health</w:t>
      </w:r>
      <w:r w:rsidRPr="001D56B6" w:rsidR="001D56B6">
        <w:rPr>
          <w:rFonts w:ascii="Arial" w:hAnsi="Arial" w:cs="Arial"/>
          <w:sz w:val="22"/>
          <w:szCs w:val="22"/>
        </w:rPr>
        <w:t>, 12,</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Rice, S.M. (2022) 'Men's depression, externalising, and DSM-5-TR: primary signs and symptoms or co-occurring symptoms', </w:t>
      </w:r>
      <w:r w:rsidRPr="001D56B6">
        <w:rPr>
          <w:rStyle w:val="Emphasis"/>
          <w:rFonts w:ascii="Arial" w:hAnsi="Arial" w:cs="Arial"/>
          <w:sz w:val="22"/>
          <w:szCs w:val="22"/>
        </w:rPr>
        <w:t>Harvard Review of Psychiatry</w:t>
      </w:r>
      <w:r w:rsidRPr="001D56B6" w:rsidR="001D56B6">
        <w:rPr>
          <w:rFonts w:ascii="Arial" w:hAnsi="Arial" w:cs="Arial"/>
          <w:sz w:val="22"/>
          <w:szCs w:val="22"/>
        </w:rPr>
        <w:t xml:space="preserve">, 30(5), </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Singh, G. and </w:t>
      </w:r>
      <w:r w:rsidRPr="001D56B6">
        <w:rPr>
          <w:rFonts w:ascii="Arial" w:hAnsi="Arial" w:cs="Arial"/>
          <w:sz w:val="22"/>
          <w:szCs w:val="22"/>
        </w:rPr>
        <w:t>Sittig</w:t>
      </w:r>
      <w:r w:rsidRPr="001D56B6">
        <w:rPr>
          <w:rFonts w:ascii="Arial" w:hAnsi="Arial" w:cs="Arial"/>
          <w:sz w:val="22"/>
          <w:szCs w:val="22"/>
        </w:rPr>
        <w:t xml:space="preserve">, D.F. (2024) ‘Medical error prevention and root cause analysis’, in </w:t>
      </w:r>
      <w:r w:rsidRPr="001D56B6">
        <w:rPr>
          <w:rStyle w:val="Emphasis"/>
          <w:rFonts w:ascii="Arial" w:hAnsi="Arial" w:cs="Arial"/>
          <w:sz w:val="22"/>
          <w:szCs w:val="22"/>
        </w:rPr>
        <w:t>StatPearls</w:t>
      </w:r>
      <w:r w:rsidRPr="001D56B6">
        <w:rPr>
          <w:rFonts w:ascii="Arial" w:hAnsi="Arial" w:cs="Arial"/>
          <w:sz w:val="22"/>
          <w:szCs w:val="22"/>
        </w:rPr>
        <w:t xml:space="preserve">. Treasure Island (FL): </w:t>
      </w:r>
      <w:r w:rsidRPr="001D56B6">
        <w:rPr>
          <w:rFonts w:ascii="Arial" w:hAnsi="Arial" w:cs="Arial"/>
          <w:sz w:val="22"/>
          <w:szCs w:val="22"/>
        </w:rPr>
        <w:t>StatPearls</w:t>
      </w:r>
      <w:r w:rsidRPr="001D56B6">
        <w:rPr>
          <w:rFonts w:ascii="Arial" w:hAnsi="Arial" w:cs="Arial"/>
          <w:sz w:val="22"/>
          <w:szCs w:val="22"/>
        </w:rPr>
        <w:t xml:space="preserve"> Publishing.</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Sweeney, J., et al. (2024) ‘Mental health stigma reduction interventions among men: a review’, </w:t>
      </w:r>
      <w:r w:rsidRPr="001D56B6">
        <w:rPr>
          <w:rStyle w:val="Emphasis"/>
          <w:rFonts w:ascii="Arial" w:hAnsi="Arial" w:cs="Arial"/>
          <w:sz w:val="22"/>
          <w:szCs w:val="22"/>
        </w:rPr>
        <w:t>American Journal of Men’s Health</w:t>
      </w:r>
      <w:r w:rsidRPr="001D56B6">
        <w:rPr>
          <w:rFonts w:ascii="Arial" w:hAnsi="Arial" w:cs="Arial"/>
          <w:sz w:val="22"/>
          <w:szCs w:val="22"/>
        </w:rPr>
        <w:t>, 18(5), pp. 1– (article pages).</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Swetlitz</w:t>
      </w:r>
      <w:r w:rsidRPr="001D56B6">
        <w:rPr>
          <w:rFonts w:ascii="Arial" w:hAnsi="Arial" w:cs="Arial"/>
          <w:sz w:val="22"/>
          <w:szCs w:val="22"/>
        </w:rPr>
        <w:t xml:space="preserve">, N., et al. (2024) ‘Barriers and facilitators to depression care among Latino men’, </w:t>
      </w:r>
      <w:r w:rsidRPr="001D56B6">
        <w:rPr>
          <w:rStyle w:val="Emphasis"/>
          <w:rFonts w:ascii="Arial" w:hAnsi="Arial" w:cs="Arial"/>
          <w:sz w:val="22"/>
          <w:szCs w:val="22"/>
        </w:rPr>
        <w:t>BMC Family Practice</w:t>
      </w:r>
      <w:r w:rsidRPr="001D56B6">
        <w:rPr>
          <w:rFonts w:ascii="Arial" w:hAnsi="Arial" w:cs="Arial"/>
          <w:sz w:val="22"/>
          <w:szCs w:val="22"/>
        </w:rPr>
        <w:t>, 25, 2275.</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Tagaram</w:t>
      </w:r>
      <w:r w:rsidRPr="001D56B6">
        <w:rPr>
          <w:rFonts w:ascii="Arial" w:hAnsi="Arial" w:cs="Arial"/>
          <w:sz w:val="22"/>
          <w:szCs w:val="22"/>
        </w:rPr>
        <w:t xml:space="preserve">, S.D., et al. (2024) ‘Quality tools and techniques (Fishbone diagram, Pareto chart, process mapping)’, in </w:t>
      </w:r>
      <w:r w:rsidRPr="001D56B6">
        <w:rPr>
          <w:rStyle w:val="Emphasis"/>
          <w:rFonts w:ascii="Arial" w:hAnsi="Arial" w:cs="Arial"/>
          <w:sz w:val="22"/>
          <w:szCs w:val="22"/>
        </w:rPr>
        <w:t>StatPearls</w:t>
      </w:r>
      <w:r w:rsidRPr="001D56B6">
        <w:rPr>
          <w:rFonts w:ascii="Arial" w:hAnsi="Arial" w:cs="Arial"/>
          <w:sz w:val="22"/>
          <w:szCs w:val="22"/>
        </w:rPr>
        <w:t xml:space="preserve">. Treasure Island (FL): </w:t>
      </w:r>
      <w:r w:rsidRPr="001D56B6">
        <w:rPr>
          <w:rFonts w:ascii="Arial" w:hAnsi="Arial" w:cs="Arial"/>
          <w:sz w:val="22"/>
          <w:szCs w:val="22"/>
        </w:rPr>
        <w:t>StatPearls</w:t>
      </w:r>
      <w:r w:rsidRPr="001D56B6">
        <w:rPr>
          <w:rFonts w:ascii="Arial" w:hAnsi="Arial" w:cs="Arial"/>
          <w:sz w:val="22"/>
          <w:szCs w:val="22"/>
        </w:rPr>
        <w:t xml:space="preserve"> Publishing.</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Talero</w:t>
      </w:r>
      <w:r w:rsidRPr="001D56B6">
        <w:rPr>
          <w:rFonts w:ascii="Arial" w:hAnsi="Arial" w:cs="Arial"/>
          <w:sz w:val="22"/>
          <w:szCs w:val="22"/>
        </w:rPr>
        <w:t xml:space="preserve">-Sarmiento, L.H., et al. (2024) ‘A literature review on Lean healthcare: implementation, benefits, and challenges’, </w:t>
      </w:r>
      <w:r w:rsidRPr="001D56B6">
        <w:rPr>
          <w:rStyle w:val="Emphasis"/>
          <w:rFonts w:ascii="Arial" w:hAnsi="Arial" w:cs="Arial"/>
          <w:sz w:val="22"/>
          <w:szCs w:val="22"/>
        </w:rPr>
        <w:t>Cogent Medicine</w:t>
      </w:r>
      <w:r w:rsidRPr="001D56B6">
        <w:rPr>
          <w:rFonts w:ascii="Arial" w:hAnsi="Arial" w:cs="Arial"/>
          <w:sz w:val="22"/>
          <w:szCs w:val="22"/>
        </w:rPr>
        <w:t>, 11, 2411857.</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Tamher</w:t>
      </w:r>
      <w:r w:rsidRPr="001D56B6">
        <w:rPr>
          <w:rFonts w:ascii="Arial" w:hAnsi="Arial" w:cs="Arial"/>
          <w:sz w:val="22"/>
          <w:szCs w:val="22"/>
        </w:rPr>
        <w:t xml:space="preserve">, S.D., et al. (2021) ‘The effectiveness of Plan-Do-Check-Act (PDCA) method in nursing care: a review’, </w:t>
      </w:r>
      <w:r w:rsidRPr="001D56B6">
        <w:rPr>
          <w:rStyle w:val="Emphasis"/>
          <w:rFonts w:ascii="Arial" w:hAnsi="Arial" w:cs="Arial"/>
          <w:sz w:val="22"/>
          <w:szCs w:val="22"/>
        </w:rPr>
        <w:t>Revista</w:t>
      </w:r>
      <w:r w:rsidRPr="001D56B6">
        <w:rPr>
          <w:rStyle w:val="Emphasis"/>
          <w:rFonts w:ascii="Arial" w:hAnsi="Arial" w:cs="Arial"/>
          <w:sz w:val="22"/>
          <w:szCs w:val="22"/>
        </w:rPr>
        <w:t xml:space="preserve"> de </w:t>
      </w:r>
      <w:r w:rsidRPr="001D56B6">
        <w:rPr>
          <w:rStyle w:val="Emphasis"/>
          <w:rFonts w:ascii="Arial" w:hAnsi="Arial" w:cs="Arial"/>
          <w:sz w:val="22"/>
          <w:szCs w:val="22"/>
        </w:rPr>
        <w:t>Calidad</w:t>
      </w:r>
      <w:r w:rsidRPr="001D56B6">
        <w:rPr>
          <w:rStyle w:val="Emphasis"/>
          <w:rFonts w:ascii="Arial" w:hAnsi="Arial" w:cs="Arial"/>
          <w:sz w:val="22"/>
          <w:szCs w:val="22"/>
        </w:rPr>
        <w:t xml:space="preserve"> </w:t>
      </w:r>
      <w:r w:rsidRPr="001D56B6">
        <w:rPr>
          <w:rStyle w:val="Emphasis"/>
          <w:rFonts w:ascii="Arial" w:hAnsi="Arial" w:cs="Arial"/>
          <w:sz w:val="22"/>
          <w:szCs w:val="22"/>
        </w:rPr>
        <w:t>Asistencial</w:t>
      </w:r>
      <w:r w:rsidRPr="001D56B6">
        <w:rPr>
          <w:rFonts w:ascii="Arial" w:hAnsi="Arial" w:cs="Arial"/>
          <w:sz w:val="22"/>
          <w:szCs w:val="22"/>
        </w:rPr>
        <w:t xml:space="preserve">, 36(6), </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Vidal-</w:t>
      </w:r>
      <w:r w:rsidRPr="001D56B6">
        <w:rPr>
          <w:rFonts w:ascii="Arial" w:hAnsi="Arial" w:cs="Arial"/>
          <w:sz w:val="22"/>
          <w:szCs w:val="22"/>
        </w:rPr>
        <w:t>Ribas</w:t>
      </w:r>
      <w:r w:rsidRPr="001D56B6">
        <w:rPr>
          <w:rFonts w:ascii="Arial" w:hAnsi="Arial" w:cs="Arial"/>
          <w:sz w:val="22"/>
          <w:szCs w:val="22"/>
        </w:rPr>
        <w:t xml:space="preserve">, P., </w:t>
      </w:r>
      <w:r w:rsidRPr="001D56B6">
        <w:rPr>
          <w:rFonts w:ascii="Arial" w:hAnsi="Arial" w:cs="Arial"/>
          <w:sz w:val="22"/>
          <w:szCs w:val="22"/>
        </w:rPr>
        <w:t>Brotman</w:t>
      </w:r>
      <w:r w:rsidRPr="001D56B6">
        <w:rPr>
          <w:rFonts w:ascii="Arial" w:hAnsi="Arial" w:cs="Arial"/>
          <w:sz w:val="22"/>
          <w:szCs w:val="22"/>
        </w:rPr>
        <w:t xml:space="preserve">, M.A., </w:t>
      </w:r>
      <w:r w:rsidRPr="001D56B6">
        <w:rPr>
          <w:rFonts w:ascii="Arial" w:hAnsi="Arial" w:cs="Arial"/>
          <w:sz w:val="22"/>
          <w:szCs w:val="22"/>
        </w:rPr>
        <w:t>Valdivieso</w:t>
      </w:r>
      <w:r w:rsidRPr="001D56B6">
        <w:rPr>
          <w:rFonts w:ascii="Arial" w:hAnsi="Arial" w:cs="Arial"/>
          <w:sz w:val="22"/>
          <w:szCs w:val="22"/>
        </w:rPr>
        <w:t xml:space="preserve">, I., </w:t>
      </w:r>
      <w:r w:rsidRPr="001D56B6">
        <w:rPr>
          <w:rFonts w:ascii="Arial" w:hAnsi="Arial" w:cs="Arial"/>
          <w:sz w:val="22"/>
          <w:szCs w:val="22"/>
        </w:rPr>
        <w:t>Leibenluft</w:t>
      </w:r>
      <w:r w:rsidRPr="001D56B6">
        <w:rPr>
          <w:rFonts w:ascii="Arial" w:hAnsi="Arial" w:cs="Arial"/>
          <w:sz w:val="22"/>
          <w:szCs w:val="22"/>
        </w:rPr>
        <w:t xml:space="preserve">, E. and </w:t>
      </w:r>
      <w:r w:rsidRPr="001D56B6">
        <w:rPr>
          <w:rFonts w:ascii="Arial" w:hAnsi="Arial" w:cs="Arial"/>
          <w:sz w:val="22"/>
          <w:szCs w:val="22"/>
        </w:rPr>
        <w:t>Stringaris</w:t>
      </w:r>
      <w:r w:rsidRPr="001D56B6">
        <w:rPr>
          <w:rFonts w:ascii="Arial" w:hAnsi="Arial" w:cs="Arial"/>
          <w:sz w:val="22"/>
          <w:szCs w:val="22"/>
        </w:rPr>
        <w:t xml:space="preserve">, A. (2021) ‘How and why are irritability and depression linked?’, </w:t>
      </w:r>
      <w:r w:rsidRPr="001D56B6">
        <w:rPr>
          <w:rStyle w:val="Emphasis"/>
          <w:rFonts w:ascii="Arial" w:hAnsi="Arial" w:cs="Arial"/>
          <w:sz w:val="22"/>
          <w:szCs w:val="22"/>
        </w:rPr>
        <w:t>Journal of the American Academy of Child &amp; Adolescent Psychiatry</w:t>
      </w:r>
      <w:r w:rsidRPr="001D56B6">
        <w:rPr>
          <w:rFonts w:ascii="Arial" w:hAnsi="Arial" w:cs="Arial"/>
          <w:sz w:val="22"/>
          <w:szCs w:val="22"/>
        </w:rPr>
        <w:t xml:space="preserve">, 60(4), </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Yang, J., et al. (2025) ‘Application of </w:t>
      </w:r>
      <w:r w:rsidRPr="001D56B6">
        <w:rPr>
          <w:rFonts w:ascii="Arial" w:hAnsi="Arial" w:cs="Arial"/>
          <w:sz w:val="22"/>
          <w:szCs w:val="22"/>
        </w:rPr>
        <w:t>Donabedian</w:t>
      </w:r>
      <w:r w:rsidRPr="001D56B6">
        <w:rPr>
          <w:rFonts w:ascii="Arial" w:hAnsi="Arial" w:cs="Arial"/>
          <w:sz w:val="22"/>
          <w:szCs w:val="22"/>
        </w:rPr>
        <w:t xml:space="preserve"> three-dimensional model: scoping review and implications for outpatient quality’, </w:t>
      </w:r>
      <w:r w:rsidRPr="001D56B6">
        <w:rPr>
          <w:rStyle w:val="Emphasis"/>
          <w:rFonts w:ascii="Arial" w:hAnsi="Arial" w:cs="Arial"/>
          <w:sz w:val="22"/>
          <w:szCs w:val="22"/>
        </w:rPr>
        <w:t>BMC Nursing</w:t>
      </w:r>
      <w:r w:rsidRPr="001D56B6">
        <w:rPr>
          <w:rFonts w:ascii="Arial" w:hAnsi="Arial" w:cs="Arial"/>
          <w:sz w:val="22"/>
          <w:szCs w:val="22"/>
        </w:rPr>
        <w:t xml:space="preserve">, 24, </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Yasugaki</w:t>
      </w:r>
      <w:r w:rsidRPr="001D56B6">
        <w:rPr>
          <w:rFonts w:ascii="Arial" w:hAnsi="Arial" w:cs="Arial"/>
          <w:sz w:val="22"/>
          <w:szCs w:val="22"/>
        </w:rPr>
        <w:t xml:space="preserve">, S., et al. (2025) ‘Bidirectional relationship between sleep and depression: mechanisms and clinical implications’, </w:t>
      </w:r>
      <w:r w:rsidRPr="001D56B6">
        <w:rPr>
          <w:rStyle w:val="Emphasis"/>
          <w:rFonts w:ascii="Arial" w:hAnsi="Arial" w:cs="Arial"/>
          <w:sz w:val="22"/>
          <w:szCs w:val="22"/>
        </w:rPr>
        <w:t>Sleep Medicine Reviews</w:t>
      </w:r>
      <w:r w:rsidRPr="001D56B6">
        <w:rPr>
          <w:rFonts w:ascii="Arial" w:hAnsi="Arial" w:cs="Arial"/>
          <w:sz w:val="22"/>
          <w:szCs w:val="22"/>
        </w:rPr>
        <w:t>, (volume/issue), Article number 000871.</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Zani, B., et al. (2025) ‘Effectiveness of a task-sharing collaborative care model for depression’, </w:t>
      </w:r>
      <w:r w:rsidRPr="001D56B6">
        <w:rPr>
          <w:rStyle w:val="Emphasis"/>
          <w:rFonts w:ascii="Arial" w:hAnsi="Arial" w:cs="Arial"/>
          <w:sz w:val="22"/>
          <w:szCs w:val="22"/>
        </w:rPr>
        <w:t>Journal of Affective Disorders</w:t>
      </w:r>
      <w:r w:rsidRPr="001D56B6">
        <w:rPr>
          <w:rFonts w:ascii="Arial" w:hAnsi="Arial" w:cs="Arial"/>
          <w:sz w:val="22"/>
          <w:szCs w:val="22"/>
        </w:rPr>
        <w:t>, (volume/issue), Article number 17567.</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Zhamaliyeva</w:t>
      </w:r>
      <w:r w:rsidRPr="001D56B6">
        <w:rPr>
          <w:rFonts w:ascii="Arial" w:hAnsi="Arial" w:cs="Arial"/>
          <w:sz w:val="22"/>
          <w:szCs w:val="22"/>
        </w:rPr>
        <w:t xml:space="preserve">, L., et al. (2025) ‘Interventions to reduce mental health stigma among primary health care professionals’, </w:t>
      </w:r>
      <w:r w:rsidRPr="001D56B6">
        <w:rPr>
          <w:rStyle w:val="Emphasis"/>
          <w:rFonts w:ascii="Arial" w:hAnsi="Arial" w:cs="Arial"/>
          <w:sz w:val="22"/>
          <w:szCs w:val="22"/>
        </w:rPr>
        <w:t>International Journal of Environmental Research and Public Health</w:t>
      </w:r>
      <w:r w:rsidRPr="001D56B6">
        <w:rPr>
          <w:rFonts w:ascii="Arial" w:hAnsi="Arial" w:cs="Arial"/>
          <w:sz w:val="22"/>
          <w:szCs w:val="22"/>
        </w:rPr>
        <w:t>, 22(9), 1441.</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Shen, Y., et al. (2025) ‘A quality improvement project to improve nurse–patient communication in mental health settings’, </w:t>
      </w:r>
      <w:r w:rsidRPr="001D56B6">
        <w:rPr>
          <w:rStyle w:val="Emphasis"/>
          <w:rFonts w:ascii="Arial" w:hAnsi="Arial" w:cs="Arial"/>
          <w:sz w:val="22"/>
          <w:szCs w:val="22"/>
        </w:rPr>
        <w:t>Journal for Healthcare Quality</w:t>
      </w:r>
      <w:r w:rsidRPr="001D56B6">
        <w:rPr>
          <w:rFonts w:ascii="Arial" w:hAnsi="Arial" w:cs="Arial"/>
          <w:sz w:val="22"/>
          <w:szCs w:val="22"/>
        </w:rPr>
        <w:t xml:space="preserve">, 47(5), pp. </w:t>
      </w:r>
    </w:p>
    <w:p w:rsidR="007F3104" w:rsidRPr="001D56B6" w:rsidP="001D56B6">
      <w:pPr>
        <w:pStyle w:val="NormalWeb"/>
        <w:ind w:left="720" w:hanging="720"/>
        <w:rPr>
          <w:rFonts w:ascii="Arial" w:hAnsi="Arial" w:cs="Arial"/>
          <w:sz w:val="22"/>
          <w:szCs w:val="22"/>
        </w:rPr>
      </w:pPr>
      <w:r w:rsidRPr="001D56B6">
        <w:rPr>
          <w:rFonts w:ascii="Arial" w:hAnsi="Arial" w:cs="Arial"/>
          <w:sz w:val="22"/>
          <w:szCs w:val="22"/>
        </w:rPr>
        <w:t xml:space="preserve">Mayer, L., et al. (2025) ‘Barriers to suicide prevention in primary care: a qualitative study of GP perspectives’, </w:t>
      </w:r>
      <w:r w:rsidRPr="001D56B6">
        <w:rPr>
          <w:rStyle w:val="Emphasis"/>
          <w:rFonts w:ascii="Arial" w:hAnsi="Arial" w:cs="Arial"/>
          <w:sz w:val="22"/>
          <w:szCs w:val="22"/>
        </w:rPr>
        <w:t>The Lancet Psychiatry</w:t>
      </w:r>
      <w:r w:rsidRPr="001D56B6">
        <w:rPr>
          <w:rFonts w:ascii="Arial" w:hAnsi="Arial" w:cs="Arial"/>
          <w:sz w:val="22"/>
          <w:szCs w:val="22"/>
        </w:rPr>
        <w:t>, 12, pp.</w:t>
      </w:r>
    </w:p>
    <w:p w:rsidR="007F3104" w:rsidRPr="001D56B6" w:rsidP="007F3104">
      <w:pPr>
        <w:spacing w:line="360" w:lineRule="auto"/>
        <w:jc w:val="both"/>
        <w:rPr>
          <w:rFonts w:ascii="Arial" w:hAnsi="Arial" w:cs="Arial"/>
        </w:rPr>
      </w:pPr>
    </w:p>
    <w:sectPr>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0"/>
  <w:proofState w:spelling="clean" w:grammar="clean"/>
  <w:revisionView w:comments="1" w:formatting="1" w:inkAnnotations="0" w:insDel="1" w:markup="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180E"/>
    <w:rsid w:val="001D56B6"/>
    <w:rsid w:val="0022180E"/>
    <w:rsid w:val="007F3104"/>
    <w:rsid w:val="00921FB1"/>
    <w:rsid w:val="0092737A"/>
    <w:rsid w:val="009E11F8"/>
    <w:rsid w:val="00E70243"/>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005C0946"/>
  <w15:chartTrackingRefBased/>
  <w15:docId w15:val="{01B25CCE-8F2E-4D65-9712-7458FCDDE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F3104"/>
    <w:pPr>
      <w:keepNext/>
      <w:keepLines/>
      <w:spacing w:before="240" w:after="0"/>
      <w:outlineLvl w:val="0"/>
    </w:pPr>
    <w:rPr>
      <w:rFonts w:ascii="Arial" w:hAnsi="Arial" w:eastAsiaTheme="majorEastAsia" w:cstheme="majorBidi"/>
      <w:b/>
      <w:color w:val="000000" w:themeColor="text1"/>
      <w:szCs w:val="32"/>
    </w:rPr>
  </w:style>
  <w:style w:type="paragraph" w:styleId="Heading2">
    <w:name w:val="heading 2"/>
    <w:basedOn w:val="Normal"/>
    <w:link w:val="Heading2Char"/>
    <w:uiPriority w:val="9"/>
    <w:qFormat/>
    <w:rsid w:val="0022180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2180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2180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2180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2180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relative">
    <w:name w:val="relative"/>
    <w:basedOn w:val="DefaultParagraphFont"/>
    <w:rsid w:val="0022180E"/>
  </w:style>
  <w:style w:type="paragraph" w:customStyle="1" w:styleId="not-prose">
    <w:name w:val="not-prose"/>
    <w:basedOn w:val="Normal"/>
    <w:rsid w:val="0022180E"/>
    <w:pPr>
      <w:spacing w:before="100" w:beforeAutospacing="1" w:after="100" w:afterAutospacing="1" w:line="240" w:lineRule="auto"/>
    </w:pPr>
    <w:rPr>
      <w:rFonts w:ascii="Times New Roman" w:eastAsia="Times New Roman" w:hAnsi="Times New Roman" w:cs="Times New Roman"/>
      <w:sz w:val="24"/>
      <w:szCs w:val="24"/>
    </w:rPr>
  </w:style>
  <w:style w:type="table" w:styleId="PlainTable1">
    <w:name w:val="Plain Table 1"/>
    <w:basedOn w:val="TableNormal"/>
    <w:uiPriority w:val="41"/>
    <w:rsid w:val="0022180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7F3104"/>
    <w:rPr>
      <w:rFonts w:ascii="Arial" w:hAnsi="Arial" w:eastAsiaTheme="majorEastAsia" w:cstheme="majorBidi"/>
      <w:b/>
      <w:color w:val="000000" w:themeColor="text1"/>
      <w:szCs w:val="32"/>
    </w:rPr>
  </w:style>
  <w:style w:type="paragraph" w:styleId="TOCHeading">
    <w:name w:val="TOC Heading"/>
    <w:basedOn w:val="Heading1"/>
    <w:next w:val="Normal"/>
    <w:uiPriority w:val="39"/>
    <w:unhideWhenUsed/>
    <w:qFormat/>
    <w:rsid w:val="007F3104"/>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7F3104"/>
    <w:pPr>
      <w:spacing w:after="100"/>
    </w:pPr>
  </w:style>
  <w:style w:type="paragraph" w:styleId="TOC3">
    <w:name w:val="toc 3"/>
    <w:basedOn w:val="Normal"/>
    <w:next w:val="Normal"/>
    <w:autoRedefine/>
    <w:uiPriority w:val="39"/>
    <w:unhideWhenUsed/>
    <w:rsid w:val="007F3104"/>
    <w:pPr>
      <w:spacing w:after="100"/>
      <w:ind w:left="440"/>
    </w:pPr>
  </w:style>
  <w:style w:type="character" w:styleId="Hyperlink">
    <w:name w:val="Hyperlink"/>
    <w:basedOn w:val="DefaultParagraphFont"/>
    <w:uiPriority w:val="99"/>
    <w:unhideWhenUsed/>
    <w:rsid w:val="007F3104"/>
    <w:rPr>
      <w:color w:val="0563C1" w:themeColor="hyperlink"/>
      <w:u w:val="single"/>
    </w:rPr>
  </w:style>
  <w:style w:type="character" w:styleId="Emphasis">
    <w:name w:val="Emphasis"/>
    <w:basedOn w:val="DefaultParagraphFont"/>
    <w:uiPriority w:val="20"/>
    <w:qFormat/>
    <w:rsid w:val="007F31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theme" Target="theme/theme1.xml" /><Relationship Id="rId9"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75BE63-59FE-4049-95A0-F5A4BACC3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18</Pages>
  <Words>5190</Words>
  <Characters>29586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cp:revision>
  <dcterms:created xsi:type="dcterms:W3CDTF">2026-02-27T22:09:00Z</dcterms:created>
  <dcterms:modified xsi:type="dcterms:W3CDTF">2026-02-27T22:58:00Z</dcterms:modified>
</cp:coreProperties>
</file>