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0D95" w:rsidRDefault="007B0D95" w:rsidP="00585DB3">
      <w:pPr>
        <w:spacing w:line="360" w:lineRule="auto"/>
        <w:jc w:val="both"/>
        <w:rPr>
          <w:rFonts w:cstheme="minorHAnsi"/>
        </w:rPr>
      </w:pPr>
      <w:bookmarkStart w:id="0" w:name="_Hlk528661142"/>
      <w:bookmarkStart w:id="1" w:name="_Hlk528661108"/>
      <w:r>
        <w:rPr>
          <w:rFonts w:cstheme="minorHAnsi"/>
        </w:rPr>
        <w:t xml:space="preserve">The below is intended as an entry </w:t>
      </w:r>
      <w:r w:rsidR="00D22A01">
        <w:rPr>
          <w:rFonts w:cstheme="minorHAnsi"/>
        </w:rPr>
        <w:t>within</w:t>
      </w:r>
      <w:r>
        <w:rPr>
          <w:rFonts w:cstheme="minorHAnsi"/>
        </w:rPr>
        <w:t xml:space="preserve"> a multi-volume subject specific </w:t>
      </w:r>
      <w:r w:rsidR="00D22A01">
        <w:rPr>
          <w:rFonts w:cstheme="minorHAnsi"/>
        </w:rPr>
        <w:t>encyclopaedia demonstrating the link between Ali ibn Abi Talib and the Islamic schism between Sunnites and Shi’is.</w:t>
      </w:r>
      <w:r>
        <w:rPr>
          <w:rFonts w:cstheme="minorHAnsi"/>
        </w:rPr>
        <w:t xml:space="preserve"> </w:t>
      </w:r>
    </w:p>
    <w:p w:rsidR="007B0D95" w:rsidRDefault="007B0D95" w:rsidP="00585DB3">
      <w:pPr>
        <w:spacing w:line="360" w:lineRule="auto"/>
        <w:jc w:val="both"/>
        <w:rPr>
          <w:rFonts w:cstheme="minorHAnsi"/>
        </w:rPr>
      </w:pPr>
    </w:p>
    <w:p w:rsidR="00585DB3" w:rsidRPr="00512AE5" w:rsidRDefault="00585DB3" w:rsidP="00585DB3">
      <w:pPr>
        <w:spacing w:line="360" w:lineRule="auto"/>
        <w:jc w:val="both"/>
        <w:rPr>
          <w:rFonts w:cstheme="minorHAnsi"/>
        </w:rPr>
      </w:pPr>
      <w:r w:rsidRPr="00512AE5">
        <w:rPr>
          <w:rFonts w:cstheme="minorHAnsi"/>
        </w:rPr>
        <w:t>Ali ibn Abi Talib (c. 597-661)</w:t>
      </w:r>
      <w:bookmarkStart w:id="2" w:name="_GoBack"/>
      <w:bookmarkEnd w:id="2"/>
    </w:p>
    <w:p w:rsidR="00585DB3" w:rsidRPr="00512AE5" w:rsidRDefault="00585DB3" w:rsidP="00585DB3">
      <w:pPr>
        <w:spacing w:line="360" w:lineRule="auto"/>
        <w:jc w:val="both"/>
        <w:rPr>
          <w:rFonts w:cstheme="minorHAnsi"/>
        </w:rPr>
      </w:pPr>
      <w:r w:rsidRPr="00512AE5">
        <w:rPr>
          <w:rFonts w:cstheme="minorHAnsi"/>
        </w:rPr>
        <w:t>Ali ibn Abi Talib was</w:t>
      </w:r>
      <w:r w:rsidR="005431A7">
        <w:rPr>
          <w:rFonts w:cstheme="minorHAnsi"/>
        </w:rPr>
        <w:t xml:space="preserve"> a</w:t>
      </w:r>
      <w:r w:rsidRPr="00512AE5">
        <w:rPr>
          <w:rFonts w:cstheme="minorHAnsi"/>
        </w:rPr>
        <w:t xml:space="preserve"> first cousin and son-in-law of </w:t>
      </w:r>
      <w:r w:rsidRPr="00512AE5">
        <w:rPr>
          <w:rFonts w:cstheme="minorHAnsi"/>
          <w:color w:val="000000"/>
          <w:shd w:val="clear" w:color="auto" w:fill="FFFFFF"/>
        </w:rPr>
        <w:t>Prophet Muhammad ibn Abd Allah (c. 570–632)</w:t>
      </w:r>
      <w:r>
        <w:rPr>
          <w:rFonts w:cstheme="minorHAnsi"/>
          <w:color w:val="000000"/>
          <w:shd w:val="clear" w:color="auto" w:fill="FFFFFF"/>
        </w:rPr>
        <w:t xml:space="preserve"> </w:t>
      </w:r>
      <w:r>
        <w:rPr>
          <w:rStyle w:val="FootnoteReference"/>
          <w:rFonts w:cstheme="minorHAnsi"/>
          <w:color w:val="000000"/>
          <w:shd w:val="clear" w:color="auto" w:fill="FFFFFF"/>
        </w:rPr>
        <w:footnoteReference w:id="1"/>
      </w:r>
      <w:r>
        <w:rPr>
          <w:rFonts w:cstheme="minorHAnsi"/>
          <w:color w:val="000000"/>
          <w:shd w:val="clear" w:color="auto" w:fill="FFFFFF"/>
        </w:rPr>
        <w:t xml:space="preserve">. </w:t>
      </w:r>
      <w:r w:rsidRPr="00512AE5">
        <w:rPr>
          <w:rFonts w:cstheme="minorHAnsi"/>
          <w:color w:val="000000"/>
          <w:shd w:val="clear" w:color="auto" w:fill="FFFFFF"/>
        </w:rPr>
        <w:t>He was</w:t>
      </w:r>
      <w:r w:rsidRPr="00512AE5">
        <w:rPr>
          <w:rFonts w:cstheme="minorHAnsi"/>
        </w:rPr>
        <w:t xml:space="preserve"> married to Prophet Muhammad’s daughter Fatima </w:t>
      </w:r>
      <w:r>
        <w:rPr>
          <w:rFonts w:cstheme="minorHAnsi"/>
        </w:rPr>
        <w:t>in the second year of hiraj. Fatima was aged fifteen years and Ali, twenty-one</w:t>
      </w:r>
      <w:r>
        <w:rPr>
          <w:rStyle w:val="FootnoteReference"/>
          <w:rFonts w:cstheme="minorHAnsi"/>
        </w:rPr>
        <w:footnoteReference w:id="2"/>
      </w:r>
      <w:r>
        <w:rPr>
          <w:rFonts w:cstheme="minorHAnsi"/>
        </w:rPr>
        <w:t xml:space="preserve">. Fatima </w:t>
      </w:r>
      <w:r w:rsidRPr="00512AE5">
        <w:rPr>
          <w:rFonts w:cstheme="minorHAnsi"/>
        </w:rPr>
        <w:t>was also known as ‘az-Zahra’</w:t>
      </w:r>
      <w:r w:rsidR="005431A7">
        <w:rPr>
          <w:rFonts w:cstheme="minorHAnsi"/>
        </w:rPr>
        <w:t>,</w:t>
      </w:r>
      <w:r w:rsidRPr="00512AE5">
        <w:rPr>
          <w:rFonts w:cstheme="minorHAnsi"/>
        </w:rPr>
        <w:t xml:space="preserve"> meaning the luminous and the radiant</w:t>
      </w:r>
      <w:r>
        <w:rPr>
          <w:rStyle w:val="FootnoteReference"/>
          <w:rFonts w:cstheme="minorHAnsi"/>
        </w:rPr>
        <w:footnoteReference w:id="3"/>
      </w:r>
      <w:r w:rsidRPr="00512AE5">
        <w:rPr>
          <w:rFonts w:cstheme="minorHAnsi"/>
        </w:rPr>
        <w:t>.  Fatima held a special status as the daughter of the Prophet, wife of the first imam Ali ibn Abi Talib</w:t>
      </w:r>
      <w:r>
        <w:rPr>
          <w:rFonts w:cstheme="minorHAnsi"/>
        </w:rPr>
        <w:t>,</w:t>
      </w:r>
      <w:r w:rsidRPr="00512AE5">
        <w:rPr>
          <w:rFonts w:cstheme="minorHAnsi"/>
        </w:rPr>
        <w:t xml:space="preserve"> and mother of the Prophet’s bloodline</w:t>
      </w:r>
      <w:r w:rsidR="00CC2623">
        <w:rPr>
          <w:rFonts w:cstheme="minorHAnsi"/>
        </w:rPr>
        <w:t xml:space="preserve">. This later led </w:t>
      </w:r>
      <w:r>
        <w:rPr>
          <w:rFonts w:cstheme="minorHAnsi"/>
        </w:rPr>
        <w:t>some</w:t>
      </w:r>
      <w:r w:rsidR="00CC2623">
        <w:rPr>
          <w:rFonts w:cstheme="minorHAnsi"/>
        </w:rPr>
        <w:t xml:space="preserve"> to equate Ali </w:t>
      </w:r>
      <w:r w:rsidRPr="00512AE5">
        <w:rPr>
          <w:rFonts w:cstheme="minorHAnsi"/>
        </w:rPr>
        <w:t>as the legitimate heir to the Prophet</w:t>
      </w:r>
      <w:r>
        <w:rPr>
          <w:rStyle w:val="FootnoteReference"/>
          <w:rFonts w:cstheme="minorHAnsi"/>
        </w:rPr>
        <w:footnoteReference w:id="4"/>
      </w:r>
      <w:r w:rsidRPr="00512AE5">
        <w:rPr>
          <w:rFonts w:cstheme="minorHAnsi"/>
        </w:rPr>
        <w:t>. There are many Shi</w:t>
      </w:r>
      <w:r>
        <w:rPr>
          <w:rFonts w:cstheme="minorHAnsi"/>
        </w:rPr>
        <w:t>’i</w:t>
      </w:r>
      <w:r w:rsidRPr="00512AE5">
        <w:rPr>
          <w:rFonts w:cstheme="minorHAnsi"/>
        </w:rPr>
        <w:t xml:space="preserve"> traditions recording the special relationship between the Prophet and Fatmia</w:t>
      </w:r>
      <w:r>
        <w:rPr>
          <w:rStyle w:val="FootnoteReference"/>
          <w:rFonts w:cstheme="minorHAnsi"/>
        </w:rPr>
        <w:footnoteReference w:id="5"/>
      </w:r>
      <w:r>
        <w:rPr>
          <w:rFonts w:cstheme="minorHAnsi"/>
        </w:rPr>
        <w:t xml:space="preserve">, </w:t>
      </w:r>
      <w:r w:rsidRPr="00512AE5">
        <w:rPr>
          <w:rFonts w:cstheme="minorHAnsi"/>
        </w:rPr>
        <w:t>being held as one protected from sin (ma’sumah)</w:t>
      </w:r>
      <w:r>
        <w:rPr>
          <w:rStyle w:val="FootnoteReference"/>
          <w:rFonts w:cstheme="minorHAnsi"/>
        </w:rPr>
        <w:footnoteReference w:id="6"/>
      </w:r>
      <w:r w:rsidRPr="00512AE5">
        <w:rPr>
          <w:rFonts w:cstheme="minorHAnsi"/>
        </w:rPr>
        <w:t>.  Ali and Fatima had two sons and two daughters</w:t>
      </w:r>
      <w:r>
        <w:rPr>
          <w:rStyle w:val="FootnoteReference"/>
          <w:rFonts w:cstheme="minorHAnsi"/>
        </w:rPr>
        <w:footnoteReference w:id="7"/>
      </w:r>
      <w:r w:rsidRPr="00512AE5">
        <w:rPr>
          <w:rFonts w:cstheme="minorHAnsi"/>
        </w:rPr>
        <w:t>; sons Hassan and Hussein were accepted as martyrs in Shi’i Islam following their deaths</w:t>
      </w:r>
      <w:r>
        <w:rPr>
          <w:rStyle w:val="FootnoteReference"/>
          <w:rFonts w:cstheme="minorHAnsi"/>
        </w:rPr>
        <w:footnoteReference w:id="8"/>
      </w:r>
      <w:r w:rsidRPr="00512AE5">
        <w:rPr>
          <w:rFonts w:cstheme="minorHAnsi"/>
        </w:rPr>
        <w:t xml:space="preserve">. </w:t>
      </w:r>
    </w:p>
    <w:p w:rsidR="00585DB3" w:rsidRPr="00512AE5" w:rsidRDefault="00585DB3" w:rsidP="00585DB3">
      <w:pPr>
        <w:spacing w:line="360" w:lineRule="auto"/>
        <w:jc w:val="both"/>
        <w:rPr>
          <w:rFonts w:cstheme="minorHAnsi"/>
        </w:rPr>
      </w:pPr>
      <w:r w:rsidRPr="00512AE5">
        <w:rPr>
          <w:rFonts w:cstheme="minorHAnsi"/>
        </w:rPr>
        <w:t xml:space="preserve">Ali was the first male convert to Islam and </w:t>
      </w:r>
      <w:r>
        <w:rPr>
          <w:rFonts w:cstheme="minorHAnsi"/>
        </w:rPr>
        <w:t xml:space="preserve">he </w:t>
      </w:r>
      <w:r w:rsidRPr="00512AE5">
        <w:rPr>
          <w:rFonts w:cstheme="minorHAnsi"/>
        </w:rPr>
        <w:t xml:space="preserve">is believed to be one of Islam’s greatest convertors of others to the faith. The traditional belief is that he was ten years old when he converted to Islam and was raised within </w:t>
      </w:r>
      <w:r>
        <w:rPr>
          <w:rFonts w:cstheme="minorHAnsi"/>
        </w:rPr>
        <w:t xml:space="preserve">Prophet </w:t>
      </w:r>
      <w:r w:rsidRPr="00512AE5">
        <w:rPr>
          <w:rFonts w:cstheme="minorHAnsi"/>
        </w:rPr>
        <w:t xml:space="preserve">Muhammad’s household as evidenced in the eight-century account Sira by Ibn Ishaq. Some of the earliest Arabic beliefs depict Ali as being sent by the Prophet Muhammad to </w:t>
      </w:r>
      <w:r w:rsidRPr="00512AE5">
        <w:rPr>
          <w:rFonts w:cstheme="minorHAnsi"/>
        </w:rPr>
        <w:lastRenderedPageBreak/>
        <w:t>Bedouin tribes to teach them the new religion of Islam around 630 C.E.</w:t>
      </w:r>
      <w:r>
        <w:rPr>
          <w:rStyle w:val="FootnoteReference"/>
          <w:rFonts w:cstheme="minorHAnsi"/>
        </w:rPr>
        <w:footnoteReference w:id="9"/>
      </w:r>
      <w:r w:rsidRPr="00512AE5">
        <w:rPr>
          <w:rFonts w:cstheme="minorHAnsi"/>
        </w:rPr>
        <w:t xml:space="preserve">. </w:t>
      </w:r>
      <w:r w:rsidR="00A90703">
        <w:rPr>
          <w:rFonts w:cstheme="minorHAnsi"/>
        </w:rPr>
        <w:t>Ali was therefore</w:t>
      </w:r>
      <w:r w:rsidR="00A172F6">
        <w:rPr>
          <w:rFonts w:cstheme="minorHAnsi"/>
        </w:rPr>
        <w:t xml:space="preserve"> a key promulgator of the work began by Prophet Muhammad.</w:t>
      </w:r>
    </w:p>
    <w:p w:rsidR="00585DB3" w:rsidRDefault="00585DB3" w:rsidP="00585DB3">
      <w:pPr>
        <w:spacing w:line="360" w:lineRule="auto"/>
        <w:jc w:val="both"/>
        <w:rPr>
          <w:rFonts w:cstheme="minorHAnsi"/>
        </w:rPr>
      </w:pPr>
      <w:r w:rsidRPr="00512AE5">
        <w:rPr>
          <w:rFonts w:cstheme="minorHAnsi"/>
        </w:rPr>
        <w:t>Ali is significantly importan</w:t>
      </w:r>
      <w:r w:rsidR="000E1254">
        <w:rPr>
          <w:rFonts w:cstheme="minorHAnsi"/>
        </w:rPr>
        <w:t>t</w:t>
      </w:r>
      <w:r w:rsidRPr="00512AE5">
        <w:rPr>
          <w:rFonts w:cstheme="minorHAnsi"/>
        </w:rPr>
        <w:t xml:space="preserve"> to the Shi</w:t>
      </w:r>
      <w:r>
        <w:rPr>
          <w:rFonts w:cstheme="minorHAnsi"/>
        </w:rPr>
        <w:t>’i</w:t>
      </w:r>
      <w:r w:rsidRPr="00512AE5">
        <w:rPr>
          <w:rFonts w:cstheme="minorHAnsi"/>
        </w:rPr>
        <w:t xml:space="preserve"> tradition; a Sufi tradition attributes the saying ‘I look at nothing without seeing God within it’ and he and his family are commemorated through practices </w:t>
      </w:r>
      <w:bookmarkEnd w:id="0"/>
      <w:r w:rsidRPr="00512AE5">
        <w:rPr>
          <w:rFonts w:cstheme="minorHAnsi"/>
        </w:rPr>
        <w:t>such as his son Hussein’s martyrdom</w:t>
      </w:r>
      <w:r>
        <w:rPr>
          <w:rStyle w:val="FootnoteReference"/>
          <w:rFonts w:cstheme="minorHAnsi"/>
        </w:rPr>
        <w:footnoteReference w:id="10"/>
      </w:r>
      <w:r>
        <w:rPr>
          <w:rFonts w:cstheme="minorHAnsi"/>
        </w:rPr>
        <w:t xml:space="preserve">. </w:t>
      </w:r>
      <w:r w:rsidRPr="00512AE5">
        <w:rPr>
          <w:rFonts w:cstheme="minorHAnsi"/>
        </w:rPr>
        <w:t>This narrative is supportive of the Shi’i position and belief in Ali</w:t>
      </w:r>
      <w:r>
        <w:rPr>
          <w:rFonts w:cstheme="minorHAnsi"/>
        </w:rPr>
        <w:t xml:space="preserve"> ibn Abi Talib</w:t>
      </w:r>
      <w:r w:rsidRPr="00512AE5">
        <w:rPr>
          <w:rFonts w:cstheme="minorHAnsi"/>
        </w:rPr>
        <w:t xml:space="preserve"> as the rightful heir to Muhammad. The opponents of Ali often express Shi’ism as a heretic</w:t>
      </w:r>
      <w:r>
        <w:rPr>
          <w:rFonts w:cstheme="minorHAnsi"/>
        </w:rPr>
        <w:t>al</w:t>
      </w:r>
      <w:r w:rsidRPr="00512AE5">
        <w:rPr>
          <w:rFonts w:cstheme="minorHAnsi"/>
        </w:rPr>
        <w:t xml:space="preserve"> interpretation of Islam</w:t>
      </w:r>
      <w:r>
        <w:rPr>
          <w:rStyle w:val="FootnoteReference"/>
          <w:rFonts w:cstheme="minorHAnsi"/>
        </w:rPr>
        <w:footnoteReference w:id="11"/>
      </w:r>
      <w:r w:rsidRPr="00512AE5">
        <w:rPr>
          <w:rFonts w:cstheme="minorHAnsi"/>
        </w:rPr>
        <w:t>.</w:t>
      </w:r>
    </w:p>
    <w:p w:rsidR="00585DB3" w:rsidRPr="0044053A" w:rsidRDefault="00585DB3" w:rsidP="00585DB3">
      <w:pPr>
        <w:spacing w:line="360" w:lineRule="auto"/>
        <w:jc w:val="both"/>
        <w:rPr>
          <w:rFonts w:cstheme="minorHAnsi"/>
        </w:rPr>
      </w:pPr>
      <w:r w:rsidRPr="00512AE5">
        <w:rPr>
          <w:rFonts w:cstheme="minorHAnsi"/>
        </w:rPr>
        <w:t>The succession of Prophet Muhammad was difficult because at the time of his death in 632 C.E.</w:t>
      </w:r>
      <w:r>
        <w:rPr>
          <w:rFonts w:cstheme="minorHAnsi"/>
          <w:i/>
        </w:rPr>
        <w:t xml:space="preserve"> </w:t>
      </w:r>
      <w:r w:rsidRPr="00512AE5">
        <w:rPr>
          <w:rFonts w:cstheme="minorHAnsi"/>
        </w:rPr>
        <w:t>he did not have a male heir. His three sons born to wives Kadija and Maria had died before him</w:t>
      </w:r>
      <w:r>
        <w:rPr>
          <w:rStyle w:val="FootnoteReference"/>
          <w:rFonts w:cstheme="minorHAnsi"/>
        </w:rPr>
        <w:footnoteReference w:id="12"/>
      </w:r>
      <w:r>
        <w:rPr>
          <w:rFonts w:cstheme="minorHAnsi"/>
        </w:rPr>
        <w:t>.</w:t>
      </w:r>
      <w:r w:rsidRPr="00512AE5">
        <w:rPr>
          <w:rFonts w:cstheme="minorHAnsi"/>
        </w:rPr>
        <w:t xml:space="preserve"> Within the Prophet’s close circle, there were four men of prominence. Ali ibn Ab</w:t>
      </w:r>
      <w:r>
        <w:rPr>
          <w:rFonts w:cstheme="minorHAnsi"/>
        </w:rPr>
        <w:t>i</w:t>
      </w:r>
      <w:r w:rsidRPr="00512AE5">
        <w:rPr>
          <w:rFonts w:cstheme="minorHAnsi"/>
        </w:rPr>
        <w:t xml:space="preserve"> Talib, Uthman ibn Affan, scion of the Umayyad clan, </w:t>
      </w:r>
      <w:r w:rsidR="00C32D7A">
        <w:rPr>
          <w:rFonts w:cstheme="minorHAnsi"/>
        </w:rPr>
        <w:t>who</w:t>
      </w:r>
      <w:r w:rsidRPr="00512AE5">
        <w:rPr>
          <w:rFonts w:cstheme="minorHAnsi"/>
        </w:rPr>
        <w:t xml:space="preserve"> like Ali</w:t>
      </w:r>
      <w:r w:rsidR="00E742F6">
        <w:rPr>
          <w:rFonts w:cstheme="minorHAnsi"/>
        </w:rPr>
        <w:t>,</w:t>
      </w:r>
      <w:r w:rsidRPr="00512AE5">
        <w:rPr>
          <w:rFonts w:cstheme="minorHAnsi"/>
        </w:rPr>
        <w:t xml:space="preserve"> had married one of the Prophet’s daughters</w:t>
      </w:r>
      <w:r>
        <w:rPr>
          <w:rFonts w:cstheme="minorHAnsi"/>
        </w:rPr>
        <w:t xml:space="preserve">. The other two </w:t>
      </w:r>
      <w:r w:rsidR="00C32D7A">
        <w:rPr>
          <w:rFonts w:cstheme="minorHAnsi"/>
        </w:rPr>
        <w:t xml:space="preserve">significant men </w:t>
      </w:r>
      <w:r>
        <w:rPr>
          <w:rFonts w:cstheme="minorHAnsi"/>
        </w:rPr>
        <w:t>were</w:t>
      </w:r>
      <w:r w:rsidRPr="00512AE5">
        <w:rPr>
          <w:rFonts w:cstheme="minorHAnsi"/>
        </w:rPr>
        <w:t xml:space="preserve"> Umar ibn al-khattab and Abu Bakr al-Siddiq, both </w:t>
      </w:r>
      <w:r>
        <w:rPr>
          <w:rFonts w:cstheme="minorHAnsi"/>
        </w:rPr>
        <w:t>from</w:t>
      </w:r>
      <w:r w:rsidRPr="00512AE5">
        <w:rPr>
          <w:rFonts w:cstheme="minorHAnsi"/>
        </w:rPr>
        <w:t xml:space="preserve"> the </w:t>
      </w:r>
      <w:r>
        <w:rPr>
          <w:rFonts w:cstheme="minorHAnsi"/>
        </w:rPr>
        <w:t xml:space="preserve">same </w:t>
      </w:r>
      <w:r w:rsidRPr="00512AE5">
        <w:rPr>
          <w:rFonts w:cstheme="minorHAnsi"/>
        </w:rPr>
        <w:t xml:space="preserve">Quraysh </w:t>
      </w:r>
      <w:r>
        <w:rPr>
          <w:rFonts w:cstheme="minorHAnsi"/>
        </w:rPr>
        <w:t xml:space="preserve">tribe as the </w:t>
      </w:r>
      <w:r w:rsidRPr="00512AE5">
        <w:rPr>
          <w:rFonts w:cstheme="minorHAnsi"/>
        </w:rPr>
        <w:t xml:space="preserve">Prophet and both being a father-in-law to the </w:t>
      </w:r>
      <w:r w:rsidR="005A4552">
        <w:rPr>
          <w:rFonts w:cstheme="minorHAnsi"/>
        </w:rPr>
        <w:t>him</w:t>
      </w:r>
      <w:r>
        <w:rPr>
          <w:rStyle w:val="FootnoteReference"/>
          <w:rFonts w:cstheme="minorHAnsi"/>
        </w:rPr>
        <w:footnoteReference w:id="13"/>
      </w:r>
      <w:r w:rsidRPr="00512AE5">
        <w:rPr>
          <w:rFonts w:cstheme="minorHAnsi"/>
        </w:rPr>
        <w:t xml:space="preserve">. </w:t>
      </w:r>
      <w:r w:rsidRPr="00512AE5">
        <w:rPr>
          <w:rFonts w:cstheme="minorHAnsi"/>
          <w:color w:val="000000"/>
        </w:rPr>
        <w:t xml:space="preserve">Following the death of the Prophet, the community of believers decided to unite as a single polity rather than </w:t>
      </w:r>
      <w:r w:rsidR="005A4552">
        <w:rPr>
          <w:rFonts w:cstheme="minorHAnsi"/>
          <w:color w:val="000000"/>
        </w:rPr>
        <w:t xml:space="preserve">in </w:t>
      </w:r>
      <w:r w:rsidRPr="00512AE5">
        <w:rPr>
          <w:rFonts w:cstheme="minorHAnsi"/>
          <w:color w:val="000000"/>
        </w:rPr>
        <w:t xml:space="preserve">separate communities, </w:t>
      </w:r>
      <w:r w:rsidR="005A4552">
        <w:rPr>
          <w:rFonts w:cstheme="minorHAnsi"/>
          <w:color w:val="000000"/>
        </w:rPr>
        <w:t>requiring</w:t>
      </w:r>
      <w:r w:rsidRPr="00512AE5">
        <w:rPr>
          <w:rFonts w:cstheme="minorHAnsi"/>
          <w:color w:val="000000"/>
        </w:rPr>
        <w:t xml:space="preserve"> their own leader</w:t>
      </w:r>
      <w:r w:rsidR="005A4552">
        <w:rPr>
          <w:rFonts w:cstheme="minorHAnsi"/>
          <w:color w:val="000000"/>
        </w:rPr>
        <w:t>s</w:t>
      </w:r>
      <w:r w:rsidRPr="00512AE5">
        <w:rPr>
          <w:rFonts w:cstheme="minorHAnsi"/>
          <w:color w:val="000000"/>
        </w:rPr>
        <w:t>. Abu Bakr was chosen as the first successor to Prophe</w:t>
      </w:r>
      <w:r>
        <w:rPr>
          <w:rFonts w:cstheme="minorHAnsi"/>
          <w:color w:val="000000"/>
        </w:rPr>
        <w:t>t</w:t>
      </w:r>
      <w:r w:rsidRPr="00512AE5">
        <w:rPr>
          <w:rFonts w:cstheme="minorHAnsi"/>
          <w:color w:val="000000"/>
        </w:rPr>
        <w:t xml:space="preserve"> </w:t>
      </w:r>
      <w:r w:rsidR="00234CBB" w:rsidRPr="00512AE5">
        <w:rPr>
          <w:rFonts w:cstheme="minorHAnsi"/>
          <w:color w:val="000000"/>
        </w:rPr>
        <w:t>Muhammad</w:t>
      </w:r>
      <w:r w:rsidR="00234CBB">
        <w:rPr>
          <w:rFonts w:cstheme="minorHAnsi"/>
          <w:color w:val="000000"/>
        </w:rPr>
        <w:t>, the</w:t>
      </w:r>
      <w:r w:rsidR="009B4C2D">
        <w:rPr>
          <w:rFonts w:cstheme="minorHAnsi"/>
          <w:color w:val="000000"/>
        </w:rPr>
        <w:t xml:space="preserve"> first</w:t>
      </w:r>
      <w:r w:rsidRPr="00512AE5">
        <w:rPr>
          <w:rFonts w:cstheme="minorHAnsi"/>
          <w:color w:val="000000"/>
        </w:rPr>
        <w:t xml:space="preserve"> Caliph</w:t>
      </w:r>
      <w:r>
        <w:rPr>
          <w:rStyle w:val="FootnoteReference"/>
          <w:rFonts w:cstheme="minorHAnsi"/>
          <w:color w:val="000000"/>
        </w:rPr>
        <w:footnoteReference w:id="14"/>
      </w:r>
      <w:r>
        <w:rPr>
          <w:rFonts w:cstheme="minorHAnsi"/>
          <w:color w:val="000000"/>
        </w:rPr>
        <w:t>.</w:t>
      </w:r>
      <w:r w:rsidRPr="00512AE5">
        <w:rPr>
          <w:rFonts w:cstheme="minorHAnsi"/>
          <w:color w:val="000000"/>
        </w:rPr>
        <w:t xml:space="preserve"> </w:t>
      </w:r>
    </w:p>
    <w:p w:rsidR="00585DB3" w:rsidRPr="00512AE5" w:rsidRDefault="00585DB3" w:rsidP="00585DB3">
      <w:pPr>
        <w:spacing w:line="360" w:lineRule="auto"/>
        <w:jc w:val="both"/>
        <w:rPr>
          <w:rFonts w:cstheme="minorHAnsi"/>
        </w:rPr>
      </w:pPr>
      <w:r>
        <w:rPr>
          <w:rFonts w:cstheme="minorHAnsi"/>
        </w:rPr>
        <w:t>The decision in selecting a successor to the Prophet has ultimately separated Shi’ites and Sunnites from that time until the present</w:t>
      </w:r>
      <w:r w:rsidR="009B4C2D">
        <w:rPr>
          <w:rFonts w:cstheme="minorHAnsi"/>
        </w:rPr>
        <w:t xml:space="preserve"> day</w:t>
      </w:r>
      <w:r>
        <w:rPr>
          <w:rFonts w:cstheme="minorHAnsi"/>
        </w:rPr>
        <w:t xml:space="preserve">. Sunnites express Abu Bakr as the most excellent amongst men, second only to the Prophet himself, and although not expressly named by Prophet Muhammad, Sunnites believe that </w:t>
      </w:r>
      <w:r w:rsidR="009B4C2D">
        <w:rPr>
          <w:rFonts w:cstheme="minorHAnsi"/>
        </w:rPr>
        <w:t xml:space="preserve">the Prophet’s order to </w:t>
      </w:r>
      <w:r>
        <w:rPr>
          <w:rFonts w:cstheme="minorHAnsi"/>
        </w:rPr>
        <w:t>Bakr’s to lead prayer during the Prophet’s illness was indicative of his support for</w:t>
      </w:r>
      <w:r w:rsidR="00671101">
        <w:rPr>
          <w:rFonts w:cstheme="minorHAnsi"/>
        </w:rPr>
        <w:t xml:space="preserve"> him</w:t>
      </w:r>
      <w:r>
        <w:rPr>
          <w:rFonts w:cstheme="minorHAnsi"/>
        </w:rPr>
        <w:t xml:space="preserve">. Shi’ites, the followers of Ali Ibn Talib support their claim that he should have been selected as first Caliph through his kinship with the Prophet and knowledge of </w:t>
      </w:r>
      <w:r>
        <w:rPr>
          <w:rFonts w:cstheme="minorHAnsi"/>
        </w:rPr>
        <w:lastRenderedPageBreak/>
        <w:t>nascent Islam. Shi’ites believe that Abu Bakr usurped Ali’s rightful position as successor to Prophet Muhammad with the support of the Prophet’s companions</w:t>
      </w:r>
      <w:r>
        <w:rPr>
          <w:rStyle w:val="FootnoteReference"/>
          <w:rFonts w:cstheme="minorHAnsi"/>
        </w:rPr>
        <w:footnoteReference w:id="15"/>
      </w:r>
      <w:r>
        <w:rPr>
          <w:rFonts w:cstheme="minorHAnsi"/>
        </w:rPr>
        <w:t>. Bakr’s successor</w:t>
      </w:r>
      <w:r w:rsidR="00671101">
        <w:rPr>
          <w:rFonts w:cstheme="minorHAnsi"/>
        </w:rPr>
        <w:t xml:space="preserve"> </w:t>
      </w:r>
      <w:r>
        <w:rPr>
          <w:rFonts w:cstheme="minorHAnsi"/>
        </w:rPr>
        <w:t>was Umar and following him, Uthman became Caliph.</w:t>
      </w:r>
    </w:p>
    <w:p w:rsidR="00585DB3" w:rsidRDefault="00585DB3" w:rsidP="00585DB3">
      <w:pPr>
        <w:spacing w:line="360" w:lineRule="auto"/>
        <w:jc w:val="both"/>
        <w:rPr>
          <w:rFonts w:cstheme="minorHAnsi"/>
          <w:i/>
        </w:rPr>
      </w:pPr>
      <w:r w:rsidRPr="00512AE5">
        <w:rPr>
          <w:rFonts w:cstheme="minorHAnsi"/>
        </w:rPr>
        <w:t>Ali’s reign</w:t>
      </w:r>
      <w:r>
        <w:rPr>
          <w:rFonts w:cstheme="minorHAnsi"/>
        </w:rPr>
        <w:t xml:space="preserve"> as fourth Caliph began in 656 C.E following the murder of Uthman, having reigned for twelve years. Shi’ites argue that Uthman’s violent death had been used as a political tool, the Sunnites absolving him of any wrongdoings, elevating him to the status of martyr and third rightly guided Caliph</w:t>
      </w:r>
      <w:r>
        <w:rPr>
          <w:rStyle w:val="FootnoteReference"/>
          <w:rFonts w:cstheme="minorHAnsi"/>
        </w:rPr>
        <w:footnoteReference w:id="16"/>
      </w:r>
      <w:r>
        <w:rPr>
          <w:rFonts w:cstheme="minorHAnsi"/>
        </w:rPr>
        <w:t>. Uthman’s death led to the first civil war (fitna) which lasted for five years</w:t>
      </w:r>
      <w:r>
        <w:rPr>
          <w:rStyle w:val="FootnoteReference"/>
          <w:rFonts w:cstheme="minorHAnsi"/>
        </w:rPr>
        <w:footnoteReference w:id="17"/>
      </w:r>
      <w:r>
        <w:rPr>
          <w:rFonts w:cstheme="minorHAnsi"/>
        </w:rPr>
        <w:t xml:space="preserve"> and </w:t>
      </w:r>
      <w:r w:rsidR="001676AC">
        <w:rPr>
          <w:rFonts w:cstheme="minorHAnsi"/>
        </w:rPr>
        <w:t>Ali had to contend with</w:t>
      </w:r>
      <w:r w:rsidR="00E409B8">
        <w:rPr>
          <w:rFonts w:cstheme="minorHAnsi"/>
        </w:rPr>
        <w:t xml:space="preserve"> </w:t>
      </w:r>
      <w:r>
        <w:rPr>
          <w:rFonts w:cstheme="minorHAnsi"/>
        </w:rPr>
        <w:t xml:space="preserve">a series of battles, notably the battle of Siffin, </w:t>
      </w:r>
      <w:r w:rsidR="007E1B1A">
        <w:rPr>
          <w:rFonts w:cstheme="minorHAnsi"/>
        </w:rPr>
        <w:t xml:space="preserve">the battle of Nahrawan, and </w:t>
      </w:r>
      <w:r>
        <w:rPr>
          <w:rFonts w:cstheme="minorHAnsi"/>
        </w:rPr>
        <w:t xml:space="preserve">the battle of Camel where </w:t>
      </w:r>
      <w:r w:rsidR="00E409B8">
        <w:rPr>
          <w:rFonts w:cstheme="minorHAnsi"/>
        </w:rPr>
        <w:t>he</w:t>
      </w:r>
      <w:r>
        <w:rPr>
          <w:rFonts w:cstheme="minorHAnsi"/>
        </w:rPr>
        <w:t xml:space="preserve"> fought against Aisha, the Prophet’s widow</w:t>
      </w:r>
      <w:r>
        <w:rPr>
          <w:rStyle w:val="FootnoteReference"/>
          <w:rFonts w:cstheme="minorHAnsi"/>
        </w:rPr>
        <w:footnoteReference w:id="18"/>
      </w:r>
      <w:r>
        <w:rPr>
          <w:rFonts w:cstheme="minorHAnsi"/>
        </w:rPr>
        <w:t>.</w:t>
      </w:r>
      <w:r w:rsidR="00473040">
        <w:rPr>
          <w:rFonts w:cstheme="minorHAnsi"/>
        </w:rPr>
        <w:t xml:space="preserve"> The division within early Islam therefore crossed familial and </w:t>
      </w:r>
      <w:r w:rsidR="002331FF">
        <w:rPr>
          <w:rFonts w:cstheme="minorHAnsi"/>
        </w:rPr>
        <w:t>tribal boundaries.</w:t>
      </w:r>
    </w:p>
    <w:p w:rsidR="00585DB3" w:rsidRPr="00512AE5" w:rsidRDefault="00585DB3" w:rsidP="00585DB3">
      <w:pPr>
        <w:spacing w:line="360" w:lineRule="auto"/>
        <w:jc w:val="both"/>
        <w:rPr>
          <w:rFonts w:cstheme="minorHAnsi"/>
        </w:rPr>
      </w:pPr>
      <w:r>
        <w:rPr>
          <w:rFonts w:cstheme="minorHAnsi"/>
        </w:rPr>
        <w:t>Ali</w:t>
      </w:r>
      <w:r w:rsidR="00AF7797">
        <w:rPr>
          <w:rFonts w:cstheme="minorHAnsi"/>
        </w:rPr>
        <w:t xml:space="preserve">’s </w:t>
      </w:r>
      <w:r>
        <w:rPr>
          <w:rFonts w:cstheme="minorHAnsi"/>
        </w:rPr>
        <w:t>reign as the fourth Caliph</w:t>
      </w:r>
      <w:r w:rsidR="00B54090">
        <w:rPr>
          <w:rFonts w:cstheme="minorHAnsi"/>
        </w:rPr>
        <w:t xml:space="preserve"> ended</w:t>
      </w:r>
      <w:r>
        <w:rPr>
          <w:rFonts w:cstheme="minorHAnsi"/>
        </w:rPr>
        <w:t xml:space="preserve"> </w:t>
      </w:r>
      <w:r w:rsidR="00AA387C">
        <w:rPr>
          <w:rFonts w:cstheme="minorHAnsi"/>
        </w:rPr>
        <w:t>when he was</w:t>
      </w:r>
      <w:r>
        <w:rPr>
          <w:rFonts w:cstheme="minorHAnsi"/>
        </w:rPr>
        <w:t xml:space="preserve"> assassinated by </w:t>
      </w:r>
      <w:r w:rsidR="00447EAA">
        <w:rPr>
          <w:rFonts w:cstheme="minorHAnsi"/>
        </w:rPr>
        <w:t xml:space="preserve">his </w:t>
      </w:r>
      <w:r>
        <w:rPr>
          <w:rFonts w:cstheme="minorHAnsi"/>
        </w:rPr>
        <w:t>political opponents</w:t>
      </w:r>
      <w:r w:rsidR="00B54090">
        <w:rPr>
          <w:rFonts w:cstheme="minorHAnsi"/>
        </w:rPr>
        <w:t xml:space="preserve">, </w:t>
      </w:r>
      <w:r w:rsidR="00447EAA">
        <w:rPr>
          <w:rFonts w:cstheme="minorHAnsi"/>
        </w:rPr>
        <w:t xml:space="preserve">and thus began the reign of </w:t>
      </w:r>
      <w:r w:rsidR="00B54090">
        <w:rPr>
          <w:rFonts w:cstheme="minorHAnsi"/>
        </w:rPr>
        <w:t>the Mu’awiya</w:t>
      </w:r>
      <w:r>
        <w:rPr>
          <w:rStyle w:val="FootnoteReference"/>
          <w:rFonts w:cstheme="minorHAnsi"/>
        </w:rPr>
        <w:footnoteReference w:id="19"/>
      </w:r>
      <w:r w:rsidR="00B54090">
        <w:rPr>
          <w:rFonts w:cstheme="minorHAnsi"/>
        </w:rPr>
        <w:t xml:space="preserve">. </w:t>
      </w:r>
      <w:r>
        <w:rPr>
          <w:rFonts w:cstheme="minorHAnsi"/>
        </w:rPr>
        <w:t>The Sunnites accepted the rule of the Mu’awiya, however the Shi’ites did not, their position being the acceptance of further civil war</w:t>
      </w:r>
      <w:r w:rsidR="00447EAA">
        <w:rPr>
          <w:rFonts w:cstheme="minorHAnsi"/>
        </w:rPr>
        <w:t xml:space="preserve"> as a preferred option</w:t>
      </w:r>
      <w:r>
        <w:rPr>
          <w:rFonts w:cstheme="minorHAnsi"/>
        </w:rPr>
        <w:t>, citing fraudulent arbitration by the inclusion of false hadiths to support the Sunnites</w:t>
      </w:r>
      <w:r w:rsidR="0082645A">
        <w:rPr>
          <w:rFonts w:cstheme="minorHAnsi"/>
        </w:rPr>
        <w:t>’</w:t>
      </w:r>
      <w:r>
        <w:rPr>
          <w:rFonts w:cstheme="minorHAnsi"/>
        </w:rPr>
        <w:t xml:space="preserve"> position</w:t>
      </w:r>
      <w:r>
        <w:rPr>
          <w:rStyle w:val="FootnoteReference"/>
          <w:rFonts w:cstheme="minorHAnsi"/>
        </w:rPr>
        <w:footnoteReference w:id="20"/>
      </w:r>
      <w:r>
        <w:rPr>
          <w:rFonts w:cstheme="minorHAnsi"/>
        </w:rPr>
        <w:t xml:space="preserve">. The implications of the first fitna saw the great schism in Islam, resulting in </w:t>
      </w:r>
      <w:r w:rsidR="002331FF">
        <w:rPr>
          <w:rFonts w:cstheme="minorHAnsi"/>
        </w:rPr>
        <w:t xml:space="preserve">two distinct religious branches, </w:t>
      </w:r>
      <w:r>
        <w:rPr>
          <w:rFonts w:cstheme="minorHAnsi"/>
        </w:rPr>
        <w:t>the Sunnites, followers of the Sunna or tradition</w:t>
      </w:r>
      <w:r w:rsidR="00076C79">
        <w:rPr>
          <w:rFonts w:cstheme="minorHAnsi"/>
        </w:rPr>
        <w:t>,</w:t>
      </w:r>
      <w:r>
        <w:rPr>
          <w:rFonts w:cstheme="minorHAnsi"/>
        </w:rPr>
        <w:t xml:space="preserve"> and the Shi’ites, schismatics</w:t>
      </w:r>
      <w:r w:rsidR="00076C79">
        <w:rPr>
          <w:rFonts w:cstheme="minorHAnsi"/>
        </w:rPr>
        <w:t xml:space="preserve">. </w:t>
      </w:r>
      <w:r>
        <w:rPr>
          <w:rFonts w:cstheme="minorHAnsi"/>
        </w:rPr>
        <w:t>Ali was the fourth and last orthodox Caliph</w:t>
      </w:r>
      <w:r>
        <w:rPr>
          <w:rStyle w:val="FootnoteReference"/>
          <w:rFonts w:cstheme="minorHAnsi"/>
        </w:rPr>
        <w:footnoteReference w:id="21"/>
      </w:r>
      <w:r>
        <w:rPr>
          <w:rFonts w:cstheme="minorHAnsi"/>
        </w:rPr>
        <w:t xml:space="preserve">. </w:t>
      </w:r>
    </w:p>
    <w:p w:rsidR="00585DB3" w:rsidRPr="00512AE5" w:rsidRDefault="00585DB3" w:rsidP="00585DB3">
      <w:pPr>
        <w:spacing w:line="360" w:lineRule="auto"/>
        <w:jc w:val="both"/>
        <w:rPr>
          <w:rFonts w:cstheme="minorHAnsi"/>
        </w:rPr>
      </w:pPr>
      <w:r w:rsidRPr="00512AE5">
        <w:rPr>
          <w:rFonts w:cstheme="minorHAnsi"/>
        </w:rPr>
        <w:t>The development of Islamic scriptural sources</w:t>
      </w:r>
      <w:r w:rsidR="00076C79">
        <w:rPr>
          <w:rFonts w:cstheme="minorHAnsi"/>
        </w:rPr>
        <w:t xml:space="preserve"> was key in the two separate religious branches arguing for their perceived rightful Cal</w:t>
      </w:r>
      <w:r w:rsidR="00234CBB">
        <w:rPr>
          <w:rFonts w:cstheme="minorHAnsi"/>
        </w:rPr>
        <w:t>ip</w:t>
      </w:r>
      <w:r w:rsidR="00076C79">
        <w:rPr>
          <w:rFonts w:cstheme="minorHAnsi"/>
        </w:rPr>
        <w:t>h</w:t>
      </w:r>
      <w:r w:rsidR="00D21710">
        <w:rPr>
          <w:rFonts w:cstheme="minorHAnsi"/>
        </w:rPr>
        <w:t>.</w:t>
      </w:r>
      <w:r w:rsidRPr="00512AE5">
        <w:rPr>
          <w:rFonts w:cstheme="minorHAnsi"/>
        </w:rPr>
        <w:t xml:space="preserve"> </w:t>
      </w:r>
      <w:r w:rsidR="00D21710" w:rsidRPr="00512AE5">
        <w:rPr>
          <w:rFonts w:cstheme="minorHAnsi"/>
        </w:rPr>
        <w:t>The Qur’an and the Hadith</w:t>
      </w:r>
      <w:r w:rsidRPr="00512AE5">
        <w:rPr>
          <w:rFonts w:cstheme="minorHAnsi"/>
        </w:rPr>
        <w:t xml:space="preserve"> are closely linked to the cause of both historic and current disagreement and violence between Muslims. Those who follow the Sunni tradition claim their beliefs to be the orthodox version of Islam and based within a single Qur’an </w:t>
      </w:r>
      <w:r w:rsidRPr="00512AE5">
        <w:rPr>
          <w:rFonts w:cstheme="minorHAnsi"/>
        </w:rPr>
        <w:lastRenderedPageBreak/>
        <w:t>complied during the rule of the third Caliph Uthman (r</w:t>
      </w:r>
      <w:r w:rsidR="00DE33EF">
        <w:rPr>
          <w:rFonts w:cstheme="minorHAnsi"/>
        </w:rPr>
        <w:t>.</w:t>
      </w:r>
      <w:r w:rsidRPr="00512AE5">
        <w:rPr>
          <w:rFonts w:cstheme="minorHAnsi"/>
        </w:rPr>
        <w:t xml:space="preserve"> 644-656 C.E.) </w:t>
      </w:r>
      <w:r w:rsidR="00D21710">
        <w:rPr>
          <w:rFonts w:cstheme="minorHAnsi"/>
        </w:rPr>
        <w:t>using</w:t>
      </w:r>
      <w:r w:rsidRPr="00512AE5">
        <w:rPr>
          <w:rFonts w:cstheme="minorHAnsi"/>
        </w:rPr>
        <w:t xml:space="preserve"> sources gathered by the previous two Caliphs, Abu Bakr and Umar. The Uthman codex was accepted by the majority of the community with other heretical Qur’anic versions being destroyed</w:t>
      </w:r>
      <w:r>
        <w:rPr>
          <w:rStyle w:val="FootnoteReference"/>
          <w:rFonts w:cstheme="minorHAnsi"/>
        </w:rPr>
        <w:footnoteReference w:id="22"/>
      </w:r>
      <w:r>
        <w:rPr>
          <w:rFonts w:cstheme="minorHAnsi"/>
        </w:rPr>
        <w:t>.</w:t>
      </w:r>
      <w:r w:rsidRPr="00512AE5">
        <w:rPr>
          <w:rFonts w:cstheme="minorHAnsi"/>
        </w:rPr>
        <w:t xml:space="preserve"> Shi</w:t>
      </w:r>
      <w:r w:rsidR="00DE33EF">
        <w:rPr>
          <w:rFonts w:cstheme="minorHAnsi"/>
        </w:rPr>
        <w:t>’i</w:t>
      </w:r>
      <w:r w:rsidR="00D21710">
        <w:rPr>
          <w:rFonts w:cstheme="minorHAnsi"/>
        </w:rPr>
        <w:t>te</w:t>
      </w:r>
      <w:r w:rsidRPr="00512AE5">
        <w:rPr>
          <w:rFonts w:cstheme="minorHAnsi"/>
        </w:rPr>
        <w:t xml:space="preserve"> Muslims are amongst the most critical of Uthman Qur’anic orthodoxy</w:t>
      </w:r>
      <w:r w:rsidR="001316D0">
        <w:rPr>
          <w:rFonts w:cstheme="minorHAnsi"/>
        </w:rPr>
        <w:t xml:space="preserve">. </w:t>
      </w:r>
      <w:r w:rsidR="002B3426">
        <w:rPr>
          <w:rFonts w:cstheme="minorHAnsi"/>
        </w:rPr>
        <w:t>Conversely</w:t>
      </w:r>
      <w:r w:rsidR="001316D0">
        <w:rPr>
          <w:rFonts w:cstheme="minorHAnsi"/>
        </w:rPr>
        <w:t>, some academics argue that</w:t>
      </w:r>
      <w:r w:rsidRPr="00512AE5">
        <w:rPr>
          <w:rFonts w:cstheme="minorHAnsi"/>
        </w:rPr>
        <w:t xml:space="preserve"> other Qur’anic versions different in presentation and content such as </w:t>
      </w:r>
      <w:r w:rsidR="000C2443">
        <w:rPr>
          <w:rFonts w:cstheme="minorHAnsi"/>
        </w:rPr>
        <w:t xml:space="preserve">that of </w:t>
      </w:r>
      <w:r w:rsidRPr="00512AE5">
        <w:rPr>
          <w:rFonts w:cstheme="minorHAnsi"/>
        </w:rPr>
        <w:t>Ali’s, continued to be in circulation until the tenth century</w:t>
      </w:r>
      <w:r>
        <w:rPr>
          <w:rStyle w:val="FootnoteReference"/>
          <w:rFonts w:cstheme="minorHAnsi"/>
        </w:rPr>
        <w:footnoteReference w:id="23"/>
      </w:r>
      <w:r w:rsidRPr="00512AE5">
        <w:rPr>
          <w:rFonts w:cstheme="minorHAnsi"/>
        </w:rPr>
        <w:t xml:space="preserve">. </w:t>
      </w:r>
      <w:r w:rsidR="001316D0">
        <w:rPr>
          <w:rFonts w:cstheme="minorHAnsi"/>
        </w:rPr>
        <w:t>Academic study of the</w:t>
      </w:r>
      <w:r w:rsidRPr="00512AE5">
        <w:rPr>
          <w:rFonts w:cstheme="minorHAnsi"/>
        </w:rPr>
        <w:t xml:space="preserve"> textual history of the Qur’an </w:t>
      </w:r>
      <w:r w:rsidR="00DF2603">
        <w:rPr>
          <w:rFonts w:cstheme="minorHAnsi"/>
        </w:rPr>
        <w:t>support a position</w:t>
      </w:r>
      <w:r w:rsidRPr="00512AE5">
        <w:rPr>
          <w:rFonts w:cstheme="minorHAnsi"/>
        </w:rPr>
        <w:t xml:space="preserve"> that Ali claimed to have collated </w:t>
      </w:r>
      <w:r>
        <w:rPr>
          <w:rFonts w:cstheme="minorHAnsi"/>
        </w:rPr>
        <w:t>his own</w:t>
      </w:r>
      <w:r w:rsidRPr="00512AE5">
        <w:rPr>
          <w:rFonts w:cstheme="minorHAnsi"/>
        </w:rPr>
        <w:t xml:space="preserve"> codex</w:t>
      </w:r>
      <w:r>
        <w:rPr>
          <w:rFonts w:cstheme="minorHAnsi"/>
        </w:rPr>
        <w:t xml:space="preserve"> of the Qur’an</w:t>
      </w:r>
      <w:r w:rsidRPr="00512AE5">
        <w:rPr>
          <w:rFonts w:cstheme="minorHAnsi"/>
        </w:rPr>
        <w:t xml:space="preserve"> either during the lifetime of the Prophet Muhammad</w:t>
      </w:r>
      <w:r>
        <w:rPr>
          <w:rStyle w:val="FootnoteReference"/>
          <w:rFonts w:cstheme="minorHAnsi"/>
        </w:rPr>
        <w:footnoteReference w:id="24"/>
      </w:r>
      <w:r>
        <w:rPr>
          <w:rFonts w:cstheme="minorHAnsi"/>
        </w:rPr>
        <w:t xml:space="preserve"> </w:t>
      </w:r>
      <w:r w:rsidRPr="00512AE5">
        <w:rPr>
          <w:rFonts w:cstheme="minorHAnsi"/>
        </w:rPr>
        <w:t xml:space="preserve">or </w:t>
      </w:r>
      <w:r>
        <w:rPr>
          <w:rFonts w:cstheme="minorHAnsi"/>
        </w:rPr>
        <w:t>upon realising that he would not be chosen as the first Caliph</w:t>
      </w:r>
      <w:r w:rsidR="00DF2603">
        <w:rPr>
          <w:rFonts w:cstheme="minorHAnsi"/>
        </w:rPr>
        <w:t>. Supporters of this narrative believe that Ali</w:t>
      </w:r>
      <w:r>
        <w:rPr>
          <w:rFonts w:cstheme="minorHAnsi"/>
        </w:rPr>
        <w:t xml:space="preserve"> removed himself from impending political turmoil by withdrawing to his house to follow his collection of the Qur’an</w:t>
      </w:r>
      <w:r>
        <w:rPr>
          <w:rStyle w:val="FootnoteReference"/>
          <w:rFonts w:cstheme="minorHAnsi"/>
        </w:rPr>
        <w:footnoteReference w:id="25"/>
      </w:r>
      <w:r>
        <w:rPr>
          <w:rFonts w:cstheme="minorHAnsi"/>
        </w:rPr>
        <w:t xml:space="preserve">. </w:t>
      </w:r>
      <w:r w:rsidR="00DE230E">
        <w:rPr>
          <w:rFonts w:cstheme="minorHAnsi"/>
        </w:rPr>
        <w:t>Arguably, this may</w:t>
      </w:r>
      <w:r w:rsidR="002207B8">
        <w:rPr>
          <w:rFonts w:cstheme="minorHAnsi"/>
        </w:rPr>
        <w:t xml:space="preserve"> be</w:t>
      </w:r>
      <w:r w:rsidR="00DE230E">
        <w:rPr>
          <w:rFonts w:cstheme="minorHAnsi"/>
        </w:rPr>
        <w:t xml:space="preserve"> </w:t>
      </w:r>
      <w:r w:rsidR="00392A17">
        <w:rPr>
          <w:rFonts w:cstheme="minorHAnsi"/>
        </w:rPr>
        <w:t>expressed</w:t>
      </w:r>
      <w:r w:rsidR="00DE230E">
        <w:rPr>
          <w:rFonts w:cstheme="minorHAnsi"/>
        </w:rPr>
        <w:t xml:space="preserve"> as opportunism on Ali’s </w:t>
      </w:r>
      <w:r w:rsidR="00392A17">
        <w:rPr>
          <w:rFonts w:cstheme="minorHAnsi"/>
        </w:rPr>
        <w:t>behalf</w:t>
      </w:r>
      <w:r w:rsidR="00DE230E">
        <w:rPr>
          <w:rFonts w:cstheme="minorHAnsi"/>
        </w:rPr>
        <w:t xml:space="preserve">, but the collection of the Prophet’s guidance remains a </w:t>
      </w:r>
      <w:r w:rsidR="00564F6E">
        <w:rPr>
          <w:rFonts w:cstheme="minorHAnsi"/>
        </w:rPr>
        <w:t>divisive</w:t>
      </w:r>
      <w:r w:rsidR="00DE230E">
        <w:rPr>
          <w:rFonts w:cstheme="minorHAnsi"/>
        </w:rPr>
        <w:t xml:space="preserve"> issue. </w:t>
      </w:r>
      <w:r>
        <w:rPr>
          <w:rFonts w:cstheme="minorHAnsi"/>
        </w:rPr>
        <w:t>Academic research has indicated that rather than lowering political tensions during the transition of power to the newly appointed Abu Bakr, the collection of the Qur’an served to intensify political disharmony</w:t>
      </w:r>
      <w:r>
        <w:rPr>
          <w:rStyle w:val="FootnoteReference"/>
          <w:rFonts w:cstheme="minorHAnsi"/>
        </w:rPr>
        <w:footnoteReference w:id="26"/>
      </w:r>
      <w:r>
        <w:rPr>
          <w:rFonts w:cstheme="minorHAnsi"/>
        </w:rPr>
        <w:t>. Furthermore, research suggests that although the collection of the Qur’an was a contentious subject within second century Islam, the dissemination of religious traditions was transmitted through both Sunni and Shi’ite lines, indicating that there was a ‘unified format of the Qur’an’</w:t>
      </w:r>
      <w:r>
        <w:rPr>
          <w:rStyle w:val="FootnoteReference"/>
          <w:rFonts w:cstheme="minorHAnsi"/>
        </w:rPr>
        <w:footnoteReference w:id="27"/>
      </w:r>
      <w:r>
        <w:rPr>
          <w:rFonts w:cstheme="minorHAnsi"/>
        </w:rPr>
        <w:t>.</w:t>
      </w:r>
    </w:p>
    <w:bookmarkEnd w:id="1"/>
    <w:p w:rsidR="00585DB3" w:rsidRPr="00512AE5" w:rsidRDefault="00585DB3" w:rsidP="00585DB3">
      <w:pPr>
        <w:spacing w:line="360" w:lineRule="auto"/>
        <w:jc w:val="both"/>
        <w:rPr>
          <w:rFonts w:cstheme="minorHAnsi"/>
        </w:rPr>
      </w:pPr>
    </w:p>
    <w:p w:rsidR="00585DB3" w:rsidRPr="00512AE5" w:rsidRDefault="00585DB3" w:rsidP="00585DB3">
      <w:pPr>
        <w:spacing w:line="360" w:lineRule="auto"/>
        <w:jc w:val="both"/>
        <w:rPr>
          <w:rFonts w:cstheme="minorHAnsi"/>
        </w:rPr>
      </w:pPr>
    </w:p>
    <w:p w:rsidR="00F863BE" w:rsidRDefault="00F863BE"/>
    <w:sectPr w:rsidR="00F863BE">
      <w:headerReference w:type="default" r:id="rId7"/>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66E9" w:rsidRDefault="00B266E9" w:rsidP="00585DB3">
      <w:pPr>
        <w:spacing w:after="0" w:line="240" w:lineRule="auto"/>
      </w:pPr>
      <w:r>
        <w:separator/>
      </w:r>
    </w:p>
  </w:endnote>
  <w:endnote w:type="continuationSeparator" w:id="0">
    <w:p w:rsidR="00B266E9" w:rsidRDefault="00B266E9" w:rsidP="00585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66E9" w:rsidRDefault="00B266E9" w:rsidP="00585DB3">
      <w:pPr>
        <w:spacing w:after="0" w:line="240" w:lineRule="auto"/>
      </w:pPr>
      <w:r>
        <w:separator/>
      </w:r>
    </w:p>
  </w:footnote>
  <w:footnote w:type="continuationSeparator" w:id="0">
    <w:p w:rsidR="00B266E9" w:rsidRDefault="00B266E9" w:rsidP="00585DB3">
      <w:pPr>
        <w:spacing w:after="0" w:line="240" w:lineRule="auto"/>
      </w:pPr>
      <w:r>
        <w:continuationSeparator/>
      </w:r>
    </w:p>
  </w:footnote>
  <w:footnote w:id="1">
    <w:p w:rsidR="00585DB3" w:rsidRPr="002020E5" w:rsidRDefault="00585DB3" w:rsidP="00585DB3">
      <w:pPr>
        <w:spacing w:after="0" w:line="240" w:lineRule="auto"/>
        <w:textAlignment w:val="baseline"/>
        <w:rPr>
          <w:rFonts w:eastAsia="Times New Roman" w:cstheme="minorHAnsi"/>
          <w:sz w:val="16"/>
          <w:szCs w:val="16"/>
          <w:lang w:eastAsia="en-GB"/>
        </w:rPr>
      </w:pPr>
      <w:r w:rsidRPr="002020E5">
        <w:rPr>
          <w:rStyle w:val="FootnoteReference"/>
          <w:rFonts w:cstheme="minorHAnsi"/>
          <w:sz w:val="16"/>
          <w:szCs w:val="16"/>
        </w:rPr>
        <w:footnoteRef/>
      </w:r>
      <w:r w:rsidRPr="002020E5">
        <w:rPr>
          <w:rFonts w:cstheme="minorHAnsi"/>
          <w:sz w:val="16"/>
          <w:szCs w:val="16"/>
        </w:rPr>
        <w:t xml:space="preserve"> </w:t>
      </w:r>
      <w:r w:rsidRPr="002020E5">
        <w:rPr>
          <w:rFonts w:eastAsia="Times New Roman" w:cstheme="minorHAnsi"/>
          <w:sz w:val="16"/>
          <w:szCs w:val="16"/>
          <w:lang w:eastAsia="en-GB"/>
        </w:rPr>
        <w:t>F.M. Donner, ‘Muhammad and the Caliphate; Political history of the Islamic empire up to the Mongol conquest’, unknown date, [online]</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1" w:history="1">
        <w:r w:rsidR="00585DB3" w:rsidRPr="002020E5">
          <w:rPr>
            <w:rStyle w:val="Hyperlink"/>
            <w:rFonts w:eastAsia="Times New Roman" w:cstheme="minorHAnsi"/>
            <w:color w:val="auto"/>
            <w:sz w:val="16"/>
            <w:szCs w:val="16"/>
            <w:lang w:eastAsia="en-GB"/>
          </w:rPr>
          <w:t>http://www.oxfordislamicstudies.com.ezproxy.uwtsd.ac.uk/article/book/islam-9780195107999/islam-9780195107999-chapter-1</w:t>
        </w:r>
      </w:hyperlink>
    </w:p>
    <w:p w:rsidR="00585DB3" w:rsidRDefault="00585DB3" w:rsidP="00585DB3">
      <w:pPr>
        <w:spacing w:after="0" w:line="240" w:lineRule="auto"/>
        <w:textAlignment w:val="baseline"/>
        <w:rPr>
          <w:rFonts w:eastAsia="Times New Roman" w:cstheme="minorHAnsi"/>
          <w:sz w:val="16"/>
          <w:szCs w:val="16"/>
          <w:lang w:eastAsia="en-GB"/>
        </w:rPr>
      </w:pPr>
      <w:r w:rsidRPr="002020E5">
        <w:rPr>
          <w:rFonts w:eastAsia="Times New Roman" w:cstheme="minorHAnsi"/>
          <w:sz w:val="16"/>
          <w:szCs w:val="16"/>
          <w:lang w:eastAsia="en-GB"/>
        </w:rPr>
        <w:t>[Accessed: 14</w:t>
      </w:r>
      <w:r w:rsidRPr="002020E5">
        <w:rPr>
          <w:rFonts w:eastAsia="Times New Roman" w:cstheme="minorHAnsi"/>
          <w:sz w:val="16"/>
          <w:szCs w:val="16"/>
          <w:vertAlign w:val="superscript"/>
          <w:lang w:eastAsia="en-GB"/>
        </w:rPr>
        <w:t>th</w:t>
      </w:r>
      <w:r w:rsidRPr="002020E5">
        <w:rPr>
          <w:rFonts w:eastAsia="Times New Roman" w:cstheme="minorHAnsi"/>
          <w:sz w:val="16"/>
          <w:szCs w:val="16"/>
          <w:lang w:eastAsia="en-GB"/>
        </w:rPr>
        <w:t xml:space="preserve"> October 2018]</w:t>
      </w:r>
    </w:p>
    <w:p w:rsidR="00585DB3" w:rsidRPr="002020E5" w:rsidRDefault="00585DB3" w:rsidP="00585DB3">
      <w:pPr>
        <w:spacing w:after="0" w:line="240" w:lineRule="auto"/>
        <w:textAlignment w:val="baseline"/>
        <w:rPr>
          <w:rFonts w:eastAsia="Times New Roman" w:cstheme="minorHAnsi"/>
          <w:sz w:val="16"/>
          <w:szCs w:val="16"/>
          <w:lang w:eastAsia="en-GB"/>
        </w:rPr>
      </w:pPr>
    </w:p>
  </w:footnote>
  <w:footnote w:id="2">
    <w:p w:rsidR="00585DB3" w:rsidRPr="002020E5" w:rsidRDefault="00585DB3" w:rsidP="00585DB3">
      <w:pPr>
        <w:spacing w:after="0" w:line="240" w:lineRule="auto"/>
        <w:textAlignment w:val="baseline"/>
        <w:rPr>
          <w:rFonts w:eastAsia="Times New Roman" w:cstheme="minorHAnsi"/>
          <w:sz w:val="16"/>
          <w:szCs w:val="16"/>
          <w:lang w:eastAsia="en-GB"/>
        </w:rPr>
      </w:pPr>
      <w:r w:rsidRPr="002020E5">
        <w:rPr>
          <w:rStyle w:val="FootnoteReference"/>
          <w:rFonts w:cstheme="minorHAnsi"/>
          <w:sz w:val="16"/>
          <w:szCs w:val="16"/>
        </w:rPr>
        <w:footnoteRef/>
      </w:r>
      <w:r w:rsidRPr="002020E5">
        <w:rPr>
          <w:rFonts w:cstheme="minorHAnsi"/>
          <w:sz w:val="16"/>
          <w:szCs w:val="16"/>
        </w:rPr>
        <w:t xml:space="preserve"> Abul Hasan Ali</w:t>
      </w:r>
      <w:r w:rsidRPr="002020E5">
        <w:rPr>
          <w:rFonts w:eastAsia="Times New Roman" w:cstheme="minorHAnsi"/>
          <w:sz w:val="16"/>
          <w:szCs w:val="16"/>
          <w:lang w:eastAsia="en-GB"/>
        </w:rPr>
        <w:t xml:space="preserve"> Nadwi, ‘The life of Caliph Ali’, translated to English by Mohiuddin Ahmad, [1</w:t>
      </w:r>
      <w:r w:rsidRPr="002020E5">
        <w:rPr>
          <w:rFonts w:eastAsia="Times New Roman" w:cstheme="minorHAnsi"/>
          <w:sz w:val="16"/>
          <w:szCs w:val="16"/>
          <w:vertAlign w:val="superscript"/>
          <w:lang w:eastAsia="en-GB"/>
        </w:rPr>
        <w:t>st</w:t>
      </w:r>
      <w:r w:rsidRPr="002020E5">
        <w:rPr>
          <w:rFonts w:eastAsia="Times New Roman" w:cstheme="minorHAnsi"/>
          <w:sz w:val="16"/>
          <w:szCs w:val="16"/>
          <w:lang w:eastAsia="en-GB"/>
        </w:rPr>
        <w:t xml:space="preserve"> ed.] (Academy of Islamic Research and Publications, Lucknow, India, 1991), [online]</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2" w:history="1">
        <w:r w:rsidR="00585DB3" w:rsidRPr="002020E5">
          <w:rPr>
            <w:rStyle w:val="Hyperlink"/>
            <w:rFonts w:eastAsia="Times New Roman" w:cstheme="minorHAnsi"/>
            <w:color w:val="auto"/>
            <w:sz w:val="16"/>
            <w:szCs w:val="16"/>
            <w:lang w:eastAsia="en-GB"/>
          </w:rPr>
          <w:t>http://www.muslim-library.com/dl/books/English-The-Life-Of-Caliph-Ali.pdf</w:t>
        </w:r>
      </w:hyperlink>
    </w:p>
    <w:p w:rsidR="00585DB3" w:rsidRDefault="00585DB3" w:rsidP="00585DB3">
      <w:pPr>
        <w:spacing w:after="0" w:line="240" w:lineRule="auto"/>
        <w:textAlignment w:val="baseline"/>
        <w:rPr>
          <w:rFonts w:eastAsia="Times New Roman" w:cstheme="minorHAnsi"/>
          <w:sz w:val="16"/>
          <w:szCs w:val="16"/>
          <w:lang w:eastAsia="en-GB"/>
        </w:rPr>
      </w:pPr>
      <w:r w:rsidRPr="002020E5">
        <w:rPr>
          <w:rFonts w:eastAsia="Times New Roman" w:cstheme="minorHAnsi"/>
          <w:sz w:val="16"/>
          <w:szCs w:val="16"/>
          <w:lang w:eastAsia="en-GB"/>
        </w:rPr>
        <w:t>[Accessed 14</w:t>
      </w:r>
      <w:r w:rsidRPr="002020E5">
        <w:rPr>
          <w:rFonts w:eastAsia="Times New Roman" w:cstheme="minorHAnsi"/>
          <w:sz w:val="16"/>
          <w:szCs w:val="16"/>
          <w:vertAlign w:val="superscript"/>
          <w:lang w:eastAsia="en-GB"/>
        </w:rPr>
        <w:t>th</w:t>
      </w:r>
      <w:r w:rsidRPr="002020E5">
        <w:rPr>
          <w:rFonts w:eastAsia="Times New Roman" w:cstheme="minorHAnsi"/>
          <w:sz w:val="16"/>
          <w:szCs w:val="16"/>
          <w:lang w:eastAsia="en-GB"/>
        </w:rPr>
        <w:t xml:space="preserve"> October 2018]</w:t>
      </w:r>
    </w:p>
    <w:p w:rsidR="00585DB3" w:rsidRPr="002020E5" w:rsidRDefault="00585DB3" w:rsidP="00585DB3">
      <w:pPr>
        <w:spacing w:after="0" w:line="240" w:lineRule="auto"/>
        <w:textAlignment w:val="baseline"/>
        <w:rPr>
          <w:rFonts w:eastAsia="Times New Roman" w:cstheme="minorHAnsi"/>
          <w:sz w:val="16"/>
          <w:szCs w:val="16"/>
          <w:lang w:eastAsia="en-GB"/>
        </w:rPr>
      </w:pPr>
    </w:p>
  </w:footnote>
  <w:footnote w:id="3">
    <w:p w:rsidR="00585DB3" w:rsidRPr="002020E5" w:rsidRDefault="00585DB3" w:rsidP="00585DB3">
      <w:pPr>
        <w:spacing w:after="0" w:line="240" w:lineRule="auto"/>
        <w:textAlignment w:val="baseline"/>
        <w:rPr>
          <w:rFonts w:eastAsia="Times New Roman" w:cstheme="minorHAnsi"/>
          <w:sz w:val="16"/>
          <w:szCs w:val="16"/>
          <w:lang w:eastAsia="en-GB"/>
        </w:rPr>
      </w:pPr>
      <w:r w:rsidRPr="002020E5">
        <w:rPr>
          <w:rStyle w:val="FootnoteReference"/>
          <w:rFonts w:cstheme="minorHAnsi"/>
          <w:sz w:val="16"/>
          <w:szCs w:val="16"/>
        </w:rPr>
        <w:footnoteRef/>
      </w:r>
      <w:r w:rsidRPr="002020E5">
        <w:rPr>
          <w:rFonts w:cstheme="minorHAnsi"/>
          <w:sz w:val="16"/>
          <w:szCs w:val="16"/>
        </w:rPr>
        <w:t xml:space="preserve"> </w:t>
      </w:r>
      <w:r w:rsidRPr="002020E5">
        <w:rPr>
          <w:rFonts w:eastAsia="Times New Roman" w:cstheme="minorHAnsi"/>
          <w:sz w:val="16"/>
          <w:szCs w:val="16"/>
          <w:lang w:eastAsia="en-GB"/>
        </w:rPr>
        <w:t xml:space="preserve">R.Ricci, ‘Perfect wedding, penniless life: Ali and Fatima in Sri Lankan Malay’, </w:t>
      </w:r>
      <w:r w:rsidRPr="002020E5">
        <w:rPr>
          <w:rFonts w:eastAsia="Times New Roman" w:cstheme="minorHAnsi"/>
          <w:i/>
          <w:sz w:val="16"/>
          <w:szCs w:val="16"/>
          <w:lang w:eastAsia="en-GB"/>
        </w:rPr>
        <w:t xml:space="preserve">South Asian History &amp; Culture; </w:t>
      </w:r>
      <w:r w:rsidRPr="002020E5">
        <w:rPr>
          <w:rFonts w:eastAsia="Times New Roman" w:cstheme="minorHAnsi"/>
          <w:sz w:val="16"/>
          <w:szCs w:val="16"/>
          <w:lang w:eastAsia="en-GB"/>
        </w:rPr>
        <w:t>2013, Vol.4, Issue 2, p266-277, p.268, [online]</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3" w:history="1">
        <w:r w:rsidR="00585DB3" w:rsidRPr="002020E5">
          <w:rPr>
            <w:rStyle w:val="Hyperlink"/>
            <w:rFonts w:eastAsia="Times New Roman" w:cstheme="minorHAnsi"/>
            <w:color w:val="auto"/>
            <w:sz w:val="16"/>
            <w:szCs w:val="16"/>
            <w:lang w:eastAsia="en-GB"/>
          </w:rPr>
          <w:t>https://web-a-ebscohost-com.ezproxy.uwtsd.ac.uk/ehost/pdfviewer/pdfviewer?vid=1&amp;sid=ba68e957-9e5f-4a7a-9a98-d0871c699b8a%40sdc-v-sessmgr04</w:t>
        </w:r>
      </w:hyperlink>
    </w:p>
    <w:p w:rsidR="00585DB3" w:rsidRDefault="00585DB3" w:rsidP="00585DB3">
      <w:pPr>
        <w:spacing w:after="0" w:line="240" w:lineRule="auto"/>
        <w:textAlignment w:val="baseline"/>
        <w:rPr>
          <w:rFonts w:eastAsia="Times New Roman" w:cstheme="minorHAnsi"/>
          <w:sz w:val="16"/>
          <w:szCs w:val="16"/>
          <w:lang w:eastAsia="en-GB"/>
        </w:rPr>
      </w:pPr>
      <w:r w:rsidRPr="002020E5">
        <w:rPr>
          <w:rFonts w:eastAsia="Times New Roman" w:cstheme="minorHAnsi"/>
          <w:sz w:val="16"/>
          <w:szCs w:val="16"/>
          <w:lang w:eastAsia="en-GB"/>
        </w:rPr>
        <w:t>[Accessed 14</w:t>
      </w:r>
      <w:r w:rsidRPr="002020E5">
        <w:rPr>
          <w:rFonts w:eastAsia="Times New Roman" w:cstheme="minorHAnsi"/>
          <w:sz w:val="16"/>
          <w:szCs w:val="16"/>
          <w:vertAlign w:val="superscript"/>
          <w:lang w:eastAsia="en-GB"/>
        </w:rPr>
        <w:t>th</w:t>
      </w:r>
      <w:r w:rsidRPr="002020E5">
        <w:rPr>
          <w:rFonts w:eastAsia="Times New Roman" w:cstheme="minorHAnsi"/>
          <w:sz w:val="16"/>
          <w:szCs w:val="16"/>
          <w:lang w:eastAsia="en-GB"/>
        </w:rPr>
        <w:t xml:space="preserve"> October 2018]</w:t>
      </w:r>
    </w:p>
    <w:p w:rsidR="00585DB3" w:rsidRPr="002020E5" w:rsidRDefault="00585DB3" w:rsidP="00585DB3">
      <w:pPr>
        <w:spacing w:after="0" w:line="240" w:lineRule="auto"/>
        <w:textAlignment w:val="baseline"/>
        <w:rPr>
          <w:rFonts w:eastAsia="Times New Roman" w:cstheme="minorHAnsi"/>
          <w:sz w:val="16"/>
          <w:szCs w:val="16"/>
          <w:lang w:eastAsia="en-GB"/>
        </w:rPr>
      </w:pPr>
    </w:p>
  </w:footnote>
  <w:footnote w:id="4">
    <w:p w:rsidR="00585DB3" w:rsidRPr="002020E5" w:rsidRDefault="00585DB3" w:rsidP="00585DB3">
      <w:pPr>
        <w:spacing w:after="0" w:line="240" w:lineRule="auto"/>
        <w:textAlignment w:val="baseline"/>
        <w:rPr>
          <w:rFonts w:cstheme="minorHAnsi"/>
          <w:sz w:val="16"/>
          <w:szCs w:val="16"/>
        </w:rPr>
      </w:pPr>
      <w:r w:rsidRPr="002020E5">
        <w:rPr>
          <w:rStyle w:val="FootnoteReference"/>
          <w:rFonts w:cstheme="minorHAnsi"/>
          <w:sz w:val="16"/>
          <w:szCs w:val="16"/>
        </w:rPr>
        <w:footnoteRef/>
      </w:r>
      <w:r w:rsidRPr="002020E5">
        <w:rPr>
          <w:rFonts w:cstheme="minorHAnsi"/>
          <w:sz w:val="16"/>
          <w:szCs w:val="16"/>
        </w:rPr>
        <w:t xml:space="preserve"> </w:t>
      </w:r>
      <w:r w:rsidRPr="002020E5">
        <w:rPr>
          <w:rFonts w:eastAsia="Times New Roman" w:cstheme="minorHAnsi"/>
          <w:sz w:val="16"/>
          <w:szCs w:val="16"/>
          <w:lang w:eastAsia="en-GB"/>
        </w:rPr>
        <w:t>G.W.Warner, ‘Tragedy, History, and the Sacred: The Hujjah of Fatimah al-Zahra’, ‘</w:t>
      </w:r>
      <w:r w:rsidRPr="002020E5">
        <w:rPr>
          <w:rFonts w:cstheme="minorHAnsi"/>
          <w:i/>
          <w:sz w:val="16"/>
          <w:szCs w:val="16"/>
        </w:rPr>
        <w:t>Journal of Shiʻa Islamic Studies’</w:t>
      </w:r>
      <w:r w:rsidRPr="002020E5">
        <w:rPr>
          <w:rFonts w:cstheme="minorHAnsi"/>
          <w:sz w:val="16"/>
          <w:szCs w:val="16"/>
        </w:rPr>
        <w:t>, 4 no 2 Spring 2011, p 147-162, p. 148, [online]</w:t>
      </w:r>
    </w:p>
    <w:p w:rsidR="00585DB3" w:rsidRPr="002020E5" w:rsidRDefault="00B266E9" w:rsidP="00585DB3">
      <w:pPr>
        <w:spacing w:after="0" w:line="240" w:lineRule="auto"/>
        <w:textAlignment w:val="baseline"/>
        <w:rPr>
          <w:rFonts w:cstheme="minorHAnsi"/>
          <w:sz w:val="16"/>
          <w:szCs w:val="16"/>
        </w:rPr>
      </w:pPr>
      <w:hyperlink r:id="rId4" w:history="1">
        <w:r w:rsidR="00585DB3" w:rsidRPr="002020E5">
          <w:rPr>
            <w:rStyle w:val="Hyperlink"/>
            <w:rFonts w:cstheme="minorHAnsi"/>
            <w:color w:val="auto"/>
            <w:sz w:val="16"/>
            <w:szCs w:val="16"/>
          </w:rPr>
          <w:t>https://web-a-ebscohost-com.ezproxy.uwtsd.ac.uk/ehost/pdfviewer/pdfviewer?vid=2&amp;sid=a7b1a3d9-6c2f-44c5-bea6-21ff195079e6%40sdc-v-sessmgr01</w:t>
        </w:r>
      </w:hyperlink>
    </w:p>
    <w:p w:rsidR="00585DB3" w:rsidRDefault="00585DB3" w:rsidP="00585DB3">
      <w:pPr>
        <w:spacing w:after="0" w:line="240" w:lineRule="auto"/>
        <w:textAlignment w:val="baseline"/>
        <w:rPr>
          <w:rFonts w:cstheme="minorHAnsi"/>
          <w:sz w:val="16"/>
          <w:szCs w:val="16"/>
        </w:rPr>
      </w:pPr>
      <w:r w:rsidRPr="002020E5">
        <w:rPr>
          <w:rFonts w:cstheme="minorHAnsi"/>
          <w:sz w:val="16"/>
          <w:szCs w:val="16"/>
        </w:rPr>
        <w:t>[Accessed 14</w:t>
      </w:r>
      <w:r w:rsidRPr="002020E5">
        <w:rPr>
          <w:rFonts w:cstheme="minorHAnsi"/>
          <w:sz w:val="16"/>
          <w:szCs w:val="16"/>
          <w:vertAlign w:val="superscript"/>
        </w:rPr>
        <w:t>th</w:t>
      </w:r>
      <w:r w:rsidRPr="002020E5">
        <w:rPr>
          <w:rFonts w:cstheme="minorHAnsi"/>
          <w:sz w:val="16"/>
          <w:szCs w:val="16"/>
        </w:rPr>
        <w:t xml:space="preserve"> October 2018]</w:t>
      </w:r>
    </w:p>
    <w:p w:rsidR="00585DB3" w:rsidRPr="002020E5" w:rsidRDefault="00585DB3" w:rsidP="00585DB3">
      <w:pPr>
        <w:spacing w:after="0" w:line="240" w:lineRule="auto"/>
        <w:textAlignment w:val="baseline"/>
        <w:rPr>
          <w:rFonts w:cstheme="minorHAnsi"/>
          <w:sz w:val="16"/>
          <w:szCs w:val="16"/>
        </w:rPr>
      </w:pPr>
    </w:p>
  </w:footnote>
  <w:footnote w:id="5">
    <w:p w:rsidR="00585DB3" w:rsidRDefault="00585DB3" w:rsidP="00585DB3">
      <w:pPr>
        <w:pStyle w:val="FootnoteText"/>
        <w:rPr>
          <w:rFonts w:cstheme="minorHAnsi"/>
          <w:sz w:val="16"/>
          <w:szCs w:val="16"/>
        </w:rPr>
      </w:pPr>
      <w:r w:rsidRPr="002020E5">
        <w:rPr>
          <w:rStyle w:val="FootnoteReference"/>
          <w:rFonts w:cstheme="minorHAnsi"/>
          <w:sz w:val="16"/>
          <w:szCs w:val="16"/>
        </w:rPr>
        <w:footnoteRef/>
      </w:r>
      <w:r w:rsidRPr="002020E5">
        <w:rPr>
          <w:rFonts w:cstheme="minorHAnsi"/>
          <w:sz w:val="16"/>
          <w:szCs w:val="16"/>
        </w:rPr>
        <w:t xml:space="preserve"> Ricci, p.268</w:t>
      </w:r>
    </w:p>
    <w:p w:rsidR="00585DB3" w:rsidRPr="002020E5" w:rsidRDefault="00585DB3" w:rsidP="00585DB3">
      <w:pPr>
        <w:pStyle w:val="FootnoteText"/>
        <w:rPr>
          <w:rFonts w:cstheme="minorHAnsi"/>
          <w:sz w:val="16"/>
          <w:szCs w:val="16"/>
        </w:rPr>
      </w:pPr>
    </w:p>
  </w:footnote>
  <w:footnote w:id="6">
    <w:p w:rsidR="00585DB3" w:rsidRDefault="00585DB3" w:rsidP="00585DB3">
      <w:pPr>
        <w:pStyle w:val="FootnoteText"/>
        <w:rPr>
          <w:rFonts w:cstheme="minorHAnsi"/>
          <w:sz w:val="16"/>
          <w:szCs w:val="16"/>
        </w:rPr>
      </w:pPr>
      <w:r w:rsidRPr="002020E5">
        <w:rPr>
          <w:rStyle w:val="FootnoteReference"/>
          <w:rFonts w:cstheme="minorHAnsi"/>
          <w:sz w:val="16"/>
          <w:szCs w:val="16"/>
        </w:rPr>
        <w:footnoteRef/>
      </w:r>
      <w:r w:rsidRPr="002020E5">
        <w:rPr>
          <w:rFonts w:cstheme="minorHAnsi"/>
          <w:sz w:val="16"/>
          <w:szCs w:val="16"/>
        </w:rPr>
        <w:t xml:space="preserve"> Warner, p.148</w:t>
      </w:r>
    </w:p>
    <w:p w:rsidR="00585DB3" w:rsidRPr="002020E5" w:rsidRDefault="00585DB3" w:rsidP="00585DB3">
      <w:pPr>
        <w:pStyle w:val="FootnoteText"/>
        <w:rPr>
          <w:rFonts w:cstheme="minorHAnsi"/>
          <w:sz w:val="16"/>
          <w:szCs w:val="16"/>
        </w:rPr>
      </w:pPr>
    </w:p>
  </w:footnote>
  <w:footnote w:id="7">
    <w:p w:rsidR="00585DB3" w:rsidRPr="002020E5" w:rsidRDefault="00585DB3" w:rsidP="00585DB3">
      <w:pPr>
        <w:spacing w:after="0" w:line="240" w:lineRule="auto"/>
        <w:textAlignment w:val="baseline"/>
        <w:rPr>
          <w:rFonts w:cstheme="minorHAnsi"/>
          <w:sz w:val="16"/>
          <w:szCs w:val="16"/>
        </w:rPr>
      </w:pPr>
      <w:r w:rsidRPr="002020E5">
        <w:rPr>
          <w:rStyle w:val="FootnoteReference"/>
          <w:rFonts w:cstheme="minorHAnsi"/>
          <w:sz w:val="16"/>
          <w:szCs w:val="16"/>
        </w:rPr>
        <w:footnoteRef/>
      </w:r>
      <w:r w:rsidRPr="002020E5">
        <w:rPr>
          <w:rFonts w:cstheme="minorHAnsi"/>
          <w:sz w:val="16"/>
          <w:szCs w:val="16"/>
        </w:rPr>
        <w:t xml:space="preserve"> Unknown author, unknown date, ‘Ali ibn Abi Talib’, Oxford Islamic Studies Online, Oxford University Press.</w:t>
      </w:r>
    </w:p>
    <w:p w:rsidR="00585DB3" w:rsidRPr="002020E5" w:rsidRDefault="00B266E9" w:rsidP="00585DB3">
      <w:pPr>
        <w:spacing w:after="0" w:line="240" w:lineRule="auto"/>
        <w:textAlignment w:val="baseline"/>
        <w:rPr>
          <w:rFonts w:cstheme="minorHAnsi"/>
          <w:sz w:val="16"/>
          <w:szCs w:val="16"/>
        </w:rPr>
      </w:pPr>
      <w:hyperlink r:id="rId5" w:history="1">
        <w:r w:rsidR="00585DB3" w:rsidRPr="002020E5">
          <w:rPr>
            <w:rStyle w:val="Hyperlink"/>
            <w:rFonts w:cstheme="minorHAnsi"/>
            <w:color w:val="auto"/>
            <w:sz w:val="16"/>
            <w:szCs w:val="16"/>
          </w:rPr>
          <w:t>http://www.oxfordislamicstudies.com.ezproxy.uwtsd.ac.uk/article/opr/t243/e21?_hi=0&amp;_pos=2</w:t>
        </w:r>
      </w:hyperlink>
    </w:p>
    <w:p w:rsidR="00585DB3" w:rsidRDefault="00585DB3" w:rsidP="00585DB3">
      <w:pPr>
        <w:spacing w:after="0" w:line="240" w:lineRule="auto"/>
        <w:textAlignment w:val="baseline"/>
        <w:rPr>
          <w:rFonts w:cstheme="minorHAnsi"/>
          <w:sz w:val="16"/>
          <w:szCs w:val="16"/>
        </w:rPr>
      </w:pPr>
      <w:r w:rsidRPr="002020E5">
        <w:rPr>
          <w:rFonts w:cstheme="minorHAnsi"/>
          <w:sz w:val="16"/>
          <w:szCs w:val="16"/>
        </w:rPr>
        <w:t>[Accessed 14</w:t>
      </w:r>
      <w:r w:rsidRPr="002020E5">
        <w:rPr>
          <w:rFonts w:cstheme="minorHAnsi"/>
          <w:sz w:val="16"/>
          <w:szCs w:val="16"/>
          <w:vertAlign w:val="superscript"/>
        </w:rPr>
        <w:t>th</w:t>
      </w:r>
      <w:r w:rsidRPr="002020E5">
        <w:rPr>
          <w:rFonts w:cstheme="minorHAnsi"/>
          <w:sz w:val="16"/>
          <w:szCs w:val="16"/>
        </w:rPr>
        <w:t xml:space="preserve"> October 2018]</w:t>
      </w:r>
    </w:p>
    <w:p w:rsidR="00585DB3" w:rsidRPr="002020E5" w:rsidRDefault="00585DB3" w:rsidP="00585DB3">
      <w:pPr>
        <w:spacing w:after="0" w:line="240" w:lineRule="auto"/>
        <w:textAlignment w:val="baseline"/>
        <w:rPr>
          <w:rFonts w:cstheme="minorHAnsi"/>
          <w:sz w:val="16"/>
          <w:szCs w:val="16"/>
        </w:rPr>
      </w:pPr>
    </w:p>
  </w:footnote>
  <w:footnote w:id="8">
    <w:p w:rsidR="00585DB3" w:rsidRDefault="00585DB3" w:rsidP="00585DB3">
      <w:pPr>
        <w:pStyle w:val="FootnoteText"/>
        <w:rPr>
          <w:rFonts w:cstheme="minorHAnsi"/>
          <w:sz w:val="16"/>
          <w:szCs w:val="16"/>
        </w:rPr>
      </w:pPr>
      <w:r w:rsidRPr="002020E5">
        <w:rPr>
          <w:rStyle w:val="FootnoteReference"/>
          <w:rFonts w:cstheme="minorHAnsi"/>
          <w:sz w:val="16"/>
          <w:szCs w:val="16"/>
        </w:rPr>
        <w:footnoteRef/>
      </w:r>
      <w:r w:rsidRPr="002020E5">
        <w:rPr>
          <w:rFonts w:cstheme="minorHAnsi"/>
          <w:sz w:val="16"/>
          <w:szCs w:val="16"/>
        </w:rPr>
        <w:t xml:space="preserve"> Ricci, p.268</w:t>
      </w:r>
    </w:p>
    <w:p w:rsidR="00585DB3" w:rsidRPr="002020E5" w:rsidRDefault="00585DB3" w:rsidP="00585DB3">
      <w:pPr>
        <w:pStyle w:val="FootnoteText"/>
        <w:rPr>
          <w:rFonts w:cstheme="minorHAnsi"/>
          <w:sz w:val="16"/>
          <w:szCs w:val="16"/>
        </w:rPr>
      </w:pPr>
    </w:p>
  </w:footnote>
  <w:footnote w:id="9">
    <w:p w:rsidR="00585DB3" w:rsidRPr="002020E5" w:rsidRDefault="00585DB3" w:rsidP="00585DB3">
      <w:pPr>
        <w:pStyle w:val="FootnoteText"/>
      </w:pPr>
      <w:r w:rsidRPr="002020E5">
        <w:rPr>
          <w:rStyle w:val="FootnoteReference"/>
        </w:rPr>
        <w:footnoteRef/>
      </w:r>
      <w:r w:rsidRPr="002020E5">
        <w:t xml:space="preserve"> </w:t>
      </w:r>
      <w:r w:rsidRPr="002020E5">
        <w:rPr>
          <w:sz w:val="16"/>
          <w:szCs w:val="16"/>
        </w:rPr>
        <w:t>Ricci, ibid</w:t>
      </w:r>
    </w:p>
  </w:footnote>
  <w:footnote w:id="10">
    <w:p w:rsidR="00585DB3" w:rsidRDefault="00585DB3" w:rsidP="00585DB3">
      <w:pPr>
        <w:pStyle w:val="FootnoteText"/>
        <w:rPr>
          <w:sz w:val="16"/>
          <w:szCs w:val="16"/>
        </w:rPr>
      </w:pPr>
      <w:r w:rsidRPr="002020E5">
        <w:rPr>
          <w:rStyle w:val="FootnoteReference"/>
        </w:rPr>
        <w:footnoteRef/>
      </w:r>
      <w:r w:rsidRPr="002020E5">
        <w:t xml:space="preserve"> </w:t>
      </w:r>
      <w:r w:rsidRPr="002020E5">
        <w:rPr>
          <w:sz w:val="16"/>
          <w:szCs w:val="16"/>
        </w:rPr>
        <w:t>Ricci, p.268</w:t>
      </w:r>
    </w:p>
    <w:p w:rsidR="00585DB3" w:rsidRDefault="00585DB3" w:rsidP="00585DB3">
      <w:pPr>
        <w:pStyle w:val="FootnoteText"/>
      </w:pPr>
    </w:p>
  </w:footnote>
  <w:footnote w:id="11">
    <w:p w:rsidR="00585DB3" w:rsidRDefault="00585DB3" w:rsidP="00585DB3">
      <w:pPr>
        <w:spacing w:after="0" w:line="240" w:lineRule="auto"/>
        <w:textAlignment w:val="baseline"/>
        <w:rPr>
          <w:rFonts w:cstheme="minorHAnsi"/>
          <w:sz w:val="16"/>
          <w:szCs w:val="16"/>
        </w:rPr>
      </w:pPr>
      <w:r>
        <w:rPr>
          <w:rStyle w:val="FootnoteReference"/>
        </w:rPr>
        <w:footnoteRef/>
      </w:r>
      <w:r>
        <w:t xml:space="preserve"> </w:t>
      </w:r>
      <w:r w:rsidRPr="009E6845">
        <w:rPr>
          <w:rFonts w:cstheme="minorHAnsi"/>
          <w:color w:val="333333"/>
          <w:sz w:val="16"/>
          <w:szCs w:val="16"/>
        </w:rPr>
        <w:t>S. Kara, ‘</w:t>
      </w:r>
      <w:r w:rsidRPr="009E6845">
        <w:rPr>
          <w:rFonts w:cstheme="minorHAnsi"/>
          <w:color w:val="333333"/>
          <w:sz w:val="16"/>
          <w:szCs w:val="16"/>
          <w:bdr w:val="none" w:sz="0" w:space="0" w:color="auto" w:frame="1"/>
        </w:rPr>
        <w:t xml:space="preserve">The Suppression of 'Ali ibn Abi Ṭalib's Codex: Study of the Traditions on the Earliest Copy of the Qur'an’; </w:t>
      </w:r>
      <w:hyperlink r:id="rId6" w:tooltip="Search for Journal of Near Eastern Studies" w:history="1">
        <w:r w:rsidRPr="002020E5">
          <w:rPr>
            <w:rStyle w:val="Hyperlink"/>
            <w:rFonts w:cstheme="minorHAnsi"/>
            <w:color w:val="auto"/>
            <w:sz w:val="16"/>
            <w:szCs w:val="16"/>
            <w:u w:val="none"/>
            <w:bdr w:val="none" w:sz="0" w:space="0" w:color="auto" w:frame="1"/>
          </w:rPr>
          <w:t>Journal of Near Eastern Studies</w:t>
        </w:r>
      </w:hyperlink>
      <w:r w:rsidRPr="002020E5">
        <w:rPr>
          <w:rFonts w:cstheme="minorHAnsi"/>
          <w:sz w:val="16"/>
          <w:szCs w:val="16"/>
        </w:rPr>
        <w:t>; Oct 2016, Vol. 75 Issue 2, p267-289, p.268, [online]</w:t>
      </w:r>
    </w:p>
    <w:p w:rsidR="00585DB3" w:rsidRPr="002020E5" w:rsidRDefault="00585DB3" w:rsidP="00585DB3">
      <w:pPr>
        <w:spacing w:after="0" w:line="240" w:lineRule="auto"/>
        <w:textAlignment w:val="baseline"/>
        <w:rPr>
          <w:rFonts w:cstheme="minorHAnsi"/>
          <w:sz w:val="16"/>
          <w:szCs w:val="16"/>
        </w:rPr>
      </w:pPr>
    </w:p>
    <w:p w:rsidR="00585DB3" w:rsidRPr="002020E5" w:rsidRDefault="00B266E9" w:rsidP="00585DB3">
      <w:pPr>
        <w:spacing w:after="0" w:line="240" w:lineRule="auto"/>
        <w:textAlignment w:val="baseline"/>
        <w:rPr>
          <w:rFonts w:cstheme="minorHAnsi"/>
          <w:sz w:val="16"/>
          <w:szCs w:val="16"/>
        </w:rPr>
      </w:pPr>
      <w:hyperlink r:id="rId7" w:history="1">
        <w:r w:rsidR="00585DB3" w:rsidRPr="002020E5">
          <w:rPr>
            <w:rStyle w:val="Hyperlink"/>
            <w:rFonts w:cstheme="minorHAnsi"/>
            <w:color w:val="auto"/>
            <w:sz w:val="16"/>
            <w:szCs w:val="16"/>
          </w:rPr>
          <w:t>https://web-b-ebscohost-com.ezproxy.uwtsd.ac.uk/ehost/pdfviewer/pdfviewer?vid=1&amp;sid=16c993c2-b342-42c3-9215-7a5d131c473d%40sessionmgr103</w:t>
        </w:r>
      </w:hyperlink>
    </w:p>
    <w:p w:rsidR="00585DB3" w:rsidRDefault="00585DB3" w:rsidP="00585DB3">
      <w:pPr>
        <w:spacing w:after="0" w:line="240" w:lineRule="auto"/>
        <w:textAlignment w:val="baseline"/>
        <w:rPr>
          <w:rFonts w:cstheme="minorHAnsi"/>
          <w:sz w:val="16"/>
          <w:szCs w:val="16"/>
        </w:rPr>
      </w:pPr>
      <w:r w:rsidRPr="002020E5">
        <w:rPr>
          <w:rFonts w:cstheme="minorHAnsi"/>
          <w:sz w:val="16"/>
          <w:szCs w:val="16"/>
        </w:rPr>
        <w:t>[Accessed 20</w:t>
      </w:r>
      <w:r w:rsidRPr="002020E5">
        <w:rPr>
          <w:rFonts w:cstheme="minorHAnsi"/>
          <w:sz w:val="16"/>
          <w:szCs w:val="16"/>
          <w:vertAlign w:val="superscript"/>
        </w:rPr>
        <w:t>th</w:t>
      </w:r>
      <w:r w:rsidRPr="002020E5">
        <w:rPr>
          <w:rFonts w:cstheme="minorHAnsi"/>
          <w:sz w:val="16"/>
          <w:szCs w:val="16"/>
        </w:rPr>
        <w:t xml:space="preserve"> October 2018]</w:t>
      </w:r>
    </w:p>
    <w:p w:rsidR="00585DB3" w:rsidRPr="002020E5" w:rsidRDefault="00585DB3" w:rsidP="00585DB3">
      <w:pPr>
        <w:spacing w:after="0" w:line="240" w:lineRule="auto"/>
        <w:textAlignment w:val="baseline"/>
        <w:rPr>
          <w:rFonts w:cstheme="minorHAnsi"/>
          <w:sz w:val="16"/>
          <w:szCs w:val="16"/>
        </w:rPr>
      </w:pPr>
    </w:p>
  </w:footnote>
  <w:footnote w:id="12">
    <w:p w:rsidR="00585DB3" w:rsidRPr="002020E5" w:rsidRDefault="00585DB3" w:rsidP="00585DB3">
      <w:pPr>
        <w:spacing w:after="0" w:line="240" w:lineRule="auto"/>
        <w:textAlignment w:val="baseline"/>
        <w:rPr>
          <w:rFonts w:eastAsia="Times New Roman" w:cstheme="minorHAnsi"/>
          <w:sz w:val="16"/>
          <w:szCs w:val="16"/>
          <w:lang w:eastAsia="en-GB"/>
        </w:rPr>
      </w:pPr>
      <w:r w:rsidRPr="002020E5">
        <w:rPr>
          <w:rStyle w:val="FootnoteReference"/>
        </w:rPr>
        <w:footnoteRef/>
      </w:r>
      <w:r w:rsidRPr="002020E5">
        <w:t xml:space="preserve"> </w:t>
      </w:r>
      <w:r w:rsidRPr="002020E5">
        <w:rPr>
          <w:rFonts w:eastAsia="Times New Roman" w:cstheme="minorHAnsi"/>
          <w:sz w:val="16"/>
          <w:szCs w:val="16"/>
          <w:lang w:eastAsia="en-GB"/>
        </w:rPr>
        <w:t>F. Mernissi, ‘The veil and the male elite; a feminist interpretation of women’s rights in Islam’, translated to English M.J.Lakeland, (Perseus Books Publishing, Cambridge, Massachusetts,1987) [online], p.32-33</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8" w:anchor="/6/10[xhtml00000005]!/4/1:0" w:history="1">
        <w:r w:rsidR="00585DB3" w:rsidRPr="002020E5">
          <w:rPr>
            <w:rStyle w:val="Hyperlink"/>
            <w:rFonts w:eastAsia="Times New Roman" w:cstheme="minorHAnsi"/>
            <w:color w:val="auto"/>
            <w:sz w:val="16"/>
            <w:szCs w:val="16"/>
            <w:lang w:eastAsia="en-GB"/>
          </w:rPr>
          <w:t>https://www-fulcrum-org.ezproxy.uwtsd.ac.uk/epubs/n009w255c?locale=en#/6/10[xhtml00000005]!/4/1:0</w:t>
        </w:r>
      </w:hyperlink>
    </w:p>
    <w:p w:rsidR="00585DB3" w:rsidRDefault="00585DB3" w:rsidP="00585DB3">
      <w:pPr>
        <w:spacing w:after="0" w:line="240" w:lineRule="auto"/>
        <w:textAlignment w:val="baseline"/>
        <w:rPr>
          <w:rFonts w:eastAsia="Times New Roman" w:cstheme="minorHAnsi"/>
          <w:sz w:val="16"/>
          <w:szCs w:val="16"/>
          <w:lang w:eastAsia="en-GB"/>
        </w:rPr>
      </w:pPr>
      <w:r w:rsidRPr="002020E5">
        <w:rPr>
          <w:rFonts w:eastAsia="Times New Roman" w:cstheme="minorHAnsi"/>
          <w:sz w:val="16"/>
          <w:szCs w:val="16"/>
          <w:lang w:eastAsia="en-GB"/>
        </w:rPr>
        <w:t>[Accessed 15</w:t>
      </w:r>
      <w:r w:rsidRPr="002020E5">
        <w:rPr>
          <w:rFonts w:eastAsia="Times New Roman" w:cstheme="minorHAnsi"/>
          <w:sz w:val="16"/>
          <w:szCs w:val="16"/>
          <w:vertAlign w:val="superscript"/>
          <w:lang w:eastAsia="en-GB"/>
        </w:rPr>
        <w:t>th</w:t>
      </w:r>
      <w:r w:rsidRPr="002020E5">
        <w:rPr>
          <w:rFonts w:eastAsia="Times New Roman" w:cstheme="minorHAnsi"/>
          <w:sz w:val="16"/>
          <w:szCs w:val="16"/>
          <w:lang w:eastAsia="en-GB"/>
        </w:rPr>
        <w:t xml:space="preserve"> October 2018]</w:t>
      </w:r>
    </w:p>
    <w:p w:rsidR="00585DB3" w:rsidRPr="002020E5" w:rsidRDefault="00585DB3" w:rsidP="00585DB3">
      <w:pPr>
        <w:spacing w:after="0" w:line="240" w:lineRule="auto"/>
        <w:textAlignment w:val="baseline"/>
        <w:rPr>
          <w:rFonts w:eastAsia="Times New Roman" w:cstheme="minorHAnsi"/>
          <w:sz w:val="16"/>
          <w:szCs w:val="16"/>
          <w:lang w:eastAsia="en-GB"/>
        </w:rPr>
      </w:pPr>
    </w:p>
  </w:footnote>
  <w:footnote w:id="13">
    <w:p w:rsidR="00585DB3" w:rsidRDefault="00585DB3" w:rsidP="00585DB3">
      <w:pPr>
        <w:pStyle w:val="FootnoteText"/>
        <w:rPr>
          <w:sz w:val="16"/>
          <w:szCs w:val="16"/>
        </w:rPr>
      </w:pPr>
      <w:r w:rsidRPr="002020E5">
        <w:rPr>
          <w:rStyle w:val="FootnoteReference"/>
        </w:rPr>
        <w:footnoteRef/>
      </w:r>
      <w:r w:rsidRPr="002020E5">
        <w:t xml:space="preserve"> </w:t>
      </w:r>
      <w:r w:rsidRPr="002020E5">
        <w:rPr>
          <w:sz w:val="16"/>
          <w:szCs w:val="16"/>
        </w:rPr>
        <w:t>Mernissi, p.33</w:t>
      </w:r>
    </w:p>
    <w:p w:rsidR="00585DB3" w:rsidRPr="002020E5" w:rsidRDefault="00585DB3" w:rsidP="00585DB3">
      <w:pPr>
        <w:pStyle w:val="FootnoteText"/>
      </w:pPr>
    </w:p>
  </w:footnote>
  <w:footnote w:id="14">
    <w:p w:rsidR="00585DB3" w:rsidRDefault="00585DB3" w:rsidP="00585DB3">
      <w:pPr>
        <w:pStyle w:val="FootnoteText"/>
        <w:rPr>
          <w:sz w:val="16"/>
          <w:szCs w:val="16"/>
        </w:rPr>
      </w:pPr>
      <w:r w:rsidRPr="002020E5">
        <w:rPr>
          <w:rStyle w:val="FootnoteReference"/>
        </w:rPr>
        <w:footnoteRef/>
      </w:r>
      <w:r w:rsidRPr="002020E5">
        <w:t xml:space="preserve"> </w:t>
      </w:r>
      <w:r w:rsidRPr="002020E5">
        <w:rPr>
          <w:sz w:val="16"/>
          <w:szCs w:val="16"/>
        </w:rPr>
        <w:t>Donner, ibid</w:t>
      </w:r>
    </w:p>
    <w:p w:rsidR="00585DB3" w:rsidRPr="002020E5" w:rsidRDefault="00585DB3" w:rsidP="00585DB3">
      <w:pPr>
        <w:pStyle w:val="FootnoteText"/>
      </w:pPr>
    </w:p>
  </w:footnote>
  <w:footnote w:id="15">
    <w:p w:rsidR="00585DB3" w:rsidRPr="002020E5" w:rsidRDefault="00585DB3" w:rsidP="00585DB3">
      <w:pPr>
        <w:spacing w:after="0" w:line="240" w:lineRule="auto"/>
        <w:textAlignment w:val="baseline"/>
        <w:rPr>
          <w:rFonts w:eastAsia="Times New Roman" w:cstheme="minorHAnsi"/>
          <w:sz w:val="16"/>
          <w:szCs w:val="16"/>
          <w:lang w:eastAsia="en-GB"/>
        </w:rPr>
      </w:pPr>
      <w:r w:rsidRPr="002020E5">
        <w:rPr>
          <w:rStyle w:val="FootnoteReference"/>
        </w:rPr>
        <w:footnoteRef/>
      </w:r>
      <w:r w:rsidRPr="002020E5">
        <w:t xml:space="preserve"> </w:t>
      </w:r>
      <w:r w:rsidRPr="002020E5">
        <w:rPr>
          <w:rFonts w:eastAsia="Times New Roman" w:cstheme="minorHAnsi"/>
          <w:sz w:val="16"/>
          <w:szCs w:val="16"/>
          <w:lang w:eastAsia="en-GB"/>
        </w:rPr>
        <w:t>W.Madelung, ‘The succession to Muhammad; a study of the early Caliphate’, (Cambridge University Press, 1987, repr. 2004), p.1, [online]</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9" w:history="1">
        <w:r w:rsidR="00585DB3" w:rsidRPr="002020E5">
          <w:rPr>
            <w:rStyle w:val="Hyperlink"/>
            <w:rFonts w:eastAsia="Times New Roman" w:cstheme="minorHAnsi"/>
            <w:color w:val="auto"/>
            <w:sz w:val="16"/>
            <w:szCs w:val="16"/>
            <w:lang w:eastAsia="en-GB"/>
          </w:rPr>
          <w:t>https://www.world-federation.org/sites/default/files/uploaded_files/The_Succession_to_Muhammad-Wilferd_Madelung.pdf</w:t>
        </w:r>
      </w:hyperlink>
    </w:p>
    <w:p w:rsidR="00585DB3" w:rsidRPr="009A76D2" w:rsidRDefault="00585DB3" w:rsidP="00585DB3">
      <w:pPr>
        <w:spacing w:after="0" w:line="240" w:lineRule="auto"/>
        <w:textAlignment w:val="baseline"/>
        <w:rPr>
          <w:rFonts w:eastAsia="Times New Roman" w:cstheme="minorHAnsi"/>
          <w:color w:val="333333"/>
          <w:sz w:val="16"/>
          <w:szCs w:val="16"/>
          <w:lang w:eastAsia="en-GB"/>
        </w:rPr>
      </w:pPr>
      <w:r w:rsidRPr="009A76D2">
        <w:rPr>
          <w:rFonts w:eastAsia="Times New Roman" w:cstheme="minorHAnsi"/>
          <w:color w:val="333333"/>
          <w:sz w:val="16"/>
          <w:szCs w:val="16"/>
          <w:lang w:eastAsia="en-GB"/>
        </w:rPr>
        <w:t>[Accessed 15</w:t>
      </w:r>
      <w:r w:rsidRPr="009A76D2">
        <w:rPr>
          <w:rFonts w:eastAsia="Times New Roman" w:cstheme="minorHAnsi"/>
          <w:color w:val="333333"/>
          <w:sz w:val="16"/>
          <w:szCs w:val="16"/>
          <w:vertAlign w:val="superscript"/>
          <w:lang w:eastAsia="en-GB"/>
        </w:rPr>
        <w:t>th</w:t>
      </w:r>
      <w:r w:rsidRPr="009A76D2">
        <w:rPr>
          <w:rFonts w:eastAsia="Times New Roman" w:cstheme="minorHAnsi"/>
          <w:color w:val="333333"/>
          <w:sz w:val="16"/>
          <w:szCs w:val="16"/>
          <w:lang w:eastAsia="en-GB"/>
        </w:rPr>
        <w:t xml:space="preserve"> October 2018]</w:t>
      </w:r>
    </w:p>
    <w:p w:rsidR="00585DB3" w:rsidRDefault="00585DB3" w:rsidP="00585DB3">
      <w:pPr>
        <w:pStyle w:val="FootnoteText"/>
      </w:pPr>
    </w:p>
  </w:footnote>
  <w:footnote w:id="16">
    <w:p w:rsidR="00585DB3" w:rsidRDefault="00585DB3" w:rsidP="00585DB3">
      <w:pPr>
        <w:pStyle w:val="FootnoteText"/>
        <w:rPr>
          <w:sz w:val="16"/>
          <w:szCs w:val="16"/>
        </w:rPr>
      </w:pPr>
      <w:r>
        <w:rPr>
          <w:rStyle w:val="FootnoteReference"/>
        </w:rPr>
        <w:footnoteRef/>
      </w:r>
      <w:r>
        <w:t xml:space="preserve"> </w:t>
      </w:r>
      <w:r w:rsidRPr="00950AD1">
        <w:rPr>
          <w:sz w:val="16"/>
          <w:szCs w:val="16"/>
        </w:rPr>
        <w:t>Madelung, p.78</w:t>
      </w:r>
    </w:p>
    <w:p w:rsidR="00585DB3" w:rsidRDefault="00585DB3" w:rsidP="00585DB3">
      <w:pPr>
        <w:pStyle w:val="FootnoteText"/>
      </w:pPr>
    </w:p>
  </w:footnote>
  <w:footnote w:id="17">
    <w:p w:rsidR="00585DB3" w:rsidRDefault="00585DB3" w:rsidP="00585DB3">
      <w:pPr>
        <w:pStyle w:val="FootnoteText"/>
        <w:rPr>
          <w:sz w:val="16"/>
          <w:szCs w:val="16"/>
        </w:rPr>
      </w:pPr>
      <w:r>
        <w:rPr>
          <w:rStyle w:val="FootnoteReference"/>
        </w:rPr>
        <w:footnoteRef/>
      </w:r>
      <w:r>
        <w:t xml:space="preserve"> </w:t>
      </w:r>
      <w:r w:rsidRPr="00950AD1">
        <w:rPr>
          <w:sz w:val="16"/>
          <w:szCs w:val="16"/>
        </w:rPr>
        <w:t>Mernissi, p.36</w:t>
      </w:r>
    </w:p>
    <w:p w:rsidR="00585DB3" w:rsidRDefault="00585DB3" w:rsidP="00585DB3">
      <w:pPr>
        <w:pStyle w:val="FootnoteText"/>
      </w:pPr>
    </w:p>
  </w:footnote>
  <w:footnote w:id="18">
    <w:p w:rsidR="00585DB3" w:rsidRPr="00950AD1" w:rsidRDefault="00585DB3" w:rsidP="00585DB3">
      <w:pPr>
        <w:spacing w:after="0" w:line="240" w:lineRule="auto"/>
        <w:textAlignment w:val="baseline"/>
        <w:rPr>
          <w:rFonts w:cstheme="minorHAnsi"/>
          <w:sz w:val="16"/>
          <w:szCs w:val="16"/>
        </w:rPr>
      </w:pPr>
      <w:r>
        <w:rPr>
          <w:rStyle w:val="FootnoteReference"/>
        </w:rPr>
        <w:footnoteRef/>
      </w:r>
      <w:r>
        <w:t xml:space="preserve"> </w:t>
      </w:r>
      <w:r w:rsidRPr="00950AD1">
        <w:rPr>
          <w:rFonts w:cstheme="minorHAnsi"/>
          <w:sz w:val="16"/>
          <w:szCs w:val="16"/>
        </w:rPr>
        <w:t>M.A. Amir-Moezzi, ‘The Silent Qur'an and the Speaking Qur'an: History and Scriptures through the Study of Some Ancient Texts’ Studia Islamica, Vol. 108, No. 2 (2013), pp. 143-174, p.145 [online]</w:t>
      </w:r>
    </w:p>
    <w:p w:rsidR="00585DB3" w:rsidRPr="002020E5" w:rsidRDefault="00B266E9" w:rsidP="00585DB3">
      <w:pPr>
        <w:spacing w:after="0" w:line="240" w:lineRule="auto"/>
        <w:textAlignment w:val="baseline"/>
        <w:rPr>
          <w:rFonts w:eastAsia="Times New Roman" w:cstheme="minorHAnsi"/>
          <w:sz w:val="16"/>
          <w:szCs w:val="16"/>
          <w:lang w:eastAsia="en-GB"/>
        </w:rPr>
      </w:pPr>
      <w:hyperlink r:id="rId10" w:history="1">
        <w:r w:rsidR="00585DB3" w:rsidRPr="002020E5">
          <w:rPr>
            <w:rStyle w:val="Hyperlink"/>
            <w:rFonts w:eastAsia="Times New Roman" w:cstheme="minorHAnsi"/>
            <w:color w:val="auto"/>
            <w:sz w:val="16"/>
            <w:szCs w:val="16"/>
            <w:lang w:eastAsia="en-GB"/>
          </w:rPr>
          <w:t>https://www-jstor-org.ezproxy.uwtsd.ac.uk/stable/pdf/43577545.pdf?refreqid=excelsior%3A3ceb13e03a5a88055866b8aadc78b369</w:t>
        </w:r>
      </w:hyperlink>
    </w:p>
    <w:p w:rsidR="00585DB3" w:rsidRPr="002020E5" w:rsidRDefault="00585DB3" w:rsidP="00585DB3">
      <w:pPr>
        <w:pStyle w:val="FootnoteText"/>
      </w:pPr>
    </w:p>
  </w:footnote>
  <w:footnote w:id="19">
    <w:p w:rsidR="00585DB3" w:rsidRDefault="00585DB3" w:rsidP="00585DB3">
      <w:pPr>
        <w:pStyle w:val="FootnoteText"/>
        <w:rPr>
          <w:sz w:val="16"/>
          <w:szCs w:val="16"/>
        </w:rPr>
      </w:pPr>
      <w:r>
        <w:rPr>
          <w:rStyle w:val="FootnoteReference"/>
        </w:rPr>
        <w:footnoteRef/>
      </w:r>
      <w:r>
        <w:t xml:space="preserve"> </w:t>
      </w:r>
      <w:r w:rsidRPr="00E03965">
        <w:rPr>
          <w:sz w:val="16"/>
          <w:szCs w:val="16"/>
        </w:rPr>
        <w:t>Mernissi, p.34</w:t>
      </w:r>
    </w:p>
    <w:p w:rsidR="00585DB3" w:rsidRDefault="00585DB3" w:rsidP="00585DB3">
      <w:pPr>
        <w:pStyle w:val="FootnoteText"/>
      </w:pPr>
    </w:p>
  </w:footnote>
  <w:footnote w:id="20">
    <w:p w:rsidR="00585DB3" w:rsidRDefault="00585DB3" w:rsidP="00585DB3">
      <w:pPr>
        <w:pStyle w:val="FootnoteText"/>
        <w:rPr>
          <w:sz w:val="16"/>
          <w:szCs w:val="16"/>
        </w:rPr>
      </w:pPr>
      <w:r>
        <w:rPr>
          <w:rStyle w:val="FootnoteReference"/>
        </w:rPr>
        <w:footnoteRef/>
      </w:r>
      <w:r>
        <w:t xml:space="preserve"> </w:t>
      </w:r>
      <w:r w:rsidRPr="003B3A05">
        <w:rPr>
          <w:sz w:val="16"/>
          <w:szCs w:val="16"/>
        </w:rPr>
        <w:t>Mernissi, pp34-36</w:t>
      </w:r>
    </w:p>
    <w:p w:rsidR="00585DB3" w:rsidRDefault="00585DB3" w:rsidP="00585DB3">
      <w:pPr>
        <w:pStyle w:val="FootnoteText"/>
      </w:pPr>
    </w:p>
  </w:footnote>
  <w:footnote w:id="21">
    <w:p w:rsidR="00585DB3" w:rsidRDefault="00585DB3" w:rsidP="00585DB3">
      <w:pPr>
        <w:pStyle w:val="FootnoteText"/>
        <w:rPr>
          <w:sz w:val="16"/>
          <w:szCs w:val="16"/>
        </w:rPr>
      </w:pPr>
      <w:r>
        <w:rPr>
          <w:rStyle w:val="FootnoteReference"/>
        </w:rPr>
        <w:footnoteRef/>
      </w:r>
      <w:r>
        <w:t xml:space="preserve"> </w:t>
      </w:r>
      <w:r w:rsidRPr="00F5021A">
        <w:rPr>
          <w:sz w:val="16"/>
          <w:szCs w:val="16"/>
        </w:rPr>
        <w:t>Mernissi, p.225</w:t>
      </w:r>
    </w:p>
    <w:p w:rsidR="00585DB3" w:rsidRDefault="00585DB3" w:rsidP="00585DB3">
      <w:pPr>
        <w:pStyle w:val="FootnoteText"/>
      </w:pPr>
    </w:p>
  </w:footnote>
  <w:footnote w:id="22">
    <w:p w:rsidR="00585DB3" w:rsidRDefault="00585DB3" w:rsidP="00585DB3">
      <w:pPr>
        <w:pStyle w:val="FootnoteText"/>
        <w:rPr>
          <w:sz w:val="16"/>
          <w:szCs w:val="16"/>
        </w:rPr>
      </w:pPr>
      <w:r>
        <w:rPr>
          <w:rStyle w:val="FootnoteReference"/>
        </w:rPr>
        <w:footnoteRef/>
      </w:r>
      <w:r>
        <w:t xml:space="preserve"> </w:t>
      </w:r>
      <w:r w:rsidRPr="003B3A05">
        <w:rPr>
          <w:sz w:val="16"/>
          <w:szCs w:val="16"/>
        </w:rPr>
        <w:t>Moezzi, p.143</w:t>
      </w:r>
    </w:p>
    <w:p w:rsidR="00585DB3" w:rsidRDefault="00585DB3" w:rsidP="00585DB3">
      <w:pPr>
        <w:pStyle w:val="FootnoteText"/>
      </w:pPr>
    </w:p>
  </w:footnote>
  <w:footnote w:id="23">
    <w:p w:rsidR="00585DB3" w:rsidRDefault="00585DB3" w:rsidP="00585DB3">
      <w:pPr>
        <w:pStyle w:val="FootnoteText"/>
      </w:pPr>
      <w:r>
        <w:rPr>
          <w:rStyle w:val="FootnoteReference"/>
        </w:rPr>
        <w:footnoteRef/>
      </w:r>
      <w:r>
        <w:t xml:space="preserve"> </w:t>
      </w:r>
      <w:r w:rsidRPr="00D66C3C">
        <w:rPr>
          <w:sz w:val="16"/>
          <w:szCs w:val="16"/>
        </w:rPr>
        <w:t>Moezzi, p.144</w:t>
      </w:r>
    </w:p>
  </w:footnote>
  <w:footnote w:id="24">
    <w:p w:rsidR="00585DB3" w:rsidRDefault="00585DB3" w:rsidP="00585DB3">
      <w:pPr>
        <w:pStyle w:val="FootnoteText"/>
        <w:rPr>
          <w:sz w:val="16"/>
          <w:szCs w:val="16"/>
        </w:rPr>
      </w:pPr>
      <w:r>
        <w:rPr>
          <w:rStyle w:val="FootnoteReference"/>
        </w:rPr>
        <w:footnoteRef/>
      </w:r>
      <w:r>
        <w:t xml:space="preserve"> </w:t>
      </w:r>
      <w:r w:rsidRPr="00D66C3C">
        <w:rPr>
          <w:sz w:val="16"/>
          <w:szCs w:val="16"/>
        </w:rPr>
        <w:t>Kara, p.267</w:t>
      </w:r>
    </w:p>
    <w:p w:rsidR="00585DB3" w:rsidRDefault="00585DB3" w:rsidP="00585DB3">
      <w:pPr>
        <w:pStyle w:val="FootnoteText"/>
      </w:pPr>
    </w:p>
  </w:footnote>
  <w:footnote w:id="25">
    <w:p w:rsidR="00585DB3" w:rsidRDefault="00585DB3" w:rsidP="00585DB3">
      <w:pPr>
        <w:pStyle w:val="FootnoteText"/>
        <w:rPr>
          <w:sz w:val="16"/>
          <w:szCs w:val="16"/>
        </w:rPr>
      </w:pPr>
      <w:r>
        <w:rPr>
          <w:rStyle w:val="FootnoteReference"/>
        </w:rPr>
        <w:footnoteRef/>
      </w:r>
      <w:r>
        <w:t xml:space="preserve"> </w:t>
      </w:r>
      <w:r w:rsidRPr="0012499E">
        <w:rPr>
          <w:sz w:val="16"/>
          <w:szCs w:val="16"/>
        </w:rPr>
        <w:t>Kara, p.288</w:t>
      </w:r>
    </w:p>
    <w:p w:rsidR="00585DB3" w:rsidRDefault="00585DB3" w:rsidP="00585DB3">
      <w:pPr>
        <w:pStyle w:val="FootnoteText"/>
      </w:pPr>
    </w:p>
  </w:footnote>
  <w:footnote w:id="26">
    <w:p w:rsidR="00585DB3" w:rsidRDefault="00585DB3" w:rsidP="00585DB3">
      <w:pPr>
        <w:pStyle w:val="FootnoteText"/>
        <w:rPr>
          <w:sz w:val="16"/>
          <w:szCs w:val="16"/>
        </w:rPr>
      </w:pPr>
      <w:r>
        <w:rPr>
          <w:rStyle w:val="FootnoteReference"/>
        </w:rPr>
        <w:footnoteRef/>
      </w:r>
      <w:r>
        <w:t xml:space="preserve"> </w:t>
      </w:r>
      <w:r w:rsidRPr="0012499E">
        <w:rPr>
          <w:sz w:val="16"/>
          <w:szCs w:val="16"/>
        </w:rPr>
        <w:t>Kara, p.289</w:t>
      </w:r>
    </w:p>
    <w:p w:rsidR="00585DB3" w:rsidRDefault="00585DB3" w:rsidP="00585DB3">
      <w:pPr>
        <w:pStyle w:val="FootnoteText"/>
      </w:pPr>
    </w:p>
  </w:footnote>
  <w:footnote w:id="27">
    <w:p w:rsidR="00585DB3" w:rsidRDefault="00585DB3" w:rsidP="00585DB3">
      <w:pPr>
        <w:pStyle w:val="FootnoteText"/>
      </w:pPr>
      <w:r>
        <w:rPr>
          <w:rStyle w:val="FootnoteReference"/>
        </w:rPr>
        <w:footnoteRef/>
      </w:r>
      <w:r>
        <w:t xml:space="preserve"> </w:t>
      </w:r>
      <w:r w:rsidRPr="00354FB0">
        <w:rPr>
          <w:sz w:val="16"/>
          <w:szCs w:val="16"/>
        </w:rPr>
        <w:t>Kara,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3E9D" w:rsidRPr="00673569" w:rsidRDefault="00F7305C">
    <w:pPr>
      <w:pStyle w:val="Header"/>
      <w:rPr>
        <w:sz w:val="18"/>
        <w:szCs w:val="18"/>
      </w:rPr>
    </w:pPr>
    <w:r w:rsidRPr="00673569">
      <w:rPr>
        <w:sz w:val="18"/>
        <w:szCs w:val="18"/>
      </w:rPr>
      <w:t>Graham Lowe (1807689)</w:t>
    </w:r>
    <w:r w:rsidRPr="00673569">
      <w:rPr>
        <w:sz w:val="18"/>
        <w:szCs w:val="18"/>
      </w:rPr>
      <w:ptab w:relativeTo="margin" w:alignment="center" w:leader="none"/>
    </w:r>
    <w:r w:rsidRPr="00673569">
      <w:rPr>
        <w:sz w:val="18"/>
        <w:szCs w:val="18"/>
      </w:rPr>
      <w:t>TRDL7601</w:t>
    </w:r>
    <w:r w:rsidRPr="00673569">
      <w:rPr>
        <w:sz w:val="18"/>
        <w:szCs w:val="18"/>
      </w:rPr>
      <w:ptab w:relativeTo="margin" w:alignment="right" w:leader="none"/>
    </w:r>
    <w:r w:rsidRPr="00673569">
      <w:rPr>
        <w:sz w:val="18"/>
        <w:szCs w:val="18"/>
      </w:rPr>
      <w:t>27</w:t>
    </w:r>
    <w:r w:rsidRPr="00673569">
      <w:rPr>
        <w:sz w:val="18"/>
        <w:szCs w:val="18"/>
        <w:vertAlign w:val="superscript"/>
      </w:rPr>
      <w:t>th</w:t>
    </w:r>
    <w:r w:rsidRPr="00673569">
      <w:rPr>
        <w:sz w:val="18"/>
        <w:szCs w:val="18"/>
      </w:rPr>
      <w:t xml:space="preserve"> October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DB3"/>
    <w:rsid w:val="00020548"/>
    <w:rsid w:val="00032FE2"/>
    <w:rsid w:val="000629A4"/>
    <w:rsid w:val="00076C79"/>
    <w:rsid w:val="0008002A"/>
    <w:rsid w:val="00091B1E"/>
    <w:rsid w:val="000A109D"/>
    <w:rsid w:val="000C2443"/>
    <w:rsid w:val="000E1254"/>
    <w:rsid w:val="000E65EA"/>
    <w:rsid w:val="00130DE9"/>
    <w:rsid w:val="001316D0"/>
    <w:rsid w:val="001676AC"/>
    <w:rsid w:val="002207B8"/>
    <w:rsid w:val="002331FF"/>
    <w:rsid w:val="00234CBB"/>
    <w:rsid w:val="002B3426"/>
    <w:rsid w:val="002D6C71"/>
    <w:rsid w:val="002F46A3"/>
    <w:rsid w:val="00305A2C"/>
    <w:rsid w:val="00392A17"/>
    <w:rsid w:val="003E351B"/>
    <w:rsid w:val="00447EAA"/>
    <w:rsid w:val="00473040"/>
    <w:rsid w:val="004B7BA5"/>
    <w:rsid w:val="005431A7"/>
    <w:rsid w:val="00564F6E"/>
    <w:rsid w:val="00585DB3"/>
    <w:rsid w:val="005A4552"/>
    <w:rsid w:val="006011D8"/>
    <w:rsid w:val="00671101"/>
    <w:rsid w:val="00763B4B"/>
    <w:rsid w:val="0079010A"/>
    <w:rsid w:val="007B01DB"/>
    <w:rsid w:val="007B0D95"/>
    <w:rsid w:val="007E1B1A"/>
    <w:rsid w:val="0082645A"/>
    <w:rsid w:val="009B4C2D"/>
    <w:rsid w:val="009D55C0"/>
    <w:rsid w:val="00A172F6"/>
    <w:rsid w:val="00A307E8"/>
    <w:rsid w:val="00A51909"/>
    <w:rsid w:val="00A90703"/>
    <w:rsid w:val="00AA387C"/>
    <w:rsid w:val="00AF7797"/>
    <w:rsid w:val="00B266E9"/>
    <w:rsid w:val="00B54090"/>
    <w:rsid w:val="00B9198C"/>
    <w:rsid w:val="00C32D7A"/>
    <w:rsid w:val="00CC2623"/>
    <w:rsid w:val="00D2144D"/>
    <w:rsid w:val="00D21710"/>
    <w:rsid w:val="00D22A01"/>
    <w:rsid w:val="00DE0D65"/>
    <w:rsid w:val="00DE230E"/>
    <w:rsid w:val="00DE33EF"/>
    <w:rsid w:val="00DE6F46"/>
    <w:rsid w:val="00DF2603"/>
    <w:rsid w:val="00E409B8"/>
    <w:rsid w:val="00E742F6"/>
    <w:rsid w:val="00F7305C"/>
    <w:rsid w:val="00F863BE"/>
    <w:rsid w:val="00FD7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6F4101-38DC-4F87-ACCA-BC2CE81D5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5DB3"/>
    <w:rPr>
      <w:color w:val="0000FF"/>
      <w:u w:val="single"/>
    </w:rPr>
  </w:style>
  <w:style w:type="paragraph" w:styleId="Header">
    <w:name w:val="header"/>
    <w:basedOn w:val="Normal"/>
    <w:link w:val="HeaderChar"/>
    <w:uiPriority w:val="99"/>
    <w:unhideWhenUsed/>
    <w:rsid w:val="00585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DB3"/>
  </w:style>
  <w:style w:type="paragraph" w:styleId="FootnoteText">
    <w:name w:val="footnote text"/>
    <w:basedOn w:val="Normal"/>
    <w:link w:val="FootnoteTextChar"/>
    <w:uiPriority w:val="99"/>
    <w:semiHidden/>
    <w:unhideWhenUsed/>
    <w:rsid w:val="00585D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5DB3"/>
    <w:rPr>
      <w:sz w:val="20"/>
      <w:szCs w:val="20"/>
    </w:rPr>
  </w:style>
  <w:style w:type="character" w:styleId="FootnoteReference">
    <w:name w:val="footnote reference"/>
    <w:basedOn w:val="DefaultParagraphFont"/>
    <w:uiPriority w:val="99"/>
    <w:semiHidden/>
    <w:unhideWhenUsed/>
    <w:rsid w:val="00585DB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fulcrum-org.ezproxy.uwtsd.ac.uk/epubs/n009w255c?locale=en" TargetMode="External"/><Relationship Id="rId3" Type="http://schemas.openxmlformats.org/officeDocument/2006/relationships/hyperlink" Target="https://web-a-ebscohost-com.ezproxy.uwtsd.ac.uk/ehost/pdfviewer/pdfviewer?vid=1&amp;sid=ba68e957-9e5f-4a7a-9a98-d0871c699b8a%40sdc-v-sessmgr04" TargetMode="External"/><Relationship Id="rId7" Type="http://schemas.openxmlformats.org/officeDocument/2006/relationships/hyperlink" Target="https://web-b-ebscohost-com.ezproxy.uwtsd.ac.uk/ehost/pdfviewer/pdfviewer?vid=1&amp;sid=16c993c2-b342-42c3-9215-7a5d131c473d%40sessionmgr103" TargetMode="External"/><Relationship Id="rId2" Type="http://schemas.openxmlformats.org/officeDocument/2006/relationships/hyperlink" Target="http://www.muslim-library.com/dl/books/English-The-Life-Of-Caliph-Ali.pdf" TargetMode="External"/><Relationship Id="rId1" Type="http://schemas.openxmlformats.org/officeDocument/2006/relationships/hyperlink" Target="http://www.oxfordislamicstudies.com.ezproxy.uwtsd.ac.uk/article/book/islam-9780195107999/islam-9780195107999-chapter-1" TargetMode="External"/><Relationship Id="rId6" Type="http://schemas.openxmlformats.org/officeDocument/2006/relationships/hyperlink" Target="javascript:__doLinkPostBack('','mdb~~asu%7C%7Cjdb~~asujnh%7C%7Css~~JN%20%22Journal%20of%20Near%20Eastern%20Studies%22%7C%7Csl~~jh','');" TargetMode="External"/><Relationship Id="rId5" Type="http://schemas.openxmlformats.org/officeDocument/2006/relationships/hyperlink" Target="http://www.oxfordislamicstudies.com.ezproxy.uwtsd.ac.uk/article/opr/t243/e21?_hi=0&amp;_pos=2" TargetMode="External"/><Relationship Id="rId10" Type="http://schemas.openxmlformats.org/officeDocument/2006/relationships/hyperlink" Target="https://www-jstor-org.ezproxy.uwtsd.ac.uk/stable/pdf/43577545.pdf?refreqid=excelsior%3A3ceb13e03a5a88055866b8aadc78b369" TargetMode="External"/><Relationship Id="rId4" Type="http://schemas.openxmlformats.org/officeDocument/2006/relationships/hyperlink" Target="https://web-a-ebscohost-com.ezproxy.uwtsd.ac.uk/ehost/pdfviewer/pdfviewer?vid=2&amp;sid=a7b1a3d9-6c2f-44c5-bea6-21ff195079e6%40sdc-v-sessmgr01" TargetMode="External"/><Relationship Id="rId9" Type="http://schemas.openxmlformats.org/officeDocument/2006/relationships/hyperlink" Target="https://www.world-federation.org/sites/default/files/uploaded_files/The_Succession_to_Muhammad-Wilferd_Madelu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7D43F-7754-4AC7-8B2C-9A8CFCB03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1028</Words>
  <Characters>5866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2</cp:revision>
  <dcterms:created xsi:type="dcterms:W3CDTF">2018-10-30T12:19:00Z</dcterms:created>
  <dcterms:modified xsi:type="dcterms:W3CDTF">2018-10-30T12:19:00Z</dcterms:modified>
</cp:coreProperties>
</file>