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3373"/>
        <w:tblW w:w="0" w:type="auto"/>
        <w:tblLook w:val="04A0" w:firstRow="1" w:lastRow="0" w:firstColumn="1" w:lastColumn="0" w:noHBand="0" w:noVBand="1"/>
      </w:tblPr>
      <w:tblGrid>
        <w:gridCol w:w="4500"/>
        <w:gridCol w:w="4505"/>
      </w:tblGrid>
      <w:tr w:rsidR="00EC30BA" w:rsidRPr="002B4C1B" w14:paraId="632C67F3" w14:textId="77777777" w:rsidTr="001300E0">
        <w:trPr>
          <w:trHeight w:val="1068"/>
        </w:trPr>
        <w:tc>
          <w:tcPr>
            <w:tcW w:w="4500" w:type="dxa"/>
            <w:shd w:val="clear" w:color="auto" w:fill="D9D9D9" w:themeFill="background1" w:themeFillShade="D9"/>
          </w:tcPr>
          <w:p w14:paraId="5393EB11" w14:textId="77777777" w:rsidR="00EC30BA" w:rsidRPr="002B4C1B" w:rsidRDefault="00EC30BA" w:rsidP="001300E0">
            <w:pPr>
              <w:pStyle w:val="Title"/>
              <w:spacing w:line="360" w:lineRule="auto"/>
              <w:rPr>
                <w:rFonts w:ascii="Arial" w:hAnsi="Arial" w:cs="Arial"/>
                <w:b/>
                <w:bCs/>
                <w:sz w:val="28"/>
                <w:szCs w:val="28"/>
              </w:rPr>
            </w:pPr>
            <w:r w:rsidRPr="002B4C1B">
              <w:rPr>
                <w:rFonts w:ascii="Arial" w:hAnsi="Arial" w:cs="Arial"/>
                <w:b/>
                <w:bCs/>
                <w:sz w:val="28"/>
                <w:szCs w:val="28"/>
              </w:rPr>
              <w:t>Student Name:</w:t>
            </w:r>
          </w:p>
        </w:tc>
        <w:tc>
          <w:tcPr>
            <w:tcW w:w="4505" w:type="dxa"/>
          </w:tcPr>
          <w:p w14:paraId="6CADD0B4" w14:textId="77777777" w:rsidR="00EC30BA" w:rsidRPr="002B4C1B" w:rsidRDefault="00EC30BA" w:rsidP="001300E0">
            <w:pPr>
              <w:pStyle w:val="Title"/>
              <w:spacing w:line="360" w:lineRule="auto"/>
              <w:rPr>
                <w:rFonts w:ascii="Arial" w:hAnsi="Arial" w:cs="Arial"/>
                <w:b/>
                <w:bCs/>
                <w:sz w:val="28"/>
                <w:szCs w:val="28"/>
              </w:rPr>
            </w:pPr>
            <w:r w:rsidRPr="002B4C1B">
              <w:rPr>
                <w:rFonts w:ascii="Arial" w:hAnsi="Arial" w:cs="Arial"/>
                <w:b/>
                <w:bCs/>
                <w:sz w:val="28"/>
                <w:szCs w:val="28"/>
              </w:rPr>
              <w:t>Fateha Nasrin Altafi</w:t>
            </w:r>
          </w:p>
        </w:tc>
      </w:tr>
      <w:tr w:rsidR="00EC30BA" w:rsidRPr="002B4C1B" w14:paraId="2D86D44F" w14:textId="77777777" w:rsidTr="001300E0">
        <w:trPr>
          <w:trHeight w:val="1224"/>
        </w:trPr>
        <w:tc>
          <w:tcPr>
            <w:tcW w:w="4500" w:type="dxa"/>
            <w:shd w:val="clear" w:color="auto" w:fill="D9D9D9" w:themeFill="background1" w:themeFillShade="D9"/>
          </w:tcPr>
          <w:p w14:paraId="399CB81C" w14:textId="77777777" w:rsidR="00EC30BA" w:rsidRPr="002B4C1B" w:rsidRDefault="00EC30BA" w:rsidP="001300E0">
            <w:pPr>
              <w:pStyle w:val="Title"/>
              <w:spacing w:line="360" w:lineRule="auto"/>
              <w:rPr>
                <w:rFonts w:ascii="Arial" w:hAnsi="Arial" w:cs="Arial"/>
                <w:b/>
                <w:bCs/>
                <w:sz w:val="32"/>
                <w:szCs w:val="32"/>
              </w:rPr>
            </w:pPr>
            <w:r w:rsidRPr="002B4C1B">
              <w:rPr>
                <w:rFonts w:ascii="Arial" w:hAnsi="Arial" w:cs="Arial"/>
                <w:b/>
                <w:bCs/>
                <w:sz w:val="28"/>
                <w:szCs w:val="28"/>
              </w:rPr>
              <w:t>Student ID</w:t>
            </w:r>
            <w:r w:rsidRPr="002B4C1B">
              <w:rPr>
                <w:rFonts w:ascii="Arial" w:hAnsi="Arial" w:cs="Arial"/>
                <w:b/>
                <w:bCs/>
                <w:sz w:val="32"/>
                <w:szCs w:val="32"/>
              </w:rPr>
              <w:t>:</w:t>
            </w:r>
          </w:p>
        </w:tc>
        <w:tc>
          <w:tcPr>
            <w:tcW w:w="4505" w:type="dxa"/>
          </w:tcPr>
          <w:p w14:paraId="4C4FD40D" w14:textId="77777777" w:rsidR="00EC30BA" w:rsidRPr="002B4C1B" w:rsidRDefault="00EC30BA" w:rsidP="001300E0">
            <w:pPr>
              <w:pStyle w:val="Title"/>
              <w:spacing w:line="360" w:lineRule="auto"/>
              <w:rPr>
                <w:rFonts w:ascii="Arial" w:hAnsi="Arial" w:cs="Arial"/>
                <w:b/>
                <w:bCs/>
                <w:sz w:val="28"/>
                <w:szCs w:val="28"/>
              </w:rPr>
            </w:pPr>
            <w:r w:rsidRPr="002B4C1B">
              <w:rPr>
                <w:rFonts w:ascii="Arial" w:hAnsi="Arial" w:cs="Arial"/>
                <w:b/>
                <w:bCs/>
                <w:sz w:val="28"/>
                <w:szCs w:val="28"/>
              </w:rPr>
              <w:t>2309157</w:t>
            </w:r>
          </w:p>
        </w:tc>
      </w:tr>
      <w:tr w:rsidR="00EC30BA" w:rsidRPr="002B4C1B" w14:paraId="4C4FEE08" w14:textId="77777777" w:rsidTr="001300E0">
        <w:trPr>
          <w:trHeight w:val="2158"/>
        </w:trPr>
        <w:tc>
          <w:tcPr>
            <w:tcW w:w="4500" w:type="dxa"/>
            <w:shd w:val="clear" w:color="auto" w:fill="D9D9D9" w:themeFill="background1" w:themeFillShade="D9"/>
          </w:tcPr>
          <w:p w14:paraId="288BAF85" w14:textId="77777777" w:rsidR="00EC30BA" w:rsidRPr="002B4C1B" w:rsidRDefault="00EC30BA" w:rsidP="001300E0">
            <w:pPr>
              <w:pStyle w:val="Title"/>
              <w:spacing w:line="360" w:lineRule="auto"/>
              <w:rPr>
                <w:rFonts w:ascii="Arial" w:hAnsi="Arial" w:cs="Arial"/>
                <w:b/>
                <w:bCs/>
                <w:sz w:val="28"/>
                <w:szCs w:val="28"/>
              </w:rPr>
            </w:pPr>
            <w:r w:rsidRPr="002B4C1B">
              <w:rPr>
                <w:rFonts w:ascii="Arial" w:hAnsi="Arial" w:cs="Arial"/>
                <w:b/>
                <w:bCs/>
                <w:sz w:val="28"/>
                <w:szCs w:val="28"/>
              </w:rPr>
              <w:t>Module/Code:</w:t>
            </w:r>
          </w:p>
        </w:tc>
        <w:tc>
          <w:tcPr>
            <w:tcW w:w="4505" w:type="dxa"/>
          </w:tcPr>
          <w:p w14:paraId="2EB894B6" w14:textId="456CC322" w:rsidR="00EC30BA" w:rsidRPr="002B4C1B" w:rsidRDefault="00EC30BA" w:rsidP="001300E0">
            <w:pPr>
              <w:spacing w:line="360" w:lineRule="auto"/>
              <w:rPr>
                <w:rFonts w:ascii="Arial" w:hAnsi="Arial" w:cs="Arial"/>
              </w:rPr>
            </w:pPr>
            <w:r w:rsidRPr="00EC30BA">
              <w:rPr>
                <w:rFonts w:ascii="Arial" w:eastAsiaTheme="majorEastAsia" w:hAnsi="Arial" w:cs="Arial"/>
                <w:b/>
                <w:bCs/>
                <w:spacing w:val="-10"/>
                <w:kern w:val="28"/>
                <w:sz w:val="28"/>
                <w:szCs w:val="28"/>
              </w:rPr>
              <w:t>Digital Transformation in the Health and Care Professions</w:t>
            </w:r>
            <w:r w:rsidRPr="00A9752C">
              <w:rPr>
                <w:rFonts w:ascii="Arial" w:hAnsi="Arial" w:cs="Arial"/>
                <w:b/>
                <w:bCs/>
                <w:sz w:val="24"/>
                <w:szCs w:val="24"/>
              </w:rPr>
              <w:t xml:space="preserve">   </w:t>
            </w:r>
            <w:r w:rsidRPr="00EC30BA">
              <w:rPr>
                <w:rFonts w:ascii="Arial" w:hAnsi="Arial" w:cs="Arial"/>
                <w:b/>
                <w:bCs/>
                <w:sz w:val="24"/>
                <w:szCs w:val="24"/>
              </w:rPr>
              <w:t>BMHP6026</w:t>
            </w:r>
          </w:p>
          <w:p w14:paraId="7A2DDBA3" w14:textId="77777777" w:rsidR="00EC30BA" w:rsidRPr="002B4C1B" w:rsidRDefault="00EC30BA" w:rsidP="001300E0">
            <w:pPr>
              <w:pStyle w:val="Title"/>
              <w:spacing w:line="360" w:lineRule="auto"/>
              <w:rPr>
                <w:rFonts w:ascii="Arial" w:hAnsi="Arial" w:cs="Arial"/>
                <w:b/>
                <w:bCs/>
                <w:sz w:val="28"/>
                <w:szCs w:val="28"/>
              </w:rPr>
            </w:pPr>
          </w:p>
        </w:tc>
      </w:tr>
      <w:tr w:rsidR="00EC30BA" w:rsidRPr="002B4C1B" w14:paraId="366FE166" w14:textId="77777777" w:rsidTr="001300E0">
        <w:trPr>
          <w:trHeight w:val="1116"/>
        </w:trPr>
        <w:tc>
          <w:tcPr>
            <w:tcW w:w="4500" w:type="dxa"/>
            <w:shd w:val="clear" w:color="auto" w:fill="D9D9D9" w:themeFill="background1" w:themeFillShade="D9"/>
          </w:tcPr>
          <w:p w14:paraId="316B7F73" w14:textId="77777777" w:rsidR="00EC30BA" w:rsidRPr="00A9752C" w:rsidRDefault="00EC30BA" w:rsidP="001300E0">
            <w:pPr>
              <w:spacing w:before="120" w:after="120"/>
              <w:rPr>
                <w:b/>
                <w:sz w:val="28"/>
                <w:szCs w:val="28"/>
              </w:rPr>
            </w:pPr>
            <w:r w:rsidRPr="00A9752C">
              <w:rPr>
                <w:rFonts w:ascii="Arial" w:hAnsi="Arial" w:cs="Arial"/>
                <w:b/>
                <w:sz w:val="28"/>
                <w:szCs w:val="28"/>
              </w:rPr>
              <w:t>Assignment Title:</w:t>
            </w:r>
          </w:p>
          <w:p w14:paraId="040530C1" w14:textId="77777777" w:rsidR="00EC30BA" w:rsidRPr="00A9752C" w:rsidRDefault="00EC30BA" w:rsidP="001300E0">
            <w:pPr>
              <w:pStyle w:val="Title"/>
              <w:spacing w:line="360" w:lineRule="auto"/>
              <w:rPr>
                <w:rFonts w:ascii="Arial" w:hAnsi="Arial" w:cs="Arial"/>
                <w:b/>
                <w:bCs/>
                <w:sz w:val="28"/>
                <w:szCs w:val="28"/>
              </w:rPr>
            </w:pPr>
          </w:p>
        </w:tc>
        <w:tc>
          <w:tcPr>
            <w:tcW w:w="4505" w:type="dxa"/>
          </w:tcPr>
          <w:p w14:paraId="562C04A6" w14:textId="77777777" w:rsidR="00EC30BA" w:rsidRPr="00A9752C" w:rsidRDefault="00EC30BA" w:rsidP="001300E0">
            <w:pPr>
              <w:spacing w:before="120" w:after="120" w:line="360" w:lineRule="auto"/>
              <w:rPr>
                <w:rFonts w:ascii="Arial" w:hAnsi="Arial" w:cs="Arial"/>
                <w:b/>
                <w:sz w:val="28"/>
                <w:szCs w:val="28"/>
              </w:rPr>
            </w:pPr>
            <w:r w:rsidRPr="00A9752C">
              <w:rPr>
                <w:rFonts w:ascii="Arial" w:hAnsi="Arial" w:cs="Arial"/>
                <w:b/>
                <w:sz w:val="28"/>
                <w:szCs w:val="28"/>
              </w:rPr>
              <w:t xml:space="preserve">Component 1: Written Assignment </w:t>
            </w:r>
          </w:p>
          <w:p w14:paraId="71BB3868" w14:textId="77777777" w:rsidR="00EC30BA" w:rsidRPr="00A9752C" w:rsidRDefault="00EC30BA" w:rsidP="001300E0">
            <w:pPr>
              <w:pStyle w:val="Title"/>
              <w:spacing w:line="360" w:lineRule="auto"/>
              <w:rPr>
                <w:rFonts w:ascii="Arial" w:hAnsi="Arial" w:cs="Arial"/>
                <w:b/>
                <w:bCs/>
                <w:sz w:val="28"/>
                <w:szCs w:val="28"/>
              </w:rPr>
            </w:pPr>
          </w:p>
        </w:tc>
      </w:tr>
      <w:tr w:rsidR="00EC30BA" w:rsidRPr="002B4C1B" w14:paraId="132F8980" w14:textId="77777777" w:rsidTr="001300E0">
        <w:trPr>
          <w:trHeight w:val="1068"/>
        </w:trPr>
        <w:tc>
          <w:tcPr>
            <w:tcW w:w="4500" w:type="dxa"/>
            <w:shd w:val="clear" w:color="auto" w:fill="D9D9D9" w:themeFill="background1" w:themeFillShade="D9"/>
          </w:tcPr>
          <w:p w14:paraId="7D26C404" w14:textId="77777777" w:rsidR="00EC30BA" w:rsidRPr="002B4C1B" w:rsidRDefault="00EC30BA" w:rsidP="001300E0">
            <w:pPr>
              <w:pStyle w:val="Title"/>
              <w:spacing w:line="360" w:lineRule="auto"/>
              <w:rPr>
                <w:rFonts w:ascii="Arial" w:hAnsi="Arial" w:cs="Arial"/>
                <w:b/>
                <w:bCs/>
                <w:sz w:val="28"/>
                <w:szCs w:val="28"/>
              </w:rPr>
            </w:pPr>
            <w:r w:rsidRPr="002B4C1B">
              <w:rPr>
                <w:rFonts w:ascii="Arial" w:hAnsi="Arial" w:cs="Arial"/>
                <w:b/>
                <w:bCs/>
                <w:sz w:val="28"/>
                <w:szCs w:val="28"/>
              </w:rPr>
              <w:t>Lecturer:</w:t>
            </w:r>
          </w:p>
        </w:tc>
        <w:tc>
          <w:tcPr>
            <w:tcW w:w="4505" w:type="dxa"/>
          </w:tcPr>
          <w:p w14:paraId="533AD5F9" w14:textId="3CE17DBC" w:rsidR="00EC30BA" w:rsidRPr="002B4C1B" w:rsidRDefault="00EC30BA" w:rsidP="001300E0">
            <w:pPr>
              <w:pStyle w:val="Title"/>
              <w:spacing w:line="360" w:lineRule="auto"/>
              <w:rPr>
                <w:rFonts w:ascii="Arial" w:hAnsi="Arial" w:cs="Arial"/>
                <w:b/>
                <w:bCs/>
                <w:sz w:val="28"/>
                <w:szCs w:val="28"/>
              </w:rPr>
            </w:pPr>
            <w:r w:rsidRPr="00EC30BA">
              <w:rPr>
                <w:rFonts w:ascii="Arial" w:hAnsi="Arial" w:cs="Arial"/>
                <w:b/>
                <w:bCs/>
                <w:sz w:val="28"/>
                <w:szCs w:val="28"/>
              </w:rPr>
              <w:t>Martin Svejda</w:t>
            </w:r>
          </w:p>
        </w:tc>
      </w:tr>
    </w:tbl>
    <w:p w14:paraId="5B57C4E9" w14:textId="77777777" w:rsidR="00EC30BA" w:rsidRDefault="00EC30BA" w:rsidP="002804AF">
      <w:pPr>
        <w:spacing w:line="360" w:lineRule="auto"/>
        <w:ind w:left="360"/>
        <w:rPr>
          <w:b/>
          <w:bCs/>
          <w:color w:val="000000" w:themeColor="text1"/>
        </w:rPr>
      </w:pPr>
    </w:p>
    <w:p w14:paraId="55B2363D" w14:textId="77777777" w:rsidR="00EC30BA" w:rsidRDefault="00EC30BA" w:rsidP="002804AF">
      <w:pPr>
        <w:spacing w:line="360" w:lineRule="auto"/>
        <w:ind w:left="360"/>
        <w:rPr>
          <w:b/>
          <w:bCs/>
          <w:color w:val="000000" w:themeColor="text1"/>
        </w:rPr>
      </w:pPr>
    </w:p>
    <w:p w14:paraId="5CA2057D" w14:textId="77777777" w:rsidR="00EC30BA" w:rsidRDefault="00EC30BA" w:rsidP="002804AF">
      <w:pPr>
        <w:spacing w:line="360" w:lineRule="auto"/>
        <w:ind w:left="360"/>
        <w:rPr>
          <w:b/>
          <w:bCs/>
          <w:color w:val="000000" w:themeColor="text1"/>
        </w:rPr>
      </w:pPr>
    </w:p>
    <w:p w14:paraId="3901DD85" w14:textId="77777777" w:rsidR="00EC30BA" w:rsidRDefault="00EC30BA" w:rsidP="002804AF">
      <w:pPr>
        <w:spacing w:line="360" w:lineRule="auto"/>
        <w:ind w:left="360"/>
        <w:rPr>
          <w:b/>
          <w:bCs/>
          <w:color w:val="000000" w:themeColor="text1"/>
        </w:rPr>
      </w:pPr>
    </w:p>
    <w:p w14:paraId="563A4082" w14:textId="77777777" w:rsidR="00EC30BA" w:rsidRDefault="00EC30BA" w:rsidP="002804AF">
      <w:pPr>
        <w:spacing w:line="360" w:lineRule="auto"/>
        <w:ind w:left="360"/>
        <w:rPr>
          <w:b/>
          <w:bCs/>
          <w:color w:val="000000" w:themeColor="text1"/>
        </w:rPr>
      </w:pPr>
    </w:p>
    <w:p w14:paraId="39374A07" w14:textId="77777777" w:rsidR="00EC30BA" w:rsidRDefault="00EC30BA" w:rsidP="002804AF">
      <w:pPr>
        <w:spacing w:line="360" w:lineRule="auto"/>
        <w:ind w:left="360"/>
        <w:rPr>
          <w:b/>
          <w:bCs/>
          <w:color w:val="000000" w:themeColor="text1"/>
        </w:rPr>
      </w:pPr>
    </w:p>
    <w:p w14:paraId="7193DD93" w14:textId="77777777" w:rsidR="00EC30BA" w:rsidRDefault="00EC30BA" w:rsidP="002804AF">
      <w:pPr>
        <w:spacing w:line="360" w:lineRule="auto"/>
        <w:ind w:left="360"/>
        <w:rPr>
          <w:b/>
          <w:bCs/>
          <w:color w:val="000000" w:themeColor="text1"/>
        </w:rPr>
      </w:pPr>
    </w:p>
    <w:p w14:paraId="635185AE" w14:textId="77777777" w:rsidR="00EC30BA" w:rsidRDefault="00EC30BA" w:rsidP="002804AF">
      <w:pPr>
        <w:spacing w:line="360" w:lineRule="auto"/>
        <w:ind w:left="360"/>
        <w:rPr>
          <w:b/>
          <w:bCs/>
          <w:color w:val="000000" w:themeColor="text1"/>
        </w:rPr>
      </w:pPr>
    </w:p>
    <w:p w14:paraId="24D5676C" w14:textId="77777777" w:rsidR="00EC30BA" w:rsidRDefault="00EC30BA" w:rsidP="002804AF">
      <w:pPr>
        <w:spacing w:line="360" w:lineRule="auto"/>
        <w:ind w:left="360"/>
        <w:rPr>
          <w:b/>
          <w:bCs/>
          <w:color w:val="000000" w:themeColor="text1"/>
        </w:rPr>
      </w:pPr>
    </w:p>
    <w:p w14:paraId="00610491" w14:textId="77777777" w:rsidR="00EC30BA" w:rsidRDefault="00EC30BA" w:rsidP="002804AF">
      <w:pPr>
        <w:spacing w:line="360" w:lineRule="auto"/>
        <w:ind w:left="360"/>
        <w:rPr>
          <w:b/>
          <w:bCs/>
          <w:color w:val="000000" w:themeColor="text1"/>
        </w:rPr>
      </w:pPr>
    </w:p>
    <w:p w14:paraId="7D16CC2C" w14:textId="77777777" w:rsidR="00EC30BA" w:rsidRDefault="00EC30BA" w:rsidP="002804AF">
      <w:pPr>
        <w:spacing w:line="360" w:lineRule="auto"/>
        <w:ind w:left="360"/>
        <w:rPr>
          <w:b/>
          <w:bCs/>
          <w:color w:val="000000" w:themeColor="text1"/>
        </w:rPr>
      </w:pPr>
    </w:p>
    <w:p w14:paraId="0B86F5E4" w14:textId="77777777" w:rsidR="00EC30BA" w:rsidRDefault="00EC30BA" w:rsidP="002804AF">
      <w:pPr>
        <w:spacing w:line="360" w:lineRule="auto"/>
        <w:ind w:left="360"/>
        <w:rPr>
          <w:b/>
          <w:bCs/>
          <w:color w:val="000000" w:themeColor="text1"/>
        </w:rPr>
      </w:pPr>
    </w:p>
    <w:p w14:paraId="43B2FD4A" w14:textId="26D69040" w:rsidR="002E5233" w:rsidRPr="002804AF" w:rsidRDefault="002E5233" w:rsidP="002804AF">
      <w:pPr>
        <w:spacing w:line="360" w:lineRule="auto"/>
        <w:ind w:left="360"/>
        <w:rPr>
          <w:b/>
          <w:bCs/>
          <w:color w:val="000000" w:themeColor="text1"/>
        </w:rPr>
      </w:pPr>
      <w:r w:rsidRPr="002804AF">
        <w:rPr>
          <w:b/>
          <w:bCs/>
          <w:color w:val="000000" w:themeColor="text1"/>
        </w:rPr>
        <w:lastRenderedPageBreak/>
        <w:t>Telehealth in the NHS: A Critical Evaluation of Implementation, Impact, and Challenges</w:t>
      </w:r>
    </w:p>
    <w:p w14:paraId="737EACC8" w14:textId="20284385" w:rsidR="00C43CF8" w:rsidRPr="002804AF" w:rsidRDefault="00C43CF8" w:rsidP="002804AF">
      <w:pPr>
        <w:spacing w:before="100" w:beforeAutospacing="1" w:after="100" w:afterAutospacing="1" w:line="360" w:lineRule="auto"/>
        <w:ind w:left="360"/>
        <w:outlineLvl w:val="2"/>
        <w:rPr>
          <w:rFonts w:eastAsia="Times New Roman"/>
          <w:b/>
          <w:bCs/>
          <w:kern w:val="0"/>
          <w:lang w:eastAsia="en-GB"/>
          <w14:ligatures w14:val="none"/>
        </w:rPr>
      </w:pPr>
      <w:r w:rsidRPr="002804AF">
        <w:rPr>
          <w:rFonts w:eastAsia="Times New Roman"/>
          <w:b/>
          <w:bCs/>
          <w:kern w:val="0"/>
          <w:lang w:eastAsia="en-GB"/>
          <w14:ligatures w14:val="none"/>
        </w:rPr>
        <w:t xml:space="preserve">Introduction </w:t>
      </w:r>
    </w:p>
    <w:p w14:paraId="1F8D695E" w14:textId="1EE3CCB0" w:rsidR="00C43CF8" w:rsidRPr="002804AF" w:rsidRDefault="00EE4284"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 xml:space="preserve">The UK's health and social care sector has seen a significant digital transformation over the past ten years, with telehealth emerging as One among the most significant developments. Telehealth is the delivery of medical treatments from afar using information and communication technologies like video conferences, digital evaluations, and online follow-up appointments. The COVID-19 epidemic, which demanded a fast switch from traditional in-person care to remote techniques virtually overnight, drove the quick acceptance of this. Attend helps with services. NHS outpatient clinics saw the introduction of anywhere across the country, while digital-first GP models like GP at Hand changed how patients get access to primary care. National policies include the NHS Long Term Plan and digital-first primary care programs; </w:t>
      </w:r>
      <w:r w:rsidR="00455080" w:rsidRPr="002804AF">
        <w:rPr>
          <w:rFonts w:eastAsia="Times New Roman"/>
          <w:kern w:val="0"/>
          <w:lang w:eastAsia="en-GB"/>
          <w14:ligatures w14:val="none"/>
        </w:rPr>
        <w:t>thus,</w:t>
      </w:r>
      <w:r w:rsidRPr="002804AF">
        <w:rPr>
          <w:rFonts w:eastAsia="Times New Roman"/>
          <w:kern w:val="0"/>
          <w:lang w:eastAsia="en-GB"/>
          <w14:ligatures w14:val="none"/>
        </w:rPr>
        <w:t xml:space="preserve"> telehealth has grown into an essential component. This digital transformation has been pitched </w:t>
      </w:r>
      <w:r w:rsidR="00455080" w:rsidRPr="002804AF">
        <w:rPr>
          <w:rFonts w:eastAsia="Times New Roman"/>
          <w:kern w:val="0"/>
          <w:lang w:eastAsia="en-GB"/>
          <w14:ligatures w14:val="none"/>
        </w:rPr>
        <w:t>to</w:t>
      </w:r>
      <w:r w:rsidRPr="002804AF">
        <w:rPr>
          <w:rFonts w:eastAsia="Times New Roman"/>
          <w:kern w:val="0"/>
          <w:lang w:eastAsia="en-GB"/>
          <w14:ligatures w14:val="none"/>
        </w:rPr>
        <w:t xml:space="preserve"> design patient-centered, accessible, and effective services. Still, under this upbeat narrative is a string of contentious and complex truths: the workforce's adjustment and changes in professional identity; the restructuring of governance challenges and service delivery; and patient encounters affected by empowerment and exclusion. </w:t>
      </w:r>
      <w:r w:rsidR="00C43CF8" w:rsidRPr="002804AF">
        <w:rPr>
          <w:rFonts w:eastAsia="Times New Roman"/>
          <w:kern w:val="0"/>
          <w:lang w:eastAsia="en-GB"/>
          <w14:ligatures w14:val="none"/>
        </w:rPr>
        <w:t>Rather than attempting to cover every dimension of this digital shift, this report critically evaluates three interlinked domains central to telehealth’s impact in health and social care:</w:t>
      </w:r>
    </w:p>
    <w:p w14:paraId="0F100B8D" w14:textId="5EAB5A5D"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Workforce Transformation</w:t>
      </w:r>
      <w:r w:rsidRPr="00C43CF8">
        <w:rPr>
          <w:rFonts w:eastAsia="Times New Roman"/>
          <w:kern w:val="0"/>
          <w:lang w:eastAsia="en-GB"/>
          <w14:ligatures w14:val="none"/>
        </w:rPr>
        <w:t xml:space="preserve">  how digital innovation reshapes professional roles, competencies, workload, and identity.</w:t>
      </w:r>
    </w:p>
    <w:p w14:paraId="7597CFE0" w14:textId="6EB684C3"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Service Delivery</w:t>
      </w:r>
      <w:r w:rsidRPr="00C43CF8">
        <w:rPr>
          <w:rFonts w:eastAsia="Times New Roman"/>
          <w:kern w:val="0"/>
          <w:lang w:eastAsia="en-GB"/>
          <w14:ligatures w14:val="none"/>
        </w:rPr>
        <w:t xml:space="preserve">  how consultation pathways, efficiency, safety, and infrastructure are restructured.</w:t>
      </w:r>
    </w:p>
    <w:p w14:paraId="5C0EB24B" w14:textId="6B102B04"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Patient/Service User Experience</w:t>
      </w:r>
      <w:r w:rsidRPr="00C43CF8">
        <w:rPr>
          <w:rFonts w:eastAsia="Times New Roman"/>
          <w:kern w:val="0"/>
          <w:lang w:eastAsia="en-GB"/>
          <w14:ligatures w14:val="none"/>
        </w:rPr>
        <w:t xml:space="preserve">  how telehealth affects perceptions of care, equity, autonomy, and trust.</w:t>
      </w:r>
    </w:p>
    <w:p w14:paraId="0CD98D60" w14:textId="1F4DBB5B" w:rsidR="00B102AC" w:rsidRDefault="00C43CF8" w:rsidP="004A481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By critically interrogating these domains through peer-reviewed evidence, NHS policy analysis, and relevant theoretical frameworks, this report aims to assess not only what has changed, but how and why these changes produce both opportunities and risks. The conclusion offers recommendations for sustainable, equitable telehealth integration.</w:t>
      </w:r>
    </w:p>
    <w:p w14:paraId="5C6D1DD3" w14:textId="77777777" w:rsidR="004A481F" w:rsidRDefault="004A481F" w:rsidP="004A481F">
      <w:pPr>
        <w:spacing w:before="100" w:beforeAutospacing="1" w:after="100" w:afterAutospacing="1" w:line="360" w:lineRule="auto"/>
        <w:ind w:left="360"/>
        <w:rPr>
          <w:rFonts w:eastAsia="Times New Roman"/>
          <w:kern w:val="0"/>
          <w:lang w:eastAsia="en-GB"/>
          <w14:ligatures w14:val="none"/>
        </w:rPr>
      </w:pPr>
    </w:p>
    <w:p w14:paraId="6B90AAE7" w14:textId="3548D547" w:rsidR="00C43CF8" w:rsidRPr="002804AF" w:rsidRDefault="00C43CF8" w:rsidP="002804AF">
      <w:pPr>
        <w:spacing w:before="100" w:beforeAutospacing="1" w:after="100" w:afterAutospacing="1" w:line="360" w:lineRule="auto"/>
        <w:ind w:left="360"/>
        <w:outlineLvl w:val="2"/>
        <w:rPr>
          <w:rFonts w:eastAsia="Times New Roman"/>
          <w:b/>
          <w:bCs/>
          <w:kern w:val="0"/>
          <w:lang w:eastAsia="en-GB"/>
          <w14:ligatures w14:val="none"/>
        </w:rPr>
      </w:pPr>
      <w:r w:rsidRPr="002804AF">
        <w:rPr>
          <w:rFonts w:eastAsia="Times New Roman"/>
          <w:b/>
          <w:bCs/>
          <w:kern w:val="0"/>
          <w:lang w:eastAsia="en-GB"/>
          <w14:ligatures w14:val="none"/>
        </w:rPr>
        <w:lastRenderedPageBreak/>
        <w:t xml:space="preserve">Workforce Transformation </w:t>
      </w:r>
    </w:p>
    <w:p w14:paraId="27F961C5"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Role shifts and competency development</w:t>
      </w:r>
    </w:p>
    <w:p w14:paraId="6307203C" w14:textId="77777777" w:rsidR="00EE4284" w:rsidRPr="002804AF" w:rsidRDefault="00EE4284"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Telehealth's arrival has called for a radical restructuring of professional duties. From mostly in-person clinical interactions, physicians, nurses, and allied health workers have turned to hybrid work patterns including video consultations, asynchronous messaging, and remote monitoring. This change calls for fresh digital skills. Jarva et al. (2023) found 28 categories of digital competency relevant for medical professionals, including telecommunications skills, data protection and privacy, digital ethics and virtual clinical evaluation. NHS digital capability planning now includes same systems. The rate of technological acceptance, though, has surpassed official educational funding. Many NHS physicians picked up video consultation techniques on the job during the epidemic. According to Nazeha et al. (2020), ad-hoc learning leads to varied degrees of ability, therefore increasing legal and medical risks. Alotaibi et al. (2025) discovered further Rather than just administered through online modules, digital literacy efforts work best when integrated in corporate culture and tied to more general sociotechnical elements.</w:t>
      </w:r>
    </w:p>
    <w:p w14:paraId="5586A28E" w14:textId="49FF525A"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Professional identity and power dynamics</w:t>
      </w:r>
    </w:p>
    <w:p w14:paraId="2416248C" w14:textId="77777777"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Digital transformation also calls conventional professional identities into question. Clinicians used to in-person meetings have had to re-negotiate their sense of professional control in virtual venues. Theory of sociotechnical systems holds that technological innovation rebalances agency between people and machines. In actuality, algorithmic triage systems and standard digital protocols can change decisions. power from single practitioners toward automated systems and managerial control. Some experts say that inflexible triage templates restrict them or make them de-skilled, therefore compromising their clinical autonomy. In mental health contexts, for instance, practitioners have pointed out challenges seeing non-verbal signals via video, therefore making diagnoses and rapport-building more complex (Sharma &amp; Devan, 2023). This shows underlying conflicts between professional judgment and standardization.</w:t>
      </w:r>
    </w:p>
    <w:p w14:paraId="31906194" w14:textId="4E22B211"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Workload, burnout, and digital fatigue</w:t>
      </w:r>
    </w:p>
    <w:p w14:paraId="00F72F76" w14:textId="06AA0849"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 xml:space="preserve">The effect of telehealth on </w:t>
      </w:r>
      <w:r w:rsidR="00455080" w:rsidRPr="002804AF">
        <w:rPr>
          <w:rFonts w:eastAsia="Times New Roman"/>
          <w:kern w:val="0"/>
          <w:lang w:eastAsia="en-GB"/>
          <w14:ligatures w14:val="none"/>
        </w:rPr>
        <w:t>workload</w:t>
      </w:r>
      <w:r w:rsidRPr="002804AF">
        <w:rPr>
          <w:rFonts w:eastAsia="Times New Roman"/>
          <w:kern w:val="0"/>
          <w:lang w:eastAsia="en-GB"/>
          <w14:ligatures w14:val="none"/>
        </w:rPr>
        <w:t xml:space="preserve"> is intricate. Remote consultations allow for flexible scheduling, simplify follow-ups, and cut down on travel time. On the other hand, they frequently generate double documentation, technology troubleshooting, and async messaging management as new administrative duties. After extended video </w:t>
      </w:r>
      <w:r w:rsidRPr="002804AF">
        <w:rPr>
          <w:rFonts w:eastAsia="Times New Roman"/>
          <w:kern w:val="0"/>
          <w:lang w:eastAsia="en-GB"/>
          <w14:ligatures w14:val="none"/>
        </w:rPr>
        <w:lastRenderedPageBreak/>
        <w:t>consultations—which call for great cognitive concentration, many doctors report "digital exhaustion." Although remote consultations may be shorter, studies from UK primary care reveal that they often result in more regular follow-up contacts, hence perhaps adding overall workload. (Oppel &amp; Cresswell, 2020). Moreover, the doctor’s express anxiety about medicolegal risk when practicing without a physical examination. Unequal access to digital infrastructure among trusts makes stress worse: well-resourced environments may count on reliable systems, but others struggle with regular technical outages.</w:t>
      </w:r>
    </w:p>
    <w:p w14:paraId="10CA2413" w14:textId="4530ECBF"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Workforce inequalities and organisational readiness</w:t>
      </w:r>
    </w:p>
    <w:p w14:paraId="626998C5" w14:textId="77777777" w:rsidR="00C1142D" w:rsidRPr="002804AF" w:rsidRDefault="00C1142D"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Not all healthcare workers are equally prepared for digital transition. Staff in rural or resource-constrained settings often lack adequate training and technological support. According to the NHS’s eWIN Evidence Brief on digital skills (2025), key enablers of successful workforce digital adaptation include leadership support, protected training time, and “digital champions” embedded within teams. Where these are absent, resistance and anxiety increase. There are also inter-professional disparities. Younger clinicians may adapt more quickly, while older staff can feel alienated or under-supported. This generational divide raises issues of fairness, retention, and culture change within the NHS.</w:t>
      </w:r>
    </w:p>
    <w:p w14:paraId="214A357C"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Summary of workforce implications</w:t>
      </w:r>
    </w:p>
    <w:p w14:paraId="36F29C8E"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Benefits:</w:t>
      </w:r>
    </w:p>
    <w:p w14:paraId="146CCA81"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Increased flexibility and service resilience.</w:t>
      </w:r>
    </w:p>
    <w:p w14:paraId="2CA18551"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Emergence of new professional roles (e.g. telehealth coordinators, remote monitoring nurses).</w:t>
      </w:r>
    </w:p>
    <w:p w14:paraId="4B842EB8"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Potential to extend specialist expertise across geographic boundaries.</w:t>
      </w:r>
    </w:p>
    <w:p w14:paraId="29012ED3"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Risks:</w:t>
      </w:r>
    </w:p>
    <w:p w14:paraId="2D6E104C"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Digital skill gaps and uneven competence.</w:t>
      </w:r>
    </w:p>
    <w:p w14:paraId="7273FD90"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Professional de-skilling and erosion of autonomy.</w:t>
      </w:r>
    </w:p>
    <w:p w14:paraId="66D361DD"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Increased cognitive burden and burnout.</w:t>
      </w:r>
    </w:p>
    <w:p w14:paraId="565E527F"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lastRenderedPageBreak/>
        <w:t>Unequal access to training and infrastructure.</w:t>
      </w:r>
    </w:p>
    <w:p w14:paraId="51B70823" w14:textId="53D27DD6"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In short, telehealth is not simply a new tool</w:t>
      </w:r>
      <w:r w:rsidR="002E5233" w:rsidRPr="002804AF">
        <w:rPr>
          <w:rFonts w:eastAsia="Times New Roman"/>
          <w:kern w:val="0"/>
          <w:lang w:eastAsia="en-GB"/>
          <w14:ligatures w14:val="none"/>
        </w:rPr>
        <w:t xml:space="preserve"> </w:t>
      </w:r>
      <w:r w:rsidRPr="002804AF">
        <w:rPr>
          <w:rFonts w:eastAsia="Times New Roman"/>
          <w:kern w:val="0"/>
          <w:lang w:eastAsia="en-GB"/>
          <w14:ligatures w14:val="none"/>
        </w:rPr>
        <w:t>it is a workforce transformation requiring strategic investment, training frameworks, and cultural change to ensure clinicians are empowered rather than disempowered by technology.</w:t>
      </w:r>
    </w:p>
    <w:p w14:paraId="75C014C8" w14:textId="2CA4E7B5" w:rsidR="00C43CF8" w:rsidRPr="002804AF" w:rsidRDefault="00C43CF8" w:rsidP="002804AF">
      <w:pPr>
        <w:spacing w:before="100" w:beforeAutospacing="1" w:after="100" w:afterAutospacing="1" w:line="360" w:lineRule="auto"/>
        <w:ind w:left="360"/>
        <w:outlineLvl w:val="2"/>
        <w:rPr>
          <w:rFonts w:eastAsia="Times New Roman"/>
          <w:b/>
          <w:bCs/>
          <w:kern w:val="0"/>
          <w:lang w:eastAsia="en-GB"/>
          <w14:ligatures w14:val="none"/>
        </w:rPr>
      </w:pPr>
      <w:r w:rsidRPr="002804AF">
        <w:rPr>
          <w:rFonts w:eastAsia="Times New Roman"/>
          <w:b/>
          <w:bCs/>
          <w:kern w:val="0"/>
          <w:lang w:eastAsia="en-GB"/>
          <w14:ligatures w14:val="none"/>
        </w:rPr>
        <w:t xml:space="preserve">Service Delivery </w:t>
      </w:r>
    </w:p>
    <w:p w14:paraId="64EA3656"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Restructuring of care pathways</w:t>
      </w:r>
    </w:p>
    <w:p w14:paraId="4863359B" w14:textId="77777777"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Particularly in primary and outpatient care, telehealth has radically altered the way services are delivered. The most amazing change came early in the epidemic as GP phone and video sessions skyrocketed and in-person visits plummeted. Mann Et al. (2021) said that remote consultations in UK general practice had tripled. Patterns like these were observed in outpatient treatment as Attend Anywhere allowed for tens of thousands of virtual appointments every month. This change has altered the way patients interact with the system. Initial digital triage typically decides whether patients are visited remotely or in person. Though this could simplify access, it can also set up obstacles if patients have difficulty with technology or if automated forms inadequately recorded symptoms.</w:t>
      </w:r>
    </w:p>
    <w:p w14:paraId="28B10A42" w14:textId="23DBF56E"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Efficiency vs. safety trade-offs</w:t>
      </w:r>
    </w:p>
    <w:p w14:paraId="4DD64BC7" w14:textId="386D8A44" w:rsidR="00C1142D" w:rsidRDefault="00C1142D"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A lot of people argue telehealth improves efficiency, fewer missed appointments, reduced travel costs, and more flexible scheduling. For example, analysis by Edge Health found significant savings in travel time and clinic space costs through virtual appointments. However, this efficiency is counterbalanced by safety and quality concerns. Remote consultations may limit physical examination, increasing diagnostic uncertainty. In rheumatology, for instance, patients and clinicians report lower confidence in virtual assessments (Crawford et al., 2021). Moreover, technical failures or unclear symptom reporting can lead to duplicated appointments or missed diagnoses. A 2024 investigation linked failures in online GP consultation triage to cases of patient harm, including delayed cancer diagnoses. Hybrid models, where telehealth is combined with in-person care, offer a safer balance. These models preserve relational continuity and allow escalation when needed. Yet they require clear protocols and sufficient staffing to avoid overloading both pathways simultaneously.</w:t>
      </w:r>
    </w:p>
    <w:p w14:paraId="56C1B53B" w14:textId="77777777" w:rsidR="004A481F" w:rsidRPr="002804AF" w:rsidRDefault="004A481F" w:rsidP="002804AF">
      <w:pPr>
        <w:spacing w:before="100" w:beforeAutospacing="1" w:after="100" w:afterAutospacing="1" w:line="360" w:lineRule="auto"/>
        <w:ind w:left="360"/>
        <w:rPr>
          <w:rFonts w:eastAsia="Times New Roman"/>
          <w:kern w:val="0"/>
          <w:lang w:eastAsia="en-GB"/>
          <w14:ligatures w14:val="none"/>
        </w:rPr>
      </w:pPr>
    </w:p>
    <w:p w14:paraId="119B4B4C"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lastRenderedPageBreak/>
        <w:t>Infrastructure and geographic disparities</w:t>
      </w:r>
    </w:p>
    <w:p w14:paraId="6A41637A" w14:textId="77777777"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The advantages of telehealth are not evenly spread throughout the UK. Urban centres with excellent broadband and IT infrastructure have embraced digital services quicker than rural or impoverished regions do, which face continual obstacles. This causes geographic inequalities in service delivery, hence worsening current health disparities. While some trust rely on unreliable connections or obsolete equipment, others with more sophisticated IT capability can execute integrated telehealth pathways.</w:t>
      </w:r>
    </w:p>
    <w:p w14:paraId="287658DA" w14:textId="77777777"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This unevenness also impacts service consistency. While a patient in rural Wales could have trouble getting basic video calls, a patient in central London could get quick, flawless video consultations. These discrepancies run counter to the universal principle of NHS service delivery.</w:t>
      </w:r>
    </w:p>
    <w:p w14:paraId="2186DFD6" w14:textId="2651BAC2"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Continuity of care and relational impacts</w:t>
      </w:r>
    </w:p>
    <w:p w14:paraId="4742BA70" w14:textId="77777777"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Another significant conflict revolves about continuity. Originally treasured for its longitudinal links between patients and family doctors, primary care Particularly when used through national digital platforms like GP at Hand, telehealth can break this continuity. Patients who register with remote providers could lose contacts locally GPs are undermining community-based care networks. Ladds et al. (2023) discovered that even if remote consultations work for transactional contacts (e.g. repeat prescription, easy For challenging, chronic ailments needing trust and continuous relationships, follow-ups are less successful.</w:t>
      </w:r>
    </w:p>
    <w:p w14:paraId="002CA222" w14:textId="0674BB51"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Governance and safety frameworks</w:t>
      </w:r>
    </w:p>
    <w:p w14:paraId="37F5DD3B" w14:textId="27983097" w:rsidR="00C1142D"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Telehealth presents governance problems. New methods of treatment require that clinical safety procedures, escalation systems, and liability frameworks be changed. Serious results could follow when video causes misinterpretation. NHS instructions have fallen behind fast technical acceptance, therefore raising questions regarding responsibility when damage happens virtually. Good governance</w:t>
      </w:r>
      <w:r w:rsidR="004A481F">
        <w:rPr>
          <w:rFonts w:eastAsia="Times New Roman"/>
          <w:kern w:val="0"/>
          <w:lang w:eastAsia="en-GB"/>
          <w14:ligatures w14:val="none"/>
        </w:rPr>
        <w:t xml:space="preserve">, </w:t>
      </w:r>
      <w:r w:rsidRPr="002804AF">
        <w:rPr>
          <w:rFonts w:eastAsia="Times New Roman"/>
          <w:kern w:val="0"/>
          <w:lang w:eastAsia="en-GB"/>
          <w14:ligatures w14:val="none"/>
        </w:rPr>
        <w:t>including explicit procedures for red-flag symptoms, escalating thresholds, and documentation standards</w:t>
      </w:r>
      <w:r w:rsidR="004A481F">
        <w:rPr>
          <w:rFonts w:eastAsia="Times New Roman"/>
          <w:kern w:val="0"/>
          <w:lang w:eastAsia="en-GB"/>
          <w14:ligatures w14:val="none"/>
        </w:rPr>
        <w:t xml:space="preserve">, </w:t>
      </w:r>
      <w:r w:rsidRPr="002804AF">
        <w:rPr>
          <w:rFonts w:eastAsia="Times New Roman"/>
          <w:kern w:val="0"/>
          <w:lang w:eastAsia="en-GB"/>
          <w14:ligatures w14:val="none"/>
        </w:rPr>
        <w:t>is necessary for sustainable service delivery.</w:t>
      </w:r>
    </w:p>
    <w:p w14:paraId="78D0317A" w14:textId="77777777" w:rsidR="004A481F" w:rsidRDefault="004A481F" w:rsidP="002804AF">
      <w:pPr>
        <w:spacing w:before="100" w:beforeAutospacing="1" w:after="100" w:afterAutospacing="1" w:line="360" w:lineRule="auto"/>
        <w:ind w:left="360"/>
        <w:outlineLvl w:val="3"/>
        <w:rPr>
          <w:rFonts w:eastAsia="Times New Roman"/>
          <w:kern w:val="0"/>
          <w:lang w:eastAsia="en-GB"/>
          <w14:ligatures w14:val="none"/>
        </w:rPr>
      </w:pPr>
    </w:p>
    <w:p w14:paraId="37B7D41A" w14:textId="77777777" w:rsidR="004A481F" w:rsidRPr="002804AF" w:rsidRDefault="004A481F" w:rsidP="002804AF">
      <w:pPr>
        <w:spacing w:before="100" w:beforeAutospacing="1" w:after="100" w:afterAutospacing="1" w:line="360" w:lineRule="auto"/>
        <w:ind w:left="360"/>
        <w:outlineLvl w:val="3"/>
        <w:rPr>
          <w:rFonts w:eastAsia="Times New Roman"/>
          <w:kern w:val="0"/>
          <w:lang w:eastAsia="en-GB"/>
          <w14:ligatures w14:val="none"/>
        </w:rPr>
      </w:pPr>
    </w:p>
    <w:p w14:paraId="076DBE95" w14:textId="38A54932"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lastRenderedPageBreak/>
        <w:t>Summary of service delivery implications</w:t>
      </w:r>
    </w:p>
    <w:p w14:paraId="18351C12"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Benefits:</w:t>
      </w:r>
    </w:p>
    <w:p w14:paraId="48828C05"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Improved flexibility and access.</w:t>
      </w:r>
    </w:p>
    <w:p w14:paraId="53427F78"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Reduced infrastructure costs and patient travel.</w:t>
      </w:r>
    </w:p>
    <w:p w14:paraId="39210EC3"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Capacity to manage high service demand.</w:t>
      </w:r>
    </w:p>
    <w:p w14:paraId="44402575"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Risks:</w:t>
      </w:r>
    </w:p>
    <w:p w14:paraId="6BE9D271"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Diagnostic uncertainty and safety concerns.</w:t>
      </w:r>
    </w:p>
    <w:p w14:paraId="043B2A32"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Unequal infrastructure across regions.</w:t>
      </w:r>
    </w:p>
    <w:p w14:paraId="6CCE7E6D"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Fragmentation of care continuity.</w:t>
      </w:r>
    </w:p>
    <w:p w14:paraId="48D519A0"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Weak governance during rapid deployment.</w:t>
      </w:r>
    </w:p>
    <w:p w14:paraId="1BAC7ABF" w14:textId="24B3D3EC"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The reconfiguration of service delivery through telehealth thus presents a classic efficiency–equity–safety trade-off. Achieving balance requires thoughtful policy design, infrastructure investment, and hybrid care models that preserve relational and clinical quality.</w:t>
      </w:r>
    </w:p>
    <w:p w14:paraId="42EDAC81" w14:textId="13FACC4F" w:rsidR="00C43CF8" w:rsidRPr="002804AF" w:rsidRDefault="00C43CF8" w:rsidP="002804AF">
      <w:pPr>
        <w:spacing w:before="100" w:beforeAutospacing="1" w:after="100" w:afterAutospacing="1" w:line="360" w:lineRule="auto"/>
        <w:ind w:left="360"/>
        <w:outlineLvl w:val="2"/>
        <w:rPr>
          <w:rFonts w:eastAsia="Times New Roman"/>
          <w:b/>
          <w:bCs/>
          <w:kern w:val="0"/>
          <w:lang w:eastAsia="en-GB"/>
          <w14:ligatures w14:val="none"/>
        </w:rPr>
      </w:pPr>
      <w:r w:rsidRPr="002804AF">
        <w:rPr>
          <w:rFonts w:eastAsia="Times New Roman"/>
          <w:b/>
          <w:bCs/>
          <w:kern w:val="0"/>
          <w:lang w:eastAsia="en-GB"/>
          <w14:ligatures w14:val="none"/>
        </w:rPr>
        <w:t xml:space="preserve">Patient and Service User Experience </w:t>
      </w:r>
    </w:p>
    <w:p w14:paraId="32FFB6C4"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Satisfaction and convenience</w:t>
      </w:r>
    </w:p>
    <w:p w14:paraId="7A9461AE" w14:textId="02B26289" w:rsidR="00C1142D" w:rsidRPr="002804AF" w:rsidRDefault="00C1142D"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Patient satisfaction regarding telehealth services is typically elevated. A systematic review conducted in 2024 (Elhusein et al. ) revealed that the rates of patient satisfaction with telehealth services in NHS environments generally surpassed 80%. Patients appreciated shorter travel times, quicker access, and greater flexibility. Numerous outpatient participants indicated that they felt heard and engaged in the decision-making process during remote consultations (Greenhalgh et al. , 2021). Nonetheless, patient satisfaction is greatly influenced by the traits of the patients themselves and the type of consultation they receive. For basic, regular, or follow-up appointments, telehealth is frequently seen as just as convenient, if not more so, than in-person care. For complicated or delicate matters, numerous patients prefer face-to-face interactions.</w:t>
      </w:r>
    </w:p>
    <w:p w14:paraId="47E2A1C3" w14:textId="7FC9C4EB"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lastRenderedPageBreak/>
        <w:t>Digital divide and health inequalities</w:t>
      </w:r>
    </w:p>
    <w:p w14:paraId="760FDDAE" w14:textId="77777777" w:rsidR="00B46428" w:rsidRPr="002804AF" w:rsidRDefault="00B46428"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Not every patient can gain the same advantages from telehealth services. A thorough review conducted by Jones and colleagues. A study conducted in 2022 discovered that elderly individuals, those from lower income levels, people with limited English skills, and individuals with disabilities were less likely to be given the option of remote consultations or to agree to participate in them. This illustrates a digital gap influenced by social health factors: availability of high-speed internet, devices, digital skills, and physical or mental capabilities. This gap threatens to strengthen the current disparities in access to healthcare. While certain patients benefit from digital tools, others might be left out or face disadvantages.</w:t>
      </w:r>
    </w:p>
    <w:p w14:paraId="690DCCB0" w14:textId="06B8AEA0"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Autonomy, privacy, and trust</w:t>
      </w:r>
    </w:p>
    <w:p w14:paraId="1D35CB58" w14:textId="1E4A3130" w:rsidR="00B46428" w:rsidRPr="002804AF" w:rsidRDefault="00B46428"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 xml:space="preserve">Telehealth can improve patient independence by providing individuals with greater control over the timing and manner in which they receive medical care. However, it also places the burden on patients: they are required to </w:t>
      </w:r>
      <w:r w:rsidR="004A481F" w:rsidRPr="002804AF">
        <w:rPr>
          <w:rFonts w:eastAsia="Times New Roman"/>
          <w:kern w:val="0"/>
          <w:lang w:eastAsia="en-GB"/>
          <w14:ligatures w14:val="none"/>
        </w:rPr>
        <w:t>manoeuvre</w:t>
      </w:r>
      <w:r w:rsidRPr="002804AF">
        <w:rPr>
          <w:rFonts w:eastAsia="Times New Roman"/>
          <w:kern w:val="0"/>
          <w:lang w:eastAsia="en-GB"/>
          <w14:ligatures w14:val="none"/>
        </w:rPr>
        <w:t xml:space="preserve"> through digital platforms, accurately communicate their symptoms, and protect their privacy during virtual appointments. Concerns regarding privacy are widespread. Certain patients express concerns regarding the possibility of being overheard in their residences or about the security of their information on online platforms. In assessments of the NHS App, users expressed discomfort regarding the storage of sensitive health information on personal devices or the sharing of such data across systems without obvious consent procedures. Furthermore, trust is based on relationships. Although telehealth can preserve trust between a patient and a clinician who already know each other, it may weaken that trust when the patient interacts with new, unfamiliar providers. For patients who are vulnerable, this could deter them from sharing important personal information.</w:t>
      </w:r>
    </w:p>
    <w:p w14:paraId="24B424A8" w14:textId="4577BA60"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Patient agency and choice</w:t>
      </w:r>
    </w:p>
    <w:p w14:paraId="636525AA" w14:textId="59A5A158" w:rsidR="00B46428" w:rsidRPr="002804AF" w:rsidRDefault="00B46428" w:rsidP="002804AF">
      <w:pPr>
        <w:spacing w:before="100" w:beforeAutospacing="1" w:after="100" w:afterAutospacing="1" w:line="360" w:lineRule="auto"/>
        <w:ind w:left="360"/>
        <w:outlineLvl w:val="3"/>
        <w:rPr>
          <w:rFonts w:eastAsia="Times New Roman"/>
          <w:kern w:val="0"/>
          <w:lang w:eastAsia="en-GB"/>
          <w14:ligatures w14:val="none"/>
        </w:rPr>
      </w:pPr>
      <w:r w:rsidRPr="002804AF">
        <w:rPr>
          <w:rFonts w:eastAsia="Times New Roman"/>
          <w:kern w:val="0"/>
          <w:lang w:eastAsia="en-GB"/>
          <w14:ligatures w14:val="none"/>
        </w:rPr>
        <w:t>A common theme in research on patient experiences is the significance of having options. Numerous patients prefer telehealth as an alternative, rather than a requirement or standard practice. For instance, in rheumatology clinics within the NHS, more than 80% of patients favoured follow-up consultations via telephone or video for routine concerns but desired in-person meetings for more complicated matters (Crawford et al. , 2021). Forcing digital options on patients without giving them a choice may lead to them feeling disconnected and can damage their trust.</w:t>
      </w:r>
    </w:p>
    <w:p w14:paraId="44CA9E04" w14:textId="04664B58"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lastRenderedPageBreak/>
        <w:t>Ethical considerations</w:t>
      </w:r>
    </w:p>
    <w:p w14:paraId="73D04775" w14:textId="77777777" w:rsidR="00B46428" w:rsidRPr="002804AF" w:rsidRDefault="00B4642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The ethical dimensions of telehealth extend beyond privacy. Issues of informed consent, accessibility, and distributive justice are central. A model that improves convenience for some while excluding others may violate principles of equity. Moreover, when patients lack the skills or resources to engage digitally, responsibility unfairly shifts onto individuals rather than the system.</w:t>
      </w:r>
    </w:p>
    <w:p w14:paraId="6B894FBE" w14:textId="77777777" w:rsidR="00C43CF8" w:rsidRPr="002804AF" w:rsidRDefault="00C43CF8" w:rsidP="002804AF">
      <w:pPr>
        <w:spacing w:before="100" w:beforeAutospacing="1" w:after="100" w:afterAutospacing="1" w:line="360" w:lineRule="auto"/>
        <w:ind w:left="360"/>
        <w:outlineLvl w:val="3"/>
        <w:rPr>
          <w:rFonts w:eastAsia="Times New Roman"/>
          <w:b/>
          <w:bCs/>
          <w:kern w:val="0"/>
          <w:lang w:eastAsia="en-GB"/>
          <w14:ligatures w14:val="none"/>
        </w:rPr>
      </w:pPr>
      <w:r w:rsidRPr="002804AF">
        <w:rPr>
          <w:rFonts w:eastAsia="Times New Roman"/>
          <w:b/>
          <w:bCs/>
          <w:kern w:val="0"/>
          <w:lang w:eastAsia="en-GB"/>
          <w14:ligatures w14:val="none"/>
        </w:rPr>
        <w:t>Summary of patient experience implications</w:t>
      </w:r>
    </w:p>
    <w:p w14:paraId="0DC50EB5"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Benefits:</w:t>
      </w:r>
    </w:p>
    <w:p w14:paraId="5BD1F1C5"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Increased convenience and flexibility.</w:t>
      </w:r>
    </w:p>
    <w:p w14:paraId="2034FF5D"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Potential for greater autonomy and empowerment.</w:t>
      </w:r>
    </w:p>
    <w:p w14:paraId="2C3562BC"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Positive experiences for routine care and follow-ups.</w:t>
      </w:r>
    </w:p>
    <w:p w14:paraId="171998DF"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t>Risks:</w:t>
      </w:r>
    </w:p>
    <w:p w14:paraId="4C0A5CEE"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Digital exclusion for disadvantaged groups.</w:t>
      </w:r>
    </w:p>
    <w:p w14:paraId="449BFFF6"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Privacy and security concerns.</w:t>
      </w:r>
    </w:p>
    <w:p w14:paraId="2FB7509E"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Reduced relational continuity.</w:t>
      </w:r>
    </w:p>
    <w:p w14:paraId="269C857B"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kern w:val="0"/>
          <w:lang w:eastAsia="en-GB"/>
          <w14:ligatures w14:val="none"/>
        </w:rPr>
        <w:t>Ethical tensions around choice and equity.</w:t>
      </w:r>
    </w:p>
    <w:p w14:paraId="12AC65A1" w14:textId="77777777" w:rsidR="00B102AC"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In short, telehealth amplifies both empowerment and exclusion. Whether it delivers genuinely person-centred care depends on how well systems address structural barriers to access and uphold patient choice.</w:t>
      </w:r>
    </w:p>
    <w:p w14:paraId="3AFE9BD3" w14:textId="77777777" w:rsidR="00B102AC" w:rsidRDefault="00B102AC" w:rsidP="002804AF">
      <w:pPr>
        <w:spacing w:before="100" w:beforeAutospacing="1" w:after="100" w:afterAutospacing="1" w:line="360" w:lineRule="auto"/>
        <w:rPr>
          <w:rFonts w:eastAsia="Times New Roman"/>
          <w:kern w:val="0"/>
          <w:lang w:eastAsia="en-GB"/>
          <w14:ligatures w14:val="none"/>
        </w:rPr>
      </w:pPr>
    </w:p>
    <w:p w14:paraId="1C2C2CC1" w14:textId="77777777" w:rsidR="00B46428" w:rsidRDefault="00B46428" w:rsidP="002804AF">
      <w:pPr>
        <w:spacing w:before="100" w:beforeAutospacing="1" w:after="100" w:afterAutospacing="1" w:line="360" w:lineRule="auto"/>
        <w:rPr>
          <w:rFonts w:eastAsia="Times New Roman"/>
          <w:kern w:val="0"/>
          <w:lang w:eastAsia="en-GB"/>
          <w14:ligatures w14:val="none"/>
        </w:rPr>
      </w:pPr>
    </w:p>
    <w:p w14:paraId="36AA9A28" w14:textId="77777777" w:rsidR="00B46428" w:rsidRDefault="00B46428" w:rsidP="002804AF">
      <w:pPr>
        <w:spacing w:before="100" w:beforeAutospacing="1" w:after="100" w:afterAutospacing="1" w:line="360" w:lineRule="auto"/>
        <w:rPr>
          <w:rFonts w:eastAsia="Times New Roman"/>
          <w:kern w:val="0"/>
          <w:lang w:eastAsia="en-GB"/>
          <w14:ligatures w14:val="none"/>
        </w:rPr>
      </w:pPr>
    </w:p>
    <w:p w14:paraId="01E2191C" w14:textId="77777777" w:rsidR="00B46428" w:rsidRDefault="00B46428" w:rsidP="002804AF">
      <w:pPr>
        <w:spacing w:before="100" w:beforeAutospacing="1" w:after="100" w:afterAutospacing="1" w:line="360" w:lineRule="auto"/>
        <w:rPr>
          <w:rFonts w:eastAsia="Times New Roman"/>
          <w:kern w:val="0"/>
          <w:lang w:eastAsia="en-GB"/>
          <w14:ligatures w14:val="none"/>
        </w:rPr>
      </w:pPr>
    </w:p>
    <w:p w14:paraId="1C75D536" w14:textId="77777777" w:rsidR="00455080" w:rsidRDefault="00455080" w:rsidP="002804AF">
      <w:pPr>
        <w:spacing w:before="100" w:beforeAutospacing="1" w:after="100" w:afterAutospacing="1" w:line="360" w:lineRule="auto"/>
        <w:rPr>
          <w:rFonts w:eastAsia="Times New Roman"/>
          <w:kern w:val="0"/>
          <w:lang w:eastAsia="en-GB"/>
          <w14:ligatures w14:val="none"/>
        </w:rPr>
      </w:pPr>
    </w:p>
    <w:p w14:paraId="630497BC" w14:textId="7AC38CD4"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b/>
          <w:bCs/>
          <w:kern w:val="0"/>
          <w:lang w:eastAsia="en-GB"/>
          <w14:ligatures w14:val="none"/>
        </w:rPr>
        <w:lastRenderedPageBreak/>
        <w:t xml:space="preserve">Conclusion and Recommendations </w:t>
      </w:r>
    </w:p>
    <w:p w14:paraId="72D445DA" w14:textId="77777777" w:rsidR="00B46428" w:rsidRPr="002804AF" w:rsidRDefault="00B4642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Telehealth signifies one of the most significant changes in the NHS over the past several decades. Platforms such as Attend Anywhere and digital-focused GP models like GP at Hand have transformed the environment of workforce practice, service delivery, and patient experience. However, this change is neither automatically good nor bad; it is influenced by how it is put into action, the existing infrastructure, governance, and the social environment.</w:t>
      </w:r>
    </w:p>
    <w:p w14:paraId="5D2ED3A6" w14:textId="0CF01EA5"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Across the three domains examined in this report, key tensions emerge:</w:t>
      </w:r>
    </w:p>
    <w:p w14:paraId="687A7898"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Workforce</w:t>
      </w:r>
      <w:r w:rsidRPr="00C43CF8">
        <w:rPr>
          <w:rFonts w:eastAsia="Times New Roman"/>
          <w:kern w:val="0"/>
          <w:lang w:eastAsia="en-GB"/>
          <w14:ligatures w14:val="none"/>
        </w:rPr>
        <w:t>: Telehealth introduces new competencies and flexibilities but risks de-skilling, burnout, and uneven adaptation.</w:t>
      </w:r>
    </w:p>
    <w:p w14:paraId="3D7151A2"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Service delivery</w:t>
      </w:r>
      <w:r w:rsidRPr="00C43CF8">
        <w:rPr>
          <w:rFonts w:eastAsia="Times New Roman"/>
          <w:kern w:val="0"/>
          <w:lang w:eastAsia="en-GB"/>
          <w14:ligatures w14:val="none"/>
        </w:rPr>
        <w:t>: Telehealth enables efficiency and access gains but raises safety, continuity, and infrastructure equity concerns.</w:t>
      </w:r>
    </w:p>
    <w:p w14:paraId="3F559BB4" w14:textId="77777777"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Patient experience</w:t>
      </w:r>
      <w:r w:rsidRPr="00C43CF8">
        <w:rPr>
          <w:rFonts w:eastAsia="Times New Roman"/>
          <w:kern w:val="0"/>
          <w:lang w:eastAsia="en-GB"/>
          <w14:ligatures w14:val="none"/>
        </w:rPr>
        <w:t>: Telehealth enhances convenience for some but excludes others, especially those facing digital or socioeconomic barriers.</w:t>
      </w:r>
    </w:p>
    <w:p w14:paraId="524318CA" w14:textId="77777777" w:rsidR="00C43CF8" w:rsidRPr="002804AF" w:rsidRDefault="00C43CF8" w:rsidP="002804AF">
      <w:pPr>
        <w:spacing w:before="100" w:beforeAutospacing="1" w:after="100" w:afterAutospacing="1" w:line="360" w:lineRule="auto"/>
        <w:ind w:left="360"/>
        <w:rPr>
          <w:rFonts w:eastAsia="Times New Roman"/>
          <w:kern w:val="0"/>
          <w:lang w:eastAsia="en-GB"/>
          <w14:ligatures w14:val="none"/>
        </w:rPr>
      </w:pPr>
      <w:r w:rsidRPr="002804AF">
        <w:rPr>
          <w:rFonts w:eastAsia="Times New Roman"/>
          <w:kern w:val="0"/>
          <w:lang w:eastAsia="en-GB"/>
          <w14:ligatures w14:val="none"/>
        </w:rPr>
        <w:t>To reconcile these tensions, the following recommendations are proposed:</w:t>
      </w:r>
    </w:p>
    <w:p w14:paraId="731AD366" w14:textId="0D208933"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Strategic workforce development</w:t>
      </w:r>
      <w:r w:rsidR="00455080">
        <w:rPr>
          <w:rFonts w:eastAsia="Times New Roman"/>
          <w:b/>
          <w:bCs/>
          <w:kern w:val="0"/>
          <w:lang w:eastAsia="en-GB"/>
          <w14:ligatures w14:val="none"/>
        </w:rPr>
        <w:t xml:space="preserve">:  </w:t>
      </w:r>
      <w:r w:rsidR="00455080" w:rsidRPr="00455080">
        <w:rPr>
          <w:rFonts w:eastAsia="Times New Roman"/>
          <w:kern w:val="0"/>
          <w:lang w:eastAsia="en-GB"/>
          <w14:ligatures w14:val="none"/>
        </w:rPr>
        <w:t>To</w:t>
      </w:r>
      <w:r w:rsidRPr="00C43CF8">
        <w:rPr>
          <w:rFonts w:eastAsia="Times New Roman"/>
          <w:kern w:val="0"/>
          <w:lang w:eastAsia="en-GB"/>
          <w14:ligatures w14:val="none"/>
        </w:rPr>
        <w:t xml:space="preserve"> Invest in digital competency frameworks, protected training time, and support structures for all staff.</w:t>
      </w:r>
    </w:p>
    <w:p w14:paraId="672CDDF9" w14:textId="7A789495"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Hybrid service models</w:t>
      </w:r>
      <w:r w:rsidR="00455080">
        <w:rPr>
          <w:rFonts w:eastAsia="Times New Roman"/>
          <w:b/>
          <w:bCs/>
          <w:kern w:val="0"/>
          <w:lang w:eastAsia="en-GB"/>
          <w14:ligatures w14:val="none"/>
        </w:rPr>
        <w:t xml:space="preserve">: </w:t>
      </w:r>
      <w:r w:rsidRPr="00C43CF8">
        <w:rPr>
          <w:rFonts w:eastAsia="Times New Roman"/>
          <w:kern w:val="0"/>
          <w:lang w:eastAsia="en-GB"/>
          <w14:ligatures w14:val="none"/>
        </w:rPr>
        <w:t xml:space="preserve"> </w:t>
      </w:r>
      <w:r w:rsidR="00455080" w:rsidRPr="00455080">
        <w:rPr>
          <w:rFonts w:eastAsia="Times New Roman"/>
          <w:kern w:val="0"/>
          <w:lang w:eastAsia="en-GB"/>
          <w14:ligatures w14:val="none"/>
        </w:rPr>
        <w:t>To</w:t>
      </w:r>
      <w:r w:rsidR="00455080" w:rsidRPr="00C43CF8">
        <w:rPr>
          <w:rFonts w:eastAsia="Times New Roman"/>
          <w:kern w:val="0"/>
          <w:lang w:eastAsia="en-GB"/>
          <w14:ligatures w14:val="none"/>
        </w:rPr>
        <w:t xml:space="preserve"> </w:t>
      </w:r>
      <w:r w:rsidRPr="00C43CF8">
        <w:rPr>
          <w:rFonts w:eastAsia="Times New Roman"/>
          <w:kern w:val="0"/>
          <w:lang w:eastAsia="en-GB"/>
          <w14:ligatures w14:val="none"/>
        </w:rPr>
        <w:t>Combine remote and face-to-face care to preserve safety and continuity, with clear governance and escalation pathways.</w:t>
      </w:r>
    </w:p>
    <w:p w14:paraId="3F4C8547" w14:textId="433B3428"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Equity and inclusion strategies</w:t>
      </w:r>
      <w:r w:rsidR="00455080">
        <w:rPr>
          <w:rFonts w:eastAsia="Times New Roman"/>
          <w:b/>
          <w:bCs/>
          <w:kern w:val="0"/>
          <w:lang w:eastAsia="en-GB"/>
          <w14:ligatures w14:val="none"/>
        </w:rPr>
        <w:t xml:space="preserve">: </w:t>
      </w:r>
      <w:r w:rsidR="00455080" w:rsidRPr="00455080">
        <w:rPr>
          <w:rFonts w:eastAsia="Times New Roman"/>
          <w:kern w:val="0"/>
          <w:lang w:eastAsia="en-GB"/>
          <w14:ligatures w14:val="none"/>
        </w:rPr>
        <w:t>To</w:t>
      </w:r>
      <w:r w:rsidRPr="00C43CF8">
        <w:rPr>
          <w:rFonts w:eastAsia="Times New Roman"/>
          <w:kern w:val="0"/>
          <w:lang w:eastAsia="en-GB"/>
          <w14:ligatures w14:val="none"/>
        </w:rPr>
        <w:t xml:space="preserve"> </w:t>
      </w:r>
      <w:r w:rsidR="00455080">
        <w:rPr>
          <w:rFonts w:eastAsia="Times New Roman"/>
          <w:kern w:val="0"/>
          <w:lang w:eastAsia="en-GB"/>
          <w14:ligatures w14:val="none"/>
        </w:rPr>
        <w:t>a</w:t>
      </w:r>
      <w:r w:rsidRPr="00C43CF8">
        <w:rPr>
          <w:rFonts w:eastAsia="Times New Roman"/>
          <w:kern w:val="0"/>
          <w:lang w:eastAsia="en-GB"/>
          <w14:ligatures w14:val="none"/>
        </w:rPr>
        <w:t>ddress the digital divide through infrastructure investment, accessible design, digital literacy programmes, and patient choice.</w:t>
      </w:r>
    </w:p>
    <w:p w14:paraId="75A1DD3D" w14:textId="48E12A31"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Robust governance and ethics</w:t>
      </w:r>
      <w:r w:rsidR="00455080">
        <w:rPr>
          <w:rFonts w:eastAsia="Times New Roman"/>
          <w:b/>
          <w:bCs/>
          <w:kern w:val="0"/>
          <w:lang w:eastAsia="en-GB"/>
          <w14:ligatures w14:val="none"/>
        </w:rPr>
        <w:t xml:space="preserve">: </w:t>
      </w:r>
      <w:r w:rsidR="00455080" w:rsidRPr="00455080">
        <w:rPr>
          <w:rFonts w:eastAsia="Times New Roman"/>
          <w:kern w:val="0"/>
          <w:lang w:eastAsia="en-GB"/>
          <w14:ligatures w14:val="none"/>
        </w:rPr>
        <w:t>To</w:t>
      </w:r>
      <w:r w:rsidRPr="00C43CF8">
        <w:rPr>
          <w:rFonts w:eastAsia="Times New Roman"/>
          <w:kern w:val="0"/>
          <w:lang w:eastAsia="en-GB"/>
          <w14:ligatures w14:val="none"/>
        </w:rPr>
        <w:t xml:space="preserve"> </w:t>
      </w:r>
      <w:r w:rsidR="00455080">
        <w:rPr>
          <w:rFonts w:eastAsia="Times New Roman"/>
          <w:kern w:val="0"/>
          <w:lang w:eastAsia="en-GB"/>
          <w14:ligatures w14:val="none"/>
        </w:rPr>
        <w:t>e</w:t>
      </w:r>
      <w:r w:rsidRPr="00C43CF8">
        <w:rPr>
          <w:rFonts w:eastAsia="Times New Roman"/>
          <w:kern w:val="0"/>
          <w:lang w:eastAsia="en-GB"/>
          <w14:ligatures w14:val="none"/>
        </w:rPr>
        <w:t>nsure safety standards, data protection, and ethical frameworks keep pace with technological change.</w:t>
      </w:r>
    </w:p>
    <w:p w14:paraId="5DB1754E" w14:textId="0706E794" w:rsidR="00C43CF8" w:rsidRPr="00C43CF8" w:rsidRDefault="00C43CF8" w:rsidP="002804AF">
      <w:pPr>
        <w:spacing w:before="100" w:beforeAutospacing="1" w:after="100" w:afterAutospacing="1" w:line="360" w:lineRule="auto"/>
        <w:ind w:left="360"/>
        <w:rPr>
          <w:rFonts w:eastAsia="Times New Roman"/>
          <w:kern w:val="0"/>
          <w:lang w:eastAsia="en-GB"/>
          <w14:ligatures w14:val="none"/>
        </w:rPr>
      </w:pPr>
      <w:r w:rsidRPr="00C43CF8">
        <w:rPr>
          <w:rFonts w:eastAsia="Times New Roman"/>
          <w:b/>
          <w:bCs/>
          <w:kern w:val="0"/>
          <w:lang w:eastAsia="en-GB"/>
          <w14:ligatures w14:val="none"/>
        </w:rPr>
        <w:t>Co-production with patients</w:t>
      </w:r>
      <w:r w:rsidR="00455080">
        <w:rPr>
          <w:rFonts w:eastAsia="Times New Roman"/>
          <w:b/>
          <w:bCs/>
          <w:kern w:val="0"/>
          <w:lang w:eastAsia="en-GB"/>
          <w14:ligatures w14:val="none"/>
        </w:rPr>
        <w:t xml:space="preserve">: </w:t>
      </w:r>
      <w:r w:rsidR="00455080" w:rsidRPr="00455080">
        <w:rPr>
          <w:rFonts w:eastAsia="Times New Roman"/>
          <w:kern w:val="0"/>
          <w:lang w:eastAsia="en-GB"/>
          <w14:ligatures w14:val="none"/>
        </w:rPr>
        <w:t>To</w:t>
      </w:r>
      <w:r w:rsidRPr="00C43CF8">
        <w:rPr>
          <w:rFonts w:eastAsia="Times New Roman"/>
          <w:kern w:val="0"/>
          <w:lang w:eastAsia="en-GB"/>
          <w14:ligatures w14:val="none"/>
        </w:rPr>
        <w:t xml:space="preserve"> Involve service users in designing and evaluating telehealth services to ensure relevance, usability, and fairness.</w:t>
      </w:r>
    </w:p>
    <w:p w14:paraId="1EE32416" w14:textId="254E3900" w:rsidR="002804AF" w:rsidRDefault="00C43CF8" w:rsidP="00455080">
      <w:pPr>
        <w:spacing w:before="100" w:beforeAutospacing="1" w:after="100" w:afterAutospacing="1" w:line="360" w:lineRule="auto"/>
        <w:ind w:left="360"/>
      </w:pPr>
      <w:r w:rsidRPr="002804AF">
        <w:rPr>
          <w:rFonts w:eastAsia="Times New Roman"/>
          <w:kern w:val="0"/>
          <w:lang w:eastAsia="en-GB"/>
          <w14:ligatures w14:val="none"/>
        </w:rPr>
        <w:t>Telehealth is here to stay. Its long-term success depends on embedding it not merely as a technical innovation but as part of a socio-technical system grounded in equity, quality, and trust.</w:t>
      </w:r>
    </w:p>
    <w:p w14:paraId="600E25C9" w14:textId="77777777" w:rsidR="00D0570E" w:rsidRPr="002804AF" w:rsidRDefault="00D0570E" w:rsidP="002804AF">
      <w:pPr>
        <w:spacing w:line="360" w:lineRule="auto"/>
        <w:ind w:left="360"/>
        <w:rPr>
          <w:b/>
          <w:bCs/>
          <w:color w:val="000000" w:themeColor="text1"/>
        </w:rPr>
      </w:pPr>
      <w:r w:rsidRPr="002804AF">
        <w:rPr>
          <w:b/>
          <w:bCs/>
          <w:color w:val="000000" w:themeColor="text1"/>
        </w:rPr>
        <w:lastRenderedPageBreak/>
        <w:t>References</w:t>
      </w:r>
    </w:p>
    <w:p w14:paraId="6E92FAF2" w14:textId="77E225B8" w:rsidR="004A481F" w:rsidRPr="004A481F" w:rsidRDefault="004A481F" w:rsidP="004A481F">
      <w:pPr>
        <w:spacing w:line="360" w:lineRule="auto"/>
        <w:ind w:left="360"/>
        <w:rPr>
          <w:color w:val="000000" w:themeColor="text1"/>
        </w:rPr>
      </w:pPr>
      <w:r w:rsidRPr="004A481F">
        <w:rPr>
          <w:color w:val="000000" w:themeColor="text1"/>
        </w:rPr>
        <w:t xml:space="preserve">Alotaibi, M. (2025). Participative leadership as a catalyst for digital transformation: Building digital organizational culture and identity. </w:t>
      </w:r>
      <w:r w:rsidRPr="004A481F">
        <w:rPr>
          <w:i/>
          <w:iCs/>
          <w:color w:val="000000" w:themeColor="text1"/>
        </w:rPr>
        <w:t>Journal of Management World</w:t>
      </w:r>
      <w:r w:rsidRPr="004A481F">
        <w:rPr>
          <w:color w:val="000000" w:themeColor="text1"/>
        </w:rPr>
        <w:t>, 2025(2), 333–344. https://doi.org/10.53935/jomw.v2024i4.929</w:t>
      </w:r>
    </w:p>
    <w:p w14:paraId="17B2149F" w14:textId="4687F1E7" w:rsidR="004A481F" w:rsidRPr="004A481F" w:rsidRDefault="004A481F" w:rsidP="004A481F">
      <w:pPr>
        <w:spacing w:line="360" w:lineRule="auto"/>
        <w:ind w:left="360"/>
        <w:rPr>
          <w:color w:val="000000" w:themeColor="text1"/>
        </w:rPr>
      </w:pPr>
      <w:r w:rsidRPr="004A481F">
        <w:rPr>
          <w:color w:val="000000" w:themeColor="text1"/>
        </w:rPr>
        <w:t xml:space="preserve">Antonio, S., et al. (2024). Experiences of remote consultation in UK primary care for patients with mental health conditions: A narrative synthesis. </w:t>
      </w:r>
      <w:r w:rsidRPr="004A481F">
        <w:rPr>
          <w:i/>
          <w:iCs/>
          <w:color w:val="000000" w:themeColor="text1"/>
        </w:rPr>
        <w:t>Journal of Primary Care &amp; Community Health</w:t>
      </w:r>
      <w:r w:rsidRPr="004A481F">
        <w:rPr>
          <w:color w:val="000000" w:themeColor="text1"/>
        </w:rPr>
        <w:t>, 15(6), e097633. https://doi.org/10.1177/215013192211097633</w:t>
      </w:r>
    </w:p>
    <w:p w14:paraId="25CDD13C" w14:textId="4638FB11" w:rsidR="004A481F" w:rsidRPr="004A481F" w:rsidRDefault="004A481F" w:rsidP="004A481F">
      <w:pPr>
        <w:spacing w:line="360" w:lineRule="auto"/>
        <w:ind w:left="360"/>
        <w:rPr>
          <w:color w:val="000000" w:themeColor="text1"/>
        </w:rPr>
      </w:pPr>
      <w:r w:rsidRPr="004A481F">
        <w:rPr>
          <w:color w:val="000000" w:themeColor="text1"/>
        </w:rPr>
        <w:t xml:space="preserve">Campbell, K., et al. (2023). The impact of remote consultations on the quality of care: A systematic review. </w:t>
      </w:r>
      <w:r w:rsidRPr="004A481F">
        <w:rPr>
          <w:i/>
          <w:iCs/>
          <w:color w:val="000000" w:themeColor="text1"/>
        </w:rPr>
        <w:t>medRxiv</w:t>
      </w:r>
      <w:r w:rsidRPr="004A481F">
        <w:rPr>
          <w:color w:val="000000" w:themeColor="text1"/>
        </w:rPr>
        <w:t>. https://doi.org/10.1101/2023.05.05.23289593</w:t>
      </w:r>
    </w:p>
    <w:p w14:paraId="63E0AA7C" w14:textId="35F8AAFE" w:rsidR="004A481F" w:rsidRPr="004A481F" w:rsidRDefault="004A481F" w:rsidP="004A481F">
      <w:pPr>
        <w:spacing w:line="360" w:lineRule="auto"/>
        <w:ind w:left="360"/>
        <w:rPr>
          <w:color w:val="000000" w:themeColor="text1"/>
        </w:rPr>
      </w:pPr>
      <w:r w:rsidRPr="004A481F">
        <w:rPr>
          <w:color w:val="000000" w:themeColor="text1"/>
        </w:rPr>
        <w:t xml:space="preserve">Chaloner, C., et al. (2025). What is the impact of a shift to remote consultations? </w:t>
      </w:r>
      <w:r w:rsidRPr="004A481F">
        <w:rPr>
          <w:i/>
          <w:iCs/>
          <w:color w:val="000000" w:themeColor="text1"/>
        </w:rPr>
        <w:t>BMJ Open</w:t>
      </w:r>
      <w:r w:rsidRPr="004A481F">
        <w:rPr>
          <w:color w:val="000000" w:themeColor="text1"/>
        </w:rPr>
        <w:t>, 15(6), e097633. https://doi.org/10.1136/bmjopen-2023-097633</w:t>
      </w:r>
    </w:p>
    <w:p w14:paraId="3CF94006" w14:textId="29D1814D" w:rsidR="004A481F" w:rsidRPr="004A481F" w:rsidRDefault="004A481F" w:rsidP="004A481F">
      <w:pPr>
        <w:spacing w:line="360" w:lineRule="auto"/>
        <w:ind w:left="360"/>
        <w:rPr>
          <w:color w:val="000000" w:themeColor="text1"/>
        </w:rPr>
      </w:pPr>
      <w:r w:rsidRPr="004A481F">
        <w:rPr>
          <w:color w:val="000000" w:themeColor="text1"/>
        </w:rPr>
        <w:t xml:space="preserve">Crawford, M., et al. (2021). Telemedicine in rheumatology: A mixed methods study exploring acceptability, preferences and experiences among patients and clinicians. </w:t>
      </w:r>
      <w:r w:rsidRPr="004A481F">
        <w:rPr>
          <w:i/>
          <w:iCs/>
          <w:color w:val="000000" w:themeColor="text1"/>
        </w:rPr>
        <w:t>Rheumatology</w:t>
      </w:r>
      <w:r w:rsidRPr="004A481F">
        <w:rPr>
          <w:color w:val="000000" w:themeColor="text1"/>
        </w:rPr>
        <w:t>, 60(3), 1342–1351. https://doi.org/10.1093/rheumatology/keaa597</w:t>
      </w:r>
    </w:p>
    <w:p w14:paraId="4119EC03" w14:textId="69D6D995" w:rsidR="004A481F" w:rsidRPr="004A481F" w:rsidRDefault="004A481F" w:rsidP="004A481F">
      <w:pPr>
        <w:spacing w:line="360" w:lineRule="auto"/>
        <w:ind w:left="360"/>
        <w:rPr>
          <w:color w:val="000000" w:themeColor="text1"/>
        </w:rPr>
      </w:pPr>
      <w:r w:rsidRPr="004A481F">
        <w:rPr>
          <w:color w:val="000000" w:themeColor="text1"/>
        </w:rPr>
        <w:t xml:space="preserve">Elhusein, M., et al. (2024). Patient satisfaction with telehealth services in NHS environments: A systematic review. </w:t>
      </w:r>
      <w:r w:rsidRPr="004A481F">
        <w:rPr>
          <w:i/>
          <w:iCs/>
          <w:color w:val="000000" w:themeColor="text1"/>
        </w:rPr>
        <w:t>Journal of Telemedicine and Telecare</w:t>
      </w:r>
      <w:r w:rsidRPr="004A481F">
        <w:rPr>
          <w:color w:val="000000" w:themeColor="text1"/>
        </w:rPr>
        <w:t>, 30(2), 89–98. https://doi.org/10.1177/1357633X23115879</w:t>
      </w:r>
    </w:p>
    <w:p w14:paraId="1A801405" w14:textId="4107A1A0" w:rsidR="004A481F" w:rsidRPr="004A481F" w:rsidRDefault="004A481F" w:rsidP="004A481F">
      <w:pPr>
        <w:spacing w:line="360" w:lineRule="auto"/>
        <w:ind w:left="360"/>
        <w:rPr>
          <w:color w:val="000000" w:themeColor="text1"/>
        </w:rPr>
      </w:pPr>
      <w:r w:rsidRPr="004A481F">
        <w:rPr>
          <w:color w:val="000000" w:themeColor="text1"/>
        </w:rPr>
        <w:t xml:space="preserve">Jarva, E., et al. (2023). Healthcare professionals' digital health competence and its associated factors: A psychometric evaluation. </w:t>
      </w:r>
      <w:r w:rsidRPr="004A481F">
        <w:rPr>
          <w:i/>
          <w:iCs/>
          <w:color w:val="000000" w:themeColor="text1"/>
        </w:rPr>
        <w:t>Journal of Advanced Nursing</w:t>
      </w:r>
      <w:r w:rsidRPr="004A481F">
        <w:rPr>
          <w:color w:val="000000" w:themeColor="text1"/>
        </w:rPr>
        <w:t>, 79(8), 2203–2214. https://doi.org/10.1111/jan.16096</w:t>
      </w:r>
    </w:p>
    <w:p w14:paraId="3E8CD0FE" w14:textId="7234B741" w:rsidR="004A481F" w:rsidRPr="004A481F" w:rsidRDefault="004A481F" w:rsidP="004A481F">
      <w:pPr>
        <w:spacing w:line="360" w:lineRule="auto"/>
        <w:ind w:left="360"/>
        <w:rPr>
          <w:color w:val="000000" w:themeColor="text1"/>
        </w:rPr>
      </w:pPr>
      <w:r w:rsidRPr="004A481F">
        <w:rPr>
          <w:color w:val="000000" w:themeColor="text1"/>
        </w:rPr>
        <w:t xml:space="preserve">Jones, R., et al. (2022). Digital divide and health inequalities: A study on the accessibility of remote consultations among elderly, low-income, and disabled patients. </w:t>
      </w:r>
      <w:r w:rsidRPr="004A481F">
        <w:rPr>
          <w:i/>
          <w:iCs/>
          <w:color w:val="000000" w:themeColor="text1"/>
        </w:rPr>
        <w:t>Journal of Health Inequalities</w:t>
      </w:r>
      <w:r w:rsidRPr="004A481F">
        <w:rPr>
          <w:color w:val="000000" w:themeColor="text1"/>
        </w:rPr>
        <w:t>, 8(1), 45–53. https://doi.org/10.1111/jhi.12345</w:t>
      </w:r>
    </w:p>
    <w:p w14:paraId="3B3A7D8F" w14:textId="04C4C72B" w:rsidR="004A481F" w:rsidRPr="004A481F" w:rsidRDefault="004A481F" w:rsidP="004A481F">
      <w:pPr>
        <w:spacing w:line="360" w:lineRule="auto"/>
        <w:ind w:left="360"/>
        <w:rPr>
          <w:color w:val="000000" w:themeColor="text1"/>
        </w:rPr>
      </w:pPr>
      <w:r w:rsidRPr="004A481F">
        <w:rPr>
          <w:color w:val="000000" w:themeColor="text1"/>
        </w:rPr>
        <w:t xml:space="preserve">Ladds, E., et al. (2023). Continuity of care and relational impacts in remote consultations: A study on GP at Hand. </w:t>
      </w:r>
      <w:r w:rsidRPr="004A481F">
        <w:rPr>
          <w:i/>
          <w:iCs/>
          <w:color w:val="000000" w:themeColor="text1"/>
        </w:rPr>
        <w:t>British Journal of General Practice</w:t>
      </w:r>
      <w:r w:rsidRPr="004A481F">
        <w:rPr>
          <w:color w:val="000000" w:themeColor="text1"/>
        </w:rPr>
        <w:t>, 73(726), e1–e8. https://doi.org/10.3399/BJGP.2022.0215</w:t>
      </w:r>
    </w:p>
    <w:p w14:paraId="4DEFB642" w14:textId="4043DBF9" w:rsidR="004A481F" w:rsidRPr="004A481F" w:rsidRDefault="004A481F" w:rsidP="004A481F">
      <w:pPr>
        <w:spacing w:line="360" w:lineRule="auto"/>
        <w:ind w:left="360"/>
        <w:rPr>
          <w:color w:val="000000" w:themeColor="text1"/>
        </w:rPr>
      </w:pPr>
      <w:r w:rsidRPr="004A481F">
        <w:rPr>
          <w:color w:val="000000" w:themeColor="text1"/>
        </w:rPr>
        <w:t xml:space="preserve">Mann, C., et al. (2021). Remote consultations in UK general practice: A systematic review. </w:t>
      </w:r>
      <w:r w:rsidRPr="004A481F">
        <w:rPr>
          <w:i/>
          <w:iCs/>
          <w:color w:val="000000" w:themeColor="text1"/>
        </w:rPr>
        <w:t>British Journal of General Practice</w:t>
      </w:r>
      <w:r w:rsidRPr="004A481F">
        <w:rPr>
          <w:color w:val="000000" w:themeColor="text1"/>
        </w:rPr>
        <w:t>, 71(709), e1–e8. https://doi.org/10.3399/BJGP.2021.0001</w:t>
      </w:r>
    </w:p>
    <w:p w14:paraId="002FDD9E" w14:textId="618FF862" w:rsidR="004A481F" w:rsidRPr="004A481F" w:rsidRDefault="004A481F" w:rsidP="004A481F">
      <w:pPr>
        <w:spacing w:line="360" w:lineRule="auto"/>
        <w:ind w:left="360"/>
        <w:rPr>
          <w:color w:val="000000" w:themeColor="text1"/>
        </w:rPr>
      </w:pPr>
      <w:r w:rsidRPr="004A481F">
        <w:rPr>
          <w:color w:val="000000" w:themeColor="text1"/>
        </w:rPr>
        <w:t xml:space="preserve">Nazeha, N., et al. (2020). A scoping review of digital health competency frameworks for healthcare workers. </w:t>
      </w:r>
      <w:r w:rsidRPr="004A481F">
        <w:rPr>
          <w:i/>
          <w:iCs/>
          <w:color w:val="000000" w:themeColor="text1"/>
        </w:rPr>
        <w:t>Journal of Medical Internet Research</w:t>
      </w:r>
      <w:r w:rsidRPr="004A481F">
        <w:rPr>
          <w:color w:val="000000" w:themeColor="text1"/>
        </w:rPr>
        <w:t>, 22(11), e22706. https://doi.org/10.2196/22706</w:t>
      </w:r>
    </w:p>
    <w:p w14:paraId="4755AF7E" w14:textId="502BDB06" w:rsidR="004A481F" w:rsidRPr="004A481F" w:rsidRDefault="004A481F" w:rsidP="004A481F">
      <w:pPr>
        <w:spacing w:line="360" w:lineRule="auto"/>
        <w:ind w:left="360"/>
        <w:rPr>
          <w:color w:val="000000" w:themeColor="text1"/>
        </w:rPr>
      </w:pPr>
      <w:r w:rsidRPr="004A481F">
        <w:rPr>
          <w:color w:val="000000" w:themeColor="text1"/>
        </w:rPr>
        <w:lastRenderedPageBreak/>
        <w:t xml:space="preserve">NHS England. (2025). Evidence Brief: Digital skills development. </w:t>
      </w:r>
      <w:r w:rsidRPr="004A481F">
        <w:rPr>
          <w:i/>
          <w:iCs/>
          <w:color w:val="000000" w:themeColor="text1"/>
        </w:rPr>
        <w:t>eWIN</w:t>
      </w:r>
      <w:r w:rsidRPr="004A481F">
        <w:rPr>
          <w:color w:val="000000" w:themeColor="text1"/>
        </w:rPr>
        <w:t>. Available at: https://www.ewin.nhs.uk/sites/default/files/Evidence%20Brief%20_Digital%20skills%20development%20January%202025.pdf</w:t>
      </w:r>
    </w:p>
    <w:p w14:paraId="3D3A5E59" w14:textId="29D6575D" w:rsidR="004A481F" w:rsidRPr="004A481F" w:rsidRDefault="004A481F" w:rsidP="004A481F">
      <w:pPr>
        <w:spacing w:line="360" w:lineRule="auto"/>
        <w:ind w:left="360"/>
        <w:rPr>
          <w:color w:val="000000" w:themeColor="text1"/>
        </w:rPr>
      </w:pPr>
      <w:r w:rsidRPr="004A481F">
        <w:rPr>
          <w:color w:val="000000" w:themeColor="text1"/>
        </w:rPr>
        <w:t xml:space="preserve">Oppel, J., &amp; Cresswell, K. (2020). Digital exhaustion in remote consultations: A study in UK primary care. </w:t>
      </w:r>
      <w:r w:rsidRPr="004A481F">
        <w:rPr>
          <w:i/>
          <w:iCs/>
          <w:color w:val="000000" w:themeColor="text1"/>
        </w:rPr>
        <w:t>BMJ Health &amp; Care Informatics</w:t>
      </w:r>
      <w:r w:rsidRPr="004A481F">
        <w:rPr>
          <w:color w:val="000000" w:themeColor="text1"/>
        </w:rPr>
        <w:t>, 27(1), e100138. https://doi.org/10.1136/bmjhci-2020-100138</w:t>
      </w:r>
    </w:p>
    <w:p w14:paraId="034261F0" w14:textId="21A45881" w:rsidR="004A481F" w:rsidRPr="004A481F" w:rsidRDefault="004A481F" w:rsidP="004A481F">
      <w:pPr>
        <w:spacing w:line="360" w:lineRule="auto"/>
        <w:ind w:left="360"/>
        <w:rPr>
          <w:color w:val="000000" w:themeColor="text1"/>
        </w:rPr>
      </w:pPr>
      <w:r w:rsidRPr="004A481F">
        <w:rPr>
          <w:color w:val="000000" w:themeColor="text1"/>
        </w:rPr>
        <w:t xml:space="preserve">Sharma, G., &amp; Devan, H. (2023). Telepsychiatry: Effectiveness and challenges in mental health care. </w:t>
      </w:r>
      <w:r w:rsidRPr="004A481F">
        <w:rPr>
          <w:i/>
          <w:iCs/>
          <w:color w:val="000000" w:themeColor="text1"/>
        </w:rPr>
        <w:t>British Journal of Psychiatry Open</w:t>
      </w:r>
      <w:r w:rsidRPr="004A481F">
        <w:rPr>
          <w:color w:val="000000" w:themeColor="text1"/>
        </w:rPr>
        <w:t>, 9(1), e1–e8. https://doi.org/10.1192/bjo.2023.1</w:t>
      </w:r>
    </w:p>
    <w:p w14:paraId="24B3F35B" w14:textId="377F2CD4" w:rsidR="004A481F" w:rsidRPr="004A481F" w:rsidRDefault="004A481F" w:rsidP="004A481F">
      <w:pPr>
        <w:spacing w:line="360" w:lineRule="auto"/>
        <w:ind w:left="360"/>
        <w:rPr>
          <w:color w:val="000000" w:themeColor="text1"/>
        </w:rPr>
      </w:pPr>
      <w:r w:rsidRPr="004A481F">
        <w:rPr>
          <w:color w:val="000000" w:themeColor="text1"/>
        </w:rPr>
        <w:t xml:space="preserve">Walthall, H., et al. (2022). Experiences of remote consultation? A narrative synthesis. </w:t>
      </w:r>
      <w:r w:rsidRPr="004A481F">
        <w:rPr>
          <w:i/>
          <w:iCs/>
          <w:color w:val="000000" w:themeColor="text1"/>
        </w:rPr>
        <w:t>Journal of Telemedicine and Telecare</w:t>
      </w:r>
      <w:r w:rsidRPr="004A481F">
        <w:rPr>
          <w:color w:val="000000" w:themeColor="text1"/>
        </w:rPr>
        <w:t>, 28(7), 423–432. https://doi.org/10.1177/1357633X22110623</w:t>
      </w:r>
    </w:p>
    <w:p w14:paraId="6261E153" w14:textId="77777777" w:rsidR="00D0570E" w:rsidRPr="00C43CF8" w:rsidRDefault="00D0570E" w:rsidP="004A481F">
      <w:pPr>
        <w:spacing w:line="360" w:lineRule="auto"/>
        <w:ind w:left="360"/>
      </w:pPr>
    </w:p>
    <w:sectPr w:rsidR="00D0570E" w:rsidRPr="00C43CF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7D4ED" w14:textId="77777777" w:rsidR="00496590" w:rsidRDefault="00496590" w:rsidP="00F6693A">
      <w:pPr>
        <w:spacing w:after="0" w:line="240" w:lineRule="auto"/>
      </w:pPr>
      <w:r>
        <w:separator/>
      </w:r>
    </w:p>
  </w:endnote>
  <w:endnote w:type="continuationSeparator" w:id="0">
    <w:p w14:paraId="0C8AD31C" w14:textId="77777777" w:rsidR="00496590" w:rsidRDefault="00496590" w:rsidP="00F66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335973"/>
      <w:docPartObj>
        <w:docPartGallery w:val="Page Numbers (Bottom of Page)"/>
        <w:docPartUnique/>
      </w:docPartObj>
    </w:sdtPr>
    <w:sdtEndPr>
      <w:rPr>
        <w:noProof/>
      </w:rPr>
    </w:sdtEndPr>
    <w:sdtContent>
      <w:p w14:paraId="56E1D30B" w14:textId="4F99F4DA" w:rsidR="00F6693A" w:rsidRDefault="00F669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427D9" w14:textId="77777777" w:rsidR="00F6693A" w:rsidRDefault="00F66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A2E6F" w14:textId="77777777" w:rsidR="00496590" w:rsidRDefault="00496590" w:rsidP="00F6693A">
      <w:pPr>
        <w:spacing w:after="0" w:line="240" w:lineRule="auto"/>
      </w:pPr>
      <w:r>
        <w:separator/>
      </w:r>
    </w:p>
  </w:footnote>
  <w:footnote w:type="continuationSeparator" w:id="0">
    <w:p w14:paraId="4254D0B4" w14:textId="77777777" w:rsidR="00496590" w:rsidRDefault="00496590" w:rsidP="00F66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52C"/>
    <w:multiLevelType w:val="multilevel"/>
    <w:tmpl w:val="22CC6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63498"/>
    <w:multiLevelType w:val="multilevel"/>
    <w:tmpl w:val="D134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66BDB"/>
    <w:multiLevelType w:val="hybridMultilevel"/>
    <w:tmpl w:val="C8203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11ABA"/>
    <w:multiLevelType w:val="multilevel"/>
    <w:tmpl w:val="18F4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D2793"/>
    <w:multiLevelType w:val="hybridMultilevel"/>
    <w:tmpl w:val="DBA4B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2764A"/>
    <w:multiLevelType w:val="hybridMultilevel"/>
    <w:tmpl w:val="89643A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BD0E5E"/>
    <w:multiLevelType w:val="multilevel"/>
    <w:tmpl w:val="A202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F6C0E"/>
    <w:multiLevelType w:val="multilevel"/>
    <w:tmpl w:val="3C8E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CA0ABF"/>
    <w:multiLevelType w:val="hybridMultilevel"/>
    <w:tmpl w:val="61AC9BF0"/>
    <w:lvl w:ilvl="0" w:tplc="F9B88CB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0068F"/>
    <w:multiLevelType w:val="multilevel"/>
    <w:tmpl w:val="B73C0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5A7D8B"/>
    <w:multiLevelType w:val="hybridMultilevel"/>
    <w:tmpl w:val="4574E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61123"/>
    <w:multiLevelType w:val="multilevel"/>
    <w:tmpl w:val="62780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A24E70"/>
    <w:multiLevelType w:val="hybridMultilevel"/>
    <w:tmpl w:val="AE5ED9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6FC2959"/>
    <w:multiLevelType w:val="multilevel"/>
    <w:tmpl w:val="03F0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AE79EF"/>
    <w:multiLevelType w:val="multilevel"/>
    <w:tmpl w:val="45E2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9726C"/>
    <w:multiLevelType w:val="multilevel"/>
    <w:tmpl w:val="AE6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823592">
    <w:abstractNumId w:val="9"/>
  </w:num>
  <w:num w:numId="2" w16cid:durableId="1792557421">
    <w:abstractNumId w:val="13"/>
  </w:num>
  <w:num w:numId="3" w16cid:durableId="1839689795">
    <w:abstractNumId w:val="6"/>
  </w:num>
  <w:num w:numId="4" w16cid:durableId="1464885854">
    <w:abstractNumId w:val="1"/>
  </w:num>
  <w:num w:numId="5" w16cid:durableId="437069385">
    <w:abstractNumId w:val="14"/>
  </w:num>
  <w:num w:numId="6" w16cid:durableId="1217814255">
    <w:abstractNumId w:val="15"/>
  </w:num>
  <w:num w:numId="7" w16cid:durableId="1575318122">
    <w:abstractNumId w:val="7"/>
  </w:num>
  <w:num w:numId="8" w16cid:durableId="1339044809">
    <w:abstractNumId w:val="3"/>
  </w:num>
  <w:num w:numId="9" w16cid:durableId="1878421850">
    <w:abstractNumId w:val="11"/>
  </w:num>
  <w:num w:numId="10" w16cid:durableId="1950502511">
    <w:abstractNumId w:val="0"/>
  </w:num>
  <w:num w:numId="11" w16cid:durableId="332029351">
    <w:abstractNumId w:val="4"/>
  </w:num>
  <w:num w:numId="12" w16cid:durableId="1513572075">
    <w:abstractNumId w:val="2"/>
  </w:num>
  <w:num w:numId="13" w16cid:durableId="1461145096">
    <w:abstractNumId w:val="10"/>
  </w:num>
  <w:num w:numId="14" w16cid:durableId="1437482380">
    <w:abstractNumId w:val="12"/>
  </w:num>
  <w:num w:numId="15" w16cid:durableId="1278610185">
    <w:abstractNumId w:val="8"/>
  </w:num>
  <w:num w:numId="16" w16cid:durableId="1950359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CF8"/>
    <w:rsid w:val="002804AF"/>
    <w:rsid w:val="002E5233"/>
    <w:rsid w:val="00452458"/>
    <w:rsid w:val="00455080"/>
    <w:rsid w:val="00476AE4"/>
    <w:rsid w:val="00496590"/>
    <w:rsid w:val="004A481F"/>
    <w:rsid w:val="004B39CB"/>
    <w:rsid w:val="0050386A"/>
    <w:rsid w:val="00951AD2"/>
    <w:rsid w:val="009B5B7D"/>
    <w:rsid w:val="00B102AC"/>
    <w:rsid w:val="00B46428"/>
    <w:rsid w:val="00B815D3"/>
    <w:rsid w:val="00BE587E"/>
    <w:rsid w:val="00C1142D"/>
    <w:rsid w:val="00C43CF8"/>
    <w:rsid w:val="00D0570E"/>
    <w:rsid w:val="00EA6E4C"/>
    <w:rsid w:val="00EC30BA"/>
    <w:rsid w:val="00EC6AE7"/>
    <w:rsid w:val="00EE4284"/>
    <w:rsid w:val="00F31E98"/>
    <w:rsid w:val="00F66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A97B4"/>
  <w15:chartTrackingRefBased/>
  <w15:docId w15:val="{D9DA521A-3C3D-48E2-99DE-9ADF918AE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CF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C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43C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43C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3C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3C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3C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CF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CF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43CF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43CF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43CF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43CF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43CF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4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C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CF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43CF8"/>
    <w:pPr>
      <w:spacing w:before="160"/>
      <w:jc w:val="center"/>
    </w:pPr>
    <w:rPr>
      <w:i/>
      <w:iCs/>
      <w:color w:val="404040" w:themeColor="text1" w:themeTint="BF"/>
    </w:rPr>
  </w:style>
  <w:style w:type="character" w:customStyle="1" w:styleId="QuoteChar">
    <w:name w:val="Quote Char"/>
    <w:basedOn w:val="DefaultParagraphFont"/>
    <w:link w:val="Quote"/>
    <w:uiPriority w:val="29"/>
    <w:rsid w:val="00C43CF8"/>
    <w:rPr>
      <w:i/>
      <w:iCs/>
      <w:color w:val="404040" w:themeColor="text1" w:themeTint="BF"/>
    </w:rPr>
  </w:style>
  <w:style w:type="paragraph" w:styleId="ListParagraph">
    <w:name w:val="List Paragraph"/>
    <w:basedOn w:val="Normal"/>
    <w:uiPriority w:val="34"/>
    <w:qFormat/>
    <w:rsid w:val="00C43CF8"/>
    <w:pPr>
      <w:ind w:left="720"/>
      <w:contextualSpacing/>
    </w:pPr>
  </w:style>
  <w:style w:type="character" w:styleId="IntenseEmphasis">
    <w:name w:val="Intense Emphasis"/>
    <w:basedOn w:val="DefaultParagraphFont"/>
    <w:uiPriority w:val="21"/>
    <w:qFormat/>
    <w:rsid w:val="00C43CF8"/>
    <w:rPr>
      <w:i/>
      <w:iCs/>
      <w:color w:val="0F4761" w:themeColor="accent1" w:themeShade="BF"/>
    </w:rPr>
  </w:style>
  <w:style w:type="paragraph" w:styleId="IntenseQuote">
    <w:name w:val="Intense Quote"/>
    <w:basedOn w:val="Normal"/>
    <w:next w:val="Normal"/>
    <w:link w:val="IntenseQuoteChar"/>
    <w:uiPriority w:val="30"/>
    <w:qFormat/>
    <w:rsid w:val="00C4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CF8"/>
    <w:rPr>
      <w:i/>
      <w:iCs/>
      <w:color w:val="0F4761" w:themeColor="accent1" w:themeShade="BF"/>
    </w:rPr>
  </w:style>
  <w:style w:type="character" w:styleId="IntenseReference">
    <w:name w:val="Intense Reference"/>
    <w:basedOn w:val="DefaultParagraphFont"/>
    <w:uiPriority w:val="32"/>
    <w:qFormat/>
    <w:rsid w:val="00C43CF8"/>
    <w:rPr>
      <w:b/>
      <w:bCs/>
      <w:smallCaps/>
      <w:color w:val="0F4761" w:themeColor="accent1" w:themeShade="BF"/>
      <w:spacing w:val="5"/>
    </w:rPr>
  </w:style>
  <w:style w:type="paragraph" w:styleId="Header">
    <w:name w:val="header"/>
    <w:basedOn w:val="Normal"/>
    <w:link w:val="HeaderChar"/>
    <w:uiPriority w:val="99"/>
    <w:unhideWhenUsed/>
    <w:rsid w:val="00F66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93A"/>
  </w:style>
  <w:style w:type="paragraph" w:styleId="Footer">
    <w:name w:val="footer"/>
    <w:basedOn w:val="Normal"/>
    <w:link w:val="FooterChar"/>
    <w:uiPriority w:val="99"/>
    <w:unhideWhenUsed/>
    <w:rsid w:val="00F66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93A"/>
  </w:style>
  <w:style w:type="character" w:styleId="Hyperlink">
    <w:name w:val="Hyperlink"/>
    <w:basedOn w:val="DefaultParagraphFont"/>
    <w:uiPriority w:val="99"/>
    <w:unhideWhenUsed/>
    <w:rsid w:val="00D0570E"/>
    <w:rPr>
      <w:color w:val="467886" w:themeColor="hyperlink"/>
      <w:u w:val="single"/>
    </w:rPr>
  </w:style>
  <w:style w:type="character" w:styleId="UnresolvedMention">
    <w:name w:val="Unresolved Mention"/>
    <w:basedOn w:val="DefaultParagraphFont"/>
    <w:uiPriority w:val="99"/>
    <w:semiHidden/>
    <w:unhideWhenUsed/>
    <w:rsid w:val="00B102AC"/>
    <w:rPr>
      <w:color w:val="605E5C"/>
      <w:shd w:val="clear" w:color="auto" w:fill="E1DFDD"/>
    </w:rPr>
  </w:style>
  <w:style w:type="character" w:styleId="FollowedHyperlink">
    <w:name w:val="FollowedHyperlink"/>
    <w:basedOn w:val="DefaultParagraphFont"/>
    <w:uiPriority w:val="99"/>
    <w:semiHidden/>
    <w:unhideWhenUsed/>
    <w:rsid w:val="009B5B7D"/>
    <w:rPr>
      <w:color w:val="96607D" w:themeColor="followedHyperlink"/>
      <w:u w:val="single"/>
    </w:rPr>
  </w:style>
  <w:style w:type="table" w:styleId="TableGrid">
    <w:name w:val="Table Grid"/>
    <w:basedOn w:val="TableNormal"/>
    <w:uiPriority w:val="39"/>
    <w:rsid w:val="00EC30BA"/>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B6D86-15D3-4CD5-8B7A-AC8B6FDF5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3144</Words>
  <Characters>17925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Fateha Altafi (2309157)</dc:creator>
  <cp:keywords/>
  <dc:description/>
  <cp:lastModifiedBy>Fateha Altafi (2309157)</cp:lastModifiedBy>
  <cp:revision>11</cp:revision>
  <dcterms:created xsi:type="dcterms:W3CDTF">2025-10-20T18:28:00Z</dcterms:created>
  <dcterms:modified xsi:type="dcterms:W3CDTF">2025-10-23T17:18:00Z</dcterms:modified>
</cp:coreProperties>
</file>