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122FE7" w14:textId="77777777" w:rsidR="00763B5E" w:rsidRDefault="00763B5E" w:rsidP="0055605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DFE90B0" w14:textId="1EC707E9" w:rsidR="00763B5E" w:rsidRDefault="00763B5E" w:rsidP="00763B5E">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Nikola </w:t>
      </w:r>
      <w:proofErr w:type="spellStart"/>
      <w:r>
        <w:rPr>
          <w:rFonts w:ascii="Times New Roman" w:eastAsia="Times New Roman" w:hAnsi="Times New Roman" w:cs="Times New Roman"/>
          <w:b/>
          <w:bCs/>
          <w:kern w:val="0"/>
          <w:sz w:val="27"/>
          <w:szCs w:val="27"/>
          <w:lang w:eastAsia="en-GB"/>
          <w14:ligatures w14:val="none"/>
        </w:rPr>
        <w:t>Sugarova</w:t>
      </w:r>
      <w:proofErr w:type="spellEnd"/>
    </w:p>
    <w:p w14:paraId="64A2697F" w14:textId="42B11EE0" w:rsidR="00763B5E" w:rsidRDefault="00763B5E" w:rsidP="00763B5E">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Introduction to New Testament </w:t>
      </w:r>
    </w:p>
    <w:p w14:paraId="285119AE" w14:textId="27771843" w:rsidR="00423EC2" w:rsidRDefault="00423EC2" w:rsidP="00763B5E">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Student no- 2219936</w:t>
      </w:r>
    </w:p>
    <w:p w14:paraId="2931657D" w14:textId="3D064999" w:rsidR="00423EC2" w:rsidRDefault="00423EC2" w:rsidP="00763B5E">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20</w:t>
      </w:r>
      <w:r w:rsidR="00150AE7">
        <w:rPr>
          <w:rFonts w:ascii="Times New Roman" w:eastAsia="Times New Roman" w:hAnsi="Times New Roman" w:cs="Times New Roman"/>
          <w:b/>
          <w:bCs/>
          <w:kern w:val="0"/>
          <w:sz w:val="27"/>
          <w:szCs w:val="27"/>
          <w:lang w:eastAsia="en-GB"/>
          <w14:ligatures w14:val="none"/>
        </w:rPr>
        <w:t>/01/2025</w:t>
      </w:r>
    </w:p>
    <w:p w14:paraId="4B6C3D8D" w14:textId="77777777" w:rsidR="00150AE7" w:rsidRDefault="00150AE7" w:rsidP="00763B5E">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6312C53E" w14:textId="23B8A308" w:rsidR="00763B5E" w:rsidRDefault="00763B5E" w:rsidP="0010342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A906C1F" w14:textId="77777777" w:rsidR="00763B5E" w:rsidRDefault="00763B5E" w:rsidP="00763B5E">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6E5741B4" w14:textId="77777777" w:rsidR="00763B5E" w:rsidRDefault="00763B5E" w:rsidP="00763B5E">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6F4CEE85" w14:textId="77777777" w:rsidR="00763B5E" w:rsidRDefault="00763B5E" w:rsidP="00763B5E">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17495984" w14:textId="77777777" w:rsidR="00763B5E" w:rsidRDefault="00763B5E" w:rsidP="00763B5E">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20C24341" w14:textId="77777777" w:rsidR="00763B5E" w:rsidRDefault="00763B5E" w:rsidP="00763B5E">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0BD954D6" w14:textId="73FBDFB6" w:rsidR="0055605D" w:rsidRPr="0055605D" w:rsidRDefault="0055605D" w:rsidP="00763B5E">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r w:rsidRPr="0055605D">
        <w:rPr>
          <w:rFonts w:ascii="Times New Roman" w:eastAsia="Times New Roman" w:hAnsi="Times New Roman" w:cs="Times New Roman"/>
          <w:b/>
          <w:bCs/>
          <w:kern w:val="0"/>
          <w:sz w:val="27"/>
          <w:szCs w:val="27"/>
          <w:lang w:eastAsia="en-GB"/>
          <w14:ligatures w14:val="none"/>
        </w:rPr>
        <w:t>Presentation of the Identity and Significance of Jesus (Christology) in the Gospel of Matthew</w:t>
      </w:r>
    </w:p>
    <w:p w14:paraId="39A30183" w14:textId="77777777" w:rsidR="00F34CB8" w:rsidRDefault="00F34CB8" w:rsidP="0055605D">
      <w:pPr>
        <w:jc w:val="center"/>
        <w:rPr>
          <w:rFonts w:ascii="Times New Roman" w:hAnsi="Times New Roman" w:cs="Times New Roman"/>
        </w:rPr>
      </w:pPr>
    </w:p>
    <w:p w14:paraId="1FADF72B" w14:textId="7D9642EE" w:rsidR="00755ABD" w:rsidRDefault="00755ABD" w:rsidP="00755ABD">
      <w:pPr>
        <w:pStyle w:val="NormalWeb"/>
      </w:pPr>
      <w:r>
        <w:t>Matthew gives us a rich, multidimensional picture of who Jesus is</w:t>
      </w:r>
      <w:r>
        <w:t> </w:t>
      </w:r>
      <w:r>
        <w:t>and what He means — He is the Messiah, the Son of God, the fulfilment of Jewish prophetic expectations, and the bringer of Heavenly Kingdoms. Matthew’s gospel is focused from the beginning on the idea of God with us in Jesus as the fulfilment of redemptive history in Scripture and associated with Jewish</w:t>
      </w:r>
      <w:r>
        <w:t> </w:t>
      </w:r>
      <w:r>
        <w:t>messianic expectation against the ministry of Jesus. Jesus’ lineage, teachings, and miracles, and ultimately his sacrifice, all contribute to a rich Christological framework that Matthew provides and continues</w:t>
      </w:r>
      <w:r>
        <w:t> </w:t>
      </w:r>
      <w:r>
        <w:t>to speak to readers through the specific narrative structure of his writing.</w:t>
      </w:r>
    </w:p>
    <w:p w14:paraId="6FEFDE72" w14:textId="7DC40E42" w:rsidR="00755ABD" w:rsidRDefault="00755ABD" w:rsidP="00755ABD">
      <w:pPr>
        <w:pStyle w:val="NormalWeb"/>
      </w:pPr>
      <w:r>
        <w:t>Matthew’s Gospel is particularly notable for its emphasis on Jesus as the fulfilment of the Old</w:t>
      </w:r>
      <w:r>
        <w:t> </w:t>
      </w:r>
      <w:r>
        <w:t>Testament prophecies. The genealogy (Matthew 1:1-17) reflects this, demonstrating that Jesus came from Abraham and David, confirming</w:t>
      </w:r>
      <w:r>
        <w:t> </w:t>
      </w:r>
      <w:r>
        <w:t>Him to be the promised Messiah. Moreover, Matthew’s use of fulfilment formulas, even if bountifully, (“This was to fulfil what</w:t>
      </w:r>
      <w:r>
        <w:t> </w:t>
      </w:r>
      <w:r>
        <w:t>was spoken by the prophet…”) strengthens the link between continuity between the Old Testament and the life and mission of Jesus. These elements place Jesus in the context of God’s covenant with</w:t>
      </w:r>
      <w:r>
        <w:t> </w:t>
      </w:r>
      <w:r>
        <w:t>Israel and broaden the horizon of salvation within Israel to embrace all nations.</w:t>
      </w:r>
    </w:p>
    <w:p w14:paraId="6035B399" w14:textId="1C39E87E" w:rsidR="00755ABD" w:rsidRDefault="00755ABD" w:rsidP="00755ABD">
      <w:pPr>
        <w:pStyle w:val="NormalWeb"/>
      </w:pPr>
      <w:r>
        <w:t>Matthew Plant on Jesus As</w:t>
      </w:r>
      <w:r>
        <w:t> </w:t>
      </w:r>
      <w:r>
        <w:t>The Son Of The God Furthermore, Matthew’s Gospel depicts Jesus as the Son of God, a title that highlights His divine authority and special relationship with the Father. His baptism (Matthew 3:13-17), transfiguration (Matthew 17:1-8), the teaching of the Beatitudes (Matthew 5:1-12), and miracles (Matthew 8:5-13) are also key</w:t>
      </w:r>
      <w:r>
        <w:t> </w:t>
      </w:r>
      <w:r>
        <w:t>moments in establishing Jesus’ divinity, authority over creation, and being the organ by which the Kingdom of Heaven is made manifest to humankind. The teacher’s role of Jesus is especially strong, with the gospel being arranged according to five major discourses that mirror the Torah, casting Jesus as</w:t>
      </w:r>
      <w:r>
        <w:t> </w:t>
      </w:r>
      <w:r>
        <w:t>a new Moses who fulfils and fulfils the Law.</w:t>
      </w:r>
    </w:p>
    <w:p w14:paraId="0737DBE9" w14:textId="77777777" w:rsidR="00755ABD" w:rsidRDefault="00755ABD" w:rsidP="00755ABD">
      <w:pPr>
        <w:pStyle w:val="NormalWeb"/>
      </w:pPr>
      <w:r>
        <w:lastRenderedPageBreak/>
        <w:t>Matthew offers a Christology that can be</w:t>
      </w:r>
      <w:r>
        <w:t> </w:t>
      </w:r>
      <w:r>
        <w:t>both radically Jewish and radically transformative of Judaism through these themes. This</w:t>
      </w:r>
      <w:r>
        <w:t> </w:t>
      </w:r>
      <w:r>
        <w:t>essay will examine these and other aspects in detail, considering how the Gospel shapes its Christological narrative through the nature of its textual development, its subject matter, and what it chooses to highlight in the realm of sacramental, missionary, and judicious thought.</w:t>
      </w:r>
    </w:p>
    <w:p w14:paraId="4CDB2765" w14:textId="77777777" w:rsidR="00755ABD" w:rsidRDefault="00755ABD" w:rsidP="00755ABD">
      <w:pPr>
        <w:rPr>
          <w:rFonts w:ascii="Times New Roman" w:hAnsi="Times New Roman" w:cs="Times New Roman"/>
        </w:rPr>
      </w:pPr>
    </w:p>
    <w:p w14:paraId="27E17386" w14:textId="77777777" w:rsidR="0055605D" w:rsidRDefault="0055605D" w:rsidP="0055605D">
      <w:pPr>
        <w:rPr>
          <w:rFonts w:ascii="Times New Roman" w:hAnsi="Times New Roman" w:cs="Times New Roman"/>
        </w:rPr>
      </w:pPr>
    </w:p>
    <w:p w14:paraId="56E758D6" w14:textId="7B967A88" w:rsidR="0055605D" w:rsidRPr="0055605D" w:rsidRDefault="0055605D" w:rsidP="0055605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55605D">
        <w:rPr>
          <w:rFonts w:ascii="Times New Roman" w:eastAsia="Times New Roman" w:hAnsi="Times New Roman" w:cs="Times New Roman"/>
          <w:b/>
          <w:bCs/>
          <w:kern w:val="0"/>
          <w:lang w:eastAsia="en-GB"/>
          <w14:ligatures w14:val="none"/>
        </w:rPr>
        <w:t>1. Jesus as the Fulfilment of Old Testament Prophecies</w:t>
      </w:r>
    </w:p>
    <w:p w14:paraId="3045B6BD" w14:textId="77777777" w:rsidR="0055605D" w:rsidRDefault="0055605D" w:rsidP="0055605D">
      <w:pPr>
        <w:pStyle w:val="NormalWeb"/>
      </w:pPr>
      <w:r>
        <w:t>One hallmark of Matthew’s Gospel is its focus on revealing how Jesus fulfilled Old Testament prophecies. This theme is established at the very beginning in the opening genealogy (Matthew 1:1-17), where Jesus bears the titles son of David and son of</w:t>
      </w:r>
      <w:r>
        <w:t> </w:t>
      </w:r>
      <w:r>
        <w:t>Abraham, such that He is the one through whom both of their promises are fulfilled. Matthew’s presentation of Jesus as the Davidic Messiah and the heir to the Abrahamic covenant ties</w:t>
      </w:r>
      <w:r>
        <w:t> </w:t>
      </w:r>
      <w:r>
        <w:t>Jesus’ identity to Jewish expectations.</w:t>
      </w:r>
    </w:p>
    <w:p w14:paraId="7D802AE0" w14:textId="77777777" w:rsidR="0055605D" w:rsidRDefault="0055605D" w:rsidP="0055605D">
      <w:pPr>
        <w:pStyle w:val="NormalWeb"/>
      </w:pPr>
      <w:r>
        <w:t>The Gospel of Matthew (which is organised thematically rather than chronologically) often uses formulaic, echoing phrases</w:t>
      </w:r>
      <w:r>
        <w:t> </w:t>
      </w:r>
      <w:r>
        <w:t>like “This was to fulfil what was spoken through the prophet…” (e.g., Matthew 1:22-23; 2:15; 4:14-16). Therefore, for example, the virgin birth of Jesus explicitly connects to Isaiah’s prophecy in Isaiah 7: 14, which Matthew interprets to refer to the Messiah’s miraculous birth (“Behold, the virgin shall conceive and bear a</w:t>
      </w:r>
      <w:r>
        <w:t> </w:t>
      </w:r>
      <w:r>
        <w:t>son, and they shall call his name Immanuel”). Likewise, the flight to Egypt and massacre of the innocents are described as fulfilling prophecies (the Hosea 11:1 and Jeremiah 31:15</w:t>
      </w:r>
      <w:r>
        <w:t> </w:t>
      </w:r>
      <w:r>
        <w:t>prophecies, respectively).</w:t>
      </w:r>
    </w:p>
    <w:p w14:paraId="38F9D8C0" w14:textId="77777777" w:rsidR="0055605D" w:rsidRDefault="0055605D" w:rsidP="0055605D">
      <w:pPr>
        <w:pStyle w:val="NormalWeb"/>
      </w:pPr>
      <w:r>
        <w:t>Thus, by presenting Jesus’ life and ministry as the</w:t>
      </w:r>
      <w:r>
        <w:t> </w:t>
      </w:r>
      <w:r>
        <w:t>fulfilment of prophetic expectation, Matthew highlights His divine person and mission. This inclination roots Jesus not simply as a reformer or instructor but as the central</w:t>
      </w:r>
      <w:r>
        <w:t> </w:t>
      </w:r>
      <w:r>
        <w:t>figure in God’s salvific plan for people.</w:t>
      </w:r>
    </w:p>
    <w:p w14:paraId="6281071E" w14:textId="77777777" w:rsidR="0055605D" w:rsidRPr="0055605D" w:rsidRDefault="0055605D" w:rsidP="0055605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55605D">
        <w:rPr>
          <w:rFonts w:ascii="Times New Roman" w:eastAsia="Times New Roman" w:hAnsi="Times New Roman" w:cs="Times New Roman"/>
          <w:b/>
          <w:bCs/>
          <w:kern w:val="0"/>
          <w:lang w:eastAsia="en-GB"/>
          <w14:ligatures w14:val="none"/>
        </w:rPr>
        <w:t>2. Jesus as the Davidic Messiah</w:t>
      </w:r>
    </w:p>
    <w:p w14:paraId="2CCEEE96" w14:textId="77777777" w:rsidR="0055605D" w:rsidRDefault="0055605D" w:rsidP="0055605D">
      <w:pPr>
        <w:pStyle w:val="NormalWeb"/>
      </w:pPr>
      <w:r>
        <w:t>The concept of the Davidic Messiah, the anointed king</w:t>
      </w:r>
      <w:r>
        <w:t> </w:t>
      </w:r>
      <w:r>
        <w:t>who embodies the promises to David, is strong in Matthew’s Gospel. Matthew 1: The genealogy establishes Jesus’ royal bloodline, connecting Him through David to</w:t>
      </w:r>
      <w:r>
        <w:t> </w:t>
      </w:r>
      <w:r>
        <w:t>Abraham. This identity is</w:t>
      </w:r>
      <w:r>
        <w:t> </w:t>
      </w:r>
      <w:r>
        <w:t>especially strengthened by the title “Son of David,” a phrase that reappears frequently throughout the Gospel (e.g., Matthew 9:27; 12:23; 15:22; 20:30-31).</w:t>
      </w:r>
    </w:p>
    <w:p w14:paraId="19A3C098" w14:textId="0A165B71" w:rsidR="0055605D" w:rsidRDefault="0055605D" w:rsidP="0055605D">
      <w:pPr>
        <w:pStyle w:val="NormalWeb"/>
      </w:pPr>
      <w:r>
        <w:t>The Davidic Messiahship is further manifested by the manner of Jesus’ entrance into Jerusalem itself (Matthew 21:1-11), which fulfils Zechariah 9:9: “Say to the daughter of Zion, ‘Behold, your king is coming to you,</w:t>
      </w:r>
      <w:r>
        <w:t> </w:t>
      </w:r>
      <w:r>
        <w:t>humble, and mounted on a donkey.</w:t>
      </w:r>
      <w:r w:rsidR="00755ABD">
        <w:t>’”</w:t>
      </w:r>
      <w:r>
        <w:t xml:space="preserve"> This moment indicates Jesus’ messianic kingship, though belonging</w:t>
      </w:r>
      <w:r>
        <w:t> </w:t>
      </w:r>
      <w:r>
        <w:t>to a style that embraces humility and servanthood over any earthly manifestation of power and conquering. In reimagining messianic kingship as such,</w:t>
      </w:r>
      <w:r>
        <w:t> </w:t>
      </w:r>
      <w:r>
        <w:t xml:space="preserve">Matthew challenges inherently nationalist-minded Jewish notions of a political or militaristic Messiah, while also </w:t>
      </w:r>
      <w:r w:rsidR="00755ABD">
        <w:t>signalling</w:t>
      </w:r>
      <w:r>
        <w:t xml:space="preserve"> that this constructive purpose is, in fact, spiritual and redemptive, working from within history.</w:t>
      </w:r>
    </w:p>
    <w:p w14:paraId="1E48BEC4" w14:textId="77777777" w:rsidR="0055605D" w:rsidRPr="0055605D" w:rsidRDefault="0055605D" w:rsidP="0055605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55605D">
        <w:rPr>
          <w:rFonts w:ascii="Times New Roman" w:eastAsia="Times New Roman" w:hAnsi="Times New Roman" w:cs="Times New Roman"/>
          <w:b/>
          <w:bCs/>
          <w:kern w:val="0"/>
          <w:lang w:eastAsia="en-GB"/>
          <w14:ligatures w14:val="none"/>
        </w:rPr>
        <w:t>3. Jesus as the Son of God</w:t>
      </w:r>
    </w:p>
    <w:p w14:paraId="33D337F0" w14:textId="77777777" w:rsidR="0055605D" w:rsidRDefault="0055605D" w:rsidP="0055605D">
      <w:pPr>
        <w:pStyle w:val="NormalWeb"/>
      </w:pPr>
      <w:r>
        <w:lastRenderedPageBreak/>
        <w:t>Another important element of Matthew’s Christology is his</w:t>
      </w:r>
      <w:r>
        <w:t> </w:t>
      </w:r>
      <w:r>
        <w:t>depiction of Jesus as the Son of God. This designation is used at key points in the Gospel to affirm the</w:t>
      </w:r>
      <w:r>
        <w:t> </w:t>
      </w:r>
      <w:r>
        <w:t>particular relationship between Jesus and God, as well as His divine authority. The</w:t>
      </w:r>
      <w:r>
        <w:t> </w:t>
      </w:r>
      <w:r>
        <w:t>infancy narrative (Matthew 1:18-25) begins with Jesus’ divine origin through conception by the Holy Spirit, indicating that he is the Son of God.</w:t>
      </w:r>
    </w:p>
    <w:p w14:paraId="4915CF79" w14:textId="77777777" w:rsidR="0055605D" w:rsidRDefault="0055605D" w:rsidP="0055605D">
      <w:pPr>
        <w:pStyle w:val="NormalWeb"/>
      </w:pPr>
      <w:r>
        <w:t>Jesus’ baptism (Matthew 3:13-17) is also key, as it is one of the moments when His divine</w:t>
      </w:r>
      <w:r>
        <w:t> </w:t>
      </w:r>
      <w:r>
        <w:t>sonship is affirmed. As Jesus rises from the waters, the heavens open, and a</w:t>
      </w:r>
      <w:r>
        <w:t> </w:t>
      </w:r>
      <w:r>
        <w:t>voice cries, “This is my beloved Son, with whom I am well pleased” (Matthew 3:17). This heavenly statement confirms Jesus’ identity and launches his public ministry, emphasising both his</w:t>
      </w:r>
      <w:r>
        <w:t> </w:t>
      </w:r>
      <w:r>
        <w:t>authority and mission.</w:t>
      </w:r>
    </w:p>
    <w:p w14:paraId="64C53444" w14:textId="77777777" w:rsidR="0055605D" w:rsidRDefault="0055605D" w:rsidP="0055605D">
      <w:pPr>
        <w:pStyle w:val="NormalWeb"/>
      </w:pPr>
      <w:r>
        <w:t>The second climax of revelation is the transfiguration (Matthew 17:1–8), when Jesus’</w:t>
      </w:r>
      <w:r>
        <w:t> </w:t>
      </w:r>
      <w:r>
        <w:t>divine sonship is revealed. In this episode, Jesus is glorified before Peter, James, and John, and the voice from the cloud repeats, “This is my beloved Son, with whom I am well pleased;</w:t>
      </w:r>
      <w:r>
        <w:t> </w:t>
      </w:r>
      <w:r>
        <w:t>listen to him” (Matthew 17:5). This account helps affirm Jesus’ divinity and demonstrates His fulfilment of the Law and the Prophets, as represented by Moses and Elijah.</w:t>
      </w:r>
    </w:p>
    <w:p w14:paraId="2DF589C6" w14:textId="77777777" w:rsidR="008512A3" w:rsidRPr="008512A3" w:rsidRDefault="008512A3" w:rsidP="008512A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8512A3">
        <w:rPr>
          <w:rFonts w:ascii="Times New Roman" w:eastAsia="Times New Roman" w:hAnsi="Times New Roman" w:cs="Times New Roman"/>
          <w:b/>
          <w:bCs/>
          <w:kern w:val="0"/>
          <w:lang w:eastAsia="en-GB"/>
          <w14:ligatures w14:val="none"/>
        </w:rPr>
        <w:t>4. Jesus as the Teacher and Inaugurator of the Kingdom of Heaven</w:t>
      </w:r>
    </w:p>
    <w:p w14:paraId="356158B7" w14:textId="77777777" w:rsidR="008512A3" w:rsidRDefault="008512A3" w:rsidP="008512A3">
      <w:pPr>
        <w:pStyle w:val="NormalWeb"/>
      </w:pPr>
      <w:r>
        <w:t>Matthew’s Gospel also emphasises Jesus’ role as a teacher and the inaugurator of the Kingdom of Heaven. The Gospel is structured around five major discourses, which echo the five books of the Torah and position Jesus as a new Moses. These discourses include the Sermon on the Mount (Matthew 5-7), the Missionary Discourse (Matthew 10), the Parables Discourse (Matthew 13), the Community Discourse (Matthew 18), and the Eschatological Discourse (Matthew 24-25).</w:t>
      </w:r>
    </w:p>
    <w:p w14:paraId="729527EA" w14:textId="77777777" w:rsidR="008512A3" w:rsidRDefault="008512A3" w:rsidP="008512A3">
      <w:pPr>
        <w:pStyle w:val="NormalWeb"/>
      </w:pPr>
      <w:r>
        <w:t>In the Sermon on the Mount, Jesus presents a radical reinterpretation of the Law, emphasising its spiritual and ethical dimensions. Statements such as “You have heard that it was said… but I say to you…” (e.g., Matthew 5:21-22, 27-28) demonstrate His authority to deepen and expand the understanding of God’s commandments. This teaching reinforces His identity as the ultimate interpreter of the Law and the one who brings it to its fullest expression.</w:t>
      </w:r>
    </w:p>
    <w:p w14:paraId="5F292821" w14:textId="77777777" w:rsidR="008512A3" w:rsidRDefault="008512A3" w:rsidP="008512A3">
      <w:pPr>
        <w:pStyle w:val="NormalWeb"/>
      </w:pPr>
      <w:r>
        <w:t>The parables in Matthew further illustrate Jesus’ teachings as a teacher of the Kingdom of Heaven. Through stories such as the Parable of the Sower (Matthew 13:1-23) and the Parable of the Weeds (Matthew 13:24-30), Jesus reveals the nature, growth, and ultimate fulfilment of God’s kingdom. These teachings highlight the inclusivity and transformative power of the kingdom, as well as the responsibilities of those who enter it.</w:t>
      </w:r>
    </w:p>
    <w:p w14:paraId="3680E308" w14:textId="77777777" w:rsidR="008512A3" w:rsidRPr="008512A3" w:rsidRDefault="008512A3" w:rsidP="008512A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8512A3">
        <w:rPr>
          <w:rFonts w:ascii="Times New Roman" w:eastAsia="Times New Roman" w:hAnsi="Times New Roman" w:cs="Times New Roman"/>
          <w:b/>
          <w:bCs/>
          <w:kern w:val="0"/>
          <w:lang w:eastAsia="en-GB"/>
          <w14:ligatures w14:val="none"/>
        </w:rPr>
        <w:t>5. Jesus as the Suffering Servant</w:t>
      </w:r>
    </w:p>
    <w:p w14:paraId="1A4D4604" w14:textId="77777777" w:rsidR="008512A3" w:rsidRDefault="008512A3" w:rsidP="008512A3">
      <w:pPr>
        <w:pStyle w:val="NormalWeb"/>
      </w:pPr>
      <w:r>
        <w:t>As Matthew focuses on Jesus’ kingship and</w:t>
      </w:r>
      <w:r>
        <w:t> </w:t>
      </w:r>
      <w:r>
        <w:t>authority, Jesus, the Suffering Servant, is also present in the Gospel, a mission of sacrifice and redemption. The passion narrative, in</w:t>
      </w:r>
      <w:r>
        <w:t> </w:t>
      </w:r>
      <w:r>
        <w:t>which Jesus suffers and dies, is especially visible in this light; it shows Jesus’ suffering and death as fulfilling God’s plan of redemption (as in the account of the Last Supper in Luke 22:19-20).</w:t>
      </w:r>
    </w:p>
    <w:p w14:paraId="2183C2E0" w14:textId="77777777" w:rsidR="008512A3" w:rsidRDefault="008512A3" w:rsidP="008512A3">
      <w:pPr>
        <w:pStyle w:val="NormalWeb"/>
      </w:pPr>
      <w:r>
        <w:t>For example, in Matthew 20:28, Jesus states, “The</w:t>
      </w:r>
      <w:r>
        <w:t> </w:t>
      </w:r>
      <w:r>
        <w:t>Son of Man came not to be served but to serve, and to give his life as a ransom for many.” This declaration summarizes the two</w:t>
      </w:r>
      <w:r>
        <w:t> </w:t>
      </w:r>
      <w:r>
        <w:t>sides of His identity as the sovereign Son of Man and the self-giving Suffering Servant. These four men also cite Jesus’ suffering (both Matthew 26 and 27),</w:t>
      </w:r>
      <w:r>
        <w:t> </w:t>
      </w:r>
      <w:r>
        <w:t>which plays a prominent role in each of the passion narratives, and these four men describe Jesus’ obedience to the will of God and credit Jesus with being the atoning sacrifice for the sins of humanity.</w:t>
      </w:r>
    </w:p>
    <w:p w14:paraId="56D7C06C" w14:textId="77777777" w:rsidR="008512A3" w:rsidRDefault="008512A3" w:rsidP="008512A3">
      <w:pPr>
        <w:pStyle w:val="NormalWeb"/>
      </w:pPr>
      <w:r>
        <w:lastRenderedPageBreak/>
        <w:t>Old Testament imagery in the passion narrative buttresses Jesus’</w:t>
      </w:r>
      <w:r>
        <w:t> </w:t>
      </w:r>
      <w:r>
        <w:t>identity as Suffering Servant. One example comes from Matthew 27:46, where Jesus cries</w:t>
      </w:r>
      <w:r>
        <w:t> </w:t>
      </w:r>
      <w:r>
        <w:t>from the cross, “My God, my God, why have you forsaken me?” —which is a direct quotation from Psalm</w:t>
      </w:r>
      <w:r>
        <w:t> </w:t>
      </w:r>
      <w:r>
        <w:t>22. By quoting this psalm,</w:t>
      </w:r>
      <w:r>
        <w:t> </w:t>
      </w:r>
      <w:r>
        <w:t>Matthew “connects the suffering of Jesus' death with the Old Testament’s ‘Righteous Sufferer,’ accentuating the Theological as well as redemptive significance of His death” (Vaughn 1445).</w:t>
      </w:r>
    </w:p>
    <w:p w14:paraId="5831F8AB" w14:textId="77777777" w:rsidR="008512A3" w:rsidRPr="008512A3" w:rsidRDefault="008512A3" w:rsidP="008512A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8512A3">
        <w:rPr>
          <w:rFonts w:ascii="Times New Roman" w:eastAsia="Times New Roman" w:hAnsi="Times New Roman" w:cs="Times New Roman"/>
          <w:b/>
          <w:bCs/>
          <w:kern w:val="0"/>
          <w:lang w:eastAsia="en-GB"/>
          <w14:ligatures w14:val="none"/>
        </w:rPr>
        <w:t>6. The Resurrection and the Great Commission</w:t>
      </w:r>
    </w:p>
    <w:p w14:paraId="58C17BA6" w14:textId="77777777" w:rsidR="008512A3" w:rsidRDefault="008512A3" w:rsidP="008512A3">
      <w:pPr>
        <w:pStyle w:val="NormalWeb"/>
      </w:pPr>
      <w:r>
        <w:t>The resurrection story in Matthew 28 is a climactic</w:t>
      </w:r>
      <w:r>
        <w:t> </w:t>
      </w:r>
      <w:r>
        <w:t>affirmation of Jesus’ person and work. The announcement of the angel</w:t>
      </w:r>
      <w:r>
        <w:t> </w:t>
      </w:r>
      <w:r>
        <w:t>to the women at the tomb (“He is not here, for he has risen, as he said”—Matthew 28:6) emphasizes Jesus’ victory over death and divine authority. The resurrection proves Jesus’ claims concerning His identity and mission to be true,</w:t>
      </w:r>
      <w:r>
        <w:t> </w:t>
      </w:r>
      <w:r>
        <w:t>affirming that He is the Son of God and the promised Messiah.</w:t>
      </w:r>
    </w:p>
    <w:p w14:paraId="11B17270" w14:textId="77777777" w:rsidR="008512A3" w:rsidRDefault="008512A3" w:rsidP="008512A3">
      <w:pPr>
        <w:pStyle w:val="NormalWeb"/>
      </w:pPr>
      <w:r>
        <w:t>The Great</w:t>
      </w:r>
      <w:r>
        <w:t> </w:t>
      </w:r>
      <w:r>
        <w:t>Commission (Matthew 28:18-20) reinforces Jesus’ authority and the global nature of His mission. Jesus</w:t>
      </w:r>
      <w:r>
        <w:t> </w:t>
      </w:r>
      <w:r>
        <w:t>says, “All authority in heaven and on earth has been given to me. Go therefore and make disciples of all nations, baptizing them in the name of the Father</w:t>
      </w:r>
      <w:r>
        <w:t> </w:t>
      </w:r>
      <w:r>
        <w:t>and of the Son and of the Holy Spirit, teaching them to observe all that I have commanded you.” This commissioning highlights the universal significance of Jesus’ lordship over all creation. It reminds us</w:t>
      </w:r>
      <w:r>
        <w:t> </w:t>
      </w:r>
      <w:r>
        <w:t>of our responsibility, as his followers, to carry on with our mission on earth, proclaiming the good news of the Kingdom of Heaven to all nations.</w:t>
      </w:r>
    </w:p>
    <w:p w14:paraId="61A69778" w14:textId="77777777" w:rsidR="008512A3" w:rsidRPr="008512A3" w:rsidRDefault="008512A3" w:rsidP="008512A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8512A3">
        <w:rPr>
          <w:rFonts w:ascii="Times New Roman" w:eastAsia="Times New Roman" w:hAnsi="Times New Roman" w:cs="Times New Roman"/>
          <w:b/>
          <w:bCs/>
          <w:kern w:val="0"/>
          <w:lang w:eastAsia="en-GB"/>
          <w14:ligatures w14:val="none"/>
        </w:rPr>
        <w:t>7. Theological Implications of Matthew’s Christology</w:t>
      </w:r>
    </w:p>
    <w:p w14:paraId="4A6919AA" w14:textId="77777777" w:rsidR="008512A3" w:rsidRDefault="008512A3" w:rsidP="008512A3">
      <w:pPr>
        <w:pStyle w:val="NormalWeb"/>
      </w:pPr>
      <w:r>
        <w:t>Theologically, Matthew’s account of Jesus’</w:t>
      </w:r>
      <w:r>
        <w:t> </w:t>
      </w:r>
      <w:r>
        <w:t>identity and significance is deep. In this way, Matthew presents a multi-faceted Christological portrait that embodies the culmination of Old Testament expectations in the person of Christ, acting to transcend the boundaries of Jewish identity and</w:t>
      </w:r>
      <w:r>
        <w:t> </w:t>
      </w:r>
      <w:r>
        <w:t>instantiate the new reality of the Kingdom of Heaven.</w:t>
      </w:r>
    </w:p>
    <w:p w14:paraId="3D0A6CA5" w14:textId="2BCA43EF" w:rsidR="008512A3" w:rsidRDefault="008512A3" w:rsidP="008512A3">
      <w:pPr>
        <w:pStyle w:val="NormalWeb"/>
      </w:pPr>
      <w:r>
        <w:t>This</w:t>
      </w:r>
      <w:r>
        <w:t> </w:t>
      </w:r>
      <w:r>
        <w:t xml:space="preserve">Christology calls for the recognition of Jesus as the </w:t>
      </w:r>
      <w:r w:rsidR="00755ABD">
        <w:t>fulfilment</w:t>
      </w:r>
      <w:r>
        <w:t xml:space="preserve"> of God’s saving plan, as well as a response to Jesus’s invitation to discipleship. The focus</w:t>
      </w:r>
      <w:r>
        <w:t> </w:t>
      </w:r>
      <w:r>
        <w:t>on the words of Christ encourages followers to follow the values of the kingdom of heaven, including humility, mercy, and justice. Furthermore, the account of Jesus’ agony</w:t>
      </w:r>
      <w:r>
        <w:t> </w:t>
      </w:r>
      <w:r>
        <w:t>and resurrection highlights the transformative ability of God’s grace, thereby providing hope and redemption for all those who have full confidence in Him.</w:t>
      </w:r>
    </w:p>
    <w:p w14:paraId="6C9C7D78" w14:textId="77777777" w:rsidR="00763B5E" w:rsidRDefault="00763B5E" w:rsidP="00763B5E">
      <w:pPr>
        <w:pStyle w:val="NormalWeb"/>
      </w:pPr>
      <w:r>
        <w:t>Conclusion</w:t>
      </w:r>
    </w:p>
    <w:p w14:paraId="4A86597B" w14:textId="0F78CD61" w:rsidR="00763B5E" w:rsidRDefault="00763B5E" w:rsidP="00763B5E">
      <w:pPr>
        <w:pStyle w:val="NormalWeb"/>
      </w:pPr>
      <w:r>
        <w:t xml:space="preserve">Through mirroring Epiphany, The Gospel of Matthew reveals a complex and rich Christology proclaiming the identity and work of Jesus Christ as both Messiah and Son of God, the </w:t>
      </w:r>
      <w:r w:rsidR="00755ABD">
        <w:t>fulfilment</w:t>
      </w:r>
      <w:r>
        <w:t xml:space="preserve"> of all Old Testament types and prophecies, and the herald of</w:t>
      </w:r>
      <w:r>
        <w:t> </w:t>
      </w:r>
      <w:r>
        <w:t xml:space="preserve">a new Creation of Heaven on earth. By focusing on </w:t>
      </w:r>
      <w:r w:rsidR="00755ABD">
        <w:t>fulfilment</w:t>
      </w:r>
      <w:r>
        <w:t>, authority, sacrifice, and resurrection, Matthew’s Gospel paints a compelling portrait</w:t>
      </w:r>
      <w:r>
        <w:t> </w:t>
      </w:r>
      <w:r>
        <w:t>of Jesus as the focal point of God’s plan for redemption. This Christological perspective not only reinforces Jesus’ divine identity and mission and calls readers to adopt his</w:t>
      </w:r>
      <w:r>
        <w:t> </w:t>
      </w:r>
      <w:r>
        <w:t>teachings and participate in the transformative action of the Kingdom of Heaven.</w:t>
      </w:r>
    </w:p>
    <w:p w14:paraId="1F23AB50" w14:textId="77777777" w:rsidR="00763B5E" w:rsidRDefault="00763B5E" w:rsidP="00763B5E">
      <w:pPr>
        <w:pStyle w:val="NormalWeb"/>
      </w:pPr>
      <w:r>
        <w:t>Matthean Christology is influential in great part because it both connects Jewish traditions to a nascent Christian</w:t>
      </w:r>
      <w:r>
        <w:t> </w:t>
      </w:r>
      <w:r>
        <w:t xml:space="preserve">faith in a complimentary manner while also demonstrating the continuity of God’s redemptive plan with each of his people while underlining its global reach. Placing Jesus as the culmination of prophecy, the Messiah of David, and the supreme teacher of </w:t>
      </w:r>
      <w:r>
        <w:lastRenderedPageBreak/>
        <w:t>God’s Kingdom, Matthew creates a theological underpinning on which Christian theology and discipleship can be built. The Gospel highlights</w:t>
      </w:r>
      <w:r>
        <w:t> </w:t>
      </w:r>
      <w:r>
        <w:t>the grace and hope of God in Jesus’ suffering, death, and resurrection.</w:t>
      </w:r>
    </w:p>
    <w:p w14:paraId="366FD78E" w14:textId="77777777" w:rsidR="00763B5E" w:rsidRDefault="00763B5E" w:rsidP="00763B5E">
      <w:pPr>
        <w:pStyle w:val="NormalWeb"/>
      </w:pPr>
      <w:r>
        <w:t>The Gospel then responds with a challenge for the readers to come to terms with the weighty nature of who</w:t>
      </w:r>
      <w:r>
        <w:t> </w:t>
      </w:r>
      <w:r>
        <w:t>Jesus is and what he came to do. It encourages everyone to follow His teachings, to</w:t>
      </w:r>
      <w:r>
        <w:t> </w:t>
      </w:r>
      <w:r>
        <w:t>experience the wonder of the Kingdom of Heaven, and to live a life of discipleship, fulfilling the mission. Matthew’s Gospel is as relevant today as it was two millennia ago,</w:t>
      </w:r>
      <w:r>
        <w:t> </w:t>
      </w:r>
      <w:r>
        <w:t>illustrating Jesus’ role in the ongoing story of humanity’s relationship with the divine.</w:t>
      </w:r>
    </w:p>
    <w:p w14:paraId="6158AA85" w14:textId="77777777" w:rsidR="00763B5E" w:rsidRPr="00763B5E" w:rsidRDefault="00763B5E" w:rsidP="00763B5E">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763B5E">
        <w:rPr>
          <w:rFonts w:ascii="Times New Roman" w:eastAsia="Times New Roman" w:hAnsi="Times New Roman" w:cs="Times New Roman"/>
          <w:b/>
          <w:bCs/>
          <w:kern w:val="0"/>
          <w:lang w:eastAsia="en-GB"/>
          <w14:ligatures w14:val="none"/>
        </w:rPr>
        <w:t>References</w:t>
      </w:r>
    </w:p>
    <w:p w14:paraId="2192A0CA" w14:textId="77777777" w:rsidR="00763B5E" w:rsidRPr="00763B5E" w:rsidRDefault="00763B5E" w:rsidP="00763B5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3B5E">
        <w:rPr>
          <w:rFonts w:ascii="Times New Roman" w:eastAsia="Times New Roman" w:hAnsi="Times New Roman" w:cs="Times New Roman"/>
          <w:kern w:val="0"/>
          <w:lang w:eastAsia="en-GB"/>
          <w14:ligatures w14:val="none"/>
        </w:rPr>
        <w:t xml:space="preserve">France, R.T. </w:t>
      </w:r>
      <w:r w:rsidRPr="00763B5E">
        <w:rPr>
          <w:rFonts w:ascii="Times New Roman" w:eastAsia="Times New Roman" w:hAnsi="Times New Roman" w:cs="Times New Roman"/>
          <w:i/>
          <w:iCs/>
          <w:kern w:val="0"/>
          <w:lang w:eastAsia="en-GB"/>
          <w14:ligatures w14:val="none"/>
        </w:rPr>
        <w:t>The Gospel of Matthew</w:t>
      </w:r>
      <w:r w:rsidRPr="00763B5E">
        <w:rPr>
          <w:rFonts w:ascii="Times New Roman" w:eastAsia="Times New Roman" w:hAnsi="Times New Roman" w:cs="Times New Roman"/>
          <w:kern w:val="0"/>
          <w:lang w:eastAsia="en-GB"/>
          <w14:ligatures w14:val="none"/>
        </w:rPr>
        <w:t>. NICNT, Grand Rapids: Eerdmans, 2007.</w:t>
      </w:r>
    </w:p>
    <w:p w14:paraId="112F169D" w14:textId="77777777" w:rsidR="00763B5E" w:rsidRPr="00763B5E" w:rsidRDefault="00763B5E" w:rsidP="00763B5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3B5E">
        <w:rPr>
          <w:rFonts w:ascii="Times New Roman" w:eastAsia="Times New Roman" w:hAnsi="Times New Roman" w:cs="Times New Roman"/>
          <w:kern w:val="0"/>
          <w:lang w:eastAsia="en-GB"/>
          <w14:ligatures w14:val="none"/>
        </w:rPr>
        <w:t xml:space="preserve">Luz, Ulrich. </w:t>
      </w:r>
      <w:r w:rsidRPr="00763B5E">
        <w:rPr>
          <w:rFonts w:ascii="Times New Roman" w:eastAsia="Times New Roman" w:hAnsi="Times New Roman" w:cs="Times New Roman"/>
          <w:i/>
          <w:iCs/>
          <w:kern w:val="0"/>
          <w:lang w:eastAsia="en-GB"/>
          <w14:ligatures w14:val="none"/>
        </w:rPr>
        <w:t>Matthew 1-7: A Commentary</w:t>
      </w:r>
      <w:r w:rsidRPr="00763B5E">
        <w:rPr>
          <w:rFonts w:ascii="Times New Roman" w:eastAsia="Times New Roman" w:hAnsi="Times New Roman" w:cs="Times New Roman"/>
          <w:kern w:val="0"/>
          <w:lang w:eastAsia="en-GB"/>
          <w14:ligatures w14:val="none"/>
        </w:rPr>
        <w:t xml:space="preserve">. </w:t>
      </w:r>
      <w:proofErr w:type="spellStart"/>
      <w:r w:rsidRPr="00763B5E">
        <w:rPr>
          <w:rFonts w:ascii="Times New Roman" w:eastAsia="Times New Roman" w:hAnsi="Times New Roman" w:cs="Times New Roman"/>
          <w:kern w:val="0"/>
          <w:lang w:eastAsia="en-GB"/>
          <w14:ligatures w14:val="none"/>
        </w:rPr>
        <w:t>Hermeneia</w:t>
      </w:r>
      <w:proofErr w:type="spellEnd"/>
      <w:r w:rsidRPr="00763B5E">
        <w:rPr>
          <w:rFonts w:ascii="Times New Roman" w:eastAsia="Times New Roman" w:hAnsi="Times New Roman" w:cs="Times New Roman"/>
          <w:kern w:val="0"/>
          <w:lang w:eastAsia="en-GB"/>
          <w14:ligatures w14:val="none"/>
        </w:rPr>
        <w:t>, Minneapolis: Fortress Press, 2007.</w:t>
      </w:r>
    </w:p>
    <w:p w14:paraId="56834579" w14:textId="77777777" w:rsidR="00763B5E" w:rsidRPr="00763B5E" w:rsidRDefault="00763B5E" w:rsidP="00763B5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3B5E">
        <w:rPr>
          <w:rFonts w:ascii="Times New Roman" w:eastAsia="Times New Roman" w:hAnsi="Times New Roman" w:cs="Times New Roman"/>
          <w:kern w:val="0"/>
          <w:lang w:eastAsia="en-GB"/>
          <w14:ligatures w14:val="none"/>
        </w:rPr>
        <w:t xml:space="preserve">Hagner, Donald A. </w:t>
      </w:r>
      <w:r w:rsidRPr="00763B5E">
        <w:rPr>
          <w:rFonts w:ascii="Times New Roman" w:eastAsia="Times New Roman" w:hAnsi="Times New Roman" w:cs="Times New Roman"/>
          <w:i/>
          <w:iCs/>
          <w:kern w:val="0"/>
          <w:lang w:eastAsia="en-GB"/>
          <w14:ligatures w14:val="none"/>
        </w:rPr>
        <w:t>Matthew 1-13</w:t>
      </w:r>
      <w:r w:rsidRPr="00763B5E">
        <w:rPr>
          <w:rFonts w:ascii="Times New Roman" w:eastAsia="Times New Roman" w:hAnsi="Times New Roman" w:cs="Times New Roman"/>
          <w:kern w:val="0"/>
          <w:lang w:eastAsia="en-GB"/>
          <w14:ligatures w14:val="none"/>
        </w:rPr>
        <w:t>. Word Biblical Commentary, Dallas: Word Books, 1993.</w:t>
      </w:r>
    </w:p>
    <w:p w14:paraId="050D14E4" w14:textId="77777777" w:rsidR="00763B5E" w:rsidRPr="00763B5E" w:rsidRDefault="00763B5E" w:rsidP="00763B5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63B5E">
        <w:rPr>
          <w:rFonts w:ascii="Times New Roman" w:eastAsia="Times New Roman" w:hAnsi="Times New Roman" w:cs="Times New Roman"/>
          <w:kern w:val="0"/>
          <w:lang w:eastAsia="en-GB"/>
          <w14:ligatures w14:val="none"/>
        </w:rPr>
        <w:t xml:space="preserve">Keener, Craig S. </w:t>
      </w:r>
      <w:r w:rsidRPr="00763B5E">
        <w:rPr>
          <w:rFonts w:ascii="Times New Roman" w:eastAsia="Times New Roman" w:hAnsi="Times New Roman" w:cs="Times New Roman"/>
          <w:i/>
          <w:iCs/>
          <w:kern w:val="0"/>
          <w:lang w:eastAsia="en-GB"/>
          <w14:ligatures w14:val="none"/>
        </w:rPr>
        <w:t>A Commentary on the Gospel of Matthew</w:t>
      </w:r>
      <w:r w:rsidRPr="00763B5E">
        <w:rPr>
          <w:rFonts w:ascii="Times New Roman" w:eastAsia="Times New Roman" w:hAnsi="Times New Roman" w:cs="Times New Roman"/>
          <w:kern w:val="0"/>
          <w:lang w:eastAsia="en-GB"/>
          <w14:ligatures w14:val="none"/>
        </w:rPr>
        <w:t>. Grand Rapids: Eerdmans, 1999.</w:t>
      </w:r>
    </w:p>
    <w:p w14:paraId="61E731D0" w14:textId="77777777" w:rsidR="00763B5E" w:rsidRPr="00763B5E" w:rsidRDefault="00763B5E" w:rsidP="00763B5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763B5E">
        <w:rPr>
          <w:rFonts w:ascii="Times New Roman" w:eastAsia="Times New Roman" w:hAnsi="Times New Roman" w:cs="Times New Roman"/>
          <w:kern w:val="0"/>
          <w:lang w:eastAsia="en-GB"/>
          <w14:ligatures w14:val="none"/>
        </w:rPr>
        <w:t>Nolland</w:t>
      </w:r>
      <w:proofErr w:type="spellEnd"/>
      <w:r w:rsidRPr="00763B5E">
        <w:rPr>
          <w:rFonts w:ascii="Times New Roman" w:eastAsia="Times New Roman" w:hAnsi="Times New Roman" w:cs="Times New Roman"/>
          <w:kern w:val="0"/>
          <w:lang w:eastAsia="en-GB"/>
          <w14:ligatures w14:val="none"/>
        </w:rPr>
        <w:t xml:space="preserve">, John. </w:t>
      </w:r>
      <w:r w:rsidRPr="00763B5E">
        <w:rPr>
          <w:rFonts w:ascii="Times New Roman" w:eastAsia="Times New Roman" w:hAnsi="Times New Roman" w:cs="Times New Roman"/>
          <w:i/>
          <w:iCs/>
          <w:kern w:val="0"/>
          <w:lang w:eastAsia="en-GB"/>
          <w14:ligatures w14:val="none"/>
        </w:rPr>
        <w:t>The Gospel of Matthew: A Commentary on the Greek Text</w:t>
      </w:r>
      <w:r w:rsidRPr="00763B5E">
        <w:rPr>
          <w:rFonts w:ascii="Times New Roman" w:eastAsia="Times New Roman" w:hAnsi="Times New Roman" w:cs="Times New Roman"/>
          <w:kern w:val="0"/>
          <w:lang w:eastAsia="en-GB"/>
          <w14:ligatures w14:val="none"/>
        </w:rPr>
        <w:t>. NIGTC, Grand Rapids: Eerdmans, 2005.</w:t>
      </w:r>
    </w:p>
    <w:p w14:paraId="7A306D6F" w14:textId="77777777" w:rsidR="0055605D" w:rsidRDefault="0055605D" w:rsidP="0055605D">
      <w:pPr>
        <w:pStyle w:val="NormalWeb"/>
      </w:pPr>
    </w:p>
    <w:p w14:paraId="6769CB97" w14:textId="77777777" w:rsidR="0055605D" w:rsidRPr="0055605D" w:rsidRDefault="0055605D" w:rsidP="0055605D">
      <w:pPr>
        <w:rPr>
          <w:rFonts w:ascii="Times New Roman" w:hAnsi="Times New Roman" w:cs="Times New Roman"/>
        </w:rPr>
      </w:pPr>
    </w:p>
    <w:sectPr w:rsidR="0055605D" w:rsidRPr="005560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92CA3B" w14:textId="77777777" w:rsidR="002930C5" w:rsidRDefault="002930C5" w:rsidP="00270A4D">
      <w:pPr>
        <w:spacing w:after="0" w:line="240" w:lineRule="auto"/>
      </w:pPr>
      <w:r>
        <w:separator/>
      </w:r>
    </w:p>
  </w:endnote>
  <w:endnote w:type="continuationSeparator" w:id="0">
    <w:p w14:paraId="129AC866" w14:textId="77777777" w:rsidR="002930C5" w:rsidRDefault="002930C5" w:rsidP="00270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6D9015" w14:textId="77777777" w:rsidR="002930C5" w:rsidRDefault="002930C5" w:rsidP="00270A4D">
      <w:pPr>
        <w:spacing w:after="0" w:line="240" w:lineRule="auto"/>
      </w:pPr>
      <w:r>
        <w:separator/>
      </w:r>
    </w:p>
  </w:footnote>
  <w:footnote w:type="continuationSeparator" w:id="0">
    <w:p w14:paraId="26A9281A" w14:textId="77777777" w:rsidR="002930C5" w:rsidRDefault="002930C5" w:rsidP="00270A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D72F9E"/>
    <w:multiLevelType w:val="multilevel"/>
    <w:tmpl w:val="D9682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028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05D"/>
    <w:rsid w:val="00103421"/>
    <w:rsid w:val="00150AE7"/>
    <w:rsid w:val="00187BCD"/>
    <w:rsid w:val="00270A4D"/>
    <w:rsid w:val="002930C5"/>
    <w:rsid w:val="00423EC2"/>
    <w:rsid w:val="0055605D"/>
    <w:rsid w:val="00755ABD"/>
    <w:rsid w:val="00763B5E"/>
    <w:rsid w:val="008512A3"/>
    <w:rsid w:val="00991264"/>
    <w:rsid w:val="00D90E6E"/>
    <w:rsid w:val="00F34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61384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0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60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60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60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60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60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60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60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60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0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60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60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60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60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60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60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60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605D"/>
    <w:rPr>
      <w:rFonts w:eastAsiaTheme="majorEastAsia" w:cstheme="majorBidi"/>
      <w:color w:val="272727" w:themeColor="text1" w:themeTint="D8"/>
    </w:rPr>
  </w:style>
  <w:style w:type="paragraph" w:styleId="Title">
    <w:name w:val="Title"/>
    <w:basedOn w:val="Normal"/>
    <w:next w:val="Normal"/>
    <w:link w:val="TitleChar"/>
    <w:uiPriority w:val="10"/>
    <w:qFormat/>
    <w:rsid w:val="005560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60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60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60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605D"/>
    <w:pPr>
      <w:spacing w:before="160"/>
      <w:jc w:val="center"/>
    </w:pPr>
    <w:rPr>
      <w:i/>
      <w:iCs/>
      <w:color w:val="404040" w:themeColor="text1" w:themeTint="BF"/>
    </w:rPr>
  </w:style>
  <w:style w:type="character" w:customStyle="1" w:styleId="QuoteChar">
    <w:name w:val="Quote Char"/>
    <w:basedOn w:val="DefaultParagraphFont"/>
    <w:link w:val="Quote"/>
    <w:uiPriority w:val="29"/>
    <w:rsid w:val="0055605D"/>
    <w:rPr>
      <w:i/>
      <w:iCs/>
      <w:color w:val="404040" w:themeColor="text1" w:themeTint="BF"/>
    </w:rPr>
  </w:style>
  <w:style w:type="paragraph" w:styleId="ListParagraph">
    <w:name w:val="List Paragraph"/>
    <w:basedOn w:val="Normal"/>
    <w:uiPriority w:val="34"/>
    <w:qFormat/>
    <w:rsid w:val="0055605D"/>
    <w:pPr>
      <w:ind w:left="720"/>
      <w:contextualSpacing/>
    </w:pPr>
  </w:style>
  <w:style w:type="character" w:styleId="IntenseEmphasis">
    <w:name w:val="Intense Emphasis"/>
    <w:basedOn w:val="DefaultParagraphFont"/>
    <w:uiPriority w:val="21"/>
    <w:qFormat/>
    <w:rsid w:val="0055605D"/>
    <w:rPr>
      <w:i/>
      <w:iCs/>
      <w:color w:val="0F4761" w:themeColor="accent1" w:themeShade="BF"/>
    </w:rPr>
  </w:style>
  <w:style w:type="paragraph" w:styleId="IntenseQuote">
    <w:name w:val="Intense Quote"/>
    <w:basedOn w:val="Normal"/>
    <w:next w:val="Normal"/>
    <w:link w:val="IntenseQuoteChar"/>
    <w:uiPriority w:val="30"/>
    <w:qFormat/>
    <w:rsid w:val="005560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605D"/>
    <w:rPr>
      <w:i/>
      <w:iCs/>
      <w:color w:val="0F4761" w:themeColor="accent1" w:themeShade="BF"/>
    </w:rPr>
  </w:style>
  <w:style w:type="character" w:styleId="IntenseReference">
    <w:name w:val="Intense Reference"/>
    <w:basedOn w:val="DefaultParagraphFont"/>
    <w:uiPriority w:val="32"/>
    <w:qFormat/>
    <w:rsid w:val="0055605D"/>
    <w:rPr>
      <w:b/>
      <w:bCs/>
      <w:smallCaps/>
      <w:color w:val="0F4761" w:themeColor="accent1" w:themeShade="BF"/>
      <w:spacing w:val="5"/>
    </w:rPr>
  </w:style>
  <w:style w:type="paragraph" w:styleId="NormalWeb">
    <w:name w:val="Normal (Web)"/>
    <w:basedOn w:val="Normal"/>
    <w:uiPriority w:val="99"/>
    <w:semiHidden/>
    <w:unhideWhenUsed/>
    <w:rsid w:val="005560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270A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A4D"/>
  </w:style>
  <w:style w:type="paragraph" w:styleId="Footer">
    <w:name w:val="footer"/>
    <w:basedOn w:val="Normal"/>
    <w:link w:val="FooterChar"/>
    <w:uiPriority w:val="99"/>
    <w:unhideWhenUsed/>
    <w:rsid w:val="00270A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A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438958">
      <w:bodyDiv w:val="1"/>
      <w:marLeft w:val="0"/>
      <w:marRight w:val="0"/>
      <w:marTop w:val="0"/>
      <w:marBottom w:val="0"/>
      <w:divBdr>
        <w:top w:val="none" w:sz="0" w:space="0" w:color="auto"/>
        <w:left w:val="none" w:sz="0" w:space="0" w:color="auto"/>
        <w:bottom w:val="none" w:sz="0" w:space="0" w:color="auto"/>
        <w:right w:val="none" w:sz="0" w:space="0" w:color="auto"/>
      </w:divBdr>
    </w:div>
    <w:div w:id="199830755">
      <w:bodyDiv w:val="1"/>
      <w:marLeft w:val="0"/>
      <w:marRight w:val="0"/>
      <w:marTop w:val="0"/>
      <w:marBottom w:val="0"/>
      <w:divBdr>
        <w:top w:val="none" w:sz="0" w:space="0" w:color="auto"/>
        <w:left w:val="none" w:sz="0" w:space="0" w:color="auto"/>
        <w:bottom w:val="none" w:sz="0" w:space="0" w:color="auto"/>
        <w:right w:val="none" w:sz="0" w:space="0" w:color="auto"/>
      </w:divBdr>
    </w:div>
    <w:div w:id="294481952">
      <w:bodyDiv w:val="1"/>
      <w:marLeft w:val="0"/>
      <w:marRight w:val="0"/>
      <w:marTop w:val="0"/>
      <w:marBottom w:val="0"/>
      <w:divBdr>
        <w:top w:val="none" w:sz="0" w:space="0" w:color="auto"/>
        <w:left w:val="none" w:sz="0" w:space="0" w:color="auto"/>
        <w:bottom w:val="none" w:sz="0" w:space="0" w:color="auto"/>
        <w:right w:val="none" w:sz="0" w:space="0" w:color="auto"/>
      </w:divBdr>
    </w:div>
    <w:div w:id="301812069">
      <w:bodyDiv w:val="1"/>
      <w:marLeft w:val="0"/>
      <w:marRight w:val="0"/>
      <w:marTop w:val="0"/>
      <w:marBottom w:val="0"/>
      <w:divBdr>
        <w:top w:val="none" w:sz="0" w:space="0" w:color="auto"/>
        <w:left w:val="none" w:sz="0" w:space="0" w:color="auto"/>
        <w:bottom w:val="none" w:sz="0" w:space="0" w:color="auto"/>
        <w:right w:val="none" w:sz="0" w:space="0" w:color="auto"/>
      </w:divBdr>
    </w:div>
    <w:div w:id="521558356">
      <w:bodyDiv w:val="1"/>
      <w:marLeft w:val="0"/>
      <w:marRight w:val="0"/>
      <w:marTop w:val="0"/>
      <w:marBottom w:val="0"/>
      <w:divBdr>
        <w:top w:val="none" w:sz="0" w:space="0" w:color="auto"/>
        <w:left w:val="none" w:sz="0" w:space="0" w:color="auto"/>
        <w:bottom w:val="none" w:sz="0" w:space="0" w:color="auto"/>
        <w:right w:val="none" w:sz="0" w:space="0" w:color="auto"/>
      </w:divBdr>
    </w:div>
    <w:div w:id="565145437">
      <w:bodyDiv w:val="1"/>
      <w:marLeft w:val="0"/>
      <w:marRight w:val="0"/>
      <w:marTop w:val="0"/>
      <w:marBottom w:val="0"/>
      <w:divBdr>
        <w:top w:val="none" w:sz="0" w:space="0" w:color="auto"/>
        <w:left w:val="none" w:sz="0" w:space="0" w:color="auto"/>
        <w:bottom w:val="none" w:sz="0" w:space="0" w:color="auto"/>
        <w:right w:val="none" w:sz="0" w:space="0" w:color="auto"/>
      </w:divBdr>
    </w:div>
    <w:div w:id="583760170">
      <w:bodyDiv w:val="1"/>
      <w:marLeft w:val="0"/>
      <w:marRight w:val="0"/>
      <w:marTop w:val="0"/>
      <w:marBottom w:val="0"/>
      <w:divBdr>
        <w:top w:val="none" w:sz="0" w:space="0" w:color="auto"/>
        <w:left w:val="none" w:sz="0" w:space="0" w:color="auto"/>
        <w:bottom w:val="none" w:sz="0" w:space="0" w:color="auto"/>
        <w:right w:val="none" w:sz="0" w:space="0" w:color="auto"/>
      </w:divBdr>
    </w:div>
    <w:div w:id="671251763">
      <w:bodyDiv w:val="1"/>
      <w:marLeft w:val="0"/>
      <w:marRight w:val="0"/>
      <w:marTop w:val="0"/>
      <w:marBottom w:val="0"/>
      <w:divBdr>
        <w:top w:val="none" w:sz="0" w:space="0" w:color="auto"/>
        <w:left w:val="none" w:sz="0" w:space="0" w:color="auto"/>
        <w:bottom w:val="none" w:sz="0" w:space="0" w:color="auto"/>
        <w:right w:val="none" w:sz="0" w:space="0" w:color="auto"/>
      </w:divBdr>
    </w:div>
    <w:div w:id="750396644">
      <w:bodyDiv w:val="1"/>
      <w:marLeft w:val="0"/>
      <w:marRight w:val="0"/>
      <w:marTop w:val="0"/>
      <w:marBottom w:val="0"/>
      <w:divBdr>
        <w:top w:val="none" w:sz="0" w:space="0" w:color="auto"/>
        <w:left w:val="none" w:sz="0" w:space="0" w:color="auto"/>
        <w:bottom w:val="none" w:sz="0" w:space="0" w:color="auto"/>
        <w:right w:val="none" w:sz="0" w:space="0" w:color="auto"/>
      </w:divBdr>
    </w:div>
    <w:div w:id="1040712669">
      <w:bodyDiv w:val="1"/>
      <w:marLeft w:val="0"/>
      <w:marRight w:val="0"/>
      <w:marTop w:val="0"/>
      <w:marBottom w:val="0"/>
      <w:divBdr>
        <w:top w:val="none" w:sz="0" w:space="0" w:color="auto"/>
        <w:left w:val="none" w:sz="0" w:space="0" w:color="auto"/>
        <w:bottom w:val="none" w:sz="0" w:space="0" w:color="auto"/>
        <w:right w:val="none" w:sz="0" w:space="0" w:color="auto"/>
      </w:divBdr>
    </w:div>
    <w:div w:id="1109350487">
      <w:bodyDiv w:val="1"/>
      <w:marLeft w:val="0"/>
      <w:marRight w:val="0"/>
      <w:marTop w:val="0"/>
      <w:marBottom w:val="0"/>
      <w:divBdr>
        <w:top w:val="none" w:sz="0" w:space="0" w:color="auto"/>
        <w:left w:val="none" w:sz="0" w:space="0" w:color="auto"/>
        <w:bottom w:val="none" w:sz="0" w:space="0" w:color="auto"/>
        <w:right w:val="none" w:sz="0" w:space="0" w:color="auto"/>
      </w:divBdr>
    </w:div>
    <w:div w:id="1175459616">
      <w:bodyDiv w:val="1"/>
      <w:marLeft w:val="0"/>
      <w:marRight w:val="0"/>
      <w:marTop w:val="0"/>
      <w:marBottom w:val="0"/>
      <w:divBdr>
        <w:top w:val="none" w:sz="0" w:space="0" w:color="auto"/>
        <w:left w:val="none" w:sz="0" w:space="0" w:color="auto"/>
        <w:bottom w:val="none" w:sz="0" w:space="0" w:color="auto"/>
        <w:right w:val="none" w:sz="0" w:space="0" w:color="auto"/>
      </w:divBdr>
    </w:div>
    <w:div w:id="1225989893">
      <w:bodyDiv w:val="1"/>
      <w:marLeft w:val="0"/>
      <w:marRight w:val="0"/>
      <w:marTop w:val="0"/>
      <w:marBottom w:val="0"/>
      <w:divBdr>
        <w:top w:val="none" w:sz="0" w:space="0" w:color="auto"/>
        <w:left w:val="none" w:sz="0" w:space="0" w:color="auto"/>
        <w:bottom w:val="none" w:sz="0" w:space="0" w:color="auto"/>
        <w:right w:val="none" w:sz="0" w:space="0" w:color="auto"/>
      </w:divBdr>
    </w:div>
    <w:div w:id="1606419688">
      <w:bodyDiv w:val="1"/>
      <w:marLeft w:val="0"/>
      <w:marRight w:val="0"/>
      <w:marTop w:val="0"/>
      <w:marBottom w:val="0"/>
      <w:divBdr>
        <w:top w:val="none" w:sz="0" w:space="0" w:color="auto"/>
        <w:left w:val="none" w:sz="0" w:space="0" w:color="auto"/>
        <w:bottom w:val="none" w:sz="0" w:space="0" w:color="auto"/>
        <w:right w:val="none" w:sz="0" w:space="0" w:color="auto"/>
      </w:divBdr>
    </w:div>
    <w:div w:id="1617827763">
      <w:bodyDiv w:val="1"/>
      <w:marLeft w:val="0"/>
      <w:marRight w:val="0"/>
      <w:marTop w:val="0"/>
      <w:marBottom w:val="0"/>
      <w:divBdr>
        <w:top w:val="none" w:sz="0" w:space="0" w:color="auto"/>
        <w:left w:val="none" w:sz="0" w:space="0" w:color="auto"/>
        <w:bottom w:val="none" w:sz="0" w:space="0" w:color="auto"/>
        <w:right w:val="none" w:sz="0" w:space="0" w:color="auto"/>
      </w:divBdr>
    </w:div>
    <w:div w:id="1680111740">
      <w:bodyDiv w:val="1"/>
      <w:marLeft w:val="0"/>
      <w:marRight w:val="0"/>
      <w:marTop w:val="0"/>
      <w:marBottom w:val="0"/>
      <w:divBdr>
        <w:top w:val="none" w:sz="0" w:space="0" w:color="auto"/>
        <w:left w:val="none" w:sz="0" w:space="0" w:color="auto"/>
        <w:bottom w:val="none" w:sz="0" w:space="0" w:color="auto"/>
        <w:right w:val="none" w:sz="0" w:space="0" w:color="auto"/>
      </w:divBdr>
    </w:div>
    <w:div w:id="1717075463">
      <w:bodyDiv w:val="1"/>
      <w:marLeft w:val="0"/>
      <w:marRight w:val="0"/>
      <w:marTop w:val="0"/>
      <w:marBottom w:val="0"/>
      <w:divBdr>
        <w:top w:val="none" w:sz="0" w:space="0" w:color="auto"/>
        <w:left w:val="none" w:sz="0" w:space="0" w:color="auto"/>
        <w:bottom w:val="none" w:sz="0" w:space="0" w:color="auto"/>
        <w:right w:val="none" w:sz="0" w:space="0" w:color="auto"/>
      </w:divBdr>
    </w:div>
    <w:div w:id="1823036375">
      <w:bodyDiv w:val="1"/>
      <w:marLeft w:val="0"/>
      <w:marRight w:val="0"/>
      <w:marTop w:val="0"/>
      <w:marBottom w:val="0"/>
      <w:divBdr>
        <w:top w:val="none" w:sz="0" w:space="0" w:color="auto"/>
        <w:left w:val="none" w:sz="0" w:space="0" w:color="auto"/>
        <w:bottom w:val="none" w:sz="0" w:space="0" w:color="auto"/>
        <w:right w:val="none" w:sz="0" w:space="0" w:color="auto"/>
      </w:divBdr>
    </w:div>
    <w:div w:id="189308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1990</Words>
  <Characters>11343</Characters>
  <Application>Microsoft Office Word</Application>
  <DocSecurity>0</DocSecurity>
  <Lines>94</Lines>
  <Paragraphs>26</Paragraphs>
  <ScaleCrop>false</ScaleCrop>
  <Company/>
  <LinksUpToDate>false</LinksUpToDate>
  <CharactersWithSpaces>13307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2025-01-13T18:35:00Z</dcterms:created>
  <dcterms:modified xsi:type="dcterms:W3CDTF">2025-01-13T18:35:00Z</dcterms:modified>
</cp:coreProperties>
</file>