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1D386D" w14:textId="0B08D1C0" w:rsidR="004E05E6" w:rsidRPr="00232266" w:rsidRDefault="00635BCE">
      <w:pPr>
        <w:rPr>
          <w:rFonts w:ascii="Arial" w:hAnsi="Arial" w:cs="Arial"/>
          <w:sz w:val="23"/>
          <w:szCs w:val="23"/>
        </w:rPr>
      </w:pPr>
      <w:r w:rsidRPr="00232266">
        <w:rPr>
          <w:rFonts w:ascii="Arial" w:hAnsi="Arial" w:cs="Arial"/>
          <w:noProof/>
          <w:sz w:val="23"/>
          <w:szCs w:val="23"/>
        </w:rPr>
        <w:drawing>
          <wp:inline distT="0" distB="0" distL="0" distR="0" wp14:anchorId="6C6374E9" wp14:editId="5B203799">
            <wp:extent cx="2265241" cy="1725930"/>
            <wp:effectExtent l="0" t="0" r="1905" b="7620"/>
            <wp:docPr id="2" name="Picture 1"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Hub: description, news and contact inf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81142" cy="1814237"/>
                    </a:xfrm>
                    <a:prstGeom prst="rect">
                      <a:avLst/>
                    </a:prstGeom>
                    <a:noFill/>
                    <a:ln>
                      <a:noFill/>
                    </a:ln>
                  </pic:spPr>
                </pic:pic>
              </a:graphicData>
            </a:graphic>
          </wp:inline>
        </w:drawing>
      </w:r>
    </w:p>
    <w:p w14:paraId="2531C0E0" w14:textId="7FA958F1"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b/>
          <w:bCs/>
          <w:color w:val="0F1115"/>
          <w:kern w:val="0"/>
          <w:sz w:val="23"/>
          <w:szCs w:val="23"/>
          <w:lang w:eastAsia="en-GB"/>
          <w14:ligatures w14:val="none"/>
        </w:rPr>
        <w:t>Student name:</w:t>
      </w:r>
      <w:r w:rsidRPr="00232266">
        <w:rPr>
          <w:rFonts w:ascii="Arial" w:eastAsia="Times New Roman" w:hAnsi="Arial" w:cs="Arial"/>
          <w:color w:val="0F1115"/>
          <w:kern w:val="0"/>
          <w:sz w:val="23"/>
          <w:szCs w:val="23"/>
          <w:lang w:eastAsia="en-GB"/>
          <w14:ligatures w14:val="none"/>
        </w:rPr>
        <w:t> </w:t>
      </w:r>
      <w:r w:rsidR="004E0E8A" w:rsidRPr="00232266">
        <w:rPr>
          <w:rFonts w:ascii="Arial" w:eastAsia="Times New Roman" w:hAnsi="Arial" w:cs="Arial"/>
          <w:color w:val="0F1115"/>
          <w:kern w:val="0"/>
          <w:sz w:val="23"/>
          <w:szCs w:val="23"/>
          <w:lang w:eastAsia="en-GB"/>
          <w14:ligatures w14:val="none"/>
        </w:rPr>
        <w:t>Florence Chijioke Oguledo</w:t>
      </w:r>
    </w:p>
    <w:p w14:paraId="00C12779" w14:textId="5FE7C7DA"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b/>
          <w:bCs/>
          <w:color w:val="0F1115"/>
          <w:kern w:val="0"/>
          <w:sz w:val="23"/>
          <w:szCs w:val="23"/>
          <w:lang w:eastAsia="en-GB"/>
          <w14:ligatures w14:val="none"/>
        </w:rPr>
        <w:t>Student ID:</w:t>
      </w:r>
      <w:r w:rsidRPr="00232266">
        <w:rPr>
          <w:rFonts w:ascii="Arial" w:eastAsia="Times New Roman" w:hAnsi="Arial" w:cs="Arial"/>
          <w:color w:val="0F1115"/>
          <w:kern w:val="0"/>
          <w:sz w:val="23"/>
          <w:szCs w:val="23"/>
          <w:lang w:eastAsia="en-GB"/>
          <w14:ligatures w14:val="none"/>
        </w:rPr>
        <w:t> </w:t>
      </w:r>
      <w:r w:rsidR="004E0E8A" w:rsidRPr="00232266">
        <w:rPr>
          <w:rFonts w:ascii="Arial" w:eastAsia="Times New Roman" w:hAnsi="Arial" w:cs="Arial"/>
          <w:color w:val="0F1115"/>
          <w:kern w:val="0"/>
          <w:sz w:val="23"/>
          <w:szCs w:val="23"/>
          <w:lang w:eastAsia="en-GB"/>
          <w14:ligatures w14:val="none"/>
        </w:rPr>
        <w:t>2</w:t>
      </w:r>
      <w:r w:rsidR="00A53E6E" w:rsidRPr="00232266">
        <w:rPr>
          <w:rFonts w:ascii="Arial" w:eastAsia="Times New Roman" w:hAnsi="Arial" w:cs="Arial"/>
          <w:color w:val="0F1115"/>
          <w:kern w:val="0"/>
          <w:sz w:val="23"/>
          <w:szCs w:val="23"/>
          <w:lang w:eastAsia="en-GB"/>
          <w14:ligatures w14:val="none"/>
        </w:rPr>
        <w:t>411483</w:t>
      </w:r>
    </w:p>
    <w:p w14:paraId="0D13F51F"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b/>
          <w:bCs/>
          <w:color w:val="0F1115"/>
          <w:kern w:val="0"/>
          <w:sz w:val="23"/>
          <w:szCs w:val="23"/>
          <w:lang w:eastAsia="en-GB"/>
          <w14:ligatures w14:val="none"/>
        </w:rPr>
        <w:t>Module name:</w:t>
      </w:r>
      <w:r w:rsidRPr="00232266">
        <w:rPr>
          <w:rFonts w:ascii="Arial" w:eastAsia="Times New Roman" w:hAnsi="Arial" w:cs="Arial"/>
          <w:color w:val="0F1115"/>
          <w:kern w:val="0"/>
          <w:sz w:val="23"/>
          <w:szCs w:val="23"/>
          <w:lang w:eastAsia="en-GB"/>
          <w14:ligatures w14:val="none"/>
        </w:rPr>
        <w:t> Principles of Health and Social Care Practice</w:t>
      </w:r>
    </w:p>
    <w:p w14:paraId="51AF6786"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b/>
          <w:bCs/>
          <w:color w:val="0F1115"/>
          <w:kern w:val="0"/>
          <w:sz w:val="23"/>
          <w:szCs w:val="23"/>
          <w:lang w:eastAsia="en-GB"/>
          <w14:ligatures w14:val="none"/>
        </w:rPr>
        <w:t>Module code:</w:t>
      </w:r>
      <w:r w:rsidRPr="00232266">
        <w:rPr>
          <w:rFonts w:ascii="Arial" w:eastAsia="Times New Roman" w:hAnsi="Arial" w:cs="Arial"/>
          <w:color w:val="0F1115"/>
          <w:kern w:val="0"/>
          <w:sz w:val="23"/>
          <w:szCs w:val="23"/>
          <w:lang w:eastAsia="en-GB"/>
          <w14:ligatures w14:val="none"/>
        </w:rPr>
        <w:t> BMHP5016</w:t>
      </w:r>
    </w:p>
    <w:p w14:paraId="571AE343" w14:textId="4CAFC008"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b/>
          <w:bCs/>
          <w:color w:val="0F1115"/>
          <w:kern w:val="0"/>
          <w:sz w:val="23"/>
          <w:szCs w:val="23"/>
          <w:lang w:eastAsia="en-GB"/>
          <w14:ligatures w14:val="none"/>
        </w:rPr>
        <w:t>Lecturer name:</w:t>
      </w:r>
      <w:r w:rsidRPr="00232266">
        <w:rPr>
          <w:rFonts w:ascii="Arial" w:eastAsia="Times New Roman" w:hAnsi="Arial" w:cs="Arial"/>
          <w:color w:val="0F1115"/>
          <w:kern w:val="0"/>
          <w:sz w:val="23"/>
          <w:szCs w:val="23"/>
          <w:lang w:eastAsia="en-GB"/>
          <w14:ligatures w14:val="none"/>
        </w:rPr>
        <w:t> </w:t>
      </w:r>
      <w:r w:rsidR="00A53E6E" w:rsidRPr="00232266">
        <w:rPr>
          <w:rFonts w:ascii="Arial" w:eastAsia="Times New Roman" w:hAnsi="Arial" w:cs="Arial"/>
          <w:color w:val="0F1115"/>
          <w:kern w:val="0"/>
          <w:sz w:val="23"/>
          <w:szCs w:val="23"/>
          <w:lang w:eastAsia="en-GB"/>
          <w14:ligatures w14:val="none"/>
        </w:rPr>
        <w:t>Dr,</w:t>
      </w:r>
      <w:r w:rsidR="00EE38B8" w:rsidRPr="00232266">
        <w:rPr>
          <w:rFonts w:ascii="Arial" w:eastAsia="Times New Roman" w:hAnsi="Arial" w:cs="Arial"/>
          <w:color w:val="0F1115"/>
          <w:kern w:val="0"/>
          <w:sz w:val="23"/>
          <w:szCs w:val="23"/>
          <w:lang w:eastAsia="en-GB"/>
          <w14:ligatures w14:val="none"/>
        </w:rPr>
        <w:t xml:space="preserve"> </w:t>
      </w:r>
      <w:proofErr w:type="spellStart"/>
      <w:r w:rsidR="00EE38B8" w:rsidRPr="00232266">
        <w:rPr>
          <w:rFonts w:ascii="Arial" w:eastAsia="Times New Roman" w:hAnsi="Arial" w:cs="Arial"/>
          <w:color w:val="0F1115"/>
          <w:kern w:val="0"/>
          <w:sz w:val="23"/>
          <w:szCs w:val="23"/>
          <w:lang w:eastAsia="en-GB"/>
          <w14:ligatures w14:val="none"/>
        </w:rPr>
        <w:t>Itse</w:t>
      </w:r>
      <w:proofErr w:type="spellEnd"/>
      <w:r w:rsidR="00EE38B8" w:rsidRPr="00232266">
        <w:rPr>
          <w:rFonts w:ascii="Arial" w:eastAsia="Times New Roman" w:hAnsi="Arial" w:cs="Arial"/>
          <w:color w:val="0F1115"/>
          <w:kern w:val="0"/>
          <w:sz w:val="23"/>
          <w:szCs w:val="23"/>
          <w:lang w:eastAsia="en-GB"/>
          <w14:ligatures w14:val="none"/>
        </w:rPr>
        <w:t xml:space="preserve"> Olao</w:t>
      </w:r>
      <w:r w:rsidR="00B00E3C" w:rsidRPr="00232266">
        <w:rPr>
          <w:rFonts w:ascii="Arial" w:eastAsia="Times New Roman" w:hAnsi="Arial" w:cs="Arial"/>
          <w:color w:val="0F1115"/>
          <w:kern w:val="0"/>
          <w:sz w:val="23"/>
          <w:szCs w:val="23"/>
          <w:lang w:eastAsia="en-GB"/>
          <w14:ligatures w14:val="none"/>
        </w:rPr>
        <w:t>ye.</w:t>
      </w:r>
    </w:p>
    <w:p w14:paraId="5610D37E"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p>
    <w:p w14:paraId="3D8D57E2"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b/>
          <w:bCs/>
          <w:color w:val="0F1115"/>
          <w:kern w:val="0"/>
          <w:sz w:val="23"/>
          <w:szCs w:val="23"/>
          <w:lang w:eastAsia="en-GB"/>
          <w14:ligatures w14:val="none"/>
        </w:rPr>
        <w:t>Title:</w:t>
      </w:r>
      <w:r w:rsidRPr="00232266">
        <w:rPr>
          <w:rFonts w:ascii="Arial" w:eastAsia="Times New Roman" w:hAnsi="Arial" w:cs="Arial"/>
          <w:color w:val="0F1115"/>
          <w:kern w:val="0"/>
          <w:sz w:val="23"/>
          <w:szCs w:val="23"/>
          <w:lang w:eastAsia="en-GB"/>
          <w14:ligatures w14:val="none"/>
        </w:rPr>
        <w:t> Global Care Chains: A Critical Examination of the Concept, Its Application in Health and Social Care, and Recommendations for Policy and Practice</w:t>
      </w:r>
    </w:p>
    <w:p w14:paraId="72714B12" w14:textId="43881838" w:rsidR="004E05E6" w:rsidRPr="00232266" w:rsidRDefault="004E05E6" w:rsidP="004E05E6">
      <w:pPr>
        <w:spacing w:before="480" w:after="480" w:line="240" w:lineRule="auto"/>
        <w:rPr>
          <w:rFonts w:ascii="Arial" w:eastAsia="Times New Roman" w:hAnsi="Arial" w:cs="Arial"/>
          <w:kern w:val="0"/>
          <w:sz w:val="23"/>
          <w:szCs w:val="23"/>
          <w:lang w:eastAsia="en-GB"/>
          <w14:ligatures w14:val="none"/>
        </w:rPr>
      </w:pPr>
    </w:p>
    <w:p w14:paraId="7F59E6CC"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b/>
          <w:bCs/>
          <w:color w:val="0F1115"/>
          <w:kern w:val="0"/>
          <w:sz w:val="23"/>
          <w:szCs w:val="23"/>
          <w:lang w:eastAsia="en-GB"/>
          <w14:ligatures w14:val="none"/>
        </w:rPr>
        <w:t>Table of Contents</w:t>
      </w:r>
    </w:p>
    <w:p w14:paraId="36F82AA7" w14:textId="7029D3EA"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Introduction………………………………………………………………</w:t>
      </w:r>
      <w:r w:rsidR="00420B7E" w:rsidRPr="00232266">
        <w:rPr>
          <w:rFonts w:ascii="Arial" w:eastAsia="Times New Roman" w:hAnsi="Arial" w:cs="Arial"/>
          <w:color w:val="0F1115"/>
          <w:kern w:val="0"/>
          <w:sz w:val="23"/>
          <w:szCs w:val="23"/>
          <w:lang w:eastAsia="en-GB"/>
          <w14:ligatures w14:val="none"/>
        </w:rPr>
        <w:t>…...</w:t>
      </w:r>
      <w:r w:rsidRPr="00232266">
        <w:rPr>
          <w:rFonts w:ascii="Arial" w:eastAsia="Times New Roman" w:hAnsi="Arial" w:cs="Arial"/>
          <w:color w:val="0F1115"/>
          <w:kern w:val="0"/>
          <w:sz w:val="23"/>
          <w:szCs w:val="23"/>
          <w:lang w:eastAsia="en-GB"/>
          <w14:ligatures w14:val="none"/>
        </w:rPr>
        <w:t>1</w:t>
      </w:r>
    </w:p>
    <w:p w14:paraId="69891CF6" w14:textId="4779E1E2"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The Development of the Global Care Chains Concept………………….......</w:t>
      </w:r>
      <w:r w:rsidR="00420B7E" w:rsidRPr="00232266">
        <w:rPr>
          <w:rFonts w:ascii="Arial" w:eastAsia="Times New Roman" w:hAnsi="Arial" w:cs="Arial"/>
          <w:color w:val="0F1115"/>
          <w:kern w:val="0"/>
          <w:sz w:val="23"/>
          <w:szCs w:val="23"/>
          <w:lang w:eastAsia="en-GB"/>
          <w14:ligatures w14:val="none"/>
        </w:rPr>
        <w:t>.</w:t>
      </w:r>
      <w:r w:rsidRPr="00232266">
        <w:rPr>
          <w:rFonts w:ascii="Arial" w:eastAsia="Times New Roman" w:hAnsi="Arial" w:cs="Arial"/>
          <w:color w:val="0F1115"/>
          <w:kern w:val="0"/>
          <w:sz w:val="23"/>
          <w:szCs w:val="23"/>
          <w:lang w:eastAsia="en-GB"/>
          <w14:ligatures w14:val="none"/>
        </w:rPr>
        <w:t>.2</w:t>
      </w:r>
    </w:p>
    <w:p w14:paraId="4C28F078" w14:textId="01B63E1F"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Application of the Concept in Health and Social Care Policy and Practice</w:t>
      </w:r>
      <w:r w:rsidR="00420B7E" w:rsidRPr="00232266">
        <w:rPr>
          <w:rFonts w:ascii="Arial" w:eastAsia="Times New Roman" w:hAnsi="Arial" w:cs="Arial"/>
          <w:color w:val="0F1115"/>
          <w:kern w:val="0"/>
          <w:sz w:val="23"/>
          <w:szCs w:val="23"/>
          <w:lang w:eastAsia="en-GB"/>
          <w14:ligatures w14:val="none"/>
        </w:rPr>
        <w:t>......</w:t>
      </w:r>
      <w:r w:rsidRPr="00232266">
        <w:rPr>
          <w:rFonts w:ascii="Arial" w:eastAsia="Times New Roman" w:hAnsi="Arial" w:cs="Arial"/>
          <w:color w:val="0F1115"/>
          <w:kern w:val="0"/>
          <w:sz w:val="23"/>
          <w:szCs w:val="23"/>
          <w:lang w:eastAsia="en-GB"/>
          <w14:ligatures w14:val="none"/>
        </w:rPr>
        <w:t>3</w:t>
      </w:r>
    </w:p>
    <w:p w14:paraId="599E0309" w14:textId="29DB84E8"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Recommendations for Policy and Practice…………………………………...</w:t>
      </w:r>
      <w:r w:rsidR="00420B7E" w:rsidRPr="00232266">
        <w:rPr>
          <w:rFonts w:ascii="Arial" w:eastAsia="Times New Roman" w:hAnsi="Arial" w:cs="Arial"/>
          <w:color w:val="0F1115"/>
          <w:kern w:val="0"/>
          <w:sz w:val="23"/>
          <w:szCs w:val="23"/>
          <w:lang w:eastAsia="en-GB"/>
          <w14:ligatures w14:val="none"/>
        </w:rPr>
        <w:t>.</w:t>
      </w:r>
      <w:r w:rsidRPr="00232266">
        <w:rPr>
          <w:rFonts w:ascii="Arial" w:eastAsia="Times New Roman" w:hAnsi="Arial" w:cs="Arial"/>
          <w:color w:val="0F1115"/>
          <w:kern w:val="0"/>
          <w:sz w:val="23"/>
          <w:szCs w:val="23"/>
          <w:lang w:eastAsia="en-GB"/>
          <w14:ligatures w14:val="none"/>
        </w:rPr>
        <w:t>4</w:t>
      </w:r>
    </w:p>
    <w:p w14:paraId="1DE74923" w14:textId="65866EAD"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Conclusion……………………………………………………………………</w:t>
      </w:r>
      <w:r w:rsidR="00420B7E" w:rsidRPr="00232266">
        <w:rPr>
          <w:rFonts w:ascii="Arial" w:eastAsia="Times New Roman" w:hAnsi="Arial" w:cs="Arial"/>
          <w:color w:val="0F1115"/>
          <w:kern w:val="0"/>
          <w:sz w:val="23"/>
          <w:szCs w:val="23"/>
          <w:lang w:eastAsia="en-GB"/>
          <w14:ligatures w14:val="none"/>
        </w:rPr>
        <w:t>.</w:t>
      </w:r>
      <w:r w:rsidRPr="00232266">
        <w:rPr>
          <w:rFonts w:ascii="Arial" w:eastAsia="Times New Roman" w:hAnsi="Arial" w:cs="Arial"/>
          <w:color w:val="0F1115"/>
          <w:kern w:val="0"/>
          <w:sz w:val="23"/>
          <w:szCs w:val="23"/>
          <w:lang w:eastAsia="en-GB"/>
          <w14:ligatures w14:val="none"/>
        </w:rPr>
        <w:t>6</w:t>
      </w:r>
    </w:p>
    <w:p w14:paraId="4CED8786" w14:textId="242E2579"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References…………………………………………………………………</w:t>
      </w:r>
      <w:r w:rsidR="00420B7E" w:rsidRPr="00232266">
        <w:rPr>
          <w:rFonts w:ascii="Arial" w:eastAsia="Times New Roman" w:hAnsi="Arial" w:cs="Arial"/>
          <w:color w:val="0F1115"/>
          <w:kern w:val="0"/>
          <w:sz w:val="23"/>
          <w:szCs w:val="23"/>
          <w:lang w:eastAsia="en-GB"/>
          <w14:ligatures w14:val="none"/>
        </w:rPr>
        <w:t>….</w:t>
      </w:r>
      <w:r w:rsidRPr="00232266">
        <w:rPr>
          <w:rFonts w:ascii="Arial" w:eastAsia="Times New Roman" w:hAnsi="Arial" w:cs="Arial"/>
          <w:color w:val="0F1115"/>
          <w:kern w:val="0"/>
          <w:sz w:val="23"/>
          <w:szCs w:val="23"/>
          <w:lang w:eastAsia="en-GB"/>
          <w14:ligatures w14:val="none"/>
        </w:rPr>
        <w:t>6</w:t>
      </w:r>
    </w:p>
    <w:p w14:paraId="4F750847" w14:textId="57D546C4" w:rsidR="004E05E6" w:rsidRPr="00232266" w:rsidRDefault="004E05E6" w:rsidP="004E05E6">
      <w:pPr>
        <w:spacing w:before="480" w:after="480" w:line="240" w:lineRule="auto"/>
        <w:rPr>
          <w:rFonts w:ascii="Arial" w:eastAsia="Times New Roman" w:hAnsi="Arial" w:cs="Arial"/>
          <w:kern w:val="0"/>
          <w:sz w:val="23"/>
          <w:szCs w:val="23"/>
          <w:lang w:eastAsia="en-GB"/>
          <w14:ligatures w14:val="none"/>
        </w:rPr>
      </w:pPr>
    </w:p>
    <w:p w14:paraId="57CB7B83"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b/>
          <w:bCs/>
          <w:color w:val="0F1115"/>
          <w:kern w:val="0"/>
          <w:sz w:val="23"/>
          <w:szCs w:val="23"/>
          <w:lang w:eastAsia="en-GB"/>
          <w14:ligatures w14:val="none"/>
        </w:rPr>
        <w:t>Introduction</w:t>
      </w:r>
    </w:p>
    <w:p w14:paraId="5BE25655" w14:textId="64E121FC" w:rsidR="001162E7" w:rsidRPr="00232266" w:rsidRDefault="001162E7" w:rsidP="001162E7">
      <w:pPr>
        <w:pStyle w:val="ds-markdown-paragraph"/>
        <w:shd w:val="clear" w:color="auto" w:fill="FFFFFF"/>
        <w:spacing w:before="240" w:beforeAutospacing="0" w:after="240" w:afterAutospacing="0"/>
        <w:rPr>
          <w:rFonts w:ascii="Arial" w:hAnsi="Arial" w:cs="Arial"/>
          <w:color w:val="0F1115"/>
          <w:sz w:val="23"/>
          <w:szCs w:val="23"/>
        </w:rPr>
      </w:pPr>
      <w:r w:rsidRPr="00232266">
        <w:rPr>
          <w:rFonts w:ascii="Arial" w:hAnsi="Arial" w:cs="Arial"/>
          <w:color w:val="0F1115"/>
          <w:sz w:val="23"/>
          <w:szCs w:val="23"/>
        </w:rPr>
        <w:t xml:space="preserve">The concept of global care chains offers a deeply human lens through which we can understand the movement of care work across international borders. Coined originally by feminist scholars, this concept describes the series of personal relationships through which paid and unpaid care labour is transferred from one household to another, often </w:t>
      </w:r>
      <w:r w:rsidRPr="00232266">
        <w:rPr>
          <w:rFonts w:ascii="Arial" w:hAnsi="Arial" w:cs="Arial"/>
          <w:color w:val="0F1115"/>
          <w:sz w:val="23"/>
          <w:szCs w:val="23"/>
        </w:rPr>
        <w:lastRenderedPageBreak/>
        <w:t>crossing national boundaries (Hochschild, 2000). At its heart, global care chains reveal a quiet but profound truth: when a woman leaves her own family in a low-income country to care for a family in a wealthier nation, someone else, often an older female relative, must fill the gap she left behind. This chain of care can stretch across three or more households and multiple continents, creating invisible connections between the health and wellbeing of people who will never meet one another.</w:t>
      </w:r>
    </w:p>
    <w:p w14:paraId="1516ED39" w14:textId="14EA8AA2" w:rsidR="001162E7" w:rsidRDefault="001162E7" w:rsidP="001162E7">
      <w:pPr>
        <w:pStyle w:val="ds-markdown-paragraph"/>
        <w:shd w:val="clear" w:color="auto" w:fill="FFFFFF"/>
        <w:spacing w:before="240" w:beforeAutospacing="0" w:after="240" w:afterAutospacing="0"/>
        <w:rPr>
          <w:rFonts w:ascii="Arial" w:hAnsi="Arial" w:cs="Arial"/>
          <w:color w:val="0F1115"/>
          <w:sz w:val="23"/>
          <w:szCs w:val="23"/>
        </w:rPr>
      </w:pPr>
      <w:r w:rsidRPr="00232266">
        <w:rPr>
          <w:rFonts w:ascii="Arial" w:hAnsi="Arial" w:cs="Arial"/>
          <w:color w:val="0F1115"/>
          <w:sz w:val="23"/>
          <w:szCs w:val="23"/>
        </w:rPr>
        <w:t>Why is this concept important? In an era of globalisation, migration for domestic and care work has risen dramatically. The International Labour Organization (2021) estimated that more than seventy-six million people worldwide are employed as domestic workers, the majority of whom are women. Yet health and social care policies in receiving countries rarely acknowledge the emotional and social costs borne by sending countries. Without the global care chains framework, these hidden transfers of care remain invisible to policymakers. Understanding this concept therefore challenges health and social care systems to move beyond individualised, nation bound approaches and to recognise the global inequalities that shape who give care, who receives it, and who goes without (Yeates, 2009).</w:t>
      </w:r>
    </w:p>
    <w:p w14:paraId="1FD29943" w14:textId="77777777" w:rsidR="00B74DF4" w:rsidRDefault="00B74DF4" w:rsidP="001162E7">
      <w:pPr>
        <w:pStyle w:val="ds-markdown-paragraph"/>
        <w:shd w:val="clear" w:color="auto" w:fill="FFFFFF"/>
        <w:spacing w:before="240" w:beforeAutospacing="0" w:after="240" w:afterAutospacing="0"/>
        <w:rPr>
          <w:rFonts w:ascii="Arial" w:hAnsi="Arial" w:cs="Arial"/>
          <w:color w:val="0F1115"/>
          <w:sz w:val="23"/>
          <w:szCs w:val="23"/>
        </w:rPr>
      </w:pPr>
    </w:p>
    <w:p w14:paraId="72081F5E" w14:textId="20FDDD28" w:rsidR="00B74DF4" w:rsidRDefault="00336FB1" w:rsidP="001162E7">
      <w:pPr>
        <w:pStyle w:val="ds-markdown-paragraph"/>
        <w:shd w:val="clear" w:color="auto" w:fill="FFFFFF"/>
        <w:spacing w:before="240" w:beforeAutospacing="0" w:after="240" w:afterAutospacing="0"/>
        <w:rPr>
          <w:rFonts w:ascii="Arial" w:hAnsi="Arial" w:cs="Arial"/>
          <w:color w:val="0F1115"/>
          <w:sz w:val="23"/>
          <w:szCs w:val="23"/>
        </w:rPr>
      </w:pPr>
      <w:r w:rsidRPr="00336FB1">
        <w:rPr>
          <w:rFonts w:ascii="Arial" w:hAnsi="Arial" w:cs="Arial"/>
          <w:color w:val="0F1115"/>
          <w:sz w:val="23"/>
          <w:szCs w:val="23"/>
        </w:rPr>
        <w:t>his essay critically examines the global care chains concept across four interconnected sections. The first section traces the development of the concept, exploring its emergence from feminist political economy through the work of key scholars such as Hochschild (2000), Parreñas (2001), and Yeates (2004, 2012). It also addresses the major critiques levelled at the concept, including the accusation that it portrays migrant care workers as passive victims, and examines how contemporary scholars have responded to these critiques by emphasising agency and intersectionality. The second section applies the concept to health and social care policy and practice, drawing on evidence from the United Kingdom, Italy, Spain, and Canada to show both the value of the framework and the persistent problems involved in its implementation, such as the mismatch between national funding systems and transnational care realities. The third section presents evidence-based recommendations for improving policy and practice, including stronger legal protections for migrant care workers, mandatory professional training, and international cooperation through bodies such as the World Health Organization (2022). Finally, the conclusion summarises the main arguments and reflects on what global care chains teach us about the future of health and social care in an increasingly mobile world. Through this structure, the essay aims to demonstrate why global care chains deserve urgent attention from policymakers, practitioners, and researchers alike.</w:t>
      </w:r>
    </w:p>
    <w:p w14:paraId="22759810" w14:textId="77777777" w:rsidR="00B74DF4" w:rsidRDefault="00B74DF4" w:rsidP="001162E7">
      <w:pPr>
        <w:pStyle w:val="ds-markdown-paragraph"/>
        <w:shd w:val="clear" w:color="auto" w:fill="FFFFFF"/>
        <w:spacing w:before="240" w:beforeAutospacing="0" w:after="240" w:afterAutospacing="0"/>
        <w:rPr>
          <w:rFonts w:ascii="Arial" w:hAnsi="Arial" w:cs="Arial"/>
          <w:color w:val="0F1115"/>
          <w:sz w:val="23"/>
          <w:szCs w:val="23"/>
        </w:rPr>
      </w:pPr>
    </w:p>
    <w:p w14:paraId="78F54617" w14:textId="77777777" w:rsidR="00B74DF4" w:rsidRDefault="00B74DF4" w:rsidP="001162E7">
      <w:pPr>
        <w:pStyle w:val="ds-markdown-paragraph"/>
        <w:shd w:val="clear" w:color="auto" w:fill="FFFFFF"/>
        <w:spacing w:before="240" w:beforeAutospacing="0" w:after="240" w:afterAutospacing="0"/>
        <w:rPr>
          <w:rFonts w:ascii="Arial" w:hAnsi="Arial" w:cs="Arial"/>
          <w:color w:val="0F1115"/>
          <w:sz w:val="23"/>
          <w:szCs w:val="23"/>
        </w:rPr>
      </w:pPr>
    </w:p>
    <w:p w14:paraId="25C89C76" w14:textId="77777777" w:rsidR="00B74DF4" w:rsidRPr="00232266" w:rsidRDefault="00B74DF4" w:rsidP="001162E7">
      <w:pPr>
        <w:pStyle w:val="ds-markdown-paragraph"/>
        <w:shd w:val="clear" w:color="auto" w:fill="FFFFFF"/>
        <w:spacing w:before="240" w:beforeAutospacing="0" w:after="240" w:afterAutospacing="0"/>
        <w:rPr>
          <w:rFonts w:ascii="Arial" w:hAnsi="Arial" w:cs="Arial"/>
          <w:color w:val="0F1115"/>
          <w:sz w:val="23"/>
          <w:szCs w:val="23"/>
        </w:rPr>
      </w:pPr>
    </w:p>
    <w:p w14:paraId="34BEBB25" w14:textId="00F5419A"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p>
    <w:p w14:paraId="141E42FA"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b/>
          <w:bCs/>
          <w:color w:val="0F1115"/>
          <w:kern w:val="0"/>
          <w:sz w:val="23"/>
          <w:szCs w:val="23"/>
          <w:lang w:eastAsia="en-GB"/>
          <w14:ligatures w14:val="none"/>
        </w:rPr>
        <w:t>The Development of the Global Care Chains Concept</w:t>
      </w:r>
    </w:p>
    <w:p w14:paraId="67FC1DB3"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 xml:space="preserve">The emergence of global care chains as a theoretical tool is rooted in feminist political economy and postcolonial scholarship. The term is most frequently associated with the sociologist Arlie Russell Hochschild, who introduced it in her influential 2000 article titled </w:t>
      </w:r>
      <w:r w:rsidRPr="00232266">
        <w:rPr>
          <w:rFonts w:ascii="Arial" w:eastAsia="Times New Roman" w:hAnsi="Arial" w:cs="Arial"/>
          <w:color w:val="0F1115"/>
          <w:kern w:val="0"/>
          <w:sz w:val="23"/>
          <w:szCs w:val="23"/>
          <w:lang w:eastAsia="en-GB"/>
          <w14:ligatures w14:val="none"/>
        </w:rPr>
        <w:lastRenderedPageBreak/>
        <w:t>"Global Care Chains and Emotional Surplus Value". Hochschild drew attention to the way wealthy nations, particularly the United States and countries in Western Europe, have increasingly relied on migrant women from poorer nations to provide childcare, elderly care, and domestic services. She argued that this arrangement creates a chain effect wherein each link involves a woman who has outsourced her own caring responsibilities to another, often less empowered woman.</w:t>
      </w:r>
    </w:p>
    <w:p w14:paraId="4E0C54A9"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 xml:space="preserve">However, the intellectual foundations of the concept stretch further back. Scholars such as </w:t>
      </w:r>
      <w:proofErr w:type="spellStart"/>
      <w:r w:rsidRPr="00232266">
        <w:rPr>
          <w:rFonts w:ascii="Arial" w:eastAsia="Times New Roman" w:hAnsi="Arial" w:cs="Arial"/>
          <w:color w:val="0F1115"/>
          <w:kern w:val="0"/>
          <w:sz w:val="23"/>
          <w:szCs w:val="23"/>
          <w:lang w:eastAsia="en-GB"/>
          <w14:ligatures w14:val="none"/>
        </w:rPr>
        <w:t>Rhacel</w:t>
      </w:r>
      <w:proofErr w:type="spellEnd"/>
      <w:r w:rsidRPr="00232266">
        <w:rPr>
          <w:rFonts w:ascii="Arial" w:eastAsia="Times New Roman" w:hAnsi="Arial" w:cs="Arial"/>
          <w:color w:val="0F1115"/>
          <w:kern w:val="0"/>
          <w:sz w:val="23"/>
          <w:szCs w:val="23"/>
          <w:lang w:eastAsia="en-GB"/>
          <w14:ligatures w14:val="none"/>
        </w:rPr>
        <w:t xml:space="preserve"> Salazar Parreñas, through her ethnographic work on Filipino migrant domestic workers, demonstrated how state policies in the Philippines actively encouraged the export of female labour while failing to support the families left behind (Parreñas, 2001). Similarly, the feminist economist Diane Elson wrote about the "global care deficit" as early as the 1990s, noting that structural adjustment programmes imposed on developing countries by international financial institutions forced many women into overseas employment (Elson, 1991).</w:t>
      </w:r>
    </w:p>
    <w:p w14:paraId="4A18C22B" w14:textId="62C68520"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Over time, the concept has developed and become more nuanced. Early formulations tended to present a linear chain moving from poorer to richer nations. Later scholars, including Nicola Yeates (2005), argued that global care chains are not always straightforward or unidirectional. Care labour also moves between countries at similar economic levels, and in some cases, men and other genders are involved, though women remain the overwhelming majority. Yeates (2009) expanded the concept to include institutional care chains, where care workflows through nursing homes, hospitals, and private agencies rather than solely through private households.</w:t>
      </w:r>
    </w:p>
    <w:p w14:paraId="32DDBF3E"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Critiques have been levelled at the global care chains concept from several directions. One significant critique is that it risks portraying migrant care workers as passive victims without agency. Scholars like Pande (2014) have pointed out that many women actively choose migration as a strategic response to limited local opportunities, and some derive considerable pride and economic benefit from their work abroad. A second critique concerns the concept's tendency to focus almost exclusively on transnational care between the global North and South, thereby neglecting care chains within the global South, such as between Zimbabwe and South Africa or between Indonesia and Malaysia (Boris and Parreñas, 2010).</w:t>
      </w:r>
    </w:p>
    <w:p w14:paraId="7FFE7C45"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In response to these critiques, contemporary care chain scholarship has adopted a more balanced approach. Researchers now emphasise both the structural constraints that push women into migration and the creative agency they exercise within those constraints. For example, the concept of "global care capital" has been proposed to acknowledge the skills and emotional resources that migrant carers bring to their work (Duffy, 2011). Furthermore, intersectional analyses now integrate how race, class, immigration status, and gender combine to shape each link in the care chain (Williams, 2012).</w:t>
      </w:r>
    </w:p>
    <w:p w14:paraId="60F25F98"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b/>
          <w:bCs/>
          <w:color w:val="0F1115"/>
          <w:kern w:val="0"/>
          <w:sz w:val="23"/>
          <w:szCs w:val="23"/>
          <w:lang w:eastAsia="en-GB"/>
          <w14:ligatures w14:val="none"/>
        </w:rPr>
        <w:t>Application of the Concept in Health and Social Care Policy and Practice</w:t>
      </w:r>
    </w:p>
    <w:p w14:paraId="4D4A4639"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 xml:space="preserve">The application of global care chains thinking to health and social care policy has been uneven across different national contexts. In the United Kingdom, the concept has influenced policy debates but has rarely translated into concrete legal or service reforms. Research by the Equality and Human Rights Commission (2016) found that migrant domestic workers, many of whom are part of international care chains, faced significant barriers to accessing healthcare, including language difficulties, lack of knowledge about entitlements, and fear of immigration enforcement. The National Health Service </w:t>
      </w:r>
      <w:r w:rsidRPr="00232266">
        <w:rPr>
          <w:rFonts w:ascii="Arial" w:eastAsia="Times New Roman" w:hAnsi="Arial" w:cs="Arial"/>
          <w:color w:val="0F1115"/>
          <w:kern w:val="0"/>
          <w:sz w:val="23"/>
          <w:szCs w:val="23"/>
          <w:lang w:eastAsia="en-GB"/>
          <w14:ligatures w14:val="none"/>
        </w:rPr>
        <w:lastRenderedPageBreak/>
        <w:t>constitution affirms the right to care regardless of immigration status, yet in practice, hospitals have been known to request upfront payment from undocumented migrants, effectively breaking the chain of care (Cangiano, 2014).</w:t>
      </w:r>
    </w:p>
    <w:p w14:paraId="3574EA26" w14:textId="2276F37B"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 xml:space="preserve">In Italy and Spain, where private home-based elderly care is predominantly provided by migrant women from Latin America, Eastern Europe, and the Philippines, the global care chains concept has been used to expose the precarious working conditions of carers. Da </w:t>
      </w:r>
      <w:r w:rsidR="008A3322" w:rsidRPr="00232266">
        <w:rPr>
          <w:rFonts w:ascii="Arial" w:eastAsia="Times New Roman" w:hAnsi="Arial" w:cs="Arial"/>
          <w:color w:val="0F1115"/>
          <w:kern w:val="0"/>
          <w:sz w:val="23"/>
          <w:szCs w:val="23"/>
          <w:lang w:eastAsia="en-GB"/>
          <w14:ligatures w14:val="none"/>
        </w:rPr>
        <w:t>Roti</w:t>
      </w:r>
      <w:r w:rsidRPr="00232266">
        <w:rPr>
          <w:rFonts w:ascii="Arial" w:eastAsia="Times New Roman" w:hAnsi="Arial" w:cs="Arial"/>
          <w:color w:val="0F1115"/>
          <w:kern w:val="0"/>
          <w:sz w:val="23"/>
          <w:szCs w:val="23"/>
          <w:lang w:eastAsia="en-GB"/>
          <w14:ligatures w14:val="none"/>
        </w:rPr>
        <w:t xml:space="preserve"> and Weicht (2018) documented how these workers often live in their employer's homes, work around the clock without formal contracts, and are excluded from mainstream social protection systems. When they become ill or injured, they face a cruel choice between losing their income or neglecting their own health. This represents a failure of health and social care policy to recognise that the wellbeing of carers is inseparable from the wellbeing of those they care for.</w:t>
      </w:r>
    </w:p>
    <w:p w14:paraId="61478DCB"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In Canada, a more progressive application has emerged through the Live in Caregiver Program, which later became the Home Child Care Provider Pilot. This scheme offers a pathway to permanent residence for migrant carers, acknowledging their contribution to the Canadian economy and society (Brickner and Straut Eppsteiner, 2019). However, even here, critics note that the program ties workers to a single employer, making them vulnerable to exploitation. The global care chains framework has therefore been used by advocacy groups to push for open work permits, allowing carers to change employers without risking deportation.</w:t>
      </w:r>
    </w:p>
    <w:p w14:paraId="1117845C"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Within health and social care practice, the application of global care chains thinking remains largely at the level of awareness raising rather than procedural change. Social workers and care managers rarely ask about a service user's family members working abroad, and even fewer inquire about the emotional impact of separation on migrant carers themselves. A small but growing number of training programmes, such as those developed by the Social Care Institute for Excellence (2019), encourage practitioners to explore the care networks that span countries, yet this is not yet standard practice.</w:t>
      </w:r>
    </w:p>
    <w:p w14:paraId="4E3D6835" w14:textId="7A2774C0"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 xml:space="preserve">Several persistent problems are involved in applying the concept. First, health and social care systems are typically funded and regulated at the national level, while global care chains operate transnationally. This mismatch makes it difficult to hold any single government accountable for the wellbeing of people at different points in the chain (Lutz and </w:t>
      </w:r>
      <w:r w:rsidR="000936DB" w:rsidRPr="00232266">
        <w:rPr>
          <w:rFonts w:ascii="Arial" w:eastAsia="Times New Roman" w:hAnsi="Arial" w:cs="Arial"/>
          <w:color w:val="0F1115"/>
          <w:kern w:val="0"/>
          <w:sz w:val="23"/>
          <w:szCs w:val="23"/>
          <w:lang w:eastAsia="en-GB"/>
          <w14:ligatures w14:val="none"/>
        </w:rPr>
        <w:t>Palanga</w:t>
      </w:r>
      <w:r w:rsidRPr="00232266">
        <w:rPr>
          <w:rFonts w:ascii="Arial" w:eastAsia="Times New Roman" w:hAnsi="Arial" w:cs="Arial"/>
          <w:color w:val="0F1115"/>
          <w:kern w:val="0"/>
          <w:sz w:val="23"/>
          <w:szCs w:val="23"/>
          <w:lang w:eastAsia="en-GB"/>
          <w14:ligatures w14:val="none"/>
        </w:rPr>
        <w:t xml:space="preserve"> Möllenbeck, 2012). Second, there is a chronic lack of disaggregated data on migrant care workers by gender, nationality, employment status, and health outcomes. Without such data, evidence-based policy remains out of reach. Third, the concept challenges deeply held assumptions about family responsibility. In many Western welfare states, unpaid family care is still treated as the default, and paid care work is undervalued. Migrant care workers thus fill a gap that policy has been unwilling to address directly (Mahon and Robinson, 2011).</w:t>
      </w:r>
    </w:p>
    <w:p w14:paraId="24D3883B"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b/>
          <w:bCs/>
          <w:color w:val="0F1115"/>
          <w:kern w:val="0"/>
          <w:sz w:val="23"/>
          <w:szCs w:val="23"/>
          <w:lang w:eastAsia="en-GB"/>
          <w14:ligatures w14:val="none"/>
        </w:rPr>
        <w:t>Recommendations for Policy and Practice</w:t>
      </w:r>
    </w:p>
    <w:p w14:paraId="621E0424"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Based on the analysis presented, several recommendations for health and social care policy and practice emerge. First, governments in receiving countries should introduce specific protections for migrant care workers that recognise their dual role as workers and as caregivers. This includes enforceable maximum working hours, paid sick leave, and access to occupational health services regardless of immigration status. The Scottish Government's adoption of the "Fair Work" framework for social care, which extends to migrant workers, offers a promising model (Scottish Government, 2021).</w:t>
      </w:r>
    </w:p>
    <w:p w14:paraId="3491C893"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lastRenderedPageBreak/>
        <w:t>Second, health and social care practitioners should receive mandatory training on global care chains as part of their professional development. This training should cover how to conduct culturally sensitive assessments of transnational care networks, how to identify signs of exploitation among migrant carers, and how to advocate for appropriate services. Such training should be coproduced with migrant care workers themselves to ensure lived experience informs professional practice (Anderson, 2020).</w:t>
      </w:r>
    </w:p>
    <w:p w14:paraId="57C86DAB"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Third, sending countries have a role to play as well. Governments of nations such as the Philippines, India, and Indonesia, which are major sources of migrant care labour, should strengthen pre departure programmes that include health screening, mental health preparation, and information about labour rights in destination countries. The Philippines Overseas Employment Administration has made progress in this area, but coverage remains inconsistent (Parreñas, 2015).</w:t>
      </w:r>
    </w:p>
    <w:p w14:paraId="3F2410CA"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Fourth, international cooperation through bodies such as the World Health Organization and the International Labour Organization should establish minimum global standards for the ethical recruitment and treatment of migrant care workers. These standards should explicitly address the health dimensions of global care chains, including the right to continuity of care for chronic conditions and access to reproductive health services. The Global Compact for Safe, Orderly and Regular Migration, adopted by the United Nations General Assembly in 2018, provides an existing framework that could be strengthened and operationalised for health and social care specifically (United Nations, 2018).</w:t>
      </w:r>
    </w:p>
    <w:p w14:paraId="65A4DCCA" w14:textId="0BFACE18"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Finally, health and social care organisations should invest in practical support systems for migrant care workers. This could include multilingual helplines, low-cost counselling services that understand the specific pressures of transnational caregiving, and peer support networks that connect workers from similar backgrounds. Some local authorities in London have piloted such schemes with positive results, and these should be scaled up and evaluated (Wills and Lin, 2019).</w:t>
      </w:r>
    </w:p>
    <w:p w14:paraId="21E48BD6" w14:textId="77777777" w:rsidR="004E05E6" w:rsidRPr="00232266" w:rsidRDefault="004E05E6" w:rsidP="004E05E6">
      <w:pPr>
        <w:shd w:val="clear" w:color="auto" w:fill="FFFFFF"/>
        <w:spacing w:before="240" w:after="240" w:line="240" w:lineRule="auto"/>
        <w:rPr>
          <w:rFonts w:ascii="Arial" w:eastAsia="Times New Roman" w:hAnsi="Arial" w:cs="Arial"/>
          <w:b/>
          <w:bCs/>
          <w:color w:val="0F1115"/>
          <w:kern w:val="0"/>
          <w:sz w:val="23"/>
          <w:szCs w:val="23"/>
          <w:lang w:eastAsia="en-GB"/>
          <w14:ligatures w14:val="none"/>
        </w:rPr>
      </w:pPr>
    </w:p>
    <w:p w14:paraId="00B70F32" w14:textId="2FC13394"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b/>
          <w:bCs/>
          <w:color w:val="0F1115"/>
          <w:kern w:val="0"/>
          <w:sz w:val="23"/>
          <w:szCs w:val="23"/>
          <w:lang w:eastAsia="en-GB"/>
          <w14:ligatures w14:val="none"/>
        </w:rPr>
        <w:t>Conclusion</w:t>
      </w:r>
    </w:p>
    <w:p w14:paraId="09CEB487"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This essay has critically examined the concept of global care chains, tracing its emergence from feminist political economy through the work of Hochschild, Parreñas, and Yeates. It has explored how the concept has been developed over time, responding to critiques regarding agency, geographical scope, and intersectionality. The application of global care chains to health and social care policy and practice has been shown to be limited but promising, with examples from the United Kingdom, Italy, Spain, and Canada demonstrating both the value of the framework and the persistent challenges of implementing it. Finally, recommendations have been offered at the level of policy, professional training, international cooperation, and frontline practice. Global care chains remind us that care is not a local commodity but a global relationship. When we fail to see the whole chain, we fail everyone on it.</w:t>
      </w:r>
    </w:p>
    <w:p w14:paraId="1B4860BD" w14:textId="77777777" w:rsidR="004E05E6" w:rsidRPr="00232266" w:rsidRDefault="004E05E6" w:rsidP="004E05E6">
      <w:pPr>
        <w:shd w:val="clear" w:color="auto" w:fill="FFFFFF"/>
        <w:spacing w:before="240" w:after="240" w:line="240" w:lineRule="auto"/>
        <w:rPr>
          <w:rFonts w:ascii="Arial" w:eastAsia="Times New Roman" w:hAnsi="Arial" w:cs="Arial"/>
          <w:b/>
          <w:bCs/>
          <w:color w:val="0F1115"/>
          <w:kern w:val="0"/>
          <w:sz w:val="23"/>
          <w:szCs w:val="23"/>
          <w:lang w:eastAsia="en-GB"/>
          <w14:ligatures w14:val="none"/>
        </w:rPr>
      </w:pPr>
    </w:p>
    <w:p w14:paraId="59F05DD5" w14:textId="3230F589"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b/>
          <w:bCs/>
          <w:color w:val="0F1115"/>
          <w:kern w:val="0"/>
          <w:sz w:val="23"/>
          <w:szCs w:val="23"/>
          <w:lang w:eastAsia="en-GB"/>
          <w14:ligatures w14:val="none"/>
        </w:rPr>
        <w:t>References</w:t>
      </w:r>
    </w:p>
    <w:p w14:paraId="754CA1F5"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Anderson, B. (2020) 'Migrant domestic workers and the challenge of regulating care chains', </w:t>
      </w:r>
      <w:r w:rsidRPr="00232266">
        <w:rPr>
          <w:rFonts w:ascii="Arial" w:eastAsia="Times New Roman" w:hAnsi="Arial" w:cs="Arial"/>
          <w:i/>
          <w:iCs/>
          <w:color w:val="0F1115"/>
          <w:kern w:val="0"/>
          <w:sz w:val="23"/>
          <w:szCs w:val="23"/>
          <w:lang w:eastAsia="en-GB"/>
          <w14:ligatures w14:val="none"/>
        </w:rPr>
        <w:t>Journal of Ethnic and Migration Studies</w:t>
      </w:r>
      <w:r w:rsidRPr="00232266">
        <w:rPr>
          <w:rFonts w:ascii="Arial" w:eastAsia="Times New Roman" w:hAnsi="Arial" w:cs="Arial"/>
          <w:color w:val="0F1115"/>
          <w:kern w:val="0"/>
          <w:sz w:val="23"/>
          <w:szCs w:val="23"/>
          <w:lang w:eastAsia="en-GB"/>
          <w14:ligatures w14:val="none"/>
        </w:rPr>
        <w:t>, 46(16), pp. 3378 3394.</w:t>
      </w:r>
    </w:p>
    <w:p w14:paraId="17EE39FA"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lastRenderedPageBreak/>
        <w:t>Boris, E. and Parreñas, R.S. (eds.) (2010) </w:t>
      </w:r>
      <w:r w:rsidRPr="00232266">
        <w:rPr>
          <w:rFonts w:ascii="Arial" w:eastAsia="Times New Roman" w:hAnsi="Arial" w:cs="Arial"/>
          <w:i/>
          <w:iCs/>
          <w:color w:val="0F1115"/>
          <w:kern w:val="0"/>
          <w:sz w:val="23"/>
          <w:szCs w:val="23"/>
          <w:lang w:eastAsia="en-GB"/>
          <w14:ligatures w14:val="none"/>
        </w:rPr>
        <w:t xml:space="preserve">Intimate </w:t>
      </w:r>
      <w:proofErr w:type="spellStart"/>
      <w:r w:rsidRPr="00232266">
        <w:rPr>
          <w:rFonts w:ascii="Arial" w:eastAsia="Times New Roman" w:hAnsi="Arial" w:cs="Arial"/>
          <w:i/>
          <w:iCs/>
          <w:color w:val="0F1115"/>
          <w:kern w:val="0"/>
          <w:sz w:val="23"/>
          <w:szCs w:val="23"/>
          <w:lang w:eastAsia="en-GB"/>
          <w14:ligatures w14:val="none"/>
        </w:rPr>
        <w:t>labors</w:t>
      </w:r>
      <w:proofErr w:type="spellEnd"/>
      <w:r w:rsidRPr="00232266">
        <w:rPr>
          <w:rFonts w:ascii="Arial" w:eastAsia="Times New Roman" w:hAnsi="Arial" w:cs="Arial"/>
          <w:i/>
          <w:iCs/>
          <w:color w:val="0F1115"/>
          <w:kern w:val="0"/>
          <w:sz w:val="23"/>
          <w:szCs w:val="23"/>
          <w:lang w:eastAsia="en-GB"/>
          <w14:ligatures w14:val="none"/>
        </w:rPr>
        <w:t>: cultures, technologies, and the politics of care</w:t>
      </w:r>
      <w:r w:rsidRPr="00232266">
        <w:rPr>
          <w:rFonts w:ascii="Arial" w:eastAsia="Times New Roman" w:hAnsi="Arial" w:cs="Arial"/>
          <w:color w:val="0F1115"/>
          <w:kern w:val="0"/>
          <w:sz w:val="23"/>
          <w:szCs w:val="23"/>
          <w:lang w:eastAsia="en-GB"/>
          <w14:ligatures w14:val="none"/>
        </w:rPr>
        <w:t>. Stanford: Stanford University Press.</w:t>
      </w:r>
    </w:p>
    <w:p w14:paraId="2932FCF8"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Brickner, R.K. and Straut Eppsteiner, H. (2019) 'The Live in Caregiver Program and the politics of precarious migration in Canada', </w:t>
      </w:r>
      <w:r w:rsidRPr="00232266">
        <w:rPr>
          <w:rFonts w:ascii="Arial" w:eastAsia="Times New Roman" w:hAnsi="Arial" w:cs="Arial"/>
          <w:i/>
          <w:iCs/>
          <w:color w:val="0F1115"/>
          <w:kern w:val="0"/>
          <w:sz w:val="23"/>
          <w:szCs w:val="23"/>
          <w:lang w:eastAsia="en-GB"/>
          <w14:ligatures w14:val="none"/>
        </w:rPr>
        <w:t>Canadian Journal of Political Science</w:t>
      </w:r>
      <w:r w:rsidRPr="00232266">
        <w:rPr>
          <w:rFonts w:ascii="Arial" w:eastAsia="Times New Roman" w:hAnsi="Arial" w:cs="Arial"/>
          <w:color w:val="0F1115"/>
          <w:kern w:val="0"/>
          <w:sz w:val="23"/>
          <w:szCs w:val="23"/>
          <w:lang w:eastAsia="en-GB"/>
          <w14:ligatures w14:val="none"/>
        </w:rPr>
        <w:t>, 52(3), pp. 489 507.</w:t>
      </w:r>
    </w:p>
    <w:p w14:paraId="241F8512"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Cangiano, A. (2014) 'Migrant care workers and the UK care crisis', </w:t>
      </w:r>
      <w:r w:rsidRPr="00232266">
        <w:rPr>
          <w:rFonts w:ascii="Arial" w:eastAsia="Times New Roman" w:hAnsi="Arial" w:cs="Arial"/>
          <w:i/>
          <w:iCs/>
          <w:color w:val="0F1115"/>
          <w:kern w:val="0"/>
          <w:sz w:val="23"/>
          <w:szCs w:val="23"/>
          <w:lang w:eastAsia="en-GB"/>
          <w14:ligatures w14:val="none"/>
        </w:rPr>
        <w:t>Social Policy and Society</w:t>
      </w:r>
      <w:r w:rsidRPr="00232266">
        <w:rPr>
          <w:rFonts w:ascii="Arial" w:eastAsia="Times New Roman" w:hAnsi="Arial" w:cs="Arial"/>
          <w:color w:val="0F1115"/>
          <w:kern w:val="0"/>
          <w:sz w:val="23"/>
          <w:szCs w:val="23"/>
          <w:lang w:eastAsia="en-GB"/>
          <w14:ligatures w14:val="none"/>
        </w:rPr>
        <w:t>, 13(3), pp. 391 403.</w:t>
      </w:r>
    </w:p>
    <w:p w14:paraId="6840C83F"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 xml:space="preserve">Da </w:t>
      </w:r>
      <w:proofErr w:type="spellStart"/>
      <w:r w:rsidRPr="00232266">
        <w:rPr>
          <w:rFonts w:ascii="Arial" w:eastAsia="Times New Roman" w:hAnsi="Arial" w:cs="Arial"/>
          <w:color w:val="0F1115"/>
          <w:kern w:val="0"/>
          <w:sz w:val="23"/>
          <w:szCs w:val="23"/>
          <w:lang w:eastAsia="en-GB"/>
          <w14:ligatures w14:val="none"/>
        </w:rPr>
        <w:t>Roit</w:t>
      </w:r>
      <w:proofErr w:type="spellEnd"/>
      <w:r w:rsidRPr="00232266">
        <w:rPr>
          <w:rFonts w:ascii="Arial" w:eastAsia="Times New Roman" w:hAnsi="Arial" w:cs="Arial"/>
          <w:color w:val="0F1115"/>
          <w:kern w:val="0"/>
          <w:sz w:val="23"/>
          <w:szCs w:val="23"/>
          <w:lang w:eastAsia="en-GB"/>
          <w14:ligatures w14:val="none"/>
        </w:rPr>
        <w:t>, B. and Weicht, B. (2018) 'Migrant care work and the care crisis in Southern Europe', </w:t>
      </w:r>
      <w:r w:rsidRPr="00232266">
        <w:rPr>
          <w:rFonts w:ascii="Arial" w:eastAsia="Times New Roman" w:hAnsi="Arial" w:cs="Arial"/>
          <w:i/>
          <w:iCs/>
          <w:color w:val="0F1115"/>
          <w:kern w:val="0"/>
          <w:sz w:val="23"/>
          <w:szCs w:val="23"/>
          <w:lang w:eastAsia="en-GB"/>
          <w14:ligatures w14:val="none"/>
        </w:rPr>
        <w:t>Ageing and Society</w:t>
      </w:r>
      <w:r w:rsidRPr="00232266">
        <w:rPr>
          <w:rFonts w:ascii="Arial" w:eastAsia="Times New Roman" w:hAnsi="Arial" w:cs="Arial"/>
          <w:color w:val="0F1115"/>
          <w:kern w:val="0"/>
          <w:sz w:val="23"/>
          <w:szCs w:val="23"/>
          <w:lang w:eastAsia="en-GB"/>
          <w14:ligatures w14:val="none"/>
        </w:rPr>
        <w:t>, 38(9), pp. 1789 1812.</w:t>
      </w:r>
    </w:p>
    <w:p w14:paraId="184F0862"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Duffy, M. (2011) </w:t>
      </w:r>
      <w:r w:rsidRPr="00232266">
        <w:rPr>
          <w:rFonts w:ascii="Arial" w:eastAsia="Times New Roman" w:hAnsi="Arial" w:cs="Arial"/>
          <w:i/>
          <w:iCs/>
          <w:color w:val="0F1115"/>
          <w:kern w:val="0"/>
          <w:sz w:val="23"/>
          <w:szCs w:val="23"/>
          <w:lang w:eastAsia="en-GB"/>
          <w14:ligatures w14:val="none"/>
        </w:rPr>
        <w:t>Making care count: a century of gender, race, and paid care work</w:t>
      </w:r>
      <w:r w:rsidRPr="00232266">
        <w:rPr>
          <w:rFonts w:ascii="Arial" w:eastAsia="Times New Roman" w:hAnsi="Arial" w:cs="Arial"/>
          <w:color w:val="0F1115"/>
          <w:kern w:val="0"/>
          <w:sz w:val="23"/>
          <w:szCs w:val="23"/>
          <w:lang w:eastAsia="en-GB"/>
          <w14:ligatures w14:val="none"/>
        </w:rPr>
        <w:t>. New Brunswick: Rutgers University Press.</w:t>
      </w:r>
    </w:p>
    <w:p w14:paraId="2B0155DE"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Elson, D. (1991) </w:t>
      </w:r>
      <w:r w:rsidRPr="00232266">
        <w:rPr>
          <w:rFonts w:ascii="Arial" w:eastAsia="Times New Roman" w:hAnsi="Arial" w:cs="Arial"/>
          <w:i/>
          <w:iCs/>
          <w:color w:val="0F1115"/>
          <w:kern w:val="0"/>
          <w:sz w:val="23"/>
          <w:szCs w:val="23"/>
          <w:lang w:eastAsia="en-GB"/>
          <w14:ligatures w14:val="none"/>
        </w:rPr>
        <w:t>Male bias in the development process</w:t>
      </w:r>
      <w:r w:rsidRPr="00232266">
        <w:rPr>
          <w:rFonts w:ascii="Arial" w:eastAsia="Times New Roman" w:hAnsi="Arial" w:cs="Arial"/>
          <w:color w:val="0F1115"/>
          <w:kern w:val="0"/>
          <w:sz w:val="23"/>
          <w:szCs w:val="23"/>
          <w:lang w:eastAsia="en-GB"/>
          <w14:ligatures w14:val="none"/>
        </w:rPr>
        <w:t>. Manchester: Manchester University Press.</w:t>
      </w:r>
    </w:p>
    <w:p w14:paraId="6D47FD50"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Equality and Human Rights Commission (2016) </w:t>
      </w:r>
      <w:r w:rsidRPr="00232266">
        <w:rPr>
          <w:rFonts w:ascii="Arial" w:eastAsia="Times New Roman" w:hAnsi="Arial" w:cs="Arial"/>
          <w:i/>
          <w:iCs/>
          <w:color w:val="0F1115"/>
          <w:kern w:val="0"/>
          <w:sz w:val="23"/>
          <w:szCs w:val="23"/>
          <w:lang w:eastAsia="en-GB"/>
          <w14:ligatures w14:val="none"/>
        </w:rPr>
        <w:t>Migrant domestic workers in the UK: access to justice and employment rights</w:t>
      </w:r>
      <w:r w:rsidRPr="00232266">
        <w:rPr>
          <w:rFonts w:ascii="Arial" w:eastAsia="Times New Roman" w:hAnsi="Arial" w:cs="Arial"/>
          <w:color w:val="0F1115"/>
          <w:kern w:val="0"/>
          <w:sz w:val="23"/>
          <w:szCs w:val="23"/>
          <w:lang w:eastAsia="en-GB"/>
          <w14:ligatures w14:val="none"/>
        </w:rPr>
        <w:t>. London: EHRC.</w:t>
      </w:r>
    </w:p>
    <w:p w14:paraId="7DCDD3D4"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Hochschild, A.R. (2000) 'Global care chains and emotional surplus value', in Hutton, W. and Giddens, A. (eds.) </w:t>
      </w:r>
      <w:r w:rsidRPr="00232266">
        <w:rPr>
          <w:rFonts w:ascii="Arial" w:eastAsia="Times New Roman" w:hAnsi="Arial" w:cs="Arial"/>
          <w:i/>
          <w:iCs/>
          <w:color w:val="0F1115"/>
          <w:kern w:val="0"/>
          <w:sz w:val="23"/>
          <w:szCs w:val="23"/>
          <w:lang w:eastAsia="en-GB"/>
          <w14:ligatures w14:val="none"/>
        </w:rPr>
        <w:t>On the edge: living with global capitalism</w:t>
      </w:r>
      <w:r w:rsidRPr="00232266">
        <w:rPr>
          <w:rFonts w:ascii="Arial" w:eastAsia="Times New Roman" w:hAnsi="Arial" w:cs="Arial"/>
          <w:color w:val="0F1115"/>
          <w:kern w:val="0"/>
          <w:sz w:val="23"/>
          <w:szCs w:val="23"/>
          <w:lang w:eastAsia="en-GB"/>
          <w14:ligatures w14:val="none"/>
        </w:rPr>
        <w:t>. London: Jonathan Cape, pp. 130 146.</w:t>
      </w:r>
    </w:p>
    <w:p w14:paraId="5C447043"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International Labour Organization (2021) </w:t>
      </w:r>
      <w:r w:rsidRPr="00232266">
        <w:rPr>
          <w:rFonts w:ascii="Arial" w:eastAsia="Times New Roman" w:hAnsi="Arial" w:cs="Arial"/>
          <w:i/>
          <w:iCs/>
          <w:color w:val="0F1115"/>
          <w:kern w:val="0"/>
          <w:sz w:val="23"/>
          <w:szCs w:val="23"/>
          <w:lang w:eastAsia="en-GB"/>
          <w14:ligatures w14:val="none"/>
        </w:rPr>
        <w:t>Making decent work a reality for domestic workers: progress and prospects ten years after the adoption of the Domestic Workers Convention</w:t>
      </w:r>
      <w:r w:rsidRPr="00232266">
        <w:rPr>
          <w:rFonts w:ascii="Arial" w:eastAsia="Times New Roman" w:hAnsi="Arial" w:cs="Arial"/>
          <w:color w:val="0F1115"/>
          <w:kern w:val="0"/>
          <w:sz w:val="23"/>
          <w:szCs w:val="23"/>
          <w:lang w:eastAsia="en-GB"/>
          <w14:ligatures w14:val="none"/>
        </w:rPr>
        <w:t>. Geneva: ILO.</w:t>
      </w:r>
    </w:p>
    <w:p w14:paraId="4893AB1B"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 xml:space="preserve">Lutz, H. and </w:t>
      </w:r>
      <w:proofErr w:type="spellStart"/>
      <w:r w:rsidRPr="00232266">
        <w:rPr>
          <w:rFonts w:ascii="Arial" w:eastAsia="Times New Roman" w:hAnsi="Arial" w:cs="Arial"/>
          <w:color w:val="0F1115"/>
          <w:kern w:val="0"/>
          <w:sz w:val="23"/>
          <w:szCs w:val="23"/>
          <w:lang w:eastAsia="en-GB"/>
          <w14:ligatures w14:val="none"/>
        </w:rPr>
        <w:t>Palenga</w:t>
      </w:r>
      <w:proofErr w:type="spellEnd"/>
      <w:r w:rsidRPr="00232266">
        <w:rPr>
          <w:rFonts w:ascii="Arial" w:eastAsia="Times New Roman" w:hAnsi="Arial" w:cs="Arial"/>
          <w:color w:val="0F1115"/>
          <w:kern w:val="0"/>
          <w:sz w:val="23"/>
          <w:szCs w:val="23"/>
          <w:lang w:eastAsia="en-GB"/>
          <w14:ligatures w14:val="none"/>
        </w:rPr>
        <w:t xml:space="preserve"> Möllenbeck, E. (2012) 'Care chains, care deficits and transnational care', </w:t>
      </w:r>
      <w:r w:rsidRPr="00232266">
        <w:rPr>
          <w:rFonts w:ascii="Arial" w:eastAsia="Times New Roman" w:hAnsi="Arial" w:cs="Arial"/>
          <w:i/>
          <w:iCs/>
          <w:color w:val="0F1115"/>
          <w:kern w:val="0"/>
          <w:sz w:val="23"/>
          <w:szCs w:val="23"/>
          <w:lang w:eastAsia="en-GB"/>
          <w14:ligatures w14:val="none"/>
        </w:rPr>
        <w:t>European Journal of Women's Studies</w:t>
      </w:r>
      <w:r w:rsidRPr="00232266">
        <w:rPr>
          <w:rFonts w:ascii="Arial" w:eastAsia="Times New Roman" w:hAnsi="Arial" w:cs="Arial"/>
          <w:color w:val="0F1115"/>
          <w:kern w:val="0"/>
          <w:sz w:val="23"/>
          <w:szCs w:val="23"/>
          <w:lang w:eastAsia="en-GB"/>
          <w14:ligatures w14:val="none"/>
        </w:rPr>
        <w:t>, 19(1), pp. 15 29.</w:t>
      </w:r>
    </w:p>
    <w:p w14:paraId="641812CF"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Mahon, R. and Robinson, F. (eds.) (2011) </w:t>
      </w:r>
      <w:r w:rsidRPr="00232266">
        <w:rPr>
          <w:rFonts w:ascii="Arial" w:eastAsia="Times New Roman" w:hAnsi="Arial" w:cs="Arial"/>
          <w:i/>
          <w:iCs/>
          <w:color w:val="0F1115"/>
          <w:kern w:val="0"/>
          <w:sz w:val="23"/>
          <w:szCs w:val="23"/>
          <w:lang w:eastAsia="en-GB"/>
          <w14:ligatures w14:val="none"/>
        </w:rPr>
        <w:t>Feminist ethics and social policy: towards a new global political economy of care</w:t>
      </w:r>
      <w:r w:rsidRPr="00232266">
        <w:rPr>
          <w:rFonts w:ascii="Arial" w:eastAsia="Times New Roman" w:hAnsi="Arial" w:cs="Arial"/>
          <w:color w:val="0F1115"/>
          <w:kern w:val="0"/>
          <w:sz w:val="23"/>
          <w:szCs w:val="23"/>
          <w:lang w:eastAsia="en-GB"/>
          <w14:ligatures w14:val="none"/>
        </w:rPr>
        <w:t>. Vancouver: UBC Press.</w:t>
      </w:r>
    </w:p>
    <w:p w14:paraId="0A966D8A"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Pande, A. (2014) 'The role of migrant care workers in the global care chain', </w:t>
      </w:r>
      <w:r w:rsidRPr="00232266">
        <w:rPr>
          <w:rFonts w:ascii="Arial" w:eastAsia="Times New Roman" w:hAnsi="Arial" w:cs="Arial"/>
          <w:i/>
          <w:iCs/>
          <w:color w:val="0F1115"/>
          <w:kern w:val="0"/>
          <w:sz w:val="23"/>
          <w:szCs w:val="23"/>
          <w:lang w:eastAsia="en-GB"/>
          <w14:ligatures w14:val="none"/>
        </w:rPr>
        <w:t>Gender, Place and Culture</w:t>
      </w:r>
      <w:r w:rsidRPr="00232266">
        <w:rPr>
          <w:rFonts w:ascii="Arial" w:eastAsia="Times New Roman" w:hAnsi="Arial" w:cs="Arial"/>
          <w:color w:val="0F1115"/>
          <w:kern w:val="0"/>
          <w:sz w:val="23"/>
          <w:szCs w:val="23"/>
          <w:lang w:eastAsia="en-GB"/>
          <w14:ligatures w14:val="none"/>
        </w:rPr>
        <w:t>, 21(8), pp. 997 1012.</w:t>
      </w:r>
    </w:p>
    <w:p w14:paraId="47F4EE8C"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Parreñas, R.S. (2001) </w:t>
      </w:r>
      <w:r w:rsidRPr="00232266">
        <w:rPr>
          <w:rFonts w:ascii="Arial" w:eastAsia="Times New Roman" w:hAnsi="Arial" w:cs="Arial"/>
          <w:i/>
          <w:iCs/>
          <w:color w:val="0F1115"/>
          <w:kern w:val="0"/>
          <w:sz w:val="23"/>
          <w:szCs w:val="23"/>
          <w:lang w:eastAsia="en-GB"/>
          <w14:ligatures w14:val="none"/>
        </w:rPr>
        <w:t>Servants of globalization: women, migration and domestic work</w:t>
      </w:r>
      <w:r w:rsidRPr="00232266">
        <w:rPr>
          <w:rFonts w:ascii="Arial" w:eastAsia="Times New Roman" w:hAnsi="Arial" w:cs="Arial"/>
          <w:color w:val="0F1115"/>
          <w:kern w:val="0"/>
          <w:sz w:val="23"/>
          <w:szCs w:val="23"/>
          <w:lang w:eastAsia="en-GB"/>
          <w14:ligatures w14:val="none"/>
        </w:rPr>
        <w:t>. Stanford: Stanford University Press.</w:t>
      </w:r>
    </w:p>
    <w:p w14:paraId="1A70392B"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Parreñas, R.S. (2015) </w:t>
      </w:r>
      <w:r w:rsidRPr="00232266">
        <w:rPr>
          <w:rFonts w:ascii="Arial" w:eastAsia="Times New Roman" w:hAnsi="Arial" w:cs="Arial"/>
          <w:i/>
          <w:iCs/>
          <w:color w:val="0F1115"/>
          <w:kern w:val="0"/>
          <w:sz w:val="23"/>
          <w:szCs w:val="23"/>
          <w:lang w:eastAsia="en-GB"/>
          <w14:ligatures w14:val="none"/>
        </w:rPr>
        <w:t>The force of domesticity: Filipina migrants and globalization</w:t>
      </w:r>
      <w:r w:rsidRPr="00232266">
        <w:rPr>
          <w:rFonts w:ascii="Arial" w:eastAsia="Times New Roman" w:hAnsi="Arial" w:cs="Arial"/>
          <w:color w:val="0F1115"/>
          <w:kern w:val="0"/>
          <w:sz w:val="23"/>
          <w:szCs w:val="23"/>
          <w:lang w:eastAsia="en-GB"/>
          <w14:ligatures w14:val="none"/>
        </w:rPr>
        <w:t>. New York: New York University Press.</w:t>
      </w:r>
    </w:p>
    <w:p w14:paraId="5E4DE4F6"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Scottish Government (2021) </w:t>
      </w:r>
      <w:r w:rsidRPr="00232266">
        <w:rPr>
          <w:rFonts w:ascii="Arial" w:eastAsia="Times New Roman" w:hAnsi="Arial" w:cs="Arial"/>
          <w:i/>
          <w:iCs/>
          <w:color w:val="0F1115"/>
          <w:kern w:val="0"/>
          <w:sz w:val="23"/>
          <w:szCs w:val="23"/>
          <w:lang w:eastAsia="en-GB"/>
          <w14:ligatures w14:val="none"/>
        </w:rPr>
        <w:t>Fair work in social care: guidance for employers and practitioners</w:t>
      </w:r>
      <w:r w:rsidRPr="00232266">
        <w:rPr>
          <w:rFonts w:ascii="Arial" w:eastAsia="Times New Roman" w:hAnsi="Arial" w:cs="Arial"/>
          <w:color w:val="0F1115"/>
          <w:kern w:val="0"/>
          <w:sz w:val="23"/>
          <w:szCs w:val="23"/>
          <w:lang w:eastAsia="en-GB"/>
          <w14:ligatures w14:val="none"/>
        </w:rPr>
        <w:t>. Edinburgh: Scottish Government.</w:t>
      </w:r>
    </w:p>
    <w:p w14:paraId="6D559000"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Social Care Institute for Excellence (2019) </w:t>
      </w:r>
      <w:r w:rsidRPr="00232266">
        <w:rPr>
          <w:rFonts w:ascii="Arial" w:eastAsia="Times New Roman" w:hAnsi="Arial" w:cs="Arial"/>
          <w:i/>
          <w:iCs/>
          <w:color w:val="0F1115"/>
          <w:kern w:val="0"/>
          <w:sz w:val="23"/>
          <w:szCs w:val="23"/>
          <w:lang w:eastAsia="en-GB"/>
          <w14:ligatures w14:val="none"/>
        </w:rPr>
        <w:t>Migrant care workers and effective practice: learning from research</w:t>
      </w:r>
      <w:r w:rsidRPr="00232266">
        <w:rPr>
          <w:rFonts w:ascii="Arial" w:eastAsia="Times New Roman" w:hAnsi="Arial" w:cs="Arial"/>
          <w:color w:val="0F1115"/>
          <w:kern w:val="0"/>
          <w:sz w:val="23"/>
          <w:szCs w:val="23"/>
          <w:lang w:eastAsia="en-GB"/>
          <w14:ligatures w14:val="none"/>
        </w:rPr>
        <w:t>. London: SCIE.</w:t>
      </w:r>
    </w:p>
    <w:p w14:paraId="068239A7" w14:textId="77777777" w:rsidR="004E05E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United Nations (2018) </w:t>
      </w:r>
      <w:r w:rsidRPr="00232266">
        <w:rPr>
          <w:rFonts w:ascii="Arial" w:eastAsia="Times New Roman" w:hAnsi="Arial" w:cs="Arial"/>
          <w:i/>
          <w:iCs/>
          <w:color w:val="0F1115"/>
          <w:kern w:val="0"/>
          <w:sz w:val="23"/>
          <w:szCs w:val="23"/>
          <w:lang w:eastAsia="en-GB"/>
          <w14:ligatures w14:val="none"/>
        </w:rPr>
        <w:t>Global compact for safe, orderly and regular migration</w:t>
      </w:r>
      <w:r w:rsidRPr="00232266">
        <w:rPr>
          <w:rFonts w:ascii="Arial" w:eastAsia="Times New Roman" w:hAnsi="Arial" w:cs="Arial"/>
          <w:color w:val="0F1115"/>
          <w:kern w:val="0"/>
          <w:sz w:val="23"/>
          <w:szCs w:val="23"/>
          <w:lang w:eastAsia="en-GB"/>
          <w14:ligatures w14:val="none"/>
        </w:rPr>
        <w:t>. New York: United Nations General Assembly.</w:t>
      </w:r>
    </w:p>
    <w:p w14:paraId="7C91CFD7" w14:textId="77777777" w:rsidR="00B83A65" w:rsidRDefault="00B83A65" w:rsidP="0023278B">
      <w:pPr>
        <w:shd w:val="clear" w:color="auto" w:fill="FFFFFF"/>
        <w:spacing w:before="240" w:after="240" w:line="240" w:lineRule="auto"/>
        <w:rPr>
          <w:rFonts w:ascii="Arial" w:eastAsia="Times New Roman" w:hAnsi="Arial" w:cs="Arial"/>
          <w:b/>
          <w:bCs/>
          <w:color w:val="0F1115"/>
          <w:kern w:val="0"/>
          <w:sz w:val="23"/>
          <w:szCs w:val="23"/>
          <w:lang w:eastAsia="en-GB"/>
          <w14:ligatures w14:val="none"/>
        </w:rPr>
      </w:pPr>
    </w:p>
    <w:p w14:paraId="3C562A34" w14:textId="77777777" w:rsidR="00AE26FE" w:rsidRPr="00232266" w:rsidRDefault="00AE26FE"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p>
    <w:p w14:paraId="4CEA73A4"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Williams, F. (2012) 'Converging variations in migrant care work in Europe', </w:t>
      </w:r>
      <w:r w:rsidRPr="00232266">
        <w:rPr>
          <w:rFonts w:ascii="Arial" w:eastAsia="Times New Roman" w:hAnsi="Arial" w:cs="Arial"/>
          <w:i/>
          <w:iCs/>
          <w:color w:val="0F1115"/>
          <w:kern w:val="0"/>
          <w:sz w:val="23"/>
          <w:szCs w:val="23"/>
          <w:lang w:eastAsia="en-GB"/>
          <w14:ligatures w14:val="none"/>
        </w:rPr>
        <w:t>Journal of European Social Policy</w:t>
      </w:r>
      <w:r w:rsidRPr="00232266">
        <w:rPr>
          <w:rFonts w:ascii="Arial" w:eastAsia="Times New Roman" w:hAnsi="Arial" w:cs="Arial"/>
          <w:color w:val="0F1115"/>
          <w:kern w:val="0"/>
          <w:sz w:val="23"/>
          <w:szCs w:val="23"/>
          <w:lang w:eastAsia="en-GB"/>
          <w14:ligatures w14:val="none"/>
        </w:rPr>
        <w:t>, 22(4), pp. 373 388.</w:t>
      </w:r>
    </w:p>
    <w:p w14:paraId="5963285A" w14:textId="77777777" w:rsidR="004E05E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Wills, J. and Lin, B. (2019) 'Support networks for migrant care workers in London', </w:t>
      </w:r>
      <w:r w:rsidRPr="00232266">
        <w:rPr>
          <w:rFonts w:ascii="Arial" w:eastAsia="Times New Roman" w:hAnsi="Arial" w:cs="Arial"/>
          <w:i/>
          <w:iCs/>
          <w:color w:val="0F1115"/>
          <w:kern w:val="0"/>
          <w:sz w:val="23"/>
          <w:szCs w:val="23"/>
          <w:lang w:eastAsia="en-GB"/>
          <w14:ligatures w14:val="none"/>
        </w:rPr>
        <w:t>Ethnic and Racial Studies</w:t>
      </w:r>
      <w:r w:rsidRPr="00232266">
        <w:rPr>
          <w:rFonts w:ascii="Arial" w:eastAsia="Times New Roman" w:hAnsi="Arial" w:cs="Arial"/>
          <w:color w:val="0F1115"/>
          <w:kern w:val="0"/>
          <w:sz w:val="23"/>
          <w:szCs w:val="23"/>
          <w:lang w:eastAsia="en-GB"/>
          <w14:ligatures w14:val="none"/>
        </w:rPr>
        <w:t>, 42(15), pp. 2652 2670.</w:t>
      </w:r>
    </w:p>
    <w:p w14:paraId="7B7EE04F" w14:textId="77777777" w:rsidR="00897536" w:rsidRPr="0023278B" w:rsidRDefault="00897536" w:rsidP="0089753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703965">
        <w:rPr>
          <w:rFonts w:ascii="Arial" w:eastAsia="Times New Roman" w:hAnsi="Arial" w:cs="Arial"/>
          <w:color w:val="0F1115"/>
          <w:kern w:val="0"/>
          <w:sz w:val="23"/>
          <w:szCs w:val="23"/>
          <w:lang w:eastAsia="en-GB"/>
          <w14:ligatures w14:val="none"/>
        </w:rPr>
        <w:t>World Health Organization</w:t>
      </w:r>
      <w:r w:rsidRPr="0023278B">
        <w:rPr>
          <w:rFonts w:ascii="Arial" w:eastAsia="Times New Roman" w:hAnsi="Arial" w:cs="Arial"/>
          <w:color w:val="0F1115"/>
          <w:kern w:val="0"/>
          <w:sz w:val="23"/>
          <w:szCs w:val="23"/>
          <w:lang w:eastAsia="en-GB"/>
          <w14:ligatures w14:val="none"/>
        </w:rPr>
        <w:t xml:space="preserve"> (2022) </w:t>
      </w:r>
      <w:r w:rsidRPr="0023278B">
        <w:rPr>
          <w:rFonts w:ascii="Arial" w:eastAsia="Times New Roman" w:hAnsi="Arial" w:cs="Arial"/>
          <w:i/>
          <w:iCs/>
          <w:color w:val="0F1115"/>
          <w:kern w:val="0"/>
          <w:sz w:val="23"/>
          <w:szCs w:val="23"/>
          <w:lang w:eastAsia="en-GB"/>
          <w14:ligatures w14:val="none"/>
        </w:rPr>
        <w:t>Global Strategic Directions for Nursing and Midwifery 2021-2025</w:t>
      </w:r>
      <w:r w:rsidRPr="0023278B">
        <w:rPr>
          <w:rFonts w:ascii="Arial" w:eastAsia="Times New Roman" w:hAnsi="Arial" w:cs="Arial"/>
          <w:color w:val="0F1115"/>
          <w:kern w:val="0"/>
          <w:sz w:val="23"/>
          <w:szCs w:val="23"/>
          <w:lang w:eastAsia="en-GB"/>
          <w14:ligatures w14:val="none"/>
        </w:rPr>
        <w:t>. Geneva: World Health Organization.</w:t>
      </w:r>
    </w:p>
    <w:p w14:paraId="055CDD67" w14:textId="3E4DC4B0" w:rsidR="00897536" w:rsidRPr="00232266" w:rsidRDefault="00662C73"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703965">
        <w:rPr>
          <w:rFonts w:ascii="Arial" w:eastAsia="Times New Roman" w:hAnsi="Arial" w:cs="Arial"/>
          <w:color w:val="0F1115"/>
          <w:kern w:val="0"/>
          <w:sz w:val="23"/>
          <w:szCs w:val="23"/>
          <w:lang w:eastAsia="en-GB"/>
          <w14:ligatures w14:val="none"/>
        </w:rPr>
        <w:t>Yeates, N</w:t>
      </w:r>
      <w:r w:rsidRPr="0023278B">
        <w:rPr>
          <w:rFonts w:ascii="Arial" w:eastAsia="Times New Roman" w:hAnsi="Arial" w:cs="Arial"/>
          <w:b/>
          <w:bCs/>
          <w:color w:val="0F1115"/>
          <w:kern w:val="0"/>
          <w:sz w:val="23"/>
          <w:szCs w:val="23"/>
          <w:lang w:eastAsia="en-GB"/>
          <w14:ligatures w14:val="none"/>
        </w:rPr>
        <w:t>.</w:t>
      </w:r>
      <w:r w:rsidRPr="0023278B">
        <w:rPr>
          <w:rFonts w:ascii="Arial" w:eastAsia="Times New Roman" w:hAnsi="Arial" w:cs="Arial"/>
          <w:color w:val="0F1115"/>
          <w:kern w:val="0"/>
          <w:sz w:val="23"/>
          <w:szCs w:val="23"/>
          <w:lang w:eastAsia="en-GB"/>
          <w14:ligatures w14:val="none"/>
        </w:rPr>
        <w:t xml:space="preserve"> (2004) ‘Global Care Chains: Critical Reflections and Lines of Enquiry’, </w:t>
      </w:r>
      <w:r w:rsidRPr="0023278B">
        <w:rPr>
          <w:rFonts w:ascii="Arial" w:eastAsia="Times New Roman" w:hAnsi="Arial" w:cs="Arial"/>
          <w:i/>
          <w:iCs/>
          <w:color w:val="0F1115"/>
          <w:kern w:val="0"/>
          <w:sz w:val="23"/>
          <w:szCs w:val="23"/>
          <w:lang w:eastAsia="en-GB"/>
          <w14:ligatures w14:val="none"/>
        </w:rPr>
        <w:t>International Feminist Journal of Politics</w:t>
      </w:r>
      <w:r w:rsidRPr="0023278B">
        <w:rPr>
          <w:rFonts w:ascii="Arial" w:eastAsia="Times New Roman" w:hAnsi="Arial" w:cs="Arial"/>
          <w:color w:val="0F1115"/>
          <w:kern w:val="0"/>
          <w:sz w:val="23"/>
          <w:szCs w:val="23"/>
          <w:lang w:eastAsia="en-GB"/>
          <w14:ligatures w14:val="none"/>
        </w:rPr>
        <w:t>, 6(3), pp. 369–391.</w:t>
      </w:r>
    </w:p>
    <w:p w14:paraId="4C0FF35D" w14:textId="77777777" w:rsidR="004E05E6" w:rsidRPr="0023226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Yeates, N. (2005) 'Global care chains: a critical introduction', </w:t>
      </w:r>
      <w:r w:rsidRPr="00232266">
        <w:rPr>
          <w:rFonts w:ascii="Arial" w:eastAsia="Times New Roman" w:hAnsi="Arial" w:cs="Arial"/>
          <w:i/>
          <w:iCs/>
          <w:color w:val="0F1115"/>
          <w:kern w:val="0"/>
          <w:sz w:val="23"/>
          <w:szCs w:val="23"/>
          <w:lang w:eastAsia="en-GB"/>
          <w14:ligatures w14:val="none"/>
        </w:rPr>
        <w:t>Global Network</w:t>
      </w:r>
      <w:r w:rsidRPr="00232266">
        <w:rPr>
          <w:rFonts w:ascii="Arial" w:eastAsia="Times New Roman" w:hAnsi="Arial" w:cs="Arial"/>
          <w:color w:val="0F1115"/>
          <w:kern w:val="0"/>
          <w:sz w:val="23"/>
          <w:szCs w:val="23"/>
          <w:lang w:eastAsia="en-GB"/>
          <w14:ligatures w14:val="none"/>
        </w:rPr>
        <w:t>, 5(2), pp. 227 234.</w:t>
      </w:r>
    </w:p>
    <w:p w14:paraId="1AF81B7E" w14:textId="77777777" w:rsidR="004E05E6" w:rsidRDefault="004E05E6"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232266">
        <w:rPr>
          <w:rFonts w:ascii="Arial" w:eastAsia="Times New Roman" w:hAnsi="Arial" w:cs="Arial"/>
          <w:color w:val="0F1115"/>
          <w:kern w:val="0"/>
          <w:sz w:val="23"/>
          <w:szCs w:val="23"/>
          <w:lang w:eastAsia="en-GB"/>
          <w14:ligatures w14:val="none"/>
        </w:rPr>
        <w:t>Yeates, N. (2009) </w:t>
      </w:r>
      <w:r w:rsidRPr="00232266">
        <w:rPr>
          <w:rFonts w:ascii="Arial" w:eastAsia="Times New Roman" w:hAnsi="Arial" w:cs="Arial"/>
          <w:i/>
          <w:iCs/>
          <w:color w:val="0F1115"/>
          <w:kern w:val="0"/>
          <w:sz w:val="23"/>
          <w:szCs w:val="23"/>
          <w:lang w:eastAsia="en-GB"/>
          <w14:ligatures w14:val="none"/>
        </w:rPr>
        <w:t>Globalizing care economies and migrant workers: explorations in global care chains</w:t>
      </w:r>
      <w:r w:rsidRPr="00232266">
        <w:rPr>
          <w:rFonts w:ascii="Arial" w:eastAsia="Times New Roman" w:hAnsi="Arial" w:cs="Arial"/>
          <w:color w:val="0F1115"/>
          <w:kern w:val="0"/>
          <w:sz w:val="23"/>
          <w:szCs w:val="23"/>
          <w:lang w:eastAsia="en-GB"/>
          <w14:ligatures w14:val="none"/>
        </w:rPr>
        <w:t>. Basingstoke: Palgrave Macmillan.</w:t>
      </w:r>
    </w:p>
    <w:p w14:paraId="193FEC99" w14:textId="77777777" w:rsidR="002F3E03" w:rsidRPr="0023278B" w:rsidRDefault="002F3E03" w:rsidP="002F3E03">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703965">
        <w:rPr>
          <w:rFonts w:ascii="Arial" w:eastAsia="Times New Roman" w:hAnsi="Arial" w:cs="Arial"/>
          <w:color w:val="0F1115"/>
          <w:kern w:val="0"/>
          <w:sz w:val="23"/>
          <w:szCs w:val="23"/>
          <w:lang w:eastAsia="en-GB"/>
          <w14:ligatures w14:val="none"/>
        </w:rPr>
        <w:t>Yeates, N</w:t>
      </w:r>
      <w:r w:rsidRPr="0023278B">
        <w:rPr>
          <w:rFonts w:ascii="Arial" w:eastAsia="Times New Roman" w:hAnsi="Arial" w:cs="Arial"/>
          <w:b/>
          <w:bCs/>
          <w:color w:val="0F1115"/>
          <w:kern w:val="0"/>
          <w:sz w:val="23"/>
          <w:szCs w:val="23"/>
          <w:lang w:eastAsia="en-GB"/>
          <w14:ligatures w14:val="none"/>
        </w:rPr>
        <w:t>.</w:t>
      </w:r>
      <w:r w:rsidRPr="0023278B">
        <w:rPr>
          <w:rFonts w:ascii="Arial" w:eastAsia="Times New Roman" w:hAnsi="Arial" w:cs="Arial"/>
          <w:color w:val="0F1115"/>
          <w:kern w:val="0"/>
          <w:sz w:val="23"/>
          <w:szCs w:val="23"/>
          <w:lang w:eastAsia="en-GB"/>
          <w14:ligatures w14:val="none"/>
        </w:rPr>
        <w:t xml:space="preserve"> (2012) ‘Global Care Chains: A State-of-the-Art Review and Future Directions’, </w:t>
      </w:r>
      <w:r w:rsidRPr="0023278B">
        <w:rPr>
          <w:rFonts w:ascii="Arial" w:eastAsia="Times New Roman" w:hAnsi="Arial" w:cs="Arial"/>
          <w:i/>
          <w:iCs/>
          <w:color w:val="0F1115"/>
          <w:kern w:val="0"/>
          <w:sz w:val="23"/>
          <w:szCs w:val="23"/>
          <w:lang w:eastAsia="en-GB"/>
          <w14:ligatures w14:val="none"/>
        </w:rPr>
        <w:t>Journal of Comparative Policy Analysis: Research and Practice</w:t>
      </w:r>
      <w:r w:rsidRPr="0023278B">
        <w:rPr>
          <w:rFonts w:ascii="Arial" w:eastAsia="Times New Roman" w:hAnsi="Arial" w:cs="Arial"/>
          <w:color w:val="0F1115"/>
          <w:kern w:val="0"/>
          <w:sz w:val="23"/>
          <w:szCs w:val="23"/>
          <w:lang w:eastAsia="en-GB"/>
          <w14:ligatures w14:val="none"/>
        </w:rPr>
        <w:t>, 14(2), pp. 135–154.</w:t>
      </w:r>
    </w:p>
    <w:p w14:paraId="3C836ED6" w14:textId="77777777" w:rsidR="002F3E03" w:rsidRDefault="002F3E03"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p>
    <w:p w14:paraId="0DDB88AB" w14:textId="302E8064" w:rsidR="0049590B" w:rsidRPr="00232266" w:rsidRDefault="0049590B" w:rsidP="004E05E6">
      <w:pPr>
        <w:shd w:val="clear" w:color="auto" w:fill="FFFFFF"/>
        <w:spacing w:before="240" w:after="240" w:line="240" w:lineRule="auto"/>
        <w:rPr>
          <w:rFonts w:ascii="Arial" w:eastAsia="Times New Roman" w:hAnsi="Arial" w:cs="Arial"/>
          <w:color w:val="0F1115"/>
          <w:kern w:val="0"/>
          <w:sz w:val="23"/>
          <w:szCs w:val="23"/>
          <w:lang w:eastAsia="en-GB"/>
          <w14:ligatures w14:val="none"/>
        </w:rPr>
      </w:pPr>
    </w:p>
    <w:p w14:paraId="709F3CBD" w14:textId="77777777" w:rsidR="004E05E6" w:rsidRPr="00232266" w:rsidRDefault="004E05E6">
      <w:pPr>
        <w:rPr>
          <w:rFonts w:ascii="Arial" w:hAnsi="Arial" w:cs="Arial"/>
          <w:sz w:val="23"/>
          <w:szCs w:val="23"/>
        </w:rPr>
      </w:pPr>
    </w:p>
    <w:sectPr w:rsidR="004E05E6" w:rsidRPr="00232266">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AACB68" w14:textId="77777777" w:rsidR="00216C02" w:rsidRDefault="00216C02" w:rsidP="00E436CC">
      <w:pPr>
        <w:spacing w:after="0" w:line="240" w:lineRule="auto"/>
      </w:pPr>
      <w:r>
        <w:separator/>
      </w:r>
    </w:p>
  </w:endnote>
  <w:endnote w:type="continuationSeparator" w:id="0">
    <w:p w14:paraId="6E5DE21D" w14:textId="77777777" w:rsidR="00216C02" w:rsidRDefault="00216C02" w:rsidP="00E436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8DA3" w14:textId="77777777" w:rsidR="00E436CC" w:rsidRDefault="00E436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02316" w14:textId="77777777" w:rsidR="00E436CC" w:rsidRDefault="00E436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A48DF" w14:textId="77777777" w:rsidR="00E436CC" w:rsidRDefault="00E436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D32C7" w14:textId="77777777" w:rsidR="00216C02" w:rsidRDefault="00216C02" w:rsidP="00E436CC">
      <w:pPr>
        <w:spacing w:after="0" w:line="240" w:lineRule="auto"/>
      </w:pPr>
      <w:r>
        <w:separator/>
      </w:r>
    </w:p>
  </w:footnote>
  <w:footnote w:type="continuationSeparator" w:id="0">
    <w:p w14:paraId="6E3848B9" w14:textId="77777777" w:rsidR="00216C02" w:rsidRDefault="00216C02" w:rsidP="00E436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5C1F8" w14:textId="77777777" w:rsidR="00E436CC" w:rsidRDefault="00E436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A5C4E" w14:textId="77777777" w:rsidR="00E436CC" w:rsidRDefault="00E436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8B162" w14:textId="77777777" w:rsidR="00E436CC" w:rsidRDefault="00E436C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5E6"/>
    <w:rsid w:val="000936DB"/>
    <w:rsid w:val="001162E7"/>
    <w:rsid w:val="00127E13"/>
    <w:rsid w:val="00144EF5"/>
    <w:rsid w:val="00216C02"/>
    <w:rsid w:val="00232266"/>
    <w:rsid w:val="0023278B"/>
    <w:rsid w:val="002F3E03"/>
    <w:rsid w:val="00336FB1"/>
    <w:rsid w:val="00420B7E"/>
    <w:rsid w:val="0047637B"/>
    <w:rsid w:val="0049590B"/>
    <w:rsid w:val="004E05E6"/>
    <w:rsid w:val="004E0E8A"/>
    <w:rsid w:val="004F5688"/>
    <w:rsid w:val="005D0A7E"/>
    <w:rsid w:val="00635BCE"/>
    <w:rsid w:val="00662C73"/>
    <w:rsid w:val="00703965"/>
    <w:rsid w:val="007527E6"/>
    <w:rsid w:val="00897536"/>
    <w:rsid w:val="008A3322"/>
    <w:rsid w:val="00993149"/>
    <w:rsid w:val="009D047E"/>
    <w:rsid w:val="009F02E0"/>
    <w:rsid w:val="00A53E6E"/>
    <w:rsid w:val="00AE26FE"/>
    <w:rsid w:val="00B00E3C"/>
    <w:rsid w:val="00B74DF4"/>
    <w:rsid w:val="00B83A65"/>
    <w:rsid w:val="00C00FCD"/>
    <w:rsid w:val="00E436CC"/>
    <w:rsid w:val="00EA18C8"/>
    <w:rsid w:val="00EE3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C8A05"/>
  <w15:chartTrackingRefBased/>
  <w15:docId w15:val="{1A4C3537-9B90-4CFC-8EA4-D9E6A3FCD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3E03"/>
  </w:style>
  <w:style w:type="paragraph" w:styleId="Heading1">
    <w:name w:val="heading 1"/>
    <w:basedOn w:val="Normal"/>
    <w:next w:val="Normal"/>
    <w:link w:val="Heading1Char"/>
    <w:uiPriority w:val="9"/>
    <w:qFormat/>
    <w:rsid w:val="004E05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05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05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05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05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05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05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05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05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05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05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05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05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05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05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05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05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05E6"/>
    <w:rPr>
      <w:rFonts w:eastAsiaTheme="majorEastAsia" w:cstheme="majorBidi"/>
      <w:color w:val="272727" w:themeColor="text1" w:themeTint="D8"/>
    </w:rPr>
  </w:style>
  <w:style w:type="paragraph" w:styleId="Title">
    <w:name w:val="Title"/>
    <w:basedOn w:val="Normal"/>
    <w:next w:val="Normal"/>
    <w:link w:val="TitleChar"/>
    <w:uiPriority w:val="10"/>
    <w:qFormat/>
    <w:rsid w:val="004E05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05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05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05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05E6"/>
    <w:pPr>
      <w:spacing w:before="160"/>
      <w:jc w:val="center"/>
    </w:pPr>
    <w:rPr>
      <w:i/>
      <w:iCs/>
      <w:color w:val="404040" w:themeColor="text1" w:themeTint="BF"/>
    </w:rPr>
  </w:style>
  <w:style w:type="character" w:customStyle="1" w:styleId="QuoteChar">
    <w:name w:val="Quote Char"/>
    <w:basedOn w:val="DefaultParagraphFont"/>
    <w:link w:val="Quote"/>
    <w:uiPriority w:val="29"/>
    <w:rsid w:val="004E05E6"/>
    <w:rPr>
      <w:i/>
      <w:iCs/>
      <w:color w:val="404040" w:themeColor="text1" w:themeTint="BF"/>
    </w:rPr>
  </w:style>
  <w:style w:type="paragraph" w:styleId="ListParagraph">
    <w:name w:val="List Paragraph"/>
    <w:basedOn w:val="Normal"/>
    <w:uiPriority w:val="34"/>
    <w:qFormat/>
    <w:rsid w:val="004E05E6"/>
    <w:pPr>
      <w:ind w:left="720"/>
      <w:contextualSpacing/>
    </w:pPr>
  </w:style>
  <w:style w:type="character" w:styleId="IntenseEmphasis">
    <w:name w:val="Intense Emphasis"/>
    <w:basedOn w:val="DefaultParagraphFont"/>
    <w:uiPriority w:val="21"/>
    <w:qFormat/>
    <w:rsid w:val="004E05E6"/>
    <w:rPr>
      <w:i/>
      <w:iCs/>
      <w:color w:val="0F4761" w:themeColor="accent1" w:themeShade="BF"/>
    </w:rPr>
  </w:style>
  <w:style w:type="paragraph" w:styleId="IntenseQuote">
    <w:name w:val="Intense Quote"/>
    <w:basedOn w:val="Normal"/>
    <w:next w:val="Normal"/>
    <w:link w:val="IntenseQuoteChar"/>
    <w:uiPriority w:val="30"/>
    <w:qFormat/>
    <w:rsid w:val="004E05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05E6"/>
    <w:rPr>
      <w:i/>
      <w:iCs/>
      <w:color w:val="0F4761" w:themeColor="accent1" w:themeShade="BF"/>
    </w:rPr>
  </w:style>
  <w:style w:type="character" w:styleId="IntenseReference">
    <w:name w:val="Intense Reference"/>
    <w:basedOn w:val="DefaultParagraphFont"/>
    <w:uiPriority w:val="32"/>
    <w:qFormat/>
    <w:rsid w:val="004E05E6"/>
    <w:rPr>
      <w:b/>
      <w:bCs/>
      <w:smallCaps/>
      <w:color w:val="0F4761" w:themeColor="accent1" w:themeShade="BF"/>
      <w:spacing w:val="5"/>
    </w:rPr>
  </w:style>
  <w:style w:type="paragraph" w:customStyle="1" w:styleId="ds-markdown-paragraph">
    <w:name w:val="ds-markdown-paragraph"/>
    <w:basedOn w:val="Normal"/>
    <w:rsid w:val="001162E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E436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6CC"/>
  </w:style>
  <w:style w:type="paragraph" w:styleId="Footer">
    <w:name w:val="footer"/>
    <w:basedOn w:val="Normal"/>
    <w:link w:val="FooterChar"/>
    <w:uiPriority w:val="99"/>
    <w:unhideWhenUsed/>
    <w:rsid w:val="00E436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6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90</TotalTime>
  <Pages>7</Pages>
  <Words>2716</Words>
  <Characters>15485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Nana Yaw Attuah Ansah Philip</dc:creator>
  <cp:keywords/>
  <dc:description/>
  <cp:lastModifiedBy>Florence Chijioke Oguledo (2411483)</cp:lastModifiedBy>
  <cp:revision>27</cp:revision>
  <dcterms:created xsi:type="dcterms:W3CDTF">2026-04-26T13:04:00Z</dcterms:created>
  <dcterms:modified xsi:type="dcterms:W3CDTF">2026-04-26T14:35:00Z</dcterms:modified>
</cp:coreProperties>
</file>