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125DE1" w:rsidRDefault="00125DE1">
      <w:pPr>
        <w:rPr>
          <w:b/>
          <w:u w:val="single"/>
        </w:rPr>
      </w:pPr>
      <w:r w:rsidRPr="00125DE1">
        <w:rPr>
          <w:b/>
          <w:u w:val="single"/>
        </w:rPr>
        <w:t>Identify instances of descriptio in AT LEAST THREE of Marie’s lais. Demonstrate ways in which they are meaningful and memorable and how they relate to the structure of the events of the narrative in each case.</w:t>
      </w:r>
    </w:p>
    <w:p w:rsidR="00125DE1" w:rsidRDefault="00125DE1">
      <w:r>
        <w:t xml:space="preserve">The three lais which will be the main focus of this essay will be Guigemar, Le Fresne and </w:t>
      </w:r>
      <w:r w:rsidRPr="00125DE1">
        <w:t>Laüstic</w:t>
      </w:r>
      <w:r>
        <w:t xml:space="preserve"> as they each have at least</w:t>
      </w:r>
      <w:r w:rsidR="000206B1">
        <w:t xml:space="preserve"> one distinct use of descriptio</w:t>
      </w:r>
      <w:r>
        <w:t xml:space="preserve"> within them. Though Guigemar will be the lais discussed more extensively due to the length of the lais and having the most uses of descriptio which </w:t>
      </w:r>
      <w:r w:rsidR="00E41CA0">
        <w:t>adds structure to the lais. Marie de France was a French poet who resided within England and was possibly writing between 1150 to 1180</w:t>
      </w:r>
      <w:r w:rsidR="001451E0">
        <w:t>, these tales come from the lais which she has heard</w:t>
      </w:r>
      <w:r w:rsidR="00816A1D">
        <w:t xml:space="preserve"> and intends to make them well known so they are not </w:t>
      </w:r>
      <w:r w:rsidR="00805DFE">
        <w:t>‘</w:t>
      </w:r>
      <w:r w:rsidR="00816A1D">
        <w:t>abandoned, lost, forgot.</w:t>
      </w:r>
      <w:r w:rsidR="00805DFE">
        <w:t>’</w:t>
      </w:r>
      <w:r w:rsidR="00A16EF1" w:rsidRPr="00A16EF1">
        <w:rPr>
          <w:vertAlign w:val="superscript"/>
        </w:rPr>
        <w:t>[</w:t>
      </w:r>
      <w:r w:rsidR="00805DFE" w:rsidRPr="00A16EF1">
        <w:rPr>
          <w:rStyle w:val="FootnoteReference"/>
        </w:rPr>
        <w:footnoteReference w:id="1"/>
      </w:r>
      <w:r w:rsidR="00A16EF1" w:rsidRPr="00A16EF1">
        <w:rPr>
          <w:vertAlign w:val="superscript"/>
        </w:rPr>
        <w:t>][</w:t>
      </w:r>
      <w:r w:rsidR="00805DFE" w:rsidRPr="00A16EF1">
        <w:rPr>
          <w:rStyle w:val="FootnoteReference"/>
        </w:rPr>
        <w:footnoteReference w:id="2"/>
      </w:r>
      <w:r w:rsidR="00A16EF1" w:rsidRPr="00A16EF1">
        <w:rPr>
          <w:vertAlign w:val="superscript"/>
        </w:rPr>
        <w:t>]</w:t>
      </w:r>
      <w:r w:rsidR="00D0178A">
        <w:t xml:space="preserve"> Descriptio is a </w:t>
      </w:r>
      <w:r w:rsidR="00DF4099">
        <w:t>rhetorical device which describes an object vividly in an attempt to allow the reader to be able to imagine it in immense detail.</w:t>
      </w:r>
      <w:r w:rsidR="00DF4099">
        <w:rPr>
          <w:rStyle w:val="FootnoteReference"/>
        </w:rPr>
        <w:footnoteReference w:id="3"/>
      </w:r>
    </w:p>
    <w:p w:rsidR="00D0178A" w:rsidRDefault="00DF48BA">
      <w:r>
        <w:t>An instance of descriptio</w:t>
      </w:r>
      <w:r w:rsidR="00302639">
        <w:t xml:space="preserve"> within Guigemar is the ship which the hero of the tale comes across whilst injure</w:t>
      </w:r>
      <w:r w:rsidR="00A16EF1">
        <w:t>d.</w:t>
      </w:r>
      <w:r w:rsidR="00A16EF1">
        <w:rPr>
          <w:rStyle w:val="FootnoteReference"/>
        </w:rPr>
        <w:footnoteReference w:id="4"/>
      </w:r>
      <w:r w:rsidR="00476130">
        <w:t xml:space="preserve"> The ship i</w:t>
      </w:r>
      <w:r w:rsidR="00286120">
        <w:t>s described as being ‘beautiful’</w:t>
      </w:r>
      <w:r w:rsidR="00476130">
        <w:rPr>
          <w:rStyle w:val="FootnoteReference"/>
        </w:rPr>
        <w:footnoteReference w:id="5"/>
      </w:r>
      <w:r w:rsidR="00286120">
        <w:t xml:space="preserve"> with ‘silken’</w:t>
      </w:r>
      <w:r w:rsidR="00286120">
        <w:rPr>
          <w:rStyle w:val="FootnoteReference"/>
        </w:rPr>
        <w:footnoteReference w:id="6"/>
      </w:r>
      <w:r w:rsidR="00286120">
        <w:t xml:space="preserve"> sails and ‘no joint was visible’</w:t>
      </w:r>
      <w:r w:rsidR="00286120">
        <w:rPr>
          <w:rStyle w:val="FootnoteReference"/>
        </w:rPr>
        <w:footnoteReference w:id="7"/>
      </w:r>
      <w:r w:rsidR="00286120">
        <w:t>. The descriptio within this passage gives the magnificent ship a mystical aura, as the ship is sat where no ship should be able to dock. The descriptio highlights the importance of the ship within the tale as it is used to transport Guigemar from the hunting episode of the lais to the meeting of the Lady. The ship allows for the progression of the story and helps it to seamlessly move along. Another item which is heavily described in this seen is the bed upon which he lays in one the ship, which is described as ‘cut, carved and engraved’</w:t>
      </w:r>
      <w:r w:rsidR="00286120">
        <w:rPr>
          <w:rStyle w:val="FootnoteReference"/>
        </w:rPr>
        <w:footnoteReference w:id="8"/>
      </w:r>
      <w:r w:rsidR="005E4D41">
        <w:t xml:space="preserve"> This bed also seems to share the mystical q</w:t>
      </w:r>
      <w:r w:rsidR="00F74A40">
        <w:t>ualities of the ship as ‘he could not resist’</w:t>
      </w:r>
      <w:r w:rsidR="00F74A40">
        <w:rPr>
          <w:rStyle w:val="FootnoteReference"/>
        </w:rPr>
        <w:footnoteReference w:id="9"/>
      </w:r>
      <w:r w:rsidR="00F74A40">
        <w:t xml:space="preserve"> the bed and once he had lain upon it the ship left the dock. This passage is memorable as the story transitions from the hunting in a forest to a ship of splendour on the high sea, the amount </w:t>
      </w:r>
      <w:r w:rsidR="00AB035C">
        <w:t xml:space="preserve">of time dedicated to the ship and its interior </w:t>
      </w:r>
      <w:r w:rsidR="008E68D4">
        <w:t xml:space="preserve">also add to the memorability of the ship and the story. </w:t>
      </w:r>
    </w:p>
    <w:p w:rsidR="00DF48BA" w:rsidRDefault="00DF48BA">
      <w:r>
        <w:t xml:space="preserve">Another example of descriptio within Guigemar is the mural which is on the wall of the Lady’s chambers. The mural contains </w:t>
      </w:r>
      <w:r w:rsidR="00A10D7F">
        <w:t>Venus, the Goddess of Love, throwing the Remedia Amoris into a fire, as the book ‘tells how lovers must restrain themselves.’</w:t>
      </w:r>
      <w:r w:rsidR="00A10D7F">
        <w:rPr>
          <w:rStyle w:val="FootnoteReference"/>
        </w:rPr>
        <w:footnoteReference w:id="10"/>
      </w:r>
      <w:r w:rsidR="00A10D7F">
        <w:t xml:space="preserve"> The mural in this passage may represent the fate which the Lady will have, Venus being shown ‘with all her traits’</w:t>
      </w:r>
      <w:r w:rsidR="00A10D7F">
        <w:rPr>
          <w:rStyle w:val="FootnoteReference"/>
        </w:rPr>
        <w:footnoteReference w:id="11"/>
      </w:r>
      <w:r w:rsidR="00A10D7F">
        <w:t xml:space="preserve"> may represent the love which the Lady is about to find when she meets Guigemar, whilst the throwing of the book representing restrained love may show that she is destined to find a love which is freeing and not as oppressive as the life she currently has with her husband as a ‘prisoner’</w:t>
      </w:r>
      <w:r w:rsidR="00A10D7F">
        <w:rPr>
          <w:rStyle w:val="FootnoteReference"/>
        </w:rPr>
        <w:footnoteReference w:id="12"/>
      </w:r>
      <w:r w:rsidR="00A10D7F">
        <w:t xml:space="preserve">.  The passage is </w:t>
      </w:r>
      <w:r w:rsidR="00A10D7F">
        <w:lastRenderedPageBreak/>
        <w:t xml:space="preserve">memorable as it is the first time we meet the love interest of Guigemar and the scene helps portray her captivity whilst also giving the visage of a beautiful woman in the Goddess upon the wall. </w:t>
      </w:r>
    </w:p>
    <w:p w:rsidR="008E68D4" w:rsidRDefault="00E65DBA">
      <w:r>
        <w:t xml:space="preserve">Another instance of descriptio within Guigemar </w:t>
      </w:r>
      <w:r w:rsidR="00BB48E6">
        <w:t xml:space="preserve">is the explanation of the knotting of the shirt and the making of the chastity belt. The Lady ties a knot within the tail of the shirt which Guigemar wears in a display of her devotion and love for him, whilst the making of the </w:t>
      </w:r>
      <w:r w:rsidR="007B338B">
        <w:t>chastity belt represents the same the other way. The descriptio here is meaningful as it represents a love filled of loyalty and based of</w:t>
      </w:r>
      <w:r w:rsidR="00B24FA8">
        <w:t>f</w:t>
      </w:r>
      <w:r w:rsidR="007B338B">
        <w:t xml:space="preserve"> actual love</w:t>
      </w:r>
      <w:r w:rsidR="00B24FA8">
        <w:t xml:space="preserve"> rather than a marriage of convenience and status</w:t>
      </w:r>
      <w:r w:rsidR="007B338B">
        <w:t xml:space="preserve">. Though the love in this story slightly contradicts a love of loyalty as the </w:t>
      </w:r>
      <w:r w:rsidR="00B24FA8">
        <w:t>Lady is married to her jealous husband.</w:t>
      </w:r>
      <w:r w:rsidR="00E53685">
        <w:t xml:space="preserve"> The descriptio in the scenario also </w:t>
      </w:r>
      <w:r w:rsidR="003C7E86">
        <w:t>depicts the mystical nature of the knot as ‘no woman could untie this knot unless she used a knife’</w:t>
      </w:r>
      <w:r w:rsidR="003C7E86">
        <w:rPr>
          <w:rStyle w:val="FootnoteReference"/>
        </w:rPr>
        <w:footnoteReference w:id="13"/>
      </w:r>
      <w:r w:rsidR="003C7E86">
        <w:t xml:space="preserve"> As it is unlikely that a young noble would have the ability to tie a knot that no other woman could undo. This is similar with the chastity belt ‘he who undid the buckle…. Him she must love’</w:t>
      </w:r>
      <w:r w:rsidR="003C7E86">
        <w:rPr>
          <w:rStyle w:val="FootnoteReference"/>
        </w:rPr>
        <w:footnoteReference w:id="14"/>
      </w:r>
      <w:r w:rsidR="003C7E86">
        <w:t xml:space="preserve"> This implies some magical nature towards these items, or that there is some form of divine being who is controlling the love in the passage. </w:t>
      </w:r>
    </w:p>
    <w:p w:rsidR="003C7E86" w:rsidRDefault="003C7E86">
      <w:r>
        <w:t xml:space="preserve">Overall, In Guigemar descriptio is meaningful as it highlights a divine or mystical nature to the things which are being focused upon, the ship, the fate depicted in the mural and the knots which were tied. </w:t>
      </w:r>
      <w:r w:rsidR="00154D22">
        <w:t xml:space="preserve">They also occur intervals of the story between important transitions, the scene of the ship and the mural moves the story from the hunting trip into the meeting with the Lady. The next transition is when the knots are tied and this is when Guigemar and the Lady must separate and he must leave to go across the ocean. </w:t>
      </w:r>
    </w:p>
    <w:p w:rsidR="003251AF" w:rsidRDefault="003251AF">
      <w:r>
        <w:t xml:space="preserve">The second lais which contain descriptio is Le Fresne </w:t>
      </w:r>
      <w:r w:rsidR="002E5B65">
        <w:t>where a great amount of detail is put into the brocade and gold ring which are used to show the identity of Le Fresne. The brocade is described as a ‘striped br</w:t>
      </w:r>
      <w:r w:rsidR="0000217F">
        <w:t>ocade… from Constantinople’</w:t>
      </w:r>
      <w:r w:rsidR="0000217F">
        <w:rPr>
          <w:rStyle w:val="FootnoteReference"/>
        </w:rPr>
        <w:footnoteReference w:id="15"/>
      </w:r>
      <w:r w:rsidR="0000217F">
        <w:t xml:space="preserve"> The way in which this description is important in the way of the lais is the way in which it is the only thing which reveals the young woman’s identity and that she is in fact of noble birth. The descriptio used here may foreshadow the importance of these items when the fin</w:t>
      </w:r>
      <w:r w:rsidR="0082331E">
        <w:t xml:space="preserve">ale of the lais comes about. This also helps with making the items memorable within the play as they are wrapped up with the child when she is abandoned. This helps with the structure of the lais as they are items which appear at the beginning and end of the story, making the character recognisable even though her true identity was unknown to her and her lover. </w:t>
      </w:r>
    </w:p>
    <w:p w:rsidR="0082331E" w:rsidRDefault="0082331E">
      <w:r>
        <w:t xml:space="preserve">The third lais which contains descriptio is </w:t>
      </w:r>
      <w:r w:rsidRPr="0082331E">
        <w:t>Laüstic</w:t>
      </w:r>
      <w:r w:rsidR="00D15A65">
        <w:t xml:space="preserve"> where it is present in the </w:t>
      </w:r>
      <w:r w:rsidR="00065EED">
        <w:t xml:space="preserve">description of the nightingale, the nightingale being the main issue between her and her husband it a creature of great importance to the lais. The bird is so important as the formerly fictional bird of the wife’s lies becomes a reality, with a real nightingale appearing and being caught. This </w:t>
      </w:r>
      <w:r w:rsidR="00A11E79">
        <w:t>‘enchanting’</w:t>
      </w:r>
      <w:r w:rsidR="00A11E79">
        <w:rPr>
          <w:rStyle w:val="FootnoteReference"/>
        </w:rPr>
        <w:footnoteReference w:id="16"/>
      </w:r>
      <w:r w:rsidR="00065EED">
        <w:t>nightingale may represent the love between her and her husband as when the husband catches the bird he snaps its neck and throws at it her, the death of the bird may be a representation of the death of the love between them. Though the original excuse of the nightingale was to give the woman an excuse to talk with her lover, this could mean the appearance of the nightingale was the bringing about of new love, a love which had freedom and the ability to fly and flourish, and the death of the nightingale was a depiction of the old love, dead, broken and due to the actions of the husband permanently that way. This descrip</w:t>
      </w:r>
      <w:r w:rsidR="00AE6CF4">
        <w:t xml:space="preserve">tio is important to the memorability of the lais as it is the </w:t>
      </w:r>
      <w:r w:rsidR="00AE6CF4">
        <w:lastRenderedPageBreak/>
        <w:t xml:space="preserve">distinctive </w:t>
      </w:r>
      <w:r w:rsidR="00A11E79">
        <w:t xml:space="preserve">feature of the play, to think of </w:t>
      </w:r>
      <w:r w:rsidR="00A11E79" w:rsidRPr="00A11E79">
        <w:t>Laüstic</w:t>
      </w:r>
      <w:r w:rsidR="00A11E79">
        <w:t xml:space="preserve"> is to think of the nightingale, and once there is memory of the nightingale the entire plot falls into place.</w:t>
      </w:r>
    </w:p>
    <w:p w:rsidR="00065EED" w:rsidRDefault="00A11E79">
      <w:r>
        <w:t>Descriptio is important in these three lais as the vivid description adds a form of mythical and mystical property to the item which is being described such as the ship which carries Guigemar away or the fictional nightingale which appears to the woman and her husband. It also highlights the importance of certain items, such as the knots in clothing or the ring and brocade, these items relating to that of identity, with Le Fresne not being recognised without these items and the Lady being able to recognise Guigemar and for him to recognise her again at the end of the Lais due to the knot which is in the tail of his shirt, ‘Sweetheart! Amie! Oh Sweet creature, tell me the truth! Is it you, really?’</w:t>
      </w:r>
      <w:r>
        <w:rPr>
          <w:rStyle w:val="FootnoteReference"/>
        </w:rPr>
        <w:footnoteReference w:id="17"/>
      </w:r>
      <w:r>
        <w:t xml:space="preserve"> Even though they are face to face it isn’t until the untying of the knot which had been vividly described that any recognition appears. </w:t>
      </w:r>
      <w:r w:rsidR="00F8514D">
        <w:t xml:space="preserve">The descriptio is also important in the progression and wrapping up of the story and is important in all cases of the devolvement of it. Whether it be a way in which to connect the story such as in Guigemar which may have been Marie’s way of connecting separate Breton lays in a way which was not an abrupt change of scenery or a scenario which seemed displaced, the descriptio adds an element of the unnatural in an attempt to join the lais. Whilst the nightingale and broach both wrap up the lais in both ends and it brings about the beginning and end of the lais. These also add to the memorability of the play as there are single items which could cause a person to remember elements of the play, the white hide, the nightingale and broach. </w:t>
      </w:r>
      <w:r w:rsidR="002D31F2">
        <w:t xml:space="preserve">The broach and ring may have been a particularly easy to remember trigger for the nobility at the court in which the lais were read as they likely had a signet ring with the crest of ones House on it, it would be recognisable to the nobility present. </w:t>
      </w:r>
    </w:p>
    <w:p w:rsidR="00CB1E80" w:rsidRDefault="00CB1E80">
      <w:r>
        <w:t xml:space="preserve">In conclusion, descriptio is used as a vivid embellishment </w:t>
      </w:r>
      <w:r w:rsidR="00E45B88">
        <w:t xml:space="preserve">which whilst adding a visual element to the short tale and may take up an </w:t>
      </w:r>
      <w:r w:rsidR="00E45B88" w:rsidRPr="00E45B88">
        <w:t>unproportionate</w:t>
      </w:r>
      <w:r w:rsidR="00B04EF0">
        <w:t xml:space="preserve"> amount of the lais in regards to other elements of the lais which may seem of more value to the tale, they have an underlying meaning which is of extreme value to the lais. Marie </w:t>
      </w:r>
      <w:r w:rsidR="000206B1">
        <w:t>strategically</w:t>
      </w:r>
      <w:r w:rsidR="00B04EF0">
        <w:t xml:space="preserve"> places these elements of descriptio in order to captivate the audience and to make the tales which she told memorable which is likely why she was so fondly spoke of within the courts which her lais were spoken in. The use of descriptio makes Marie’s works recognisable, however this is not in all cases, such as in a lais like Equitan which is lacking the amount of vivid imagery as is present in the three lais mentioned in the above essay. </w:t>
      </w:r>
      <w:r w:rsidR="000206B1">
        <w:t xml:space="preserve">The descriptio used is not just a flourishment added purely for the beautiful imagery but to add structure, meaning and memorability to the lais which were being told and they do it exceptionally well. </w:t>
      </w:r>
    </w:p>
    <w:p w:rsidR="000206B1" w:rsidRDefault="000206B1"/>
    <w:p w:rsidR="000206B1" w:rsidRDefault="000206B1"/>
    <w:p w:rsidR="000206B1" w:rsidRDefault="000206B1"/>
    <w:p w:rsidR="000206B1" w:rsidRDefault="000206B1"/>
    <w:p w:rsidR="000206B1" w:rsidRDefault="000206B1"/>
    <w:p w:rsidR="000206B1" w:rsidRDefault="000206B1"/>
    <w:p w:rsidR="000206B1" w:rsidRDefault="000206B1"/>
    <w:p w:rsidR="000206B1" w:rsidRDefault="000206B1"/>
    <w:p w:rsidR="000206B1" w:rsidRDefault="000206B1">
      <w:pPr>
        <w:rPr>
          <w:sz w:val="44"/>
          <w:u w:val="single"/>
        </w:rPr>
      </w:pPr>
      <w:r w:rsidRPr="000206B1">
        <w:rPr>
          <w:sz w:val="44"/>
          <w:u w:val="single"/>
        </w:rPr>
        <w:lastRenderedPageBreak/>
        <w:t>Bibliography</w:t>
      </w:r>
    </w:p>
    <w:p w:rsidR="000206B1" w:rsidRDefault="000206B1">
      <w:r>
        <w:t xml:space="preserve">D. Gilbert, </w:t>
      </w:r>
      <w:r w:rsidRPr="000206B1">
        <w:t>Marie de France: Poetry, new translations, backgrounds and contexts, criticism (New York, W. W. Norton &amp; Company)</w:t>
      </w:r>
    </w:p>
    <w:p w:rsidR="000206B1" w:rsidRDefault="000206B1">
      <w:r w:rsidRPr="000206B1">
        <w:t xml:space="preserve">T. Hunt, ‘Marie [Marie de France] (fl. c. 1180–c. 1189), poet.’ in Oxford Dictionary of National </w:t>
      </w:r>
      <w:proofErr w:type="spellStart"/>
      <w:r w:rsidRPr="000206B1">
        <w:t>Bioography</w:t>
      </w:r>
      <w:proofErr w:type="spellEnd"/>
      <w:r w:rsidRPr="000206B1">
        <w:t>, 2004, &lt;http://www.oxforddnb.com/view/10.1093/ref:odnb/9780198614128.001.0001/odnb-9780198614128-e-52460&gt; [07/08/2018].</w:t>
      </w:r>
    </w:p>
    <w:p w:rsidR="000206B1" w:rsidRPr="000206B1" w:rsidRDefault="000206B1"/>
    <w:sectPr w:rsidR="000206B1" w:rsidRPr="000206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B40" w:rsidRDefault="009D1B40" w:rsidP="00805DFE">
      <w:pPr>
        <w:spacing w:after="0" w:line="240" w:lineRule="auto"/>
      </w:pPr>
      <w:r>
        <w:separator/>
      </w:r>
    </w:p>
  </w:endnote>
  <w:endnote w:type="continuationSeparator" w:id="0">
    <w:p w:rsidR="009D1B40" w:rsidRDefault="009D1B40" w:rsidP="00805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B40" w:rsidRDefault="009D1B40" w:rsidP="00805DFE">
      <w:pPr>
        <w:spacing w:after="0" w:line="240" w:lineRule="auto"/>
      </w:pPr>
      <w:r>
        <w:separator/>
      </w:r>
    </w:p>
  </w:footnote>
  <w:footnote w:type="continuationSeparator" w:id="0">
    <w:p w:rsidR="009D1B40" w:rsidRDefault="009D1B40" w:rsidP="00805DFE">
      <w:pPr>
        <w:spacing w:after="0" w:line="240" w:lineRule="auto"/>
      </w:pPr>
      <w:r>
        <w:continuationSeparator/>
      </w:r>
    </w:p>
  </w:footnote>
  <w:footnote w:id="1">
    <w:p w:rsidR="00805DFE" w:rsidRPr="00805DFE" w:rsidRDefault="00805DFE">
      <w:pPr>
        <w:pStyle w:val="FootnoteText"/>
      </w:pPr>
      <w:r>
        <w:rPr>
          <w:rStyle w:val="FootnoteReference"/>
        </w:rPr>
        <w:footnoteRef/>
      </w:r>
      <w:r w:rsidR="003A39B7">
        <w:t xml:space="preserve"> T. Hunt,</w:t>
      </w:r>
      <w:r>
        <w:t xml:space="preserve"> </w:t>
      </w:r>
      <w:r w:rsidR="00DF4099">
        <w:t>‘</w:t>
      </w:r>
      <w:r w:rsidRPr="00805DFE">
        <w:rPr>
          <w:i/>
        </w:rPr>
        <w:t>Marie [Marie de France] (fl. c. 1180–c. 1189), poet.</w:t>
      </w:r>
      <w:r w:rsidR="00DF4099">
        <w:rPr>
          <w:i/>
        </w:rPr>
        <w:t xml:space="preserve">’ </w:t>
      </w:r>
      <w:r w:rsidR="00DF4099">
        <w:t xml:space="preserve">in </w:t>
      </w:r>
      <w:r w:rsidR="00DF4099" w:rsidRPr="00DF4099">
        <w:rPr>
          <w:i/>
        </w:rPr>
        <w:t xml:space="preserve">Oxford Dictionary of National </w:t>
      </w:r>
      <w:proofErr w:type="spellStart"/>
      <w:r w:rsidR="00DF4099" w:rsidRPr="00DF4099">
        <w:rPr>
          <w:i/>
        </w:rPr>
        <w:t>Bioography</w:t>
      </w:r>
      <w:proofErr w:type="spellEnd"/>
      <w:r w:rsidR="00302639">
        <w:rPr>
          <w:i/>
        </w:rPr>
        <w:t xml:space="preserve">, </w:t>
      </w:r>
      <w:r>
        <w:t>2004</w:t>
      </w:r>
      <w:r w:rsidR="00302639">
        <w:t>,</w:t>
      </w:r>
      <w:r>
        <w:t xml:space="preserve"> </w:t>
      </w:r>
      <w:r w:rsidRPr="00805DFE">
        <w:t>&lt;http://www.oxforddnb.com/view/10.1093/ref:odnb/9780198614128.001.0001/odnb-9780198614128-e-52460&gt;</w:t>
      </w:r>
      <w:r>
        <w:t xml:space="preserve"> [07/08/2018].</w:t>
      </w:r>
    </w:p>
  </w:footnote>
  <w:footnote w:id="2">
    <w:p w:rsidR="00805DFE" w:rsidRPr="00D0178A" w:rsidRDefault="00805DFE" w:rsidP="00D0178A">
      <w:pPr>
        <w:pStyle w:val="FootnoteText"/>
      </w:pPr>
      <w:r>
        <w:rPr>
          <w:rStyle w:val="FootnoteReference"/>
        </w:rPr>
        <w:footnoteRef/>
      </w:r>
      <w:r>
        <w:t xml:space="preserve"> </w:t>
      </w:r>
      <w:r w:rsidR="003A39B7">
        <w:t xml:space="preserve">D. </w:t>
      </w:r>
      <w:r w:rsidR="00D0178A" w:rsidRPr="00D0178A">
        <w:t xml:space="preserve">Gilbert, </w:t>
      </w:r>
      <w:r w:rsidR="00D0178A" w:rsidRPr="00D0178A">
        <w:rPr>
          <w:i/>
        </w:rPr>
        <w:t>‘Prologue’</w:t>
      </w:r>
      <w:r w:rsidR="00D0178A">
        <w:t xml:space="preserve"> in </w:t>
      </w:r>
      <w:r w:rsidR="00D0178A">
        <w:rPr>
          <w:i/>
        </w:rPr>
        <w:t>Marie de France</w:t>
      </w:r>
      <w:r w:rsidR="00D0178A" w:rsidRPr="00D0178A">
        <w:rPr>
          <w:i/>
        </w:rPr>
        <w:t>: Poetry, new translations, backgrounds and contexts, criticism</w:t>
      </w:r>
      <w:r w:rsidR="00D0178A">
        <w:rPr>
          <w:i/>
        </w:rPr>
        <w:t xml:space="preserve"> </w:t>
      </w:r>
      <w:r w:rsidR="00D0178A">
        <w:t xml:space="preserve">(New York, </w:t>
      </w:r>
      <w:r w:rsidR="00D0178A" w:rsidRPr="00D0178A">
        <w:t>W. W. Norton &amp; Company</w:t>
      </w:r>
      <w:r w:rsidR="00D0178A">
        <w:t>) p. 4</w:t>
      </w:r>
      <w:r w:rsidR="00476130">
        <w:t>.</w:t>
      </w:r>
    </w:p>
  </w:footnote>
  <w:footnote w:id="3">
    <w:p w:rsidR="00DF4099" w:rsidRPr="00302639" w:rsidRDefault="00DF4099" w:rsidP="00DF4099">
      <w:pPr>
        <w:pStyle w:val="FootnoteText"/>
      </w:pPr>
      <w:r>
        <w:rPr>
          <w:rStyle w:val="FootnoteReference"/>
        </w:rPr>
        <w:footnoteRef/>
      </w:r>
      <w:r>
        <w:t xml:space="preserve"> </w:t>
      </w:r>
      <w:bookmarkStart w:id="0" w:name="_GoBack"/>
      <w:r w:rsidR="003A39B7">
        <w:t xml:space="preserve">M. </w:t>
      </w:r>
      <w:proofErr w:type="spellStart"/>
      <w:r>
        <w:t>Fantuzzi</w:t>
      </w:r>
      <w:proofErr w:type="spellEnd"/>
      <w:r>
        <w:t xml:space="preserve">, </w:t>
      </w:r>
      <w:proofErr w:type="spellStart"/>
      <w:r w:rsidRPr="00DF4099">
        <w:rPr>
          <w:i/>
        </w:rPr>
        <w:t>Ekphrasis</w:t>
      </w:r>
      <w:proofErr w:type="spellEnd"/>
      <w:r w:rsidR="00302639">
        <w:rPr>
          <w:i/>
        </w:rPr>
        <w:t xml:space="preserve"> </w:t>
      </w:r>
      <w:r w:rsidR="00302639">
        <w:t xml:space="preserve">in </w:t>
      </w:r>
      <w:r w:rsidR="00302639" w:rsidRPr="00302639">
        <w:rPr>
          <w:i/>
        </w:rPr>
        <w:t xml:space="preserve">Brill’s New </w:t>
      </w:r>
      <w:proofErr w:type="spellStart"/>
      <w:r w:rsidR="00302639" w:rsidRPr="00302639">
        <w:rPr>
          <w:i/>
        </w:rPr>
        <w:t>Pauly</w:t>
      </w:r>
      <w:proofErr w:type="spellEnd"/>
      <w:r w:rsidR="00302639" w:rsidRPr="00302639">
        <w:t>, 2006, &lt; https://referenceworks-brillonline-com.ezproxy.uwtsd.ac.uk/entries/brill-s</w:t>
      </w:r>
      <w:r w:rsidR="00302639">
        <w:t xml:space="preserve">-new-pauly/ekphrasis-e328110#&gt; </w:t>
      </w:r>
      <w:r w:rsidR="00302639" w:rsidRPr="00302639">
        <w:t>[07/08/2018]</w:t>
      </w:r>
      <w:r w:rsidR="00476130">
        <w:t>.</w:t>
      </w:r>
    </w:p>
    <w:bookmarkEnd w:id="0"/>
  </w:footnote>
  <w:footnote w:id="4">
    <w:p w:rsidR="00A16EF1" w:rsidRDefault="00A16EF1">
      <w:pPr>
        <w:pStyle w:val="FootnoteText"/>
      </w:pPr>
      <w:r>
        <w:rPr>
          <w:rStyle w:val="FootnoteReference"/>
        </w:rPr>
        <w:footnoteRef/>
      </w:r>
      <w:r>
        <w:t xml:space="preserve"> </w:t>
      </w:r>
      <w:r w:rsidR="00476130" w:rsidRPr="00476130">
        <w:t>D. Gilbert, ‘</w:t>
      </w:r>
      <w:r w:rsidR="00476130" w:rsidRPr="00476130">
        <w:rPr>
          <w:i/>
        </w:rPr>
        <w:t>Guigemar</w:t>
      </w:r>
      <w:r w:rsidR="00476130" w:rsidRPr="00476130">
        <w:t xml:space="preserve">’ in </w:t>
      </w:r>
      <w:r w:rsidR="00476130" w:rsidRPr="00476130">
        <w:rPr>
          <w:i/>
        </w:rPr>
        <w:t>Marie de France: Poetry, new translations, backgrounds and contexts, criticism</w:t>
      </w:r>
      <w:r w:rsidR="00476130" w:rsidRPr="00476130">
        <w:t xml:space="preserve"> (New Yo</w:t>
      </w:r>
      <w:r w:rsidR="00476130">
        <w:t xml:space="preserve">rk, W. W. Norton &amp; Company) pp. 8-9. </w:t>
      </w:r>
    </w:p>
  </w:footnote>
  <w:footnote w:id="5">
    <w:p w:rsidR="00476130" w:rsidRDefault="00476130">
      <w:pPr>
        <w:pStyle w:val="FootnoteText"/>
      </w:pPr>
      <w:r>
        <w:rPr>
          <w:rStyle w:val="FootnoteReference"/>
        </w:rPr>
        <w:footnoteRef/>
      </w:r>
      <w:r>
        <w:t xml:space="preserve"> Gilbert, p. 9.</w:t>
      </w:r>
    </w:p>
  </w:footnote>
  <w:footnote w:id="6">
    <w:p w:rsidR="00286120" w:rsidRDefault="00286120">
      <w:pPr>
        <w:pStyle w:val="FootnoteText"/>
      </w:pPr>
      <w:r>
        <w:rPr>
          <w:rStyle w:val="FootnoteReference"/>
        </w:rPr>
        <w:footnoteRef/>
      </w:r>
      <w:r>
        <w:t xml:space="preserve"> </w:t>
      </w:r>
      <w:r w:rsidRPr="00286120">
        <w:t>Gilbert, p. 9.</w:t>
      </w:r>
    </w:p>
  </w:footnote>
  <w:footnote w:id="7">
    <w:p w:rsidR="00286120" w:rsidRDefault="00286120">
      <w:pPr>
        <w:pStyle w:val="FootnoteText"/>
      </w:pPr>
      <w:r>
        <w:rPr>
          <w:rStyle w:val="FootnoteReference"/>
        </w:rPr>
        <w:footnoteRef/>
      </w:r>
      <w:r>
        <w:t xml:space="preserve"> </w:t>
      </w:r>
      <w:r w:rsidRPr="00286120">
        <w:t>Gilbert, p. 9.</w:t>
      </w:r>
    </w:p>
  </w:footnote>
  <w:footnote w:id="8">
    <w:p w:rsidR="00286120" w:rsidRDefault="00286120">
      <w:pPr>
        <w:pStyle w:val="FootnoteText"/>
      </w:pPr>
      <w:r>
        <w:rPr>
          <w:rStyle w:val="FootnoteReference"/>
        </w:rPr>
        <w:footnoteRef/>
      </w:r>
      <w:r>
        <w:t xml:space="preserve"> </w:t>
      </w:r>
      <w:r w:rsidRPr="00286120">
        <w:t>Gilbert, p. 9.</w:t>
      </w:r>
    </w:p>
  </w:footnote>
  <w:footnote w:id="9">
    <w:p w:rsidR="00F74A40" w:rsidRDefault="00F74A40">
      <w:pPr>
        <w:pStyle w:val="FootnoteText"/>
      </w:pPr>
      <w:r>
        <w:rPr>
          <w:rStyle w:val="FootnoteReference"/>
        </w:rPr>
        <w:footnoteRef/>
      </w:r>
      <w:r>
        <w:t xml:space="preserve"> Gilbert, p. 10.</w:t>
      </w:r>
    </w:p>
  </w:footnote>
  <w:footnote w:id="10">
    <w:p w:rsidR="00A10D7F" w:rsidRDefault="00A10D7F">
      <w:pPr>
        <w:pStyle w:val="FootnoteText"/>
      </w:pPr>
      <w:r>
        <w:rPr>
          <w:rStyle w:val="FootnoteReference"/>
        </w:rPr>
        <w:footnoteRef/>
      </w:r>
      <w:r>
        <w:t xml:space="preserve"> Gilbert, p. 11. </w:t>
      </w:r>
    </w:p>
  </w:footnote>
  <w:footnote w:id="11">
    <w:p w:rsidR="00A10D7F" w:rsidRDefault="00A10D7F">
      <w:pPr>
        <w:pStyle w:val="FootnoteText"/>
      </w:pPr>
      <w:r>
        <w:rPr>
          <w:rStyle w:val="FootnoteReference"/>
        </w:rPr>
        <w:footnoteRef/>
      </w:r>
      <w:r>
        <w:t xml:space="preserve"> Gilbert, p. 11. </w:t>
      </w:r>
    </w:p>
  </w:footnote>
  <w:footnote w:id="12">
    <w:p w:rsidR="00A10D7F" w:rsidRDefault="00A10D7F">
      <w:pPr>
        <w:pStyle w:val="FootnoteText"/>
      </w:pPr>
      <w:r>
        <w:rPr>
          <w:rStyle w:val="FootnoteReference"/>
        </w:rPr>
        <w:footnoteRef/>
      </w:r>
      <w:r w:rsidR="003C7E86">
        <w:t xml:space="preserve"> Gilb</w:t>
      </w:r>
      <w:r>
        <w:t>ert, p. 11</w:t>
      </w:r>
    </w:p>
  </w:footnote>
  <w:footnote w:id="13">
    <w:p w:rsidR="003C7E86" w:rsidRDefault="003C7E86">
      <w:pPr>
        <w:pStyle w:val="FootnoteText"/>
      </w:pPr>
      <w:r>
        <w:rPr>
          <w:rStyle w:val="FootnoteReference"/>
        </w:rPr>
        <w:footnoteRef/>
      </w:r>
      <w:r>
        <w:t xml:space="preserve"> Gilbert, p. 19.</w:t>
      </w:r>
    </w:p>
  </w:footnote>
  <w:footnote w:id="14">
    <w:p w:rsidR="003C7E86" w:rsidRDefault="003C7E86">
      <w:pPr>
        <w:pStyle w:val="FootnoteText"/>
      </w:pPr>
      <w:r>
        <w:rPr>
          <w:rStyle w:val="FootnoteReference"/>
        </w:rPr>
        <w:footnoteRef/>
      </w:r>
      <w:r>
        <w:t xml:space="preserve"> Gilbert, p. 19.</w:t>
      </w:r>
    </w:p>
  </w:footnote>
  <w:footnote w:id="15">
    <w:p w:rsidR="0000217F" w:rsidRPr="0000217F" w:rsidRDefault="0000217F" w:rsidP="0000217F">
      <w:pPr>
        <w:pStyle w:val="FootnoteText"/>
      </w:pPr>
      <w:r>
        <w:rPr>
          <w:rStyle w:val="FootnoteReference"/>
        </w:rPr>
        <w:footnoteRef/>
      </w:r>
      <w:r>
        <w:t xml:space="preserve"> </w:t>
      </w:r>
      <w:r w:rsidRPr="0000217F">
        <w:t>D. Gilbert, ‘</w:t>
      </w:r>
      <w:r w:rsidRPr="0000217F">
        <w:rPr>
          <w:i/>
        </w:rPr>
        <w:t>Le Fresne’</w:t>
      </w:r>
      <w:r w:rsidRPr="0000217F">
        <w:t xml:space="preserve"> in Marie de France: Poetry, new translations, backgrounds and contexts, criticism (New York, </w:t>
      </w:r>
      <w:r>
        <w:t>W. W. Norton &amp; Company) pp. 38</w:t>
      </w:r>
    </w:p>
  </w:footnote>
  <w:footnote w:id="16">
    <w:p w:rsidR="00A11E79" w:rsidRDefault="00A11E79">
      <w:pPr>
        <w:pStyle w:val="FootnoteText"/>
      </w:pPr>
      <w:r>
        <w:rPr>
          <w:rStyle w:val="FootnoteReference"/>
        </w:rPr>
        <w:footnoteRef/>
      </w:r>
      <w:r>
        <w:t xml:space="preserve"> </w:t>
      </w:r>
      <w:r w:rsidRPr="00A11E79">
        <w:t xml:space="preserve">D. Gilbert, </w:t>
      </w:r>
      <w:r w:rsidRPr="00A11E79">
        <w:rPr>
          <w:i/>
        </w:rPr>
        <w:t>‘Laüstic’</w:t>
      </w:r>
      <w:r w:rsidRPr="00A11E79">
        <w:t xml:space="preserve"> in Marie de France: Poetry, new translations, backgrounds and contexts, criticism (New York, W. W. Norton &amp; Company) pp. 38</w:t>
      </w:r>
    </w:p>
  </w:footnote>
  <w:footnote w:id="17">
    <w:p w:rsidR="00A11E79" w:rsidRDefault="00A11E79">
      <w:pPr>
        <w:pStyle w:val="FootnoteText"/>
      </w:pPr>
      <w:r>
        <w:rPr>
          <w:rStyle w:val="FootnoteReference"/>
        </w:rPr>
        <w:footnoteRef/>
      </w:r>
      <w:r>
        <w:t xml:space="preserve"> Gilbert, p. 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DE1"/>
    <w:rsid w:val="0000217F"/>
    <w:rsid w:val="000206B1"/>
    <w:rsid w:val="00065EED"/>
    <w:rsid w:val="00125DE1"/>
    <w:rsid w:val="001451E0"/>
    <w:rsid w:val="00154D22"/>
    <w:rsid w:val="00286120"/>
    <w:rsid w:val="002D31F2"/>
    <w:rsid w:val="002E5B65"/>
    <w:rsid w:val="00302639"/>
    <w:rsid w:val="003251AF"/>
    <w:rsid w:val="003A39B7"/>
    <w:rsid w:val="003C7E86"/>
    <w:rsid w:val="003D5099"/>
    <w:rsid w:val="00421A33"/>
    <w:rsid w:val="00476130"/>
    <w:rsid w:val="00490948"/>
    <w:rsid w:val="004B7678"/>
    <w:rsid w:val="005E4D41"/>
    <w:rsid w:val="006F101E"/>
    <w:rsid w:val="00751C4C"/>
    <w:rsid w:val="007B338B"/>
    <w:rsid w:val="00805DFE"/>
    <w:rsid w:val="00816A1D"/>
    <w:rsid w:val="0082331E"/>
    <w:rsid w:val="008E68D4"/>
    <w:rsid w:val="009D1B40"/>
    <w:rsid w:val="00A10D7F"/>
    <w:rsid w:val="00A11E79"/>
    <w:rsid w:val="00A16EF1"/>
    <w:rsid w:val="00AB035C"/>
    <w:rsid w:val="00AE6CF4"/>
    <w:rsid w:val="00B04EF0"/>
    <w:rsid w:val="00B24FA8"/>
    <w:rsid w:val="00BB48E6"/>
    <w:rsid w:val="00CB1E80"/>
    <w:rsid w:val="00D0178A"/>
    <w:rsid w:val="00D15A65"/>
    <w:rsid w:val="00D304D5"/>
    <w:rsid w:val="00DE7513"/>
    <w:rsid w:val="00DF4099"/>
    <w:rsid w:val="00DF48BA"/>
    <w:rsid w:val="00E41CA0"/>
    <w:rsid w:val="00E45B88"/>
    <w:rsid w:val="00E53685"/>
    <w:rsid w:val="00E65DBA"/>
    <w:rsid w:val="00F74A40"/>
    <w:rsid w:val="00F85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cf"/>
    </o:shapedefaults>
    <o:shapelayout v:ext="edit">
      <o:idmap v:ext="edit" data="1"/>
    </o:shapelayout>
  </w:shapeDefaults>
  <w:decimalSymbol w:val="."/>
  <w:listSeparator w:val=","/>
  <w14:docId w14:val="6FE45446"/>
  <w15:chartTrackingRefBased/>
  <w15:docId w15:val="{DE561F3B-0060-4159-96B8-9F034BD1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05D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5DFE"/>
    <w:rPr>
      <w:sz w:val="20"/>
      <w:szCs w:val="20"/>
    </w:rPr>
  </w:style>
  <w:style w:type="character" w:styleId="FootnoteReference">
    <w:name w:val="footnote reference"/>
    <w:basedOn w:val="DefaultParagraphFont"/>
    <w:uiPriority w:val="99"/>
    <w:semiHidden/>
    <w:unhideWhenUsed/>
    <w:rsid w:val="00805DFE"/>
    <w:rPr>
      <w:vertAlign w:val="superscript"/>
    </w:rPr>
  </w:style>
  <w:style w:type="character" w:styleId="Hyperlink">
    <w:name w:val="Hyperlink"/>
    <w:basedOn w:val="DefaultParagraphFont"/>
    <w:uiPriority w:val="99"/>
    <w:unhideWhenUsed/>
    <w:rsid w:val="00805D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8A047-37EA-4E3C-B7F2-91670BD38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1470</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3</cp:revision>
  <dcterms:created xsi:type="dcterms:W3CDTF">2018-11-08T06:44:00Z</dcterms:created>
  <dcterms:modified xsi:type="dcterms:W3CDTF">2018-11-08T06:44:00Z</dcterms:modified>
</cp:coreProperties>
</file>