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655834389"/>
        <w:docPartObj>
          <w:docPartGallery w:val="Cover Pages"/>
          <w:docPartUnique/>
        </w:docPartObj>
      </w:sdtPr>
      <w:sdtEndPr>
        <w:rPr>
          <w:rFonts w:ascii="Arial Black" w:eastAsiaTheme="minorHAnsi" w:hAnsi="Arial Black" w:cs="Arial"/>
          <w:kern w:val="2"/>
          <w:sz w:val="24"/>
          <w:szCs w:val="24"/>
          <w:lang w:val="en-GB"/>
          <w14:ligatures w14:val="standardContextual"/>
        </w:rPr>
      </w:sdtEndPr>
      <w:sdtContent>
        <w:p w14:paraId="15532768" w14:textId="0606D1B1" w:rsidR="00D625D8" w:rsidRDefault="00D625D8">
          <w:pPr>
            <w:pStyle w:val="NoSpacing"/>
            <w:rPr>
              <w:sz w:val="2"/>
            </w:rPr>
          </w:pPr>
        </w:p>
        <w:p w14:paraId="321B8903" w14:textId="77777777" w:rsidR="00D625D8" w:rsidRDefault="00D625D8">
          <w:r>
            <w:rPr>
              <w:noProof/>
            </w:rPr>
            <mc:AlternateContent>
              <mc:Choice Requires="wps">
                <w:drawing>
                  <wp:anchor distT="0" distB="0" distL="114300" distR="114300" simplePos="0" relativeHeight="251661312" behindDoc="0" locked="0" layoutInCell="1" allowOverlap="1" wp14:anchorId="656415D3" wp14:editId="4BA62268">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8DD" w14:textId="0D08932D" w:rsidR="00D625D8" w:rsidRPr="00D625D8" w:rsidRDefault="00D625D8" w:rsidP="00D625D8">
                                <w:pPr>
                                  <w:pStyle w:val="NoSpacing"/>
                                  <w:rPr>
                                    <w:rFonts w:ascii="Arial Black" w:eastAsiaTheme="majorEastAsia" w:hAnsi="Arial Black" w:cstheme="majorBidi"/>
                                    <w:caps/>
                                    <w:color w:val="2C7FCE" w:themeColor="text2" w:themeTint="99"/>
                                    <w:sz w:val="68"/>
                                    <w:szCs w:val="68"/>
                                  </w:rPr>
                                </w:pPr>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Pr="00D625D8">
                                      <w:rPr>
                                        <w:rFonts w:ascii="Arial Black" w:eastAsiaTheme="majorEastAsia" w:hAnsi="Arial Black" w:cstheme="majorBidi"/>
                                        <w:caps/>
                                        <w:color w:val="2C7FCE" w:themeColor="text2" w:themeTint="99"/>
                                        <w:sz w:val="64"/>
                                        <w:szCs w:val="64"/>
                                      </w:rPr>
                                      <w:t>Appraisal of Bristol</w:t>
                                    </w:r>
                                  </w:sdtContent>
                                </w:sdt>
                                <w:r w:rsidRPr="00D625D8">
                                  <w:rPr>
                                    <w:rFonts w:ascii="Arial Black" w:hAnsi="Arial Black"/>
                                    <w:noProof/>
                                  </w:rPr>
                                  <w:t xml:space="preserve"> </w:t>
                                </w:r>
                              </w:p>
                              <w:p w14:paraId="700B07BB" w14:textId="77777777" w:rsidR="00D625D8" w:rsidRDefault="00D625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56415D3"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2D4FF8DD" w14:textId="0D08932D" w:rsidR="00D625D8" w:rsidRPr="00D625D8" w:rsidRDefault="00D625D8" w:rsidP="00D625D8">
                          <w:pPr>
                            <w:pStyle w:val="NoSpacing"/>
                            <w:rPr>
                              <w:rFonts w:ascii="Arial Black" w:eastAsiaTheme="majorEastAsia" w:hAnsi="Arial Black" w:cstheme="majorBidi"/>
                              <w:caps/>
                              <w:color w:val="2C7FCE" w:themeColor="text2" w:themeTint="99"/>
                              <w:sz w:val="68"/>
                              <w:szCs w:val="68"/>
                            </w:rPr>
                          </w:pPr>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Pr="00D625D8">
                                <w:rPr>
                                  <w:rFonts w:ascii="Arial Black" w:eastAsiaTheme="majorEastAsia" w:hAnsi="Arial Black" w:cstheme="majorBidi"/>
                                  <w:caps/>
                                  <w:color w:val="2C7FCE" w:themeColor="text2" w:themeTint="99"/>
                                  <w:sz w:val="64"/>
                                  <w:szCs w:val="64"/>
                                </w:rPr>
                                <w:t>Appraisal of Bristol</w:t>
                              </w:r>
                            </w:sdtContent>
                          </w:sdt>
                          <w:r w:rsidRPr="00D625D8">
                            <w:rPr>
                              <w:rFonts w:ascii="Arial Black" w:hAnsi="Arial Black"/>
                              <w:noProof/>
                            </w:rPr>
                            <w:t xml:space="preserve"> </w:t>
                          </w:r>
                        </w:p>
                        <w:p w14:paraId="700B07BB" w14:textId="77777777" w:rsidR="00D625D8" w:rsidRDefault="00D625D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F82D90E" wp14:editId="19CDCFC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55BDC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7A97332" wp14:editId="0AB4ED7B">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D8265" w14:textId="18C9580E" w:rsidR="00D625D8" w:rsidRPr="00921B9C" w:rsidRDefault="00921B9C">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921B9C">
                                      <w:rPr>
                                        <w:rFonts w:ascii="Arial Black" w:hAnsi="Arial Black"/>
                                        <w:color w:val="156082" w:themeColor="accent1"/>
                                        <w:sz w:val="36"/>
                                        <w:szCs w:val="36"/>
                                      </w:rPr>
                                      <w:t>Distinctiveness and Regeneration</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4003556" w14:textId="2EDBBCBB" w:rsidR="00D625D8" w:rsidRPr="00921B9C" w:rsidRDefault="00921B9C">
                                    <w:pPr>
                                      <w:pStyle w:val="NoSpacing"/>
                                      <w:jc w:val="right"/>
                                      <w:rPr>
                                        <w:rFonts w:ascii="Arial Black" w:hAnsi="Arial Black"/>
                                        <w:color w:val="156082" w:themeColor="accent1"/>
                                        <w:sz w:val="36"/>
                                        <w:szCs w:val="36"/>
                                      </w:rPr>
                                    </w:pPr>
                                    <w:r w:rsidRPr="00921B9C">
                                      <w:rPr>
                                        <w:rFonts w:ascii="Arial Black" w:hAnsi="Arial Black"/>
                                        <w:color w:val="156082" w:themeColor="accent1"/>
                                        <w:sz w:val="36"/>
                                        <w:szCs w:val="36"/>
                                      </w:rPr>
                                      <w:t>BMSP4014D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7A97332"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27D8265" w14:textId="18C9580E" w:rsidR="00D625D8" w:rsidRPr="00921B9C" w:rsidRDefault="00921B9C">
                          <w:pPr>
                            <w:pStyle w:val="NoSpacing"/>
                            <w:jc w:val="right"/>
                            <w:rPr>
                              <w:rFonts w:ascii="Arial Black" w:hAnsi="Arial Black"/>
                              <w:color w:val="156082" w:themeColor="accent1"/>
                              <w:sz w:val="36"/>
                              <w:szCs w:val="36"/>
                            </w:rPr>
                          </w:pPr>
                          <w:sdt>
                            <w:sdtPr>
                              <w:rPr>
                                <w:rFonts w:ascii="Arial Black" w:hAnsi="Arial Black"/>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921B9C">
                                <w:rPr>
                                  <w:rFonts w:ascii="Arial Black" w:hAnsi="Arial Black"/>
                                  <w:color w:val="156082" w:themeColor="accent1"/>
                                  <w:sz w:val="36"/>
                                  <w:szCs w:val="36"/>
                                </w:rPr>
                                <w:t>Distinctiveness and Regeneration</w:t>
                              </w:r>
                            </w:sdtContent>
                          </w:sdt>
                        </w:p>
                        <w:sdt>
                          <w:sdtPr>
                            <w:rPr>
                              <w:rFonts w:ascii="Arial Black" w:hAnsi="Arial Black"/>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4003556" w14:textId="2EDBBCBB" w:rsidR="00D625D8" w:rsidRPr="00921B9C" w:rsidRDefault="00921B9C">
                              <w:pPr>
                                <w:pStyle w:val="NoSpacing"/>
                                <w:jc w:val="right"/>
                                <w:rPr>
                                  <w:rFonts w:ascii="Arial Black" w:hAnsi="Arial Black"/>
                                  <w:color w:val="156082" w:themeColor="accent1"/>
                                  <w:sz w:val="36"/>
                                  <w:szCs w:val="36"/>
                                </w:rPr>
                              </w:pPr>
                              <w:r w:rsidRPr="00921B9C">
                                <w:rPr>
                                  <w:rFonts w:ascii="Arial Black" w:hAnsi="Arial Black"/>
                                  <w:color w:val="156082" w:themeColor="accent1"/>
                                  <w:sz w:val="36"/>
                                  <w:szCs w:val="36"/>
                                </w:rPr>
                                <w:t>BMSP4014D</w:t>
                              </w:r>
                            </w:p>
                          </w:sdtContent>
                        </w:sdt>
                      </w:txbxContent>
                    </v:textbox>
                    <w10:wrap anchorx="page" anchory="margin"/>
                  </v:shape>
                </w:pict>
              </mc:Fallback>
            </mc:AlternateContent>
          </w:r>
        </w:p>
        <w:p w14:paraId="646D9DDD" w14:textId="60DD37EE" w:rsidR="00D625D8" w:rsidRDefault="00D625D8">
          <w:pPr>
            <w:rPr>
              <w:rFonts w:ascii="Arial Black" w:hAnsi="Arial Black" w:cs="Arial"/>
            </w:rPr>
          </w:pPr>
          <w:r>
            <w:rPr>
              <w:rFonts w:ascii="Arial Black" w:hAnsi="Arial Black" w:cs="Arial"/>
            </w:rPr>
            <w:br w:type="page"/>
          </w:r>
        </w:p>
      </w:sdtContent>
    </w:sdt>
    <w:p w14:paraId="2F715786" w14:textId="3625D51E" w:rsidR="00BA6E74" w:rsidRDefault="00CC32FA" w:rsidP="00BA6E74">
      <w:pPr>
        <w:spacing w:line="480" w:lineRule="auto"/>
        <w:rPr>
          <w:rFonts w:ascii="Arial Black" w:hAnsi="Arial Black" w:cs="Arial"/>
        </w:rPr>
      </w:pPr>
      <w:r>
        <w:rPr>
          <w:rFonts w:ascii="Arial Black" w:hAnsi="Arial Black" w:cs="Arial"/>
        </w:rPr>
        <w:lastRenderedPageBreak/>
        <w:t>Executive Summary</w:t>
      </w:r>
    </w:p>
    <w:p w14:paraId="6ED14C37" w14:textId="5111B59E" w:rsidR="00BA6E74" w:rsidRPr="00BA6E74" w:rsidRDefault="00BA6E74" w:rsidP="00BA6E74">
      <w:pPr>
        <w:spacing w:line="480" w:lineRule="auto"/>
        <w:rPr>
          <w:rFonts w:ascii="Arial Black" w:hAnsi="Arial Black" w:cs="Arial"/>
        </w:rPr>
      </w:pPr>
      <w:r w:rsidRPr="00BA6E74">
        <w:rPr>
          <w:rFonts w:ascii="Arial" w:hAnsi="Arial" w:cs="Arial"/>
        </w:rPr>
        <w:t>This re</w:t>
      </w:r>
      <w:r>
        <w:rPr>
          <w:rFonts w:ascii="Arial" w:hAnsi="Arial" w:cs="Arial"/>
        </w:rPr>
        <w:t>port</w:t>
      </w:r>
      <w:r w:rsidRPr="00BA6E74">
        <w:rPr>
          <w:rFonts w:ascii="Arial" w:hAnsi="Arial" w:cs="Arial"/>
        </w:rPr>
        <w:t xml:space="preserve"> provides a comprehensive a</w:t>
      </w:r>
      <w:r>
        <w:rPr>
          <w:rFonts w:ascii="Arial" w:hAnsi="Arial" w:cs="Arial"/>
        </w:rPr>
        <w:t>ppraisal</w:t>
      </w:r>
      <w:r w:rsidRPr="00BA6E74">
        <w:rPr>
          <w:rFonts w:ascii="Arial" w:hAnsi="Arial" w:cs="Arial"/>
        </w:rPr>
        <w:t xml:space="preserve"> of Bristol's urban landscape and outlines strategic regeneration options based on sustainable urban development principles. Bristol has progressed from its historical status as a major port and industrial hub to a thriving knowledge economy. This change is distinguished by the adaptive reuse of heritage assets, a thriving cultural and intellectual environment, and a strong commitment to environmental responsibility.</w:t>
      </w:r>
      <w:r w:rsidRPr="00BA6E74">
        <w:rPr>
          <w:rFonts w:ascii="Arial" w:hAnsi="Arial" w:cs="Arial"/>
        </w:rPr>
        <w:br/>
        <w:t>The city's current assets</w:t>
      </w:r>
      <w:r>
        <w:rPr>
          <w:rFonts w:ascii="Arial" w:hAnsi="Arial" w:cs="Arial"/>
        </w:rPr>
        <w:t xml:space="preserve"> </w:t>
      </w:r>
      <w:r w:rsidRPr="00BA6E74">
        <w:rPr>
          <w:rFonts w:ascii="Arial" w:hAnsi="Arial" w:cs="Arial"/>
        </w:rPr>
        <w:t>such as its rich architectural legacy, world-class colleges, cultural organisations, and extensive green infrastructure</w:t>
      </w:r>
      <w:r>
        <w:rPr>
          <w:rFonts w:ascii="Arial" w:hAnsi="Arial" w:cs="Arial"/>
        </w:rPr>
        <w:t xml:space="preserve"> </w:t>
      </w:r>
      <w:r w:rsidRPr="00BA6E74">
        <w:rPr>
          <w:rFonts w:ascii="Arial" w:hAnsi="Arial" w:cs="Arial"/>
        </w:rPr>
        <w:t>form the foundation of its urban character. Historic places such as the Harbourside demonstrate the possibilities for adaptive reuse, which combines historical relevance with modern usefulness. Bristol's universities and research centres contribute to a vibrant creative and technological ecosystem that promotes innovation and attracts a talented workforce. Furthermore, huge parks, bike networks, and pedestrian-friendly areas demonstrate the city's dedication to sustainable development and quality of life.</w:t>
      </w:r>
      <w:r w:rsidRPr="00BA6E74">
        <w:rPr>
          <w:rFonts w:ascii="Arial" w:hAnsi="Arial" w:cs="Arial"/>
        </w:rPr>
        <w:br/>
        <w:t>Building on this foundation, the research suggests three major regeneration initiatives: adaptive reuse of heritage assets, increased green infrastructure and urban connections, and the formation of innovation clusters. These programs are intended to boost economic vibrancy, social inclusion, and environmental responsibility. Adaptive reuse projects will protect cultural heritage while modernising urban spaces; green infrastructure will improve public health and cut carbon emissions; and innovation centres will spur local economic development and community empowerment.</w:t>
      </w:r>
      <w:r w:rsidRPr="00BA6E74">
        <w:rPr>
          <w:rFonts w:ascii="Arial" w:hAnsi="Arial" w:cs="Arial"/>
        </w:rPr>
        <w:br/>
      </w:r>
    </w:p>
    <w:p w14:paraId="6A14300C" w14:textId="7FB57187" w:rsidR="00CC32FA" w:rsidRPr="00BA6E74" w:rsidRDefault="00E94A0C" w:rsidP="00BA6E74">
      <w:pPr>
        <w:spacing w:line="480" w:lineRule="auto"/>
        <w:rPr>
          <w:rFonts w:ascii="Arial" w:hAnsi="Arial" w:cs="Arial"/>
        </w:rPr>
      </w:pPr>
      <w:r w:rsidRPr="00E94A0C">
        <w:rPr>
          <w:rFonts w:ascii="Arial Black" w:hAnsi="Arial Black" w:cs="Arial"/>
        </w:rPr>
        <w:lastRenderedPageBreak/>
        <w:t>Introduction</w:t>
      </w:r>
      <w:r w:rsidRPr="00E94A0C">
        <w:rPr>
          <w:rFonts w:ascii="Arial Black" w:hAnsi="Arial Black" w:cs="Arial"/>
        </w:rPr>
        <w:br/>
      </w:r>
      <w:r w:rsidRPr="00E94A0C">
        <w:rPr>
          <w:rFonts w:ascii="Arial" w:hAnsi="Arial" w:cs="Arial"/>
        </w:rPr>
        <w:br/>
        <w:t xml:space="preserve">Bristol is a city that embraces modernisation and innovation while preserving its rich historical heritage. Bristol, which was formerly renowned for its industrial might and maritime prowess, has evolved in recent decades into a vibrant centre of sustainability, innovation, and technology. This change </w:t>
      </w:r>
      <w:r w:rsidRPr="00E94A0C">
        <w:rPr>
          <w:rFonts w:ascii="Arial" w:hAnsi="Arial" w:cs="Arial"/>
        </w:rPr>
        <w:t>reflects</w:t>
      </w:r>
      <w:r w:rsidRPr="00E94A0C">
        <w:rPr>
          <w:rFonts w:ascii="Arial" w:hAnsi="Arial" w:cs="Arial"/>
        </w:rPr>
        <w:t xml:space="preserve"> larger changes in the global economy and urbanisation, as knowledge-based and service-oriented sectors have replaced traditional industries. The city is facing chances and problems as it develops further, necessitating creative measures to revitalisation. The urban landscape of Bristol is examined in this essay, with particular attention paid to its historical development, present resources, stakeholder participation, and strategic initiatives. </w:t>
      </w:r>
      <w:r w:rsidRPr="00E94A0C">
        <w:rPr>
          <w:rFonts w:ascii="Arial" w:hAnsi="Arial" w:cs="Arial"/>
        </w:rPr>
        <w:t>To</w:t>
      </w:r>
      <w:r w:rsidRPr="00E94A0C">
        <w:rPr>
          <w:rFonts w:ascii="Arial" w:hAnsi="Arial" w:cs="Arial"/>
        </w:rPr>
        <w:t xml:space="preserve"> maintain Bristol's resilience, inclusivity, and economic vibrancy, it then suggests future regeneration prospects that are consistent with sustainable development principles.</w:t>
      </w:r>
    </w:p>
    <w:p w14:paraId="1F70DBE3" w14:textId="77777777" w:rsidR="00CC32FA" w:rsidRDefault="00E94A0C" w:rsidP="00E94A0C">
      <w:pPr>
        <w:spacing w:line="480" w:lineRule="auto"/>
        <w:rPr>
          <w:rFonts w:ascii="Arial Black" w:hAnsi="Arial Black" w:cs="Arial"/>
        </w:rPr>
      </w:pPr>
      <w:r w:rsidRPr="00E94A0C">
        <w:rPr>
          <w:rFonts w:ascii="Arial" w:hAnsi="Arial" w:cs="Arial"/>
        </w:rPr>
        <w:br/>
      </w:r>
      <w:r w:rsidRPr="00E94A0C">
        <w:rPr>
          <w:rFonts w:ascii="Arial Black" w:hAnsi="Arial Black" w:cs="Arial"/>
        </w:rPr>
        <w:t>Evaluating the Urban Landscape of Bristol</w:t>
      </w:r>
    </w:p>
    <w:p w14:paraId="26EC6736" w14:textId="61625451" w:rsidR="00E94A0C" w:rsidRDefault="00E94A0C" w:rsidP="00E94A0C">
      <w:pPr>
        <w:spacing w:line="480" w:lineRule="auto"/>
        <w:rPr>
          <w:rFonts w:ascii="Arial" w:hAnsi="Arial" w:cs="Arial"/>
        </w:rPr>
      </w:pPr>
      <w:r w:rsidRPr="00E94A0C">
        <w:rPr>
          <w:rFonts w:ascii="Arial Black" w:hAnsi="Arial Black" w:cs="Arial"/>
        </w:rPr>
        <w:br/>
      </w:r>
      <w:r w:rsidRPr="00E94A0C">
        <w:rPr>
          <w:rFonts w:ascii="Arial" w:hAnsi="Arial" w:cs="Arial"/>
        </w:rPr>
        <w:t>Bristol's history is characterised by notable changes. The city flourished as a significant port and industrial hub in its early years. Its urban fabric was shaped by the wealth created by manufacturing and maritime trade, and the city's unique infrastructure and architecture still bear the marks of these industries. However, Bristol was forced to reinvent itself in the late 20th century due to the loss of heavy industry. The city is currently well known for its innovative manufacturing capabilities, as well as its creative and digital industries. Echoing the larger patterns of post-</w:t>
      </w:r>
      <w:r w:rsidRPr="00E94A0C">
        <w:rPr>
          <w:rFonts w:ascii="Arial" w:hAnsi="Arial" w:cs="Arial"/>
        </w:rPr>
        <w:lastRenderedPageBreak/>
        <w:t>industrial urban reconstruction, this transition has been accompanied by a renewed focus on innovation and sustainability (Smith &amp; Taylor, 2022).</w:t>
      </w:r>
      <w:r w:rsidRPr="00E94A0C">
        <w:rPr>
          <w:rFonts w:ascii="Arial" w:hAnsi="Arial" w:cs="Arial"/>
        </w:rPr>
        <w:br/>
        <w:t>A wide variety of industries presently influence Bristol's economic character. A knowledge-based economy is greatly aided by the city's internationally renowned universities and research facilities. In addition to offering a trained labour force, these establishments cultivate an atmosphere that encourages entrepreneurship and innovative thinking (Bristol Innovation and Growth Partnership, 2023). The city's identity is also greatly influenced by the creative sectors, which include anything from media and design to the performing arts. The interaction of technology, culture, and education has created a thriving, resilient, and forward-thinking economic ecosystem.</w:t>
      </w:r>
      <w:r w:rsidRPr="00E94A0C">
        <w:rPr>
          <w:rFonts w:ascii="Arial" w:hAnsi="Arial" w:cs="Arial"/>
        </w:rPr>
        <w:br/>
        <w:t>Another essential component of the city's identity is its built environment. Bristol's historic buildings, which are especially evident in places like the city centre and the Harbourside, present special chances for revitalisation. Many of these buildings, which were formerly essential to the city's industrial history, are now the cornerstones of modern mixed-use projects. In addition to protecting cultural assets, adaptive reuse of historic structures reduces the environmental impact of destruction and new construction. Bristol may cut waste and preserve a physical connection to its history by keeping the embodied energy in its current buildings (Bullen &amp; Love, 2010).</w:t>
      </w:r>
      <w:r w:rsidRPr="00E94A0C">
        <w:rPr>
          <w:rFonts w:ascii="Arial" w:hAnsi="Arial" w:cs="Arial"/>
        </w:rPr>
        <w:br/>
        <w:t xml:space="preserve">Another important component of Bristol's urban strategy is environmental sustainability. Because of its many bike routes, pedestrian-friendly areas, and green spaces, the city has gained a reputation as one of the greenest in the United Kingdom. These programs are essential to Bristol's 2030 carbon neutrality target, which has sparked </w:t>
      </w:r>
      <w:r w:rsidR="00CC32FA" w:rsidRPr="00E94A0C">
        <w:rPr>
          <w:rFonts w:ascii="Arial" w:hAnsi="Arial" w:cs="Arial"/>
        </w:rPr>
        <w:t>several</w:t>
      </w:r>
      <w:r w:rsidRPr="00E94A0C">
        <w:rPr>
          <w:rFonts w:ascii="Arial" w:hAnsi="Arial" w:cs="Arial"/>
        </w:rPr>
        <w:t xml:space="preserve"> energy-efficient building efforts and renewable energy </w:t>
      </w:r>
      <w:r w:rsidRPr="00E94A0C">
        <w:rPr>
          <w:rFonts w:ascii="Arial" w:hAnsi="Arial" w:cs="Arial"/>
        </w:rPr>
        <w:lastRenderedPageBreak/>
        <w:t>projects (Bristol Green Futures, 2023). Incorporating green infrastructure into the urban fabric improves citizens' quality of life while fortifying the city's ability to withstand environmental shocks.</w:t>
      </w:r>
      <w:r w:rsidRPr="00E94A0C">
        <w:rPr>
          <w:rFonts w:ascii="Arial" w:hAnsi="Arial" w:cs="Arial"/>
        </w:rPr>
        <w:br/>
        <w:t>Governance-wise, a variety of stakeholders back Bristol's revitalisation initiatives. Bristol City Council, the local government, is crucial in creating the strategic vision of the city. The council has created comprehensive policies that prioritise social inclusion, economic diversification, and sustainable growth in partnership with regional organisations such as the West of England Combined Authority (Department for Levelling Up, Housing and Communities, 2023). Community organisations, local citizens, and private sector investors actively participate in the planning and execution of these policies. While collaborations with private developers and academic institutions provide the required cash and knowledge, grassroots organisations and neighbourhood organisations make sure that regeneration projects are responsive to the demands of local communities.</w:t>
      </w:r>
      <w:r w:rsidRPr="00E94A0C">
        <w:rPr>
          <w:rFonts w:ascii="Arial" w:hAnsi="Arial" w:cs="Arial"/>
        </w:rPr>
        <w:br/>
        <w:t xml:space="preserve">Bristol's regeneration initiatives are further supported by regional and local development plans. For example, the ambitious aim for sustainable urban growth is outlined in the Bristol Local Plan 2030. It highlights the necessity of affordable housing, mixed-use development, and green space preservation. The strategic foundation for coordinated development throughout the region is this plan and the West of England Joint Local Plan (Bristol City Council, 2023; West of England Combined Authority, 2023). These frameworks guarantee that local efforts align with more general regional goals, tackling issues like environmental degradation and spatial inequalities in a comprehensive way. </w:t>
      </w:r>
    </w:p>
    <w:p w14:paraId="63BCF631" w14:textId="77777777" w:rsidR="00CC32FA" w:rsidRDefault="00CC32FA" w:rsidP="00CC32FA">
      <w:pPr>
        <w:spacing w:line="480" w:lineRule="auto"/>
        <w:rPr>
          <w:rFonts w:ascii="Arial Black" w:hAnsi="Arial Black" w:cs="Arial"/>
        </w:rPr>
      </w:pPr>
    </w:p>
    <w:p w14:paraId="4DD02053" w14:textId="77777777" w:rsidR="00CC32FA" w:rsidRDefault="00CC32FA" w:rsidP="00CC32FA">
      <w:pPr>
        <w:spacing w:line="480" w:lineRule="auto"/>
        <w:rPr>
          <w:rFonts w:ascii="Arial Black" w:hAnsi="Arial Black" w:cs="Arial"/>
        </w:rPr>
      </w:pPr>
      <w:r w:rsidRPr="00CC32FA">
        <w:rPr>
          <w:rFonts w:ascii="Arial Black" w:hAnsi="Arial Black" w:cs="Arial"/>
        </w:rPr>
        <w:lastRenderedPageBreak/>
        <w:t>Future Regeneration Opportunities</w:t>
      </w:r>
    </w:p>
    <w:p w14:paraId="54EB1F50" w14:textId="77777777" w:rsidR="00CC32FA" w:rsidRDefault="00CC32FA" w:rsidP="00CC32FA">
      <w:pPr>
        <w:spacing w:line="480" w:lineRule="auto"/>
        <w:rPr>
          <w:rFonts w:ascii="Arial" w:hAnsi="Arial" w:cs="Arial"/>
        </w:rPr>
      </w:pPr>
      <w:r w:rsidRPr="00CC32FA">
        <w:rPr>
          <w:rFonts w:ascii="Arial" w:hAnsi="Arial" w:cs="Arial"/>
        </w:rPr>
        <w:br/>
        <w:t>Given this context, there are various viable regeneration opportunities that can help Bristol's sustainability, economic vibrancy, and social inclusion. The analysis yields three important proposals: adaptive reuse of heritage assets, increased green infrastructure and urban connections, and the creation of innovation hubs that promote community-led economic development.</w:t>
      </w:r>
      <w:r w:rsidRPr="00CC32FA">
        <w:rPr>
          <w:rFonts w:ascii="Arial" w:hAnsi="Arial" w:cs="Arial"/>
        </w:rPr>
        <w:br/>
        <w:t>One of the most compelling options is to adaptively reuse Bristol's heritage assets. The city's ancient structures, notably those along the waterfront and in the city centre, provide unexplored opportunities for mixed-use redevelopment. Bristol can retain its architectural legacy while satisfying modern urban needs by transforming vacant warehouses and industrial buildings into vibrant locations for cultural activities, residential living, and commercial enterprises. This method preserves the city's cultural and historical identity while still adhering to principles of sustainable development. Preserving existing structures reduces the carbon footprint of demolition and reconstruction while also minimising construction waste. According to Bullen and Love (2010), adaptive reuse is a sustainable alternative to new construction that efficiently balances historical integrity and current utility.</w:t>
      </w:r>
      <w:r w:rsidRPr="00CC32FA">
        <w:rPr>
          <w:rFonts w:ascii="Arial" w:hAnsi="Arial" w:cs="Arial"/>
        </w:rPr>
        <w:br/>
        <w:t xml:space="preserve">Adaptive reuse projects necessitate a collaborative effort. Early interaction with heritage conservation groups, community organisations, and developers is critical for ensuring that redevelopment respects the historical setting while including modern facilities. Public-private partnerships can offer the necessary financial and technical resources to make these projects commercially viable. Furthermore, introducing green technologies into retrofit projects, such as energy-efficient lighting, renewable energy sources, and sustainable building materials, can improve the development's </w:t>
      </w:r>
      <w:r w:rsidRPr="00CC32FA">
        <w:rPr>
          <w:rFonts w:ascii="Arial" w:hAnsi="Arial" w:cs="Arial"/>
        </w:rPr>
        <w:lastRenderedPageBreak/>
        <w:t>environmental performance. Adaptive reuse of heritage assets provides a model for economic sustainability, social inclusion, and environmental responsibility.</w:t>
      </w:r>
      <w:r w:rsidRPr="00CC32FA">
        <w:rPr>
          <w:rFonts w:ascii="Arial" w:hAnsi="Arial" w:cs="Arial"/>
        </w:rPr>
        <w:br/>
        <w:t>Another important regeneration potential for Bristol is to expand green infrastructure and improve urban connectedness. As cities around the world deal with the difficulties of climate change and urban sprawl, investing in green infrastructure has become a top concern. In Bristol, this entails creating an integrated network of green corridors, bike paths, pedestrian pathways and sustainable public transport linkages that connect the city's neighbourhoods. This initiative would not only reduce dependency on private vehicles and carbon emissions, but it would also encourage physical exercise and boost public health.</w:t>
      </w:r>
      <w:r w:rsidRPr="00CC32FA">
        <w:rPr>
          <w:rFonts w:ascii="Arial" w:hAnsi="Arial" w:cs="Arial"/>
        </w:rPr>
        <w:br/>
        <w:t xml:space="preserve">Green infrastructure projects have the potential to turn underutilised urban landscapes into dynamic community assets. For example, transforming abandoned industrial sites or vacant lots into parks, community gardens, or urban woodlands can offer additional recreational places while also improving biodiversity. These green lanes would provide crucial connections between residential regions, commercial centres, and cultural hubs, making the city more walkable and minimising traffic congestion. According to Beatley (2012), green urbanism is about building </w:t>
      </w:r>
      <w:r w:rsidRPr="00CC32FA">
        <w:rPr>
          <w:rFonts w:ascii="Arial" w:hAnsi="Arial" w:cs="Arial"/>
        </w:rPr>
        <w:t>liveable</w:t>
      </w:r>
      <w:r w:rsidRPr="00CC32FA">
        <w:rPr>
          <w:rFonts w:ascii="Arial" w:hAnsi="Arial" w:cs="Arial"/>
        </w:rPr>
        <w:t>, resilient cities that prioritise environmental sustainability and quality of life. By incorporating sustainable transit alternatives and natural areas into the urban fabric, Bristol can improve connection, minimise environmental impact, and build a better sense of belonging.</w:t>
      </w:r>
      <w:r w:rsidRPr="00CC32FA">
        <w:rPr>
          <w:rFonts w:ascii="Arial" w:hAnsi="Arial" w:cs="Arial"/>
        </w:rPr>
        <w:br/>
        <w:t xml:space="preserve">The success of green infrastructure programs is dependent on a multifaceted approach that combines careful planning, community participation, and strong policy support. To build a seamless mobility system, investments in bicycle and pedestrian infrastructure should be supplemented by enhancements to public transport. </w:t>
      </w:r>
      <w:r w:rsidRPr="00CC32FA">
        <w:rPr>
          <w:rFonts w:ascii="Arial" w:hAnsi="Arial" w:cs="Arial"/>
        </w:rPr>
        <w:lastRenderedPageBreak/>
        <w:t>Engaging local communities in the creation and upkeep of these green spaces ensures that they suit resident requirements while also reflecting local cultural values. These projects can be funded with regional development grants, sustainable urban funds, and innovative public-private partnerships. Policy measures incentivising sustainable transportation and urban greening are also required to foster widespread adoption of these activities.</w:t>
      </w:r>
      <w:r w:rsidRPr="00CC32FA">
        <w:rPr>
          <w:rFonts w:ascii="Arial" w:hAnsi="Arial" w:cs="Arial"/>
        </w:rPr>
        <w:br/>
        <w:t>A third viable path for regeneration in Bristol is the formation of innovation hubs that promote community-led economic development. As the city transitions from conventional industry to a knowledge-based economy, innovation clusters can function as economic growth drivers. These hubs would provide cutting-edge facilities for startups, digital firms, and creative industries, as well as training programs and skill development efforts for locals. Bristol can achieve inclusive economic growth that benefits all sectors of the society by encouraging an entrepreneurial and innovative culture.</w:t>
      </w:r>
      <w:r w:rsidRPr="00CC32FA">
        <w:rPr>
          <w:rFonts w:ascii="Arial" w:hAnsi="Arial" w:cs="Arial"/>
        </w:rPr>
        <w:br/>
        <w:t>Bristol's metropolitan environment, which combines academic quality, artistic talent, and technology innovation, lends itself particularly well to innovation clusters. The presence of world-class universities and research institutions creates an ideal environment for collaboration among academia, industry, and the public. These centres can serve as incubators for new ideas, promoting the development of cutting-edge technologies and creative enterprises that help to diversify the city's economy. Richard Florida's work on the creative class (Florida, 2012) emphasises the role of such hubs in promoting urban regeneration by recruiting talent, fostering innovation, and generating lively, dynamic urban centres.</w:t>
      </w:r>
      <w:r w:rsidRPr="00CC32FA">
        <w:rPr>
          <w:rFonts w:ascii="Arial" w:hAnsi="Arial" w:cs="Arial"/>
        </w:rPr>
        <w:br/>
        <w:t xml:space="preserve">To develop successful innovation hubs, flexible workspaces that can support a wide range of uses, from co-working spaces and digital labs to community meeting areas </w:t>
      </w:r>
      <w:r w:rsidRPr="00CC32FA">
        <w:rPr>
          <w:rFonts w:ascii="Arial" w:hAnsi="Arial" w:cs="Arial"/>
        </w:rPr>
        <w:lastRenderedPageBreak/>
        <w:t>and training centres, are required. Partnerships with academic institutions can help to spread ideas and provide access to research and development resources. Furthermore, incorporating sustainable building methods and green technologies into the design and operation of these hubs can serve as a powerful example of ecologically responsible development. Community engagement is also important; by providing local individuals with access to training and employment possibilities, innovation hubs can help overcome socioeconomic divides and empower communities.</w:t>
      </w:r>
    </w:p>
    <w:p w14:paraId="0A34B987" w14:textId="77777777" w:rsidR="00CC32FA" w:rsidRDefault="00CC32FA" w:rsidP="00CC32FA">
      <w:pPr>
        <w:spacing w:line="480" w:lineRule="auto"/>
        <w:rPr>
          <w:rFonts w:ascii="Arial Black" w:hAnsi="Arial Black" w:cs="Arial"/>
        </w:rPr>
      </w:pPr>
      <w:r w:rsidRPr="00CC32FA">
        <w:rPr>
          <w:rFonts w:ascii="Arial" w:hAnsi="Arial" w:cs="Arial"/>
        </w:rPr>
        <w:br/>
      </w:r>
      <w:r w:rsidRPr="00CC32FA">
        <w:rPr>
          <w:rFonts w:ascii="Arial Black" w:hAnsi="Arial Black" w:cs="Arial"/>
        </w:rPr>
        <w:t>Conclusion</w:t>
      </w:r>
    </w:p>
    <w:p w14:paraId="08C59FEA" w14:textId="23BE2BD6" w:rsidR="00CC32FA" w:rsidRDefault="00CC32FA" w:rsidP="00CC32FA">
      <w:pPr>
        <w:spacing w:line="480" w:lineRule="auto"/>
        <w:rPr>
          <w:rFonts w:ascii="Arial" w:hAnsi="Arial" w:cs="Arial"/>
        </w:rPr>
      </w:pPr>
      <w:r w:rsidRPr="00CC32FA">
        <w:rPr>
          <w:rFonts w:ascii="Arial Black" w:hAnsi="Arial Black" w:cs="Arial"/>
        </w:rPr>
        <w:br/>
      </w:r>
      <w:r w:rsidRPr="00CC32FA">
        <w:rPr>
          <w:rFonts w:ascii="Arial" w:hAnsi="Arial" w:cs="Arial"/>
        </w:rPr>
        <w:t>Bristol's transformation from an industrial powerhouse to a modern hub of innovation and technology demonstrates the city's durability and adaptability. The change has been aided by a rich tapestry of cultural, educational, and infrastructure assets, as well as proactive policies and a dedication to sustainability. However, difficulties such as geographical inequality, environmental degradation, and economic transition remain, needing novel ways to regeneration.</w:t>
      </w:r>
      <w:r w:rsidRPr="00CC32FA">
        <w:rPr>
          <w:rFonts w:ascii="Arial" w:hAnsi="Arial" w:cs="Arial"/>
        </w:rPr>
        <w:br/>
        <w:t>The recommendations presented here</w:t>
      </w:r>
      <w:r>
        <w:rPr>
          <w:rFonts w:ascii="Arial" w:hAnsi="Arial" w:cs="Arial"/>
        </w:rPr>
        <w:t xml:space="preserve"> </w:t>
      </w:r>
      <w:r w:rsidRPr="00CC32FA">
        <w:rPr>
          <w:rFonts w:ascii="Arial" w:hAnsi="Arial" w:cs="Arial"/>
        </w:rPr>
        <w:t>adaptive reuse of heritage assets, increased green infrastructure and urban connectedness, and the establishment of innovation hubs</w:t>
      </w:r>
      <w:r>
        <w:rPr>
          <w:rFonts w:ascii="Arial" w:hAnsi="Arial" w:cs="Arial"/>
        </w:rPr>
        <w:t xml:space="preserve"> </w:t>
      </w:r>
      <w:r w:rsidRPr="00CC32FA">
        <w:rPr>
          <w:rFonts w:ascii="Arial" w:hAnsi="Arial" w:cs="Arial"/>
        </w:rPr>
        <w:t xml:space="preserve">form a holistic approach for long-term revitalisation. These projects are heavily founded in contemporary urban theory, such as the triple bottom line framework (Elkington, 1997), smart growth principles, and the concept of adaptive reuse (Bullen and Love, 2010). Each concept is intended not simply to revitalise underutilised urban spaces, but also to guarantee that regeneration is inclusive, environmentally </w:t>
      </w:r>
      <w:r w:rsidRPr="00CC32FA">
        <w:rPr>
          <w:rFonts w:ascii="Arial" w:hAnsi="Arial" w:cs="Arial"/>
        </w:rPr>
        <w:lastRenderedPageBreak/>
        <w:t>responsible, and financially feasible.</w:t>
      </w:r>
      <w:r w:rsidRPr="00CC32FA">
        <w:rPr>
          <w:rFonts w:ascii="Arial" w:hAnsi="Arial" w:cs="Arial"/>
        </w:rPr>
        <w:br/>
        <w:t>Local government, regional agencies, community organisations, commercial investors, and academic institutions will all have to work together to put these initiatives into action. The success of these projects depends on a collaborative approach that emphasises stakeholder involvement, public-private partnerships, and community participation. With careful planning and continuous investment, Bristol can turn its urban issues into possibilities for growth and rebirth.</w:t>
      </w:r>
      <w:r w:rsidRPr="00CC32FA">
        <w:rPr>
          <w:rFonts w:ascii="Arial" w:hAnsi="Arial" w:cs="Arial"/>
        </w:rPr>
        <w:br/>
        <w:t xml:space="preserve">In conclusion, Bristol's future depends on its capacity to blend the past and the present, harnessing historical assets while embracing modern innovation. The city may continue to transform into a resilient, lively, and sustainable urban centre by promoting adaptive reuse, extending green infrastructure, and encouraging innovation centres. These regeneration initiatives not only build on Bristol's rich legacy and economic </w:t>
      </w:r>
      <w:r w:rsidRPr="00CC32FA">
        <w:rPr>
          <w:rFonts w:ascii="Arial" w:hAnsi="Arial" w:cs="Arial"/>
        </w:rPr>
        <w:t>variety but</w:t>
      </w:r>
      <w:r w:rsidRPr="00CC32FA">
        <w:rPr>
          <w:rFonts w:ascii="Arial" w:hAnsi="Arial" w:cs="Arial"/>
        </w:rPr>
        <w:t xml:space="preserve"> also serve as a model for sustainable urban development in the twenty-first century. Bristol is well-positioned to tackle future problems through strategic planning, strong collaborations, and a dedication to sustainability, all while ensuring that regeneration benefits all inhabitants, resulting in a more inclusive and environmentally sound urban landscape.</w:t>
      </w:r>
    </w:p>
    <w:p w14:paraId="2EBAAF77" w14:textId="77777777" w:rsidR="00BA6E74" w:rsidRDefault="00BA6E74" w:rsidP="00CC32FA">
      <w:pPr>
        <w:spacing w:line="480" w:lineRule="auto"/>
        <w:rPr>
          <w:rFonts w:ascii="Arial" w:hAnsi="Arial" w:cs="Arial"/>
        </w:rPr>
      </w:pPr>
    </w:p>
    <w:p w14:paraId="162C72C7" w14:textId="77777777" w:rsidR="00BA6E74" w:rsidRDefault="00BA6E74" w:rsidP="00CC32FA">
      <w:pPr>
        <w:spacing w:line="480" w:lineRule="auto"/>
        <w:rPr>
          <w:rFonts w:ascii="Arial" w:hAnsi="Arial" w:cs="Arial"/>
        </w:rPr>
      </w:pPr>
    </w:p>
    <w:p w14:paraId="10CEC5B7" w14:textId="77777777" w:rsidR="00BA6E74" w:rsidRDefault="00BA6E74" w:rsidP="00CC32FA">
      <w:pPr>
        <w:spacing w:line="480" w:lineRule="auto"/>
        <w:rPr>
          <w:rFonts w:ascii="Arial" w:hAnsi="Arial" w:cs="Arial"/>
        </w:rPr>
      </w:pPr>
    </w:p>
    <w:p w14:paraId="4378C98B" w14:textId="77777777" w:rsidR="00BA6E74" w:rsidRDefault="00BA6E74" w:rsidP="00CC32FA">
      <w:pPr>
        <w:spacing w:line="480" w:lineRule="auto"/>
        <w:rPr>
          <w:rFonts w:ascii="Arial" w:hAnsi="Arial" w:cs="Arial"/>
        </w:rPr>
      </w:pPr>
    </w:p>
    <w:p w14:paraId="15CEC01D" w14:textId="77777777" w:rsidR="00BA6E74" w:rsidRDefault="00BA6E74" w:rsidP="00CC32FA">
      <w:pPr>
        <w:spacing w:line="480" w:lineRule="auto"/>
        <w:rPr>
          <w:rFonts w:ascii="Arial" w:hAnsi="Arial" w:cs="Arial"/>
        </w:rPr>
      </w:pPr>
    </w:p>
    <w:p w14:paraId="09C57BB7" w14:textId="77777777" w:rsidR="00BA6E74" w:rsidRDefault="00BA6E74" w:rsidP="00CC32FA">
      <w:pPr>
        <w:spacing w:line="480" w:lineRule="auto"/>
        <w:rPr>
          <w:rFonts w:ascii="Arial" w:hAnsi="Arial" w:cs="Arial"/>
        </w:rPr>
      </w:pPr>
    </w:p>
    <w:p w14:paraId="2932EA93" w14:textId="077F70A9" w:rsidR="00BA6E74" w:rsidRPr="00D625D8" w:rsidRDefault="00BA6E74" w:rsidP="00CC32FA">
      <w:pPr>
        <w:spacing w:line="480" w:lineRule="auto"/>
        <w:rPr>
          <w:rFonts w:ascii="Arial Black" w:hAnsi="Arial Black" w:cs="Arial"/>
        </w:rPr>
      </w:pPr>
      <w:r w:rsidRPr="00D625D8">
        <w:rPr>
          <w:rFonts w:ascii="Arial Black" w:hAnsi="Arial Black" w:cs="Arial"/>
        </w:rPr>
        <w:lastRenderedPageBreak/>
        <w:t xml:space="preserve">References </w:t>
      </w:r>
    </w:p>
    <w:p w14:paraId="2237AE00" w14:textId="77777777" w:rsidR="00D625D8" w:rsidRPr="00D625D8" w:rsidRDefault="00D625D8" w:rsidP="00D625D8">
      <w:pPr>
        <w:spacing w:line="480" w:lineRule="auto"/>
        <w:rPr>
          <w:rFonts w:ascii="Arial" w:hAnsi="Arial" w:cs="Arial"/>
        </w:rPr>
      </w:pPr>
      <w:r w:rsidRPr="00D625D8">
        <w:rPr>
          <w:rFonts w:ascii="Arial" w:hAnsi="Arial" w:cs="Arial"/>
        </w:rPr>
        <w:t xml:space="preserve">Beatley, T. (2012). </w:t>
      </w:r>
      <w:r w:rsidRPr="00D625D8">
        <w:rPr>
          <w:rFonts w:ascii="Arial" w:hAnsi="Arial" w:cs="Arial"/>
          <w:i/>
          <w:iCs/>
        </w:rPr>
        <w:t>Green urbanism: Learning from European cities</w:t>
      </w:r>
      <w:r w:rsidRPr="00D625D8">
        <w:rPr>
          <w:rFonts w:ascii="Arial" w:hAnsi="Arial" w:cs="Arial"/>
        </w:rPr>
        <w:t>. Island Press.</w:t>
      </w:r>
    </w:p>
    <w:p w14:paraId="1F69FD3E" w14:textId="77777777" w:rsidR="00D625D8" w:rsidRPr="00D625D8" w:rsidRDefault="00D625D8" w:rsidP="00D625D8">
      <w:pPr>
        <w:spacing w:line="480" w:lineRule="auto"/>
        <w:rPr>
          <w:rFonts w:ascii="Arial" w:hAnsi="Arial" w:cs="Arial"/>
        </w:rPr>
      </w:pPr>
      <w:r w:rsidRPr="00D625D8">
        <w:rPr>
          <w:rFonts w:ascii="Arial" w:hAnsi="Arial" w:cs="Arial"/>
        </w:rPr>
        <w:t xml:space="preserve">Bullen, P. A., &amp; Love, P. E. D. (2010). The rhetoric of adaptive reuse or reality of demolition: Views from the field. </w:t>
      </w:r>
      <w:r w:rsidRPr="00D625D8">
        <w:rPr>
          <w:rFonts w:ascii="Arial" w:hAnsi="Arial" w:cs="Arial"/>
          <w:i/>
          <w:iCs/>
        </w:rPr>
        <w:t>Cities, 27</w:t>
      </w:r>
      <w:r w:rsidRPr="00D625D8">
        <w:rPr>
          <w:rFonts w:ascii="Arial" w:hAnsi="Arial" w:cs="Arial"/>
        </w:rPr>
        <w:t>(4), 215–224.</w:t>
      </w:r>
    </w:p>
    <w:p w14:paraId="4FF746C3" w14:textId="4CEAB86C" w:rsidR="00D625D8" w:rsidRDefault="00D625D8" w:rsidP="00D625D8">
      <w:pPr>
        <w:spacing w:line="480" w:lineRule="auto"/>
        <w:rPr>
          <w:rFonts w:ascii="Arial" w:hAnsi="Arial" w:cs="Arial"/>
        </w:rPr>
      </w:pPr>
      <w:r w:rsidRPr="00D625D8">
        <w:rPr>
          <w:rFonts w:ascii="Arial" w:hAnsi="Arial" w:cs="Arial"/>
        </w:rPr>
        <w:t xml:space="preserve">Bristol City Council. (2023). </w:t>
      </w:r>
      <w:r w:rsidRPr="00D625D8">
        <w:rPr>
          <w:rFonts w:ascii="Arial" w:hAnsi="Arial" w:cs="Arial"/>
          <w:i/>
          <w:iCs/>
        </w:rPr>
        <w:t>Bristol Local Plan 2030</w:t>
      </w:r>
      <w:r w:rsidRPr="00D625D8">
        <w:rPr>
          <w:rFonts w:ascii="Arial" w:hAnsi="Arial" w:cs="Arial"/>
        </w:rPr>
        <w:t xml:space="preserve">. Retrieved from </w:t>
      </w:r>
      <w:hyperlink r:id="rId6" w:history="1">
        <w:r w:rsidRPr="00C357B5">
          <w:rPr>
            <w:rStyle w:val="Hyperlink"/>
            <w:rFonts w:ascii="Arial" w:hAnsi="Arial" w:cs="Arial"/>
          </w:rPr>
          <w:t>https://www.bristol.gov.uk</w:t>
        </w:r>
      </w:hyperlink>
    </w:p>
    <w:p w14:paraId="7DE9E987" w14:textId="1EEB9D1E" w:rsidR="00D625D8" w:rsidRPr="00D625D8" w:rsidRDefault="00D625D8" w:rsidP="00D625D8">
      <w:pPr>
        <w:spacing w:line="480" w:lineRule="auto"/>
        <w:rPr>
          <w:rFonts w:ascii="Arial" w:hAnsi="Arial" w:cs="Arial"/>
        </w:rPr>
      </w:pPr>
      <w:r w:rsidRPr="00D625D8">
        <w:rPr>
          <w:rFonts w:ascii="Arial" w:hAnsi="Arial" w:cs="Arial"/>
        </w:rPr>
        <w:t xml:space="preserve">Bristol Green Futures. (2023). </w:t>
      </w:r>
      <w:r w:rsidRPr="00D625D8">
        <w:rPr>
          <w:rFonts w:ascii="Arial" w:hAnsi="Arial" w:cs="Arial"/>
          <w:i/>
          <w:iCs/>
        </w:rPr>
        <w:t>Sustainability initiatives in Bristol</w:t>
      </w:r>
      <w:r w:rsidRPr="00D625D8">
        <w:rPr>
          <w:rFonts w:ascii="Arial" w:hAnsi="Arial" w:cs="Arial"/>
        </w:rPr>
        <w:t>. Bristol Green Futures Report.</w:t>
      </w:r>
    </w:p>
    <w:p w14:paraId="492D477E" w14:textId="77777777" w:rsidR="00D625D8" w:rsidRPr="00D625D8" w:rsidRDefault="00D625D8" w:rsidP="00D625D8">
      <w:pPr>
        <w:spacing w:line="480" w:lineRule="auto"/>
        <w:rPr>
          <w:rFonts w:ascii="Arial" w:hAnsi="Arial" w:cs="Arial"/>
        </w:rPr>
      </w:pPr>
      <w:r w:rsidRPr="00D625D8">
        <w:rPr>
          <w:rFonts w:ascii="Arial" w:hAnsi="Arial" w:cs="Arial"/>
        </w:rPr>
        <w:t xml:space="preserve">Bristol Innovation and Growth Partnership. (2023). </w:t>
      </w:r>
      <w:r w:rsidRPr="00D625D8">
        <w:rPr>
          <w:rFonts w:ascii="Arial" w:hAnsi="Arial" w:cs="Arial"/>
          <w:i/>
          <w:iCs/>
        </w:rPr>
        <w:t>Annual economic review</w:t>
      </w:r>
      <w:r w:rsidRPr="00D625D8">
        <w:rPr>
          <w:rFonts w:ascii="Arial" w:hAnsi="Arial" w:cs="Arial"/>
        </w:rPr>
        <w:t>. Bristol IG Partnership Publications.</w:t>
      </w:r>
    </w:p>
    <w:p w14:paraId="0845111D" w14:textId="77777777" w:rsidR="00D625D8" w:rsidRPr="00D625D8" w:rsidRDefault="00D625D8" w:rsidP="00D625D8">
      <w:pPr>
        <w:spacing w:line="480" w:lineRule="auto"/>
        <w:rPr>
          <w:rFonts w:ascii="Arial" w:hAnsi="Arial" w:cs="Arial"/>
        </w:rPr>
      </w:pPr>
      <w:r w:rsidRPr="00D625D8">
        <w:rPr>
          <w:rFonts w:ascii="Arial" w:hAnsi="Arial" w:cs="Arial"/>
        </w:rPr>
        <w:t xml:space="preserve">Department for Levelling Up, Housing and Communities. (2023). </w:t>
      </w:r>
      <w:r w:rsidRPr="00D625D8">
        <w:rPr>
          <w:rFonts w:ascii="Arial" w:hAnsi="Arial" w:cs="Arial"/>
          <w:i/>
          <w:iCs/>
        </w:rPr>
        <w:t>Regional development strategies</w:t>
      </w:r>
      <w:r w:rsidRPr="00D625D8">
        <w:rPr>
          <w:rFonts w:ascii="Arial" w:hAnsi="Arial" w:cs="Arial"/>
        </w:rPr>
        <w:t>. UK Government Publications.</w:t>
      </w:r>
    </w:p>
    <w:p w14:paraId="2315D688" w14:textId="77777777" w:rsidR="00D625D8" w:rsidRPr="00D625D8" w:rsidRDefault="00D625D8" w:rsidP="00D625D8">
      <w:pPr>
        <w:spacing w:line="480" w:lineRule="auto"/>
        <w:rPr>
          <w:rFonts w:ascii="Arial" w:hAnsi="Arial" w:cs="Arial"/>
        </w:rPr>
      </w:pPr>
      <w:r w:rsidRPr="00D625D8">
        <w:rPr>
          <w:rFonts w:ascii="Arial" w:hAnsi="Arial" w:cs="Arial"/>
        </w:rPr>
        <w:t xml:space="preserve">Elkington, J. (1997). </w:t>
      </w:r>
      <w:r w:rsidRPr="00D625D8">
        <w:rPr>
          <w:rFonts w:ascii="Arial" w:hAnsi="Arial" w:cs="Arial"/>
          <w:i/>
          <w:iCs/>
        </w:rPr>
        <w:t>Cannibals with forks: The triple bottom line of 21st century business.</w:t>
      </w:r>
      <w:r w:rsidRPr="00D625D8">
        <w:rPr>
          <w:rFonts w:ascii="Arial" w:hAnsi="Arial" w:cs="Arial"/>
        </w:rPr>
        <w:t xml:space="preserve"> Capstone.</w:t>
      </w:r>
    </w:p>
    <w:p w14:paraId="360B85BB" w14:textId="77777777" w:rsidR="00D625D8" w:rsidRPr="00D625D8" w:rsidRDefault="00D625D8" w:rsidP="00D625D8">
      <w:pPr>
        <w:spacing w:line="480" w:lineRule="auto"/>
        <w:rPr>
          <w:rFonts w:ascii="Arial" w:hAnsi="Arial" w:cs="Arial"/>
        </w:rPr>
      </w:pPr>
      <w:r w:rsidRPr="00D625D8">
        <w:rPr>
          <w:rFonts w:ascii="Arial" w:hAnsi="Arial" w:cs="Arial"/>
        </w:rPr>
        <w:t xml:space="preserve">Florida, R. (2012). </w:t>
      </w:r>
      <w:r w:rsidRPr="00D625D8">
        <w:rPr>
          <w:rFonts w:ascii="Arial" w:hAnsi="Arial" w:cs="Arial"/>
          <w:i/>
          <w:iCs/>
        </w:rPr>
        <w:t>The rise of the creative class</w:t>
      </w:r>
      <w:r w:rsidRPr="00D625D8">
        <w:rPr>
          <w:rFonts w:ascii="Arial" w:hAnsi="Arial" w:cs="Arial"/>
        </w:rPr>
        <w:t>, revisited. Basic Books.</w:t>
      </w:r>
    </w:p>
    <w:p w14:paraId="318B7972" w14:textId="77777777" w:rsidR="00D625D8" w:rsidRPr="00D625D8" w:rsidRDefault="00D625D8" w:rsidP="00D625D8">
      <w:pPr>
        <w:spacing w:line="480" w:lineRule="auto"/>
        <w:rPr>
          <w:rFonts w:ascii="Arial" w:hAnsi="Arial" w:cs="Arial"/>
        </w:rPr>
      </w:pPr>
      <w:r w:rsidRPr="00D625D8">
        <w:rPr>
          <w:rFonts w:ascii="Arial" w:hAnsi="Arial" w:cs="Arial"/>
        </w:rPr>
        <w:t xml:space="preserve">Jones, A. (2023). Heritage and urban regeneration in Bristol: Challenges and opportunities. </w:t>
      </w:r>
      <w:r w:rsidRPr="00D625D8">
        <w:rPr>
          <w:rFonts w:ascii="Arial" w:hAnsi="Arial" w:cs="Arial"/>
          <w:i/>
          <w:iCs/>
        </w:rPr>
        <w:t>Urban Studies Journal, 60(</w:t>
      </w:r>
      <w:r w:rsidRPr="00D625D8">
        <w:rPr>
          <w:rFonts w:ascii="Arial" w:hAnsi="Arial" w:cs="Arial"/>
        </w:rPr>
        <w:t>1), 45–67.</w:t>
      </w:r>
    </w:p>
    <w:p w14:paraId="08DD8A9B" w14:textId="77777777" w:rsidR="00D625D8" w:rsidRPr="00D625D8" w:rsidRDefault="00D625D8" w:rsidP="00D625D8">
      <w:pPr>
        <w:spacing w:line="480" w:lineRule="auto"/>
        <w:rPr>
          <w:rFonts w:ascii="Arial" w:hAnsi="Arial" w:cs="Arial"/>
        </w:rPr>
      </w:pPr>
      <w:r w:rsidRPr="00D625D8">
        <w:rPr>
          <w:rFonts w:ascii="Arial" w:hAnsi="Arial" w:cs="Arial"/>
        </w:rPr>
        <w:t xml:space="preserve">Smith, J., &amp; Taylor, R. (2022). From industry to innovation: Economic transformation in Bristol. </w:t>
      </w:r>
      <w:r w:rsidRPr="00D625D8">
        <w:rPr>
          <w:rFonts w:ascii="Arial" w:hAnsi="Arial" w:cs="Arial"/>
          <w:i/>
          <w:iCs/>
        </w:rPr>
        <w:t>Economic Geography, 98</w:t>
      </w:r>
      <w:r w:rsidRPr="00D625D8">
        <w:rPr>
          <w:rFonts w:ascii="Arial" w:hAnsi="Arial" w:cs="Arial"/>
        </w:rPr>
        <w:t>(2), 112–130.</w:t>
      </w:r>
    </w:p>
    <w:p w14:paraId="46C6A541" w14:textId="2673E1E7" w:rsidR="00D625D8" w:rsidRDefault="00D625D8" w:rsidP="00D625D8">
      <w:pPr>
        <w:spacing w:line="480" w:lineRule="auto"/>
        <w:rPr>
          <w:rFonts w:ascii="Arial" w:hAnsi="Arial" w:cs="Arial"/>
        </w:rPr>
      </w:pPr>
      <w:r w:rsidRPr="00D625D8">
        <w:rPr>
          <w:rFonts w:ascii="Arial" w:hAnsi="Arial" w:cs="Arial"/>
        </w:rPr>
        <w:t xml:space="preserve">West of England Combined Authority. (2023). </w:t>
      </w:r>
      <w:r w:rsidRPr="00D625D8">
        <w:rPr>
          <w:rFonts w:ascii="Arial" w:hAnsi="Arial" w:cs="Arial"/>
          <w:i/>
          <w:iCs/>
        </w:rPr>
        <w:t>Joint local plan: A strategy for sustainable growth.</w:t>
      </w:r>
      <w:r w:rsidRPr="00D625D8">
        <w:rPr>
          <w:rFonts w:ascii="Arial" w:hAnsi="Arial" w:cs="Arial"/>
        </w:rPr>
        <w:t xml:space="preserve"> Retrieved from </w:t>
      </w:r>
      <w:hyperlink r:id="rId7" w:history="1">
        <w:r w:rsidRPr="00C357B5">
          <w:rPr>
            <w:rStyle w:val="Hyperlink"/>
            <w:rFonts w:ascii="Arial" w:hAnsi="Arial" w:cs="Arial"/>
          </w:rPr>
          <w:t>https://www.we-cta.org.uk</w:t>
        </w:r>
      </w:hyperlink>
    </w:p>
    <w:p w14:paraId="3FA3115B" w14:textId="52C410D5" w:rsidR="00D625D8" w:rsidRDefault="00D625D8" w:rsidP="00D625D8">
      <w:pPr>
        <w:spacing w:line="480" w:lineRule="auto"/>
        <w:rPr>
          <w:rFonts w:ascii="Arial" w:hAnsi="Arial" w:cs="Arial"/>
        </w:rPr>
      </w:pPr>
      <w:r w:rsidRPr="00D625D8">
        <w:rPr>
          <w:rFonts w:ascii="Arial" w:hAnsi="Arial" w:cs="Arial"/>
        </w:rPr>
        <w:lastRenderedPageBreak/>
        <w:t xml:space="preserve">Williams, H., &amp; Thompson, L. (2021). Sustainable urban development in the UK: The case of Bristol. </w:t>
      </w:r>
      <w:r w:rsidRPr="00D625D8">
        <w:rPr>
          <w:rFonts w:ascii="Arial" w:hAnsi="Arial" w:cs="Arial"/>
          <w:i/>
          <w:iCs/>
        </w:rPr>
        <w:t>Journal of Urban Planning and Development, 147</w:t>
      </w:r>
      <w:r w:rsidRPr="00D625D8">
        <w:rPr>
          <w:rFonts w:ascii="Arial" w:hAnsi="Arial" w:cs="Arial"/>
        </w:rPr>
        <w:t>(3), 04021028.</w:t>
      </w:r>
    </w:p>
    <w:p w14:paraId="2775E59B" w14:textId="2BECFB7C" w:rsidR="00BA6E74" w:rsidRDefault="00D625D8" w:rsidP="00CC32FA">
      <w:pPr>
        <w:spacing w:line="480" w:lineRule="auto"/>
        <w:rPr>
          <w:rFonts w:ascii="Arial" w:hAnsi="Arial" w:cs="Arial"/>
        </w:rPr>
      </w:pPr>
      <w:hyperlink r:id="rId8" w:history="1">
        <w:r w:rsidRPr="00C357B5">
          <w:rPr>
            <w:rStyle w:val="Hyperlink"/>
            <w:rFonts w:ascii="Arial" w:hAnsi="Arial" w:cs="Arial"/>
          </w:rPr>
          <w:t>https://www.geographysouthwest.co.uk/wp-content/uploads/2022/07/Urban-Regeneration-in-Bristol-GSW-June-2022.pdf</w:t>
        </w:r>
      </w:hyperlink>
    </w:p>
    <w:p w14:paraId="5A83FAB6" w14:textId="77777777" w:rsidR="00BA6E74" w:rsidRDefault="00BA6E74" w:rsidP="00CC32FA">
      <w:pPr>
        <w:spacing w:line="480" w:lineRule="auto"/>
        <w:rPr>
          <w:rFonts w:ascii="Arial" w:hAnsi="Arial" w:cs="Arial"/>
        </w:rPr>
      </w:pPr>
    </w:p>
    <w:p w14:paraId="631DC0EF" w14:textId="77777777" w:rsidR="00BA6E74" w:rsidRPr="00CC32FA" w:rsidRDefault="00BA6E74" w:rsidP="00CC32FA">
      <w:pPr>
        <w:spacing w:line="480" w:lineRule="auto"/>
        <w:rPr>
          <w:rFonts w:ascii="Arial" w:hAnsi="Arial" w:cs="Arial"/>
        </w:rPr>
      </w:pPr>
    </w:p>
    <w:p w14:paraId="35DD1D12" w14:textId="77777777" w:rsidR="00E94A0C" w:rsidRPr="00E94A0C" w:rsidRDefault="00E94A0C" w:rsidP="00E94A0C">
      <w:pPr>
        <w:spacing w:line="480" w:lineRule="auto"/>
        <w:rPr>
          <w:rFonts w:ascii="Arial" w:hAnsi="Arial" w:cs="Arial"/>
        </w:rPr>
      </w:pPr>
    </w:p>
    <w:p w14:paraId="5567DFDA" w14:textId="77777777" w:rsidR="00807FDF" w:rsidRPr="00807FDF" w:rsidRDefault="00807FDF" w:rsidP="00807FDF">
      <w:pPr>
        <w:spacing w:line="480" w:lineRule="auto"/>
        <w:rPr>
          <w:rFonts w:ascii="Arial" w:hAnsi="Arial" w:cs="Arial"/>
        </w:rPr>
      </w:pPr>
    </w:p>
    <w:sectPr w:rsidR="00807FDF" w:rsidRPr="00807FDF" w:rsidSect="00D625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BC975" w14:textId="77777777" w:rsidR="0098689C" w:rsidRDefault="0098689C" w:rsidP="00CC32FA">
      <w:pPr>
        <w:spacing w:after="0" w:line="240" w:lineRule="auto"/>
      </w:pPr>
      <w:r>
        <w:separator/>
      </w:r>
    </w:p>
  </w:endnote>
  <w:endnote w:type="continuationSeparator" w:id="0">
    <w:p w14:paraId="3BDD0731" w14:textId="77777777" w:rsidR="0098689C" w:rsidRDefault="0098689C" w:rsidP="00CC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433038"/>
      <w:docPartObj>
        <w:docPartGallery w:val="Page Numbers (Bottom of Page)"/>
        <w:docPartUnique/>
      </w:docPartObj>
    </w:sdtPr>
    <w:sdtEndPr>
      <w:rPr>
        <w:color w:val="7F7F7F" w:themeColor="background1" w:themeShade="7F"/>
        <w:spacing w:val="60"/>
      </w:rPr>
    </w:sdtEndPr>
    <w:sdtContent>
      <w:p w14:paraId="65ACDF20" w14:textId="68380E4F" w:rsidR="00CC32FA" w:rsidRDefault="00CC32F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9EC723" w14:textId="77777777" w:rsidR="00CC32FA" w:rsidRDefault="00CC3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5ACC1" w14:textId="77777777" w:rsidR="0098689C" w:rsidRDefault="0098689C" w:rsidP="00CC32FA">
      <w:pPr>
        <w:spacing w:after="0" w:line="240" w:lineRule="auto"/>
      </w:pPr>
      <w:r>
        <w:separator/>
      </w:r>
    </w:p>
  </w:footnote>
  <w:footnote w:type="continuationSeparator" w:id="0">
    <w:p w14:paraId="49B16208" w14:textId="77777777" w:rsidR="0098689C" w:rsidRDefault="0098689C" w:rsidP="00CC32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FDF"/>
    <w:rsid w:val="00807FDF"/>
    <w:rsid w:val="00921B9C"/>
    <w:rsid w:val="0098689C"/>
    <w:rsid w:val="00BA6E74"/>
    <w:rsid w:val="00CC32FA"/>
    <w:rsid w:val="00D625D8"/>
    <w:rsid w:val="00E94A0C"/>
    <w:rsid w:val="00FF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B553"/>
  <w15:chartTrackingRefBased/>
  <w15:docId w15:val="{21F051B4-5067-49EE-BB98-C6B7C4EE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FDF"/>
    <w:rPr>
      <w:rFonts w:eastAsiaTheme="majorEastAsia" w:cstheme="majorBidi"/>
      <w:color w:val="272727" w:themeColor="text1" w:themeTint="D8"/>
    </w:rPr>
  </w:style>
  <w:style w:type="paragraph" w:styleId="Title">
    <w:name w:val="Title"/>
    <w:basedOn w:val="Normal"/>
    <w:next w:val="Normal"/>
    <w:link w:val="TitleChar"/>
    <w:uiPriority w:val="10"/>
    <w:qFormat/>
    <w:rsid w:val="00807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FDF"/>
    <w:pPr>
      <w:spacing w:before="160"/>
      <w:jc w:val="center"/>
    </w:pPr>
    <w:rPr>
      <w:i/>
      <w:iCs/>
      <w:color w:val="404040" w:themeColor="text1" w:themeTint="BF"/>
    </w:rPr>
  </w:style>
  <w:style w:type="character" w:customStyle="1" w:styleId="QuoteChar">
    <w:name w:val="Quote Char"/>
    <w:basedOn w:val="DefaultParagraphFont"/>
    <w:link w:val="Quote"/>
    <w:uiPriority w:val="29"/>
    <w:rsid w:val="00807FDF"/>
    <w:rPr>
      <w:i/>
      <w:iCs/>
      <w:color w:val="404040" w:themeColor="text1" w:themeTint="BF"/>
    </w:rPr>
  </w:style>
  <w:style w:type="paragraph" w:styleId="ListParagraph">
    <w:name w:val="List Paragraph"/>
    <w:basedOn w:val="Normal"/>
    <w:uiPriority w:val="34"/>
    <w:qFormat/>
    <w:rsid w:val="00807FDF"/>
    <w:pPr>
      <w:ind w:left="720"/>
      <w:contextualSpacing/>
    </w:pPr>
  </w:style>
  <w:style w:type="character" w:styleId="IntenseEmphasis">
    <w:name w:val="Intense Emphasis"/>
    <w:basedOn w:val="DefaultParagraphFont"/>
    <w:uiPriority w:val="21"/>
    <w:qFormat/>
    <w:rsid w:val="00807FDF"/>
    <w:rPr>
      <w:i/>
      <w:iCs/>
      <w:color w:val="0F4761" w:themeColor="accent1" w:themeShade="BF"/>
    </w:rPr>
  </w:style>
  <w:style w:type="paragraph" w:styleId="IntenseQuote">
    <w:name w:val="Intense Quote"/>
    <w:basedOn w:val="Normal"/>
    <w:next w:val="Normal"/>
    <w:link w:val="IntenseQuoteChar"/>
    <w:uiPriority w:val="30"/>
    <w:qFormat/>
    <w:rsid w:val="00807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FDF"/>
    <w:rPr>
      <w:i/>
      <w:iCs/>
      <w:color w:val="0F4761" w:themeColor="accent1" w:themeShade="BF"/>
    </w:rPr>
  </w:style>
  <w:style w:type="character" w:styleId="IntenseReference">
    <w:name w:val="Intense Reference"/>
    <w:basedOn w:val="DefaultParagraphFont"/>
    <w:uiPriority w:val="32"/>
    <w:qFormat/>
    <w:rsid w:val="00807FDF"/>
    <w:rPr>
      <w:b/>
      <w:bCs/>
      <w:smallCaps/>
      <w:color w:val="0F4761" w:themeColor="accent1" w:themeShade="BF"/>
      <w:spacing w:val="5"/>
    </w:rPr>
  </w:style>
  <w:style w:type="paragraph" w:styleId="Header">
    <w:name w:val="header"/>
    <w:basedOn w:val="Normal"/>
    <w:link w:val="HeaderChar"/>
    <w:uiPriority w:val="99"/>
    <w:unhideWhenUsed/>
    <w:rsid w:val="00CC3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2FA"/>
  </w:style>
  <w:style w:type="paragraph" w:styleId="Footer">
    <w:name w:val="footer"/>
    <w:basedOn w:val="Normal"/>
    <w:link w:val="FooterChar"/>
    <w:uiPriority w:val="99"/>
    <w:unhideWhenUsed/>
    <w:rsid w:val="00CC3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2FA"/>
  </w:style>
  <w:style w:type="character" w:styleId="Hyperlink">
    <w:name w:val="Hyperlink"/>
    <w:basedOn w:val="DefaultParagraphFont"/>
    <w:uiPriority w:val="99"/>
    <w:unhideWhenUsed/>
    <w:rsid w:val="00BA6E74"/>
    <w:rPr>
      <w:color w:val="467886" w:themeColor="hyperlink"/>
      <w:u w:val="single"/>
    </w:rPr>
  </w:style>
  <w:style w:type="character" w:styleId="UnresolvedMention">
    <w:name w:val="Unresolved Mention"/>
    <w:basedOn w:val="DefaultParagraphFont"/>
    <w:uiPriority w:val="99"/>
    <w:semiHidden/>
    <w:unhideWhenUsed/>
    <w:rsid w:val="00BA6E74"/>
    <w:rPr>
      <w:color w:val="605E5C"/>
      <w:shd w:val="clear" w:color="auto" w:fill="E1DFDD"/>
    </w:rPr>
  </w:style>
  <w:style w:type="paragraph" w:styleId="NoSpacing">
    <w:name w:val="No Spacing"/>
    <w:link w:val="NoSpacingChar"/>
    <w:uiPriority w:val="1"/>
    <w:qFormat/>
    <w:rsid w:val="00D625D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625D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878549">
      <w:bodyDiv w:val="1"/>
      <w:marLeft w:val="0"/>
      <w:marRight w:val="0"/>
      <w:marTop w:val="0"/>
      <w:marBottom w:val="0"/>
      <w:divBdr>
        <w:top w:val="none" w:sz="0" w:space="0" w:color="auto"/>
        <w:left w:val="none" w:sz="0" w:space="0" w:color="auto"/>
        <w:bottom w:val="none" w:sz="0" w:space="0" w:color="auto"/>
        <w:right w:val="none" w:sz="0" w:space="0" w:color="auto"/>
      </w:divBdr>
    </w:div>
    <w:div w:id="1789853915">
      <w:bodyDiv w:val="1"/>
      <w:marLeft w:val="0"/>
      <w:marRight w:val="0"/>
      <w:marTop w:val="0"/>
      <w:marBottom w:val="0"/>
      <w:divBdr>
        <w:top w:val="none" w:sz="0" w:space="0" w:color="auto"/>
        <w:left w:val="none" w:sz="0" w:space="0" w:color="auto"/>
        <w:bottom w:val="none" w:sz="0" w:space="0" w:color="auto"/>
        <w:right w:val="none" w:sz="0" w:space="0" w:color="auto"/>
      </w:divBdr>
    </w:div>
    <w:div w:id="187611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graphysouthwest.co.uk/wp-content/uploads/2022/07/Urban-Regeneration-in-Bristol-GSW-June-2022.pdf" TargetMode="External"/><Relationship Id="rId3" Type="http://schemas.openxmlformats.org/officeDocument/2006/relationships/webSettings" Target="webSettings.xml"/><Relationship Id="rId7" Type="http://schemas.openxmlformats.org/officeDocument/2006/relationships/hyperlink" Target="https://www.we-cta.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stol.gov.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12</Pages>
  <Words>2597</Words>
  <Characters>14805</Characters>
  <Application>Microsoft Office Word</Application>
  <DocSecurity>0</DocSecurity>
  <Lines>123</Lines>
  <Paragraphs>34</Paragraphs>
  <ScaleCrop>false</ScaleCrop>
  <Company>Distinctiveness and Regeneration</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of Bristol</dc:title>
  <dc:subject/>
  <dc:creator>Mirabela Voican (1907947)</dc:creator>
  <cp:keywords/>
  <dc:description/>
  <cp:lastModifiedBy>Mirabela Voican (1907947)</cp:lastModifiedBy>
  <cp:revision>1</cp:revision>
  <dcterms:created xsi:type="dcterms:W3CDTF">2025-02-06T18:57:00Z</dcterms:created>
  <dcterms:modified xsi:type="dcterms:W3CDTF">2025-02-06T21:37:00Z</dcterms:modified>
  <cp:category>BMSP4014D</cp:category>
</cp:coreProperties>
</file>