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E89E0A" w14:textId="55CCEC10" w:rsidR="004569D9" w:rsidRPr="004569D9" w:rsidRDefault="008C1701" w:rsidP="00FE2536">
      <w:pPr>
        <w:spacing w:line="360" w:lineRule="auto"/>
        <w:rPr>
          <w:rFonts w:cs="Calibri"/>
        </w:rPr>
      </w:pPr>
      <w:r>
        <w:rPr>
          <w:rFonts w:cs="Calibri"/>
        </w:rPr>
        <w:t xml:space="preserve">Defining quality proves challenging, given its subjective nature shaped by individual experiences and contextual factors. The significance of quality concerns </w:t>
      </w:r>
      <w:r w:rsidR="001534A0" w:rsidRPr="004569D9">
        <w:rPr>
          <w:rFonts w:cs="Calibri"/>
        </w:rPr>
        <w:t>has</w:t>
      </w:r>
      <w:r w:rsidR="004569D9" w:rsidRPr="004569D9">
        <w:rPr>
          <w:rFonts w:cs="Calibri"/>
        </w:rPr>
        <w:t xml:space="preserve"> gained importance in the discourse surrounding education today. According to Harvey and Green (1993), "definitions of quality vary that to some extent reflect different perceptions of the individuals and society… there is no single definition of quality" (p. 28).</w:t>
      </w:r>
    </w:p>
    <w:p w14:paraId="7E03B7C0" w14:textId="77777777" w:rsidR="004569D9" w:rsidRPr="004569D9" w:rsidRDefault="004569D9" w:rsidP="00FE2536">
      <w:pPr>
        <w:spacing w:line="360" w:lineRule="auto"/>
        <w:rPr>
          <w:rFonts w:cs="Calibri"/>
        </w:rPr>
      </w:pPr>
    </w:p>
    <w:p w14:paraId="6FAD43F2" w14:textId="3FF32D47" w:rsidR="004569D9" w:rsidRPr="004569D9" w:rsidRDefault="004569D9" w:rsidP="00FE2536">
      <w:pPr>
        <w:spacing w:line="360" w:lineRule="auto"/>
        <w:rPr>
          <w:rFonts w:cs="Calibri"/>
        </w:rPr>
      </w:pPr>
      <w:r w:rsidRPr="004569D9">
        <w:rPr>
          <w:rFonts w:cs="Calibri"/>
        </w:rPr>
        <w:t xml:space="preserve">The importance of quality in early years setting for young children to develop effectively, high-quality early childhood education is vital (Sylva et al., 2004; Siraj-Blatchford et al., 2002; Welsh Government, 2013). Early years </w:t>
      </w:r>
      <w:r w:rsidR="00832217">
        <w:rPr>
          <w:rFonts w:cs="Calibri"/>
        </w:rPr>
        <w:t>environments offering superior exert a lasting positive influence on children’s outcomes, notably enhancing language proficiency, communication skills, and cognitive development</w:t>
      </w:r>
      <w:r w:rsidR="00045F68">
        <w:rPr>
          <w:rFonts w:cs="Calibri"/>
        </w:rPr>
        <w:t xml:space="preserve"> </w:t>
      </w:r>
      <w:r w:rsidRPr="004569D9">
        <w:rPr>
          <w:rFonts w:cs="Calibri"/>
        </w:rPr>
        <w:t>that provide high-quality care have a long-lasting favourable impact on children's outcomes, including language, communication, and cognitive development. A</w:t>
      </w:r>
      <w:r w:rsidR="001C5F5D">
        <w:rPr>
          <w:rFonts w:cs="Calibri"/>
        </w:rPr>
        <w:t xml:space="preserve">s stated by the </w:t>
      </w:r>
      <w:r w:rsidRPr="004569D9">
        <w:rPr>
          <w:rFonts w:cs="Calibri"/>
        </w:rPr>
        <w:t xml:space="preserve"> (Welsh Government's 2013) publication "Building a Brighter Future,"</w:t>
      </w:r>
      <w:r w:rsidR="00E26080">
        <w:rPr>
          <w:rFonts w:cs="Calibri"/>
        </w:rPr>
        <w:t xml:space="preserve"> childcare environments of high quality significantly enhance children’s development and shape their future experiences in a positive manner</w:t>
      </w:r>
      <w:r w:rsidRPr="004569D9">
        <w:rPr>
          <w:rFonts w:cs="Calibri"/>
        </w:rPr>
        <w:t xml:space="preserve">. </w:t>
      </w:r>
      <w:r w:rsidR="00832217">
        <w:rPr>
          <w:rFonts w:cs="Calibri"/>
        </w:rPr>
        <w:t xml:space="preserve">As per </w:t>
      </w:r>
      <w:proofErr w:type="spellStart"/>
      <w:r w:rsidR="00832217">
        <w:rPr>
          <w:rFonts w:cs="Calibri"/>
        </w:rPr>
        <w:t>Munton</w:t>
      </w:r>
      <w:proofErr w:type="spellEnd"/>
      <w:r w:rsidR="00832217">
        <w:rPr>
          <w:rFonts w:cs="Calibri"/>
        </w:rPr>
        <w:t xml:space="preserve"> et al.’s research in (2001), children enrolled in top-notch </w:t>
      </w:r>
      <w:r w:rsidR="00045F68">
        <w:rPr>
          <w:rFonts w:cs="Calibri"/>
        </w:rPr>
        <w:t>e</w:t>
      </w:r>
      <w:r w:rsidR="00832217">
        <w:rPr>
          <w:rFonts w:cs="Calibri"/>
        </w:rPr>
        <w:t xml:space="preserve">arly childhood settings experience advantageous advancements in their social, linguistic, and cognitive growth. Furthermore , findings from the longitudinal study, The EPPE Project-Effective Provision of Preschool Education (Sylva et al., 2004), </w:t>
      </w:r>
      <w:r w:rsidR="00045F68">
        <w:rPr>
          <w:rFonts w:cs="Calibri"/>
        </w:rPr>
        <w:t>emphasise</w:t>
      </w:r>
      <w:r w:rsidR="00832217">
        <w:rPr>
          <w:rFonts w:cs="Calibri"/>
        </w:rPr>
        <w:t xml:space="preserve"> that the quality of these environments significantly influences long-term academic achievements, while also fostering improved social communication skills and self-regulation. </w:t>
      </w:r>
    </w:p>
    <w:p w14:paraId="65149D36" w14:textId="77777777" w:rsidR="004569D9" w:rsidRPr="004569D9" w:rsidRDefault="004569D9" w:rsidP="00FE2536">
      <w:pPr>
        <w:spacing w:line="360" w:lineRule="auto"/>
        <w:rPr>
          <w:rFonts w:cs="Calibri"/>
        </w:rPr>
      </w:pPr>
    </w:p>
    <w:p w14:paraId="4A9FF23D" w14:textId="0FC9A89C" w:rsidR="004569D9" w:rsidRPr="004569D9" w:rsidRDefault="00832217" w:rsidP="00FE2536">
      <w:pPr>
        <w:spacing w:line="360" w:lineRule="auto"/>
        <w:rPr>
          <w:rFonts w:cs="Calibri"/>
        </w:rPr>
      </w:pPr>
      <w:r>
        <w:rPr>
          <w:rFonts w:cs="Calibri"/>
        </w:rPr>
        <w:t xml:space="preserve">Yet, attaining excellence in early childhood settings poses challenges. Cottle and Alexandre (2012) highlight that defining quality practice remains </w:t>
      </w:r>
      <w:r w:rsidR="001C5F5D">
        <w:rPr>
          <w:rFonts w:cs="Calibri"/>
        </w:rPr>
        <w:t>subjective</w:t>
      </w:r>
      <w:r>
        <w:rPr>
          <w:rFonts w:cs="Calibri"/>
        </w:rPr>
        <w:t xml:space="preserve"> due to the diverse perspectives of </w:t>
      </w:r>
      <w:r w:rsidR="001C5F5D">
        <w:rPr>
          <w:rFonts w:cs="Calibri"/>
        </w:rPr>
        <w:t>stakeholders</w:t>
      </w:r>
      <w:r>
        <w:rPr>
          <w:rFonts w:cs="Calibri"/>
        </w:rPr>
        <w:t xml:space="preserve"> involved in these settings, </w:t>
      </w:r>
      <w:r w:rsidR="001C5F5D">
        <w:rPr>
          <w:rFonts w:cs="Calibri"/>
        </w:rPr>
        <w:t>including</w:t>
      </w:r>
      <w:r>
        <w:rPr>
          <w:rFonts w:cs="Calibri"/>
        </w:rPr>
        <w:t xml:space="preserve"> parents, practitioners, children, </w:t>
      </w:r>
      <w:r w:rsidR="001C5F5D">
        <w:rPr>
          <w:rFonts w:cs="Calibri"/>
        </w:rPr>
        <w:t xml:space="preserve">representatives, and managers. </w:t>
      </w:r>
      <w:r w:rsidR="004569D9" w:rsidRPr="004569D9">
        <w:rPr>
          <w:rFonts w:cs="Calibri"/>
        </w:rPr>
        <w:t>Cottle and Alexander (2012)</w:t>
      </w:r>
      <w:r w:rsidR="001C5F5D">
        <w:rPr>
          <w:rFonts w:cs="Calibri"/>
        </w:rPr>
        <w:t xml:space="preserve"> argue that definitions of quality lack precision and vary depending on the context and the experiences of practitioners</w:t>
      </w:r>
      <w:r w:rsidR="003F3376">
        <w:rPr>
          <w:rFonts w:cs="Calibri"/>
        </w:rPr>
        <w:t xml:space="preserve"> </w:t>
      </w:r>
      <w:r w:rsidR="001C5F5D">
        <w:rPr>
          <w:rFonts w:cs="Calibri"/>
        </w:rPr>
        <w:t xml:space="preserve">as outlined by Cottle and Alexander(2012), certain settings were primarily guided by official mandates, considering statutory inspection reports as the standard for quality. Conversely, other settings emphasised children’s </w:t>
      </w:r>
      <w:r w:rsidR="001C5F5D">
        <w:rPr>
          <w:rFonts w:cs="Calibri"/>
        </w:rPr>
        <w:lastRenderedPageBreak/>
        <w:t xml:space="preserve">social and emotional development, focusing on addressing individual needs as indicative of high-quality practice. </w:t>
      </w:r>
      <w:r w:rsidR="004569D9" w:rsidRPr="004569D9">
        <w:rPr>
          <w:rFonts w:cs="Calibri"/>
        </w:rPr>
        <w:t xml:space="preserve">Thus, </w:t>
      </w:r>
      <w:r w:rsidR="001C5F5D">
        <w:rPr>
          <w:rFonts w:cs="Calibri"/>
        </w:rPr>
        <w:t xml:space="preserve">striking a balance between fulfilling children’s requirements through immersive and stimulating play-based activities and adhering to standers for accountability and curricular objectives is essential </w:t>
      </w:r>
      <w:r w:rsidR="004569D9" w:rsidRPr="004569D9">
        <w:rPr>
          <w:rFonts w:cs="Calibri"/>
        </w:rPr>
        <w:t>(Cottle &amp; Alexandre, 2012).</w:t>
      </w:r>
      <w:r w:rsidR="00E26080">
        <w:rPr>
          <w:rFonts w:cs="Calibri"/>
        </w:rPr>
        <w:t xml:space="preserve"> In a similar vein, </w:t>
      </w:r>
      <w:proofErr w:type="spellStart"/>
      <w:r w:rsidR="00E26080">
        <w:rPr>
          <w:rFonts w:cs="Calibri"/>
        </w:rPr>
        <w:t>Ishimine</w:t>
      </w:r>
      <w:proofErr w:type="spellEnd"/>
      <w:r w:rsidR="00E26080">
        <w:rPr>
          <w:rFonts w:cs="Calibri"/>
        </w:rPr>
        <w:t xml:space="preserve"> (2011) argues that “quality” is a challenging and elusive concept to define. However, </w:t>
      </w:r>
      <w:proofErr w:type="spellStart"/>
      <w:r w:rsidR="00E26080">
        <w:rPr>
          <w:rFonts w:cs="Calibri"/>
        </w:rPr>
        <w:t>Ishimine</w:t>
      </w:r>
      <w:proofErr w:type="spellEnd"/>
      <w:r w:rsidR="00E26080">
        <w:rPr>
          <w:rFonts w:cs="Calibri"/>
        </w:rPr>
        <w:t xml:space="preserve"> (2011) distinguishes between two categories of quality characterisation: process quality, which encompasses elements such as positive peer interaction, clear communication, and staff-child interactions, as outlined in the Researching Effective Pedagogy in the Early Years (REPEY) report (Siraj-Blatchford et al., 2002). Conversely, structural quality pertains to measurable attributes such as the physical environment, qualifications, ratios, policies, and program content. </w:t>
      </w:r>
      <w:r w:rsidR="004569D9" w:rsidRPr="004569D9">
        <w:rPr>
          <w:rFonts w:cs="Calibri"/>
        </w:rPr>
        <w:t>Anders (2015) contends that whereas structural quality indirectly impacts a child's perception of process quality, process quality can directly impact children's learning and development. Like Cottle and Alexandre (2012), Ishimine (2011) emphasises that to provide children with high-quality childcare; practitioners must balance the abilities and qualities of practitioners with government support.</w:t>
      </w:r>
    </w:p>
    <w:p w14:paraId="751CE2C0" w14:textId="77777777" w:rsidR="004569D9" w:rsidRPr="004569D9" w:rsidRDefault="004569D9" w:rsidP="00FE2536">
      <w:pPr>
        <w:spacing w:line="360" w:lineRule="auto"/>
        <w:rPr>
          <w:rFonts w:cs="Calibri"/>
        </w:rPr>
      </w:pPr>
    </w:p>
    <w:p w14:paraId="7033E2B9" w14:textId="5F7F3869" w:rsidR="004569D9" w:rsidRPr="004569D9" w:rsidRDefault="004569D9" w:rsidP="00FE2536">
      <w:pPr>
        <w:spacing w:line="360" w:lineRule="auto"/>
        <w:rPr>
          <w:rFonts w:cs="Calibri"/>
        </w:rPr>
      </w:pPr>
      <w:r w:rsidRPr="004569D9">
        <w:rPr>
          <w:rFonts w:cs="Calibri"/>
        </w:rPr>
        <w:t xml:space="preserve">According to Tanner et al. (2006), defining and assessing quality service in the early years raises questions about quantifying quality. Regarding Flying Start settings, the Welsh Government (2014) carefully observes and inspects the settings to ensure children have high-quality experiences. This is done in conjunction with high-quality practitioners. The outcome is a combination of high-quality environments and high-quality experiences. However, the "Nurturing Children, Supporting Families" policy statement from the Welsh Government (2011) states that several functional elements improve the quality of childcare services rather than a single way to quantify quality. </w:t>
      </w:r>
      <w:r w:rsidR="002657E7">
        <w:rPr>
          <w:rFonts w:cs="Calibri"/>
        </w:rPr>
        <w:t>In promoting a child’s comprehensive development and emotional welfare, the Welsh Government (2011) underscores the importance of having well-trained , nurturing staff members, a secure and supportive environment, suitable supervision ratios, and developmentally appropriate educational content. Therefore, this study will assess the benefits and effectiveness of quality assurance methods that uphold standards surpassing legal mandates.</w:t>
      </w:r>
    </w:p>
    <w:p w14:paraId="118DC088" w14:textId="77777777" w:rsidR="004569D9" w:rsidRPr="004569D9" w:rsidRDefault="004569D9" w:rsidP="00FE2536">
      <w:pPr>
        <w:spacing w:line="360" w:lineRule="auto"/>
        <w:rPr>
          <w:rFonts w:cs="Calibri"/>
        </w:rPr>
      </w:pPr>
    </w:p>
    <w:p w14:paraId="061FD57C" w14:textId="4E5D98F7" w:rsidR="004569D9" w:rsidRPr="004569D9" w:rsidRDefault="004569D9" w:rsidP="00FE2536">
      <w:pPr>
        <w:spacing w:line="360" w:lineRule="auto"/>
        <w:rPr>
          <w:rFonts w:cs="Calibri"/>
        </w:rPr>
      </w:pPr>
      <w:r w:rsidRPr="004569D9">
        <w:rPr>
          <w:rFonts w:cs="Calibri"/>
        </w:rPr>
        <w:lastRenderedPageBreak/>
        <w:t xml:space="preserve">The Effective Pre-school, Primary and Secondary Education (EPPSE) initiative is the foundation for the Early Childhood Environment Rating Scale (ECERS). The measure provides a systematic framework for raising the standard of early childhood education to boost favourable long-term results. The scale is a popular instrument for evaluating quality in various contexts and has been used globally (Brunsek et al., 2017). The </w:t>
      </w:r>
      <w:r w:rsidR="002657E7">
        <w:rPr>
          <w:rFonts w:cs="Calibri"/>
        </w:rPr>
        <w:t xml:space="preserve">ECERS’s validity and importance in pivotal early childhood research have been evidenced through its inclusion in seminal studies such a </w:t>
      </w:r>
      <w:r w:rsidRPr="004569D9">
        <w:rPr>
          <w:rFonts w:cs="Calibri"/>
        </w:rPr>
        <w:t>"The Head Start Family and Child Experiences Survey (FACES)" in 2003, as well as "The National Childcare Staffing Study" and "The Cost, Quality, and Child Outcomes Study" (Clifford et al., 2010).</w:t>
      </w:r>
    </w:p>
    <w:p w14:paraId="0E4DB2BE" w14:textId="77777777" w:rsidR="004569D9" w:rsidRPr="004569D9" w:rsidRDefault="004569D9" w:rsidP="00FE2536">
      <w:pPr>
        <w:spacing w:line="360" w:lineRule="auto"/>
        <w:rPr>
          <w:rFonts w:cs="Calibri"/>
        </w:rPr>
      </w:pPr>
    </w:p>
    <w:p w14:paraId="55CEDB72" w14:textId="3251DD04" w:rsidR="004569D9" w:rsidRPr="004569D9" w:rsidRDefault="004569D9" w:rsidP="00FE2536">
      <w:pPr>
        <w:spacing w:line="360" w:lineRule="auto"/>
        <w:rPr>
          <w:rFonts w:cs="Calibri"/>
        </w:rPr>
      </w:pPr>
      <w:r w:rsidRPr="004569D9">
        <w:rPr>
          <w:rFonts w:cs="Calibri"/>
        </w:rPr>
        <w:t xml:space="preserve">As part of the EPPE project, the ECERS was expanded to offer more depth and incorporate curriculum-related elements. According to Brunsek et al. (2017), the ECERS and ECERS-R evaluate quality by considering organisational and procedural elements specific to early years settings. The four primary areas of interaction, environment, supervision, and curriculum are the emphasis of the ECERS, which asserts its validity and reliability as an efficient tool for assessing quality and development and, at the same time, acknowledging that observers with roughly four hours of training, Munton et al. (1997) report that the study's dependability is sufficient and that the ECERS is a valuable research device for studying aspects of early years quality </w:t>
      </w:r>
      <w:r w:rsidR="00FE2E38" w:rsidRPr="004569D9">
        <w:rPr>
          <w:rFonts w:cs="Calibri"/>
        </w:rPr>
        <w:t>provision.</w:t>
      </w:r>
      <w:r w:rsidR="00FE2E38">
        <w:rPr>
          <w:rFonts w:cs="Calibri"/>
        </w:rPr>
        <w:t xml:space="preserve"> While this research requires updating g, recent studies by </w:t>
      </w:r>
      <w:proofErr w:type="spellStart"/>
      <w:r w:rsidR="00FE2E38">
        <w:rPr>
          <w:rFonts w:cs="Calibri"/>
        </w:rPr>
        <w:t>Brunsek</w:t>
      </w:r>
      <w:proofErr w:type="spellEnd"/>
      <w:r w:rsidR="00FE2E38">
        <w:rPr>
          <w:rFonts w:cs="Calibri"/>
        </w:rPr>
        <w:t xml:space="preserve"> et al. (2017) reveal that quality assurance tools such as the ECERS often heavily prioritise a single component of educational and care settings, resulting in a restricted assessment of service quality. For example, the ECERS primarily focuses on the learning environment, neglecting children’s perspectives on the quality of care they receive, as well as the outcomes of assessment scores. However, as per Article 12 of the UNCRC (UNICEF, 1002), every child possesses the right to express their thoughts and opinions, with the expectation that these will be taken seriously, especially in matters affecting them. Additional research conducted by the Welsh Government (2009), </w:t>
      </w:r>
      <w:proofErr w:type="spellStart"/>
      <w:r w:rsidR="00FE2E38">
        <w:rPr>
          <w:rFonts w:cs="Calibri"/>
        </w:rPr>
        <w:t>Bilton</w:t>
      </w:r>
      <w:proofErr w:type="spellEnd"/>
      <w:r w:rsidR="00FE2E38">
        <w:rPr>
          <w:rFonts w:cs="Calibri"/>
        </w:rPr>
        <w:t xml:space="preserve"> (2010), Knight (2011), and White (2014) </w:t>
      </w:r>
      <w:r w:rsidR="0066502B">
        <w:rPr>
          <w:rFonts w:cs="Calibri"/>
        </w:rPr>
        <w:t>highlights</w:t>
      </w:r>
      <w:r w:rsidR="00FE2E38">
        <w:rPr>
          <w:rFonts w:cs="Calibri"/>
        </w:rPr>
        <w:t xml:space="preserve"> the benefits of outdoor play areas, enhancing learning opportunities. It is imperative to prioritise and utilise the outdoor environment in early years settings to promote quality provision and develop children’s skills</w:t>
      </w:r>
      <w:r w:rsidR="0066502B">
        <w:rPr>
          <w:rFonts w:cs="Calibri"/>
        </w:rPr>
        <w:t xml:space="preserve"> </w:t>
      </w:r>
      <w:r w:rsidR="00FE2E38">
        <w:rPr>
          <w:rFonts w:cs="Calibri"/>
        </w:rPr>
        <w:t xml:space="preserve">encouraging children to engage in hands ‘on activities that stimulate their curiosity and foster a </w:t>
      </w:r>
      <w:r w:rsidR="00FE2E38">
        <w:rPr>
          <w:rFonts w:cs="Calibri"/>
        </w:rPr>
        <w:lastRenderedPageBreak/>
        <w:t>connection with nature offers valuable learning experiences (Welsh Government, 2009).</w:t>
      </w:r>
    </w:p>
    <w:p w14:paraId="7BC575A2" w14:textId="77777777" w:rsidR="004569D9" w:rsidRPr="004569D9" w:rsidRDefault="004569D9" w:rsidP="00FE2536">
      <w:pPr>
        <w:spacing w:line="360" w:lineRule="auto"/>
        <w:rPr>
          <w:rFonts w:cs="Calibri"/>
        </w:rPr>
      </w:pPr>
    </w:p>
    <w:p w14:paraId="613EC428" w14:textId="7777B225" w:rsidR="004569D9" w:rsidRPr="004569D9" w:rsidRDefault="004569D9" w:rsidP="00FE2536">
      <w:pPr>
        <w:spacing w:line="360" w:lineRule="auto"/>
        <w:rPr>
          <w:rFonts w:cs="Calibri"/>
        </w:rPr>
      </w:pPr>
      <w:r w:rsidRPr="004569D9">
        <w:rPr>
          <w:rFonts w:cs="Calibri"/>
        </w:rPr>
        <w:t xml:space="preserve">According to research by Brunsek et al. (2017), environments with higher language and cognitive results had the most significant impact on learning outcomes, especially language growth, where teachers encouraged communication among students to foster critical thinking. Nevertheless, the report </w:t>
      </w:r>
      <w:r w:rsidR="00763B74">
        <w:rPr>
          <w:rFonts w:cs="Calibri"/>
        </w:rPr>
        <w:t xml:space="preserve">acknowledged the ECERS and ECERS-R fail to encompass broader developmental outcomes such as social and emotional development. </w:t>
      </w:r>
      <w:proofErr w:type="spellStart"/>
      <w:r w:rsidRPr="004569D9">
        <w:rPr>
          <w:rFonts w:cs="Calibri"/>
        </w:rPr>
        <w:t>Brunsek</w:t>
      </w:r>
      <w:proofErr w:type="spellEnd"/>
      <w:r w:rsidRPr="004569D9">
        <w:rPr>
          <w:rFonts w:cs="Calibri"/>
        </w:rPr>
        <w:t xml:space="preserve"> et al. (2017) indicate that further research is necessary since early emotional wellbeing provides the groundwork for individuals, social, emotional, security, and understanding. Early emotional knowledge helps children learn how to control their emotions and grow in understanding of others (Njenje, 2017). The Welsh Government (2015) acknowledges the significance of personal and social development because learning is promoted in all domains.</w:t>
      </w:r>
    </w:p>
    <w:p w14:paraId="3FF8198F" w14:textId="77777777" w:rsidR="004569D9" w:rsidRPr="004569D9" w:rsidRDefault="004569D9" w:rsidP="00FE2536">
      <w:pPr>
        <w:spacing w:line="360" w:lineRule="auto"/>
        <w:rPr>
          <w:rFonts w:cs="Calibri"/>
        </w:rPr>
      </w:pPr>
    </w:p>
    <w:p w14:paraId="17023339" w14:textId="439BF97F" w:rsidR="004569D9" w:rsidRPr="004569D9" w:rsidRDefault="00763B74" w:rsidP="00FE2536">
      <w:pPr>
        <w:spacing w:line="360" w:lineRule="auto"/>
        <w:rPr>
          <w:rFonts w:cs="Calibri"/>
        </w:rPr>
      </w:pPr>
      <w:r>
        <w:rPr>
          <w:rFonts w:cs="Calibri"/>
        </w:rPr>
        <w:t>Findings from the REPEY project (</w:t>
      </w:r>
      <w:proofErr w:type="spellStart"/>
      <w:r>
        <w:rPr>
          <w:rFonts w:cs="Calibri"/>
        </w:rPr>
        <w:t>Melhuish</w:t>
      </w:r>
      <w:proofErr w:type="spellEnd"/>
      <w:r>
        <w:rPr>
          <w:rFonts w:cs="Calibri"/>
        </w:rPr>
        <w:t xml:space="preserve">, 2015) provided further support for the Sustained Shared Thinking and Emotional Wellbeing Scale (SSTWS). This scale was developed as a quality assurance method, prioritising the role of adults and pedagogical practices within settings to enrich learning and development. </w:t>
      </w:r>
      <w:r w:rsidR="004569D9" w:rsidRPr="004569D9">
        <w:rPr>
          <w:rFonts w:cs="Calibri"/>
        </w:rPr>
        <w:t>The SSTEW scale encourages adults to connect with children and pay close attention to what they do, particularly their body language, to facilitate sustained shared thinking (</w:t>
      </w:r>
      <w:proofErr w:type="spellStart"/>
      <w:r w:rsidR="004569D9" w:rsidRPr="004569D9">
        <w:rPr>
          <w:rFonts w:cs="Calibri"/>
        </w:rPr>
        <w:t>Melhuish</w:t>
      </w:r>
      <w:proofErr w:type="spellEnd"/>
      <w:r w:rsidR="004569D9" w:rsidRPr="004569D9">
        <w:rPr>
          <w:rFonts w:cs="Calibri"/>
        </w:rPr>
        <w:t xml:space="preserve">, 2015). According to Siraj-Blatchford (2002) and </w:t>
      </w:r>
      <w:proofErr w:type="spellStart"/>
      <w:r w:rsidR="004569D9" w:rsidRPr="004569D9">
        <w:rPr>
          <w:rFonts w:cs="Calibri"/>
        </w:rPr>
        <w:t>Melhuish</w:t>
      </w:r>
      <w:proofErr w:type="spellEnd"/>
      <w:r w:rsidR="004569D9" w:rsidRPr="004569D9">
        <w:rPr>
          <w:rFonts w:cs="Calibri"/>
        </w:rPr>
        <w:t xml:space="preserve"> (2015), practitioners should show an honest awareness of the child and devote all their attention to them regarding their choices and inspiring them to elaborate. The SSTEW scale concerns children's emotional health, building healthy connections, and promoting communication skills through prolonged shared thought. The Social Service and Wellbeing (Wales) Act 2014 (Welsh Government, 2014), </w:t>
      </w:r>
      <w:r>
        <w:rPr>
          <w:rFonts w:cs="Calibri"/>
        </w:rPr>
        <w:t xml:space="preserve">highlighting the paramountcy of wellbeing, aligns with this perspective. </w:t>
      </w:r>
      <w:r w:rsidR="00EC6093">
        <w:rPr>
          <w:rFonts w:cs="Calibri"/>
        </w:rPr>
        <w:t xml:space="preserve">Both the Joint Inspection Framework and the Quality-of-Care Review by CIW </w:t>
      </w:r>
      <w:r w:rsidR="0066502B">
        <w:rPr>
          <w:rFonts w:cs="Calibri"/>
        </w:rPr>
        <w:t>underline</w:t>
      </w:r>
      <w:r w:rsidR="00EC6093">
        <w:rPr>
          <w:rFonts w:cs="Calibri"/>
        </w:rPr>
        <w:t xml:space="preserve"> the importance of wellbeing (ESTYN, 2019). Nurturing children’s holistic wellbeing is vital for their healthy development and academic achievement (Lewis, 2016). </w:t>
      </w:r>
    </w:p>
    <w:p w14:paraId="4A73D524" w14:textId="23A21696" w:rsidR="004569D9" w:rsidRPr="004569D9" w:rsidRDefault="004569D9" w:rsidP="00FE2536">
      <w:pPr>
        <w:spacing w:line="360" w:lineRule="auto"/>
        <w:rPr>
          <w:rFonts w:cs="Calibri"/>
        </w:rPr>
      </w:pPr>
      <w:r w:rsidRPr="004569D9">
        <w:rPr>
          <w:rFonts w:cs="Calibri"/>
        </w:rPr>
        <w:lastRenderedPageBreak/>
        <w:t xml:space="preserve">The SSTEW scale </w:t>
      </w:r>
      <w:r w:rsidR="00AD6351">
        <w:rPr>
          <w:rFonts w:cs="Calibri"/>
        </w:rPr>
        <w:t xml:space="preserve">mirrors the </w:t>
      </w:r>
      <w:r w:rsidRPr="004569D9">
        <w:rPr>
          <w:rFonts w:cs="Calibri"/>
        </w:rPr>
        <w:t>ECERS</w:t>
      </w:r>
      <w:r w:rsidR="00AD6351">
        <w:rPr>
          <w:rFonts w:cs="Calibri"/>
        </w:rPr>
        <w:t xml:space="preserve"> in its assessment framework, utilising a seven-point scale</w:t>
      </w:r>
      <w:r w:rsidRPr="004569D9">
        <w:rPr>
          <w:rFonts w:cs="Calibri"/>
        </w:rPr>
        <w:t>.</w:t>
      </w:r>
      <w:r w:rsidR="00AD6351">
        <w:rPr>
          <w:rFonts w:cs="Calibri"/>
        </w:rPr>
        <w:t xml:space="preserve"> Its central themes encompass t</w:t>
      </w:r>
      <w:r w:rsidRPr="004569D9">
        <w:rPr>
          <w:rFonts w:cs="Calibri"/>
        </w:rPr>
        <w:t xml:space="preserve">rust, </w:t>
      </w:r>
      <w:r w:rsidR="008C1701" w:rsidRPr="004569D9">
        <w:rPr>
          <w:rFonts w:cs="Calibri"/>
        </w:rPr>
        <w:t>confidence,</w:t>
      </w:r>
      <w:r w:rsidRPr="004569D9">
        <w:rPr>
          <w:rFonts w:cs="Calibri"/>
        </w:rPr>
        <w:t xml:space="preserve"> and independence, </w:t>
      </w:r>
      <w:r w:rsidR="00AD6351">
        <w:rPr>
          <w:rFonts w:cs="Calibri"/>
        </w:rPr>
        <w:t xml:space="preserve">along with </w:t>
      </w:r>
      <w:r w:rsidRPr="004569D9">
        <w:rPr>
          <w:rFonts w:cs="Calibri"/>
        </w:rPr>
        <w:t xml:space="preserve">social and emotional wellbeing, supporting language and communication, </w:t>
      </w:r>
      <w:r w:rsidR="00AD6351">
        <w:rPr>
          <w:rFonts w:cs="Calibri"/>
        </w:rPr>
        <w:t xml:space="preserve">and critical thinking encouragement </w:t>
      </w:r>
      <w:r w:rsidRPr="004569D9">
        <w:rPr>
          <w:rFonts w:cs="Calibri"/>
        </w:rPr>
        <w:t xml:space="preserve">(Siraj, 2015). </w:t>
      </w:r>
      <w:r w:rsidR="00297551">
        <w:rPr>
          <w:rFonts w:cs="Calibri"/>
        </w:rPr>
        <w:t>However, a</w:t>
      </w:r>
      <w:r w:rsidRPr="004569D9">
        <w:rPr>
          <w:rFonts w:cs="Calibri"/>
        </w:rPr>
        <w:t xml:space="preserve">nalysis of brief encounters can </w:t>
      </w:r>
      <w:r w:rsidR="00297551">
        <w:rPr>
          <w:rFonts w:cs="Calibri"/>
        </w:rPr>
        <w:t>pose</w:t>
      </w:r>
      <w:r w:rsidRPr="004569D9">
        <w:rPr>
          <w:rFonts w:cs="Calibri"/>
        </w:rPr>
        <w:t xml:space="preserve"> challeng</w:t>
      </w:r>
      <w:r w:rsidR="00297551">
        <w:rPr>
          <w:rFonts w:cs="Calibri"/>
        </w:rPr>
        <w:t xml:space="preserve">es </w:t>
      </w:r>
      <w:r w:rsidRPr="004569D9">
        <w:rPr>
          <w:rFonts w:cs="Calibri"/>
        </w:rPr>
        <w:t>and</w:t>
      </w:r>
      <w:r w:rsidR="00297551">
        <w:rPr>
          <w:rFonts w:cs="Calibri"/>
        </w:rPr>
        <w:t xml:space="preserve"> offering only a partial view of overall quality</w:t>
      </w:r>
      <w:r w:rsidRPr="004569D9">
        <w:rPr>
          <w:rFonts w:cs="Calibri"/>
        </w:rPr>
        <w:t xml:space="preserve">, much like the ECERS scale. This limitation was identified concerning the ECERS scale since observations are brief, </w:t>
      </w:r>
      <w:r w:rsidR="00297551">
        <w:rPr>
          <w:rFonts w:cs="Calibri"/>
        </w:rPr>
        <w:t xml:space="preserve">typically </w:t>
      </w:r>
      <w:r w:rsidRPr="004569D9">
        <w:rPr>
          <w:rFonts w:cs="Calibri"/>
        </w:rPr>
        <w:t>spanning two hours for the entirety of the setting (Munton et al., 1997).</w:t>
      </w:r>
    </w:p>
    <w:p w14:paraId="58C4B233" w14:textId="77777777" w:rsidR="004569D9" w:rsidRPr="004569D9" w:rsidRDefault="004569D9" w:rsidP="00FE2536">
      <w:pPr>
        <w:spacing w:line="360" w:lineRule="auto"/>
        <w:rPr>
          <w:rFonts w:cs="Calibri"/>
        </w:rPr>
      </w:pPr>
    </w:p>
    <w:p w14:paraId="0CF52C7E" w14:textId="699175FC" w:rsidR="004569D9" w:rsidRPr="004569D9" w:rsidRDefault="004569D9" w:rsidP="00FE2536">
      <w:pPr>
        <w:spacing w:line="360" w:lineRule="auto"/>
        <w:rPr>
          <w:rFonts w:cs="Calibri"/>
        </w:rPr>
      </w:pPr>
      <w:r w:rsidRPr="004569D9">
        <w:rPr>
          <w:rFonts w:cs="Calibri"/>
        </w:rPr>
        <w:t xml:space="preserve">The Foundation Phase can be connected to parts of the five sections, especially the areas of learning related to language, literacy, and communication skills, and the development of one's social, personal, and wellbeing. This shows that the SSTEW scale helps guarantee quality service concerning academic outcomes and supporting curriculum aims. </w:t>
      </w:r>
      <w:r w:rsidR="00EC6093">
        <w:rPr>
          <w:rFonts w:cs="Calibri"/>
        </w:rPr>
        <w:t xml:space="preserve">The seven primary objectives outlined in Implementing Children’s Rights (Welsh Government, 2015), which are integrated into the Foundation Phase, are also endorsed by the five sections. For instance, in enhancing the quality of early childhood education and care and ensuring children receive optimal support for their future development, the SSTEW scale serves as a </w:t>
      </w:r>
      <w:r w:rsidRPr="004569D9">
        <w:rPr>
          <w:rFonts w:cs="Calibri"/>
        </w:rPr>
        <w:t xml:space="preserve">quality assurance tool (Welsh Government, 2015). </w:t>
      </w:r>
      <w:r w:rsidR="005B6F9B">
        <w:rPr>
          <w:rFonts w:cs="Calibri"/>
        </w:rPr>
        <w:t xml:space="preserve">Drawing from paragraphs 12,13, and 14 of the UNCRC (UNCRC, 1992), the Welsh Government’s core objectives stress the importance of listening to children and treating them with respect. This principle is </w:t>
      </w:r>
      <w:r w:rsidR="0066502B">
        <w:rPr>
          <w:rFonts w:cs="Calibri"/>
        </w:rPr>
        <w:t>emphasised</w:t>
      </w:r>
      <w:r w:rsidR="005B6F9B">
        <w:rPr>
          <w:rFonts w:cs="Calibri"/>
        </w:rPr>
        <w:t xml:space="preserve"> on the SSTEW scale and the effective implementation of sustained shared thinking. Furthermore, the primary objectives highlight the necessity of shielding children from the adverse effects of poverty and ensuring their access to diverse educational opportunities (Welsh Government, 2015). According to West et al. (2010), high-quality early childhood education can assist parents from diverse backgrounds and mitigate socioeconomic inequalities. </w:t>
      </w:r>
      <w:r w:rsidRPr="004569D9">
        <w:rPr>
          <w:rFonts w:cs="Calibri"/>
        </w:rPr>
        <w:t xml:space="preserve">Nutbrown (2012) further reveals that </w:t>
      </w:r>
      <w:proofErr w:type="gramStart"/>
      <w:r w:rsidRPr="004569D9">
        <w:rPr>
          <w:rFonts w:cs="Calibri"/>
        </w:rPr>
        <w:t>economically disadvantaged</w:t>
      </w:r>
      <w:proofErr w:type="gramEnd"/>
      <w:r w:rsidRPr="004569D9">
        <w:rPr>
          <w:rFonts w:cs="Calibri"/>
        </w:rPr>
        <w:t xml:space="preserve"> and non-disadvantaged children can benefit from and connect with high-quality early childhood programmes. Consequently, the SSTEW scale can decrease the gap between economic disparities by encouraging changes and enhancing quality within settings.</w:t>
      </w:r>
    </w:p>
    <w:p w14:paraId="34B888B5" w14:textId="77777777" w:rsidR="004569D9" w:rsidRPr="004569D9" w:rsidRDefault="004569D9" w:rsidP="00FE2536">
      <w:pPr>
        <w:spacing w:line="360" w:lineRule="auto"/>
        <w:rPr>
          <w:rFonts w:cs="Calibri"/>
        </w:rPr>
      </w:pPr>
    </w:p>
    <w:p w14:paraId="266164AB" w14:textId="5671648A" w:rsidR="004569D9" w:rsidRPr="004569D9" w:rsidRDefault="004569D9" w:rsidP="00FE2536">
      <w:pPr>
        <w:spacing w:line="360" w:lineRule="auto"/>
        <w:rPr>
          <w:rFonts w:cs="Calibri"/>
        </w:rPr>
      </w:pPr>
      <w:r w:rsidRPr="004569D9">
        <w:rPr>
          <w:rFonts w:cs="Calibri"/>
        </w:rPr>
        <w:t xml:space="preserve">Staff members must be seen connecting with and getting to know each child individually and encouraging children's inquisitiveness and questioning for the setting to </w:t>
      </w:r>
      <w:r w:rsidRPr="004569D9">
        <w:rPr>
          <w:rFonts w:cs="Calibri"/>
        </w:rPr>
        <w:lastRenderedPageBreak/>
        <w:t xml:space="preserve">receive high marks on the SSTEW scale (Howard et al., 2018). Additionally, it is vital to watch </w:t>
      </w:r>
      <w:r w:rsidR="00B4067C">
        <w:rPr>
          <w:rFonts w:cs="Calibri"/>
        </w:rPr>
        <w:t>children</w:t>
      </w:r>
      <w:r w:rsidRPr="004569D9">
        <w:rPr>
          <w:rFonts w:cs="Calibri"/>
        </w:rPr>
        <w:t xml:space="preserve"> participating in developmentally appropriate activities that support each child's unique needs through various learning tactics, such as taking risks and having conversations with professionals (Howard et al., 2018). Similarly, standard 6 of the National Minimum Standards (Welsh Government, 2016, p. 22) and the SSTEW scale acknowledge the value of parent partnerships in fostering high-quality home connections, leading to steady learning between settings and home settings (Kingston &amp; Siraj, 2017). The SSTEW scale was </w:t>
      </w:r>
      <w:r w:rsidR="00601586">
        <w:rPr>
          <w:rFonts w:cs="Calibri"/>
        </w:rPr>
        <w:t xml:space="preserve">devised to bridge the divide between research and practice, deepen understanding of quality interactions, and clarify concepts associated with </w:t>
      </w:r>
      <w:r w:rsidRPr="004569D9">
        <w:rPr>
          <w:rFonts w:cs="Calibri"/>
        </w:rPr>
        <w:t>sustained shared thinking (Howard et al., 2018). However, Howard et al. (2018) indicate that more research is necessary to examine the validity of the SSTEW scale because it is a relatively recent addition to the quality assurance measurement toolkit.</w:t>
      </w:r>
    </w:p>
    <w:p w14:paraId="015FB098" w14:textId="77777777" w:rsidR="004569D9" w:rsidRPr="004569D9" w:rsidRDefault="004569D9" w:rsidP="00FE2536">
      <w:pPr>
        <w:spacing w:line="360" w:lineRule="auto"/>
        <w:rPr>
          <w:rFonts w:cs="Calibri"/>
        </w:rPr>
      </w:pPr>
    </w:p>
    <w:p w14:paraId="4F065ABC" w14:textId="0FF95C5E" w:rsidR="004569D9" w:rsidRPr="004569D9" w:rsidRDefault="004569D9" w:rsidP="00FE2536">
      <w:pPr>
        <w:spacing w:line="360" w:lineRule="auto"/>
        <w:rPr>
          <w:rFonts w:cs="Calibri"/>
        </w:rPr>
      </w:pPr>
      <w:proofErr w:type="spellStart"/>
      <w:r w:rsidRPr="004569D9">
        <w:rPr>
          <w:rFonts w:cs="Calibri"/>
        </w:rPr>
        <w:t>Melhuish</w:t>
      </w:r>
      <w:proofErr w:type="spellEnd"/>
      <w:r w:rsidRPr="004569D9">
        <w:rPr>
          <w:rFonts w:cs="Calibri"/>
        </w:rPr>
        <w:t xml:space="preserve"> (2015) acknowledges that </w:t>
      </w:r>
      <w:r w:rsidR="002848A1">
        <w:rPr>
          <w:rFonts w:cs="Calibri"/>
        </w:rPr>
        <w:t xml:space="preserve">preparation to effectively address all sections of the SSTEW scale, particularly those particularly those pertaining to critical thinking and learning assessment. Consequently, Siraj-Blatchford et al. (2002) suggest that certified teachers should be included among the staff of early years settings and that all individuals working early years settings and that all individuals working in early years should possess recognised qualifications in early childhood education. </w:t>
      </w:r>
      <w:r w:rsidRPr="004569D9">
        <w:rPr>
          <w:rFonts w:cs="Calibri"/>
        </w:rPr>
        <w:t xml:space="preserve">Similarly, </w:t>
      </w:r>
      <w:proofErr w:type="spellStart"/>
      <w:r w:rsidRPr="004569D9">
        <w:rPr>
          <w:rFonts w:cs="Calibri"/>
        </w:rPr>
        <w:t>Melhuish</w:t>
      </w:r>
      <w:proofErr w:type="spellEnd"/>
      <w:r w:rsidRPr="004569D9">
        <w:rPr>
          <w:rFonts w:cs="Calibri"/>
        </w:rPr>
        <w:t xml:space="preserve"> (2015) emphasises that a professional with an adequate and thorough understanding and comprehension of child development and suitable practice must utilise the SSTEW scale. Nutbrown (2012) proposes that employees with advanced degrees who have achieved high qualifications and have a strong understanding of children's development and welfare will improve the </w:t>
      </w:r>
      <w:r w:rsidR="003D5784" w:rsidRPr="004569D9">
        <w:rPr>
          <w:rFonts w:cs="Calibri"/>
        </w:rPr>
        <w:t>quality</w:t>
      </w:r>
      <w:r w:rsidRPr="004569D9">
        <w:rPr>
          <w:rFonts w:cs="Calibri"/>
        </w:rPr>
        <w:t xml:space="preserve"> of environments. The author </w:t>
      </w:r>
      <w:r w:rsidR="002848A1">
        <w:rPr>
          <w:rFonts w:cs="Calibri"/>
        </w:rPr>
        <w:t xml:space="preserve">proposes that early childhood specialists wield the most substantial influence on learning and developmental outcomes. According to Standard 13.4 (Welsh Government, 2016, p.35), it is mandated that all personnel employed in early childhood settings must have the requisite training and experience, with at least 80% of staff members holding </w:t>
      </w:r>
      <w:r w:rsidRPr="004569D9">
        <w:rPr>
          <w:rFonts w:cs="Calibri"/>
        </w:rPr>
        <w:t xml:space="preserve">a level two or higher early childhood certificate. </w:t>
      </w:r>
      <w:r w:rsidR="003A75DE" w:rsidRPr="004569D9">
        <w:rPr>
          <w:rFonts w:cs="Calibri"/>
        </w:rPr>
        <w:t>The Nutbrown Review (2012)</w:t>
      </w:r>
      <w:r w:rsidRPr="004569D9">
        <w:rPr>
          <w:rFonts w:cs="Calibri"/>
        </w:rPr>
        <w:t xml:space="preserve"> contends that highly qualified personnel are essential to high-quality delivery and recommends that all personnel possess at least level three qualifications. Nutbrown (2012) </w:t>
      </w:r>
      <w:r w:rsidR="003F2AAB">
        <w:rPr>
          <w:rFonts w:cs="Calibri"/>
        </w:rPr>
        <w:t xml:space="preserve">contends that the current qualification system requires reform as it </w:t>
      </w:r>
      <w:r w:rsidR="003F2AAB">
        <w:rPr>
          <w:rFonts w:cs="Calibri"/>
        </w:rPr>
        <w:lastRenderedPageBreak/>
        <w:t>fails to equip practitioners with the comprehensive skills necessary for delivering high-quality childcare.</w:t>
      </w:r>
    </w:p>
    <w:p w14:paraId="15959D46" w14:textId="77777777" w:rsidR="0066502B" w:rsidRDefault="0066502B" w:rsidP="00FE2536">
      <w:pPr>
        <w:spacing w:line="360" w:lineRule="auto"/>
        <w:rPr>
          <w:rFonts w:cs="Calibri"/>
        </w:rPr>
      </w:pPr>
    </w:p>
    <w:p w14:paraId="41D3BBE2" w14:textId="0C683A6A" w:rsidR="004569D9" w:rsidRPr="004569D9" w:rsidRDefault="00F22C62" w:rsidP="00FE2536">
      <w:pPr>
        <w:spacing w:line="360" w:lineRule="auto"/>
        <w:rPr>
          <w:rFonts w:cs="Calibri"/>
        </w:rPr>
      </w:pPr>
      <w:r>
        <w:rPr>
          <w:rFonts w:cs="Calibri"/>
        </w:rPr>
        <w:t xml:space="preserve">In essence, the receipt of high-quality care is paramount for nurturing social skills, emotional resilience, academic achievement, and the liberty to engage in play and exploration (Welsh Government, 2014). Children are entitling to access high-quality recreational and educational opportunities to facilitate their growth and success (Welsh Government, 2015). Moreover, despite challenges, quality assurance initiatives such as the SSTEW and ECERS scales effectively enhance children’s positive outcomes and enrich their experiences. </w:t>
      </w:r>
    </w:p>
    <w:p w14:paraId="470C1ED7" w14:textId="77777777" w:rsidR="00F22C62" w:rsidRDefault="00F22C62" w:rsidP="00E75A7E">
      <w:pPr>
        <w:rPr>
          <w:rFonts w:cs="Calibri"/>
        </w:rPr>
      </w:pPr>
    </w:p>
    <w:p w14:paraId="6EADD4DD" w14:textId="7AA301F3" w:rsidR="002C2ECC" w:rsidRPr="00E75A7E" w:rsidRDefault="002C2ECC" w:rsidP="00E75A7E">
      <w:pPr>
        <w:rPr>
          <w:rFonts w:cs="Calibri"/>
        </w:rPr>
      </w:pPr>
      <w:r w:rsidRPr="00E75A7E">
        <w:rPr>
          <w:rFonts w:cs="Calibri"/>
        </w:rPr>
        <w:t>Word count: 2,</w:t>
      </w:r>
      <w:r w:rsidR="004569D9">
        <w:rPr>
          <w:rFonts w:cs="Calibri"/>
        </w:rPr>
        <w:t>1</w:t>
      </w:r>
      <w:r w:rsidR="00F23B50">
        <w:rPr>
          <w:rFonts w:cs="Calibri"/>
        </w:rPr>
        <w:t>25</w:t>
      </w:r>
    </w:p>
    <w:p w14:paraId="43E5FD34" w14:textId="77777777" w:rsidR="0027486F" w:rsidRDefault="0027486F" w:rsidP="00D11D22">
      <w:pPr>
        <w:rPr>
          <w:rFonts w:ascii="Kohinoor Devanagari" w:hAnsi="Kohinoor Devanagari" w:cs="Kohinoor Devanagari"/>
        </w:rPr>
      </w:pPr>
    </w:p>
    <w:p w14:paraId="5EEA4149" w14:textId="7946E00F" w:rsidR="0027486F" w:rsidRDefault="0027486F" w:rsidP="00D11D22">
      <w:pPr>
        <w:rPr>
          <w:rFonts w:ascii="Kohinoor Devanagari" w:hAnsi="Kohinoor Devanagari" w:cs="Kohinoor Devanagari"/>
          <w:b/>
          <w:bCs/>
          <w:u w:val="single"/>
        </w:rPr>
      </w:pPr>
      <w:r w:rsidRPr="0027486F">
        <w:rPr>
          <w:rFonts w:ascii="Kohinoor Devanagari" w:hAnsi="Kohinoor Devanagari" w:cs="Kohinoor Devanagari"/>
          <w:b/>
          <w:bCs/>
          <w:u w:val="single"/>
        </w:rPr>
        <w:t xml:space="preserve">References </w:t>
      </w:r>
    </w:p>
    <w:p w14:paraId="594184AA" w14:textId="77777777" w:rsidR="0027486F" w:rsidRPr="00FE2536" w:rsidRDefault="0027486F" w:rsidP="00D11D22">
      <w:pPr>
        <w:rPr>
          <w:rFonts w:ascii="Times New Roman" w:hAnsi="Times New Roman" w:cs="Times New Roman"/>
          <w:b/>
          <w:bCs/>
          <w:u w:val="single"/>
        </w:rPr>
      </w:pPr>
    </w:p>
    <w:p w14:paraId="63888B80" w14:textId="2FC2B737" w:rsidR="00C47B67" w:rsidRPr="00FE2536" w:rsidRDefault="00C47B67" w:rsidP="00D11D22">
      <w:pPr>
        <w:rPr>
          <w:rFonts w:ascii="Times New Roman" w:hAnsi="Times New Roman" w:cs="Times New Roman"/>
        </w:rPr>
      </w:pPr>
      <w:r w:rsidRPr="00FE2536">
        <w:rPr>
          <w:rFonts w:ascii="Times New Roman" w:hAnsi="Times New Roman" w:cs="Times New Roman"/>
        </w:rPr>
        <w:t>Anders, Y. (2015) ‘Literature Review of Pedagogy’ http://www.oecd.org/officialdocuments/publicdisplaydocumentpdf/?cote=EDU/EDPC/ ECEC(2015)7&amp;doclanguage=</w:t>
      </w:r>
      <w:proofErr w:type="spellStart"/>
      <w:r w:rsidRPr="00FE2536">
        <w:rPr>
          <w:rFonts w:ascii="Times New Roman" w:hAnsi="Times New Roman" w:cs="Times New Roman"/>
        </w:rPr>
        <w:t>en</w:t>
      </w:r>
      <w:proofErr w:type="spellEnd"/>
      <w:r w:rsidRPr="00FE2536">
        <w:rPr>
          <w:rFonts w:ascii="Times New Roman" w:hAnsi="Times New Roman" w:cs="Times New Roman"/>
        </w:rPr>
        <w:t xml:space="preserve"> (Accessed: 26</w:t>
      </w:r>
      <w:r w:rsidRPr="00FE2536">
        <w:rPr>
          <w:rFonts w:ascii="Times New Roman" w:hAnsi="Times New Roman" w:cs="Times New Roman"/>
          <w:vertAlign w:val="superscript"/>
        </w:rPr>
        <w:t>th</w:t>
      </w:r>
      <w:r w:rsidRPr="00FE2536">
        <w:rPr>
          <w:rFonts w:ascii="Times New Roman" w:hAnsi="Times New Roman" w:cs="Times New Roman"/>
        </w:rPr>
        <w:t xml:space="preserve"> March 2024). </w:t>
      </w:r>
    </w:p>
    <w:p w14:paraId="637E46B8" w14:textId="77777777" w:rsidR="00C47B67" w:rsidRPr="00FE2536" w:rsidRDefault="00C47B67" w:rsidP="00D11D22">
      <w:pPr>
        <w:rPr>
          <w:rFonts w:ascii="Times New Roman" w:hAnsi="Times New Roman" w:cs="Times New Roman"/>
        </w:rPr>
      </w:pPr>
    </w:p>
    <w:p w14:paraId="5CD1F8BF" w14:textId="79EE0730" w:rsidR="00C47B67" w:rsidRPr="00FE2536" w:rsidRDefault="00C47B67" w:rsidP="00D11D22">
      <w:pPr>
        <w:rPr>
          <w:rFonts w:ascii="Times New Roman" w:hAnsi="Times New Roman" w:cs="Times New Roman"/>
        </w:rPr>
      </w:pPr>
      <w:r w:rsidRPr="00FE2536">
        <w:rPr>
          <w:rFonts w:ascii="Times New Roman" w:hAnsi="Times New Roman" w:cs="Times New Roman"/>
        </w:rPr>
        <w:t>Bilton, H. (2010) Outdoor Learning in the Early Years: Management and Innovation. (3rd edition) Oxon: Routledge. (Accessed: 26</w:t>
      </w:r>
      <w:r w:rsidRPr="00FE2536">
        <w:rPr>
          <w:rFonts w:ascii="Times New Roman" w:hAnsi="Times New Roman" w:cs="Times New Roman"/>
          <w:vertAlign w:val="superscript"/>
        </w:rPr>
        <w:t>th</w:t>
      </w:r>
      <w:r w:rsidRPr="00FE2536">
        <w:rPr>
          <w:rFonts w:ascii="Times New Roman" w:hAnsi="Times New Roman" w:cs="Times New Roman"/>
        </w:rPr>
        <w:t xml:space="preserve"> March 2024).</w:t>
      </w:r>
    </w:p>
    <w:p w14:paraId="44061EBB" w14:textId="2D4B475F" w:rsidR="00DD4AA3" w:rsidRDefault="00DD4AA3" w:rsidP="00DD4AA3">
      <w:pPr>
        <w:pStyle w:val="NormalWeb"/>
        <w:ind w:left="567" w:hanging="567"/>
        <w:rPr>
          <w:color w:val="000000"/>
        </w:rPr>
      </w:pPr>
      <w:r>
        <w:rPr>
          <w:color w:val="000000"/>
        </w:rPr>
        <w:t>Campbell-Barr, V. and Leeson, C. 2016.</w:t>
      </w:r>
      <w:r>
        <w:rPr>
          <w:rStyle w:val="apple-converted-space"/>
          <w:rFonts w:eastAsiaTheme="majorEastAsia"/>
          <w:color w:val="000000"/>
        </w:rPr>
        <w:t> </w:t>
      </w:r>
      <w:r>
        <w:rPr>
          <w:i/>
          <w:iCs/>
          <w:color w:val="000000"/>
        </w:rPr>
        <w:t>Quality and leadership in the early years: Research,   theory, and practice</w:t>
      </w:r>
      <w:r>
        <w:rPr>
          <w:color w:val="000000"/>
        </w:rPr>
        <w:t>. Los Angeles: Sage.</w:t>
      </w:r>
      <w:r>
        <w:rPr>
          <w:rStyle w:val="apple-converted-space"/>
          <w:rFonts w:eastAsiaTheme="majorEastAsia"/>
          <w:color w:val="000000"/>
        </w:rPr>
        <w:t> (Accessed: 23</w:t>
      </w:r>
      <w:r w:rsidRPr="00DD4AA3">
        <w:rPr>
          <w:rStyle w:val="apple-converted-space"/>
          <w:rFonts w:eastAsiaTheme="majorEastAsia"/>
          <w:color w:val="000000"/>
          <w:vertAlign w:val="superscript"/>
        </w:rPr>
        <w:t>rd</w:t>
      </w:r>
      <w:r>
        <w:rPr>
          <w:rStyle w:val="apple-converted-space"/>
          <w:rFonts w:eastAsiaTheme="majorEastAsia"/>
          <w:color w:val="000000"/>
        </w:rPr>
        <w:t xml:space="preserve"> March 2024).</w:t>
      </w:r>
    </w:p>
    <w:p w14:paraId="4DD9FE7D" w14:textId="77777777" w:rsidR="00DD4AA3" w:rsidRDefault="00DD4AA3" w:rsidP="00D11D22">
      <w:pPr>
        <w:rPr>
          <w:rFonts w:ascii="Times New Roman" w:hAnsi="Times New Roman" w:cs="Times New Roman"/>
        </w:rPr>
      </w:pPr>
    </w:p>
    <w:p w14:paraId="486AB108" w14:textId="3F04E7FD" w:rsidR="00B211CA" w:rsidRPr="00FE2536" w:rsidRDefault="00B211CA" w:rsidP="00D11D22">
      <w:pPr>
        <w:rPr>
          <w:rFonts w:ascii="Times New Roman" w:hAnsi="Times New Roman" w:cs="Times New Roman"/>
        </w:rPr>
      </w:pPr>
      <w:r w:rsidRPr="00FE2536">
        <w:rPr>
          <w:rFonts w:ascii="Times New Roman" w:hAnsi="Times New Roman" w:cs="Times New Roman"/>
        </w:rPr>
        <w:t xml:space="preserve">Clifford, R., </w:t>
      </w:r>
      <w:proofErr w:type="spellStart"/>
      <w:r w:rsidRPr="00FE2536">
        <w:rPr>
          <w:rFonts w:ascii="Times New Roman" w:hAnsi="Times New Roman" w:cs="Times New Roman"/>
        </w:rPr>
        <w:t>Reszka</w:t>
      </w:r>
      <w:proofErr w:type="spellEnd"/>
      <w:r w:rsidRPr="00FE2536">
        <w:rPr>
          <w:rFonts w:ascii="Times New Roman" w:hAnsi="Times New Roman" w:cs="Times New Roman"/>
        </w:rPr>
        <w:t xml:space="preserve">, S. and Rossbach, H. (2010) ‘Reliability and Validity of The Early Childhood Environment Rating Scale’ </w:t>
      </w:r>
      <w:hyperlink r:id="rId7" w:history="1">
        <w:r w:rsidRPr="00FE2536">
          <w:rPr>
            <w:rStyle w:val="Hyperlink"/>
            <w:rFonts w:ascii="Times New Roman" w:hAnsi="Times New Roman" w:cs="Times New Roman"/>
          </w:rPr>
          <w:t>https://ers.fpg.unc.edu/sites/ers.fpg.unc.edu/files/ReliabilityEcers.pdf</w:t>
        </w:r>
      </w:hyperlink>
      <w:r w:rsidRPr="00FE2536">
        <w:rPr>
          <w:rFonts w:ascii="Times New Roman" w:hAnsi="Times New Roman" w:cs="Times New Roman"/>
        </w:rPr>
        <w:t xml:space="preserve"> (Accessed: 26</w:t>
      </w:r>
      <w:r w:rsidRPr="00FE2536">
        <w:rPr>
          <w:rFonts w:ascii="Times New Roman" w:hAnsi="Times New Roman" w:cs="Times New Roman"/>
          <w:vertAlign w:val="superscript"/>
        </w:rPr>
        <w:t>th</w:t>
      </w:r>
      <w:r w:rsidRPr="00FE2536">
        <w:rPr>
          <w:rFonts w:ascii="Times New Roman" w:hAnsi="Times New Roman" w:cs="Times New Roman"/>
        </w:rPr>
        <w:t xml:space="preserve"> March 2024)</w:t>
      </w:r>
      <w:r w:rsidR="009509E0" w:rsidRPr="00FE2536">
        <w:rPr>
          <w:rFonts w:ascii="Times New Roman" w:hAnsi="Times New Roman" w:cs="Times New Roman"/>
        </w:rPr>
        <w:t>.</w:t>
      </w:r>
      <w:r w:rsidRPr="00FE2536">
        <w:rPr>
          <w:rFonts w:ascii="Times New Roman" w:hAnsi="Times New Roman" w:cs="Times New Roman"/>
        </w:rPr>
        <w:t xml:space="preserve"> </w:t>
      </w:r>
    </w:p>
    <w:p w14:paraId="32DA18F1" w14:textId="77777777" w:rsidR="00B211CA" w:rsidRPr="00FE2536" w:rsidRDefault="00B211CA" w:rsidP="00D11D22">
      <w:pPr>
        <w:rPr>
          <w:rFonts w:ascii="Times New Roman" w:hAnsi="Times New Roman" w:cs="Times New Roman"/>
        </w:rPr>
      </w:pPr>
    </w:p>
    <w:p w14:paraId="1AE7007C" w14:textId="18E8591C" w:rsidR="0027486F" w:rsidRPr="00FE2536" w:rsidRDefault="00172DC6" w:rsidP="00D11D22">
      <w:pPr>
        <w:rPr>
          <w:rFonts w:ascii="Times New Roman" w:hAnsi="Times New Roman" w:cs="Times New Roman"/>
        </w:rPr>
      </w:pPr>
      <w:r w:rsidRPr="00FE2536">
        <w:rPr>
          <w:rFonts w:ascii="Times New Roman" w:hAnsi="Times New Roman" w:cs="Times New Roman"/>
        </w:rPr>
        <w:t>Cottle, M. and Alexander, E. (2012) ‘Quality in Early Years Settings: Government Research and Practitioner Perspectives’, British Educational Research Journal. Volume 38, Issue 4, pp635-654.(Accessed: 26</w:t>
      </w:r>
      <w:r w:rsidRPr="00FE2536">
        <w:rPr>
          <w:rFonts w:ascii="Times New Roman" w:hAnsi="Times New Roman" w:cs="Times New Roman"/>
          <w:vertAlign w:val="superscript"/>
        </w:rPr>
        <w:t>th</w:t>
      </w:r>
      <w:r w:rsidRPr="00FE2536">
        <w:rPr>
          <w:rFonts w:ascii="Times New Roman" w:hAnsi="Times New Roman" w:cs="Times New Roman"/>
        </w:rPr>
        <w:t xml:space="preserve"> March 2024)</w:t>
      </w:r>
      <w:r w:rsidR="009509E0" w:rsidRPr="00FE2536">
        <w:rPr>
          <w:rFonts w:ascii="Times New Roman" w:hAnsi="Times New Roman" w:cs="Times New Roman"/>
        </w:rPr>
        <w:t>.</w:t>
      </w:r>
    </w:p>
    <w:p w14:paraId="791CB229" w14:textId="77777777" w:rsidR="00172DC6" w:rsidRPr="00FE2536" w:rsidRDefault="00172DC6" w:rsidP="00D11D22">
      <w:pPr>
        <w:rPr>
          <w:rFonts w:ascii="Times New Roman" w:hAnsi="Times New Roman" w:cs="Times New Roman"/>
        </w:rPr>
      </w:pPr>
    </w:p>
    <w:p w14:paraId="5D7A454E" w14:textId="3E62C07D" w:rsidR="00A916E7" w:rsidRPr="00FE2536" w:rsidRDefault="00A916E7" w:rsidP="00D11D22">
      <w:pPr>
        <w:rPr>
          <w:rFonts w:ascii="Times New Roman" w:hAnsi="Times New Roman" w:cs="Times New Roman"/>
        </w:rPr>
      </w:pPr>
      <w:proofErr w:type="spellStart"/>
      <w:r w:rsidRPr="00FE2536">
        <w:rPr>
          <w:rFonts w:ascii="Times New Roman" w:hAnsi="Times New Roman" w:cs="Times New Roman"/>
        </w:rPr>
        <w:t>Ecersuk</w:t>
      </w:r>
      <w:proofErr w:type="spellEnd"/>
      <w:r w:rsidRPr="00FE2536">
        <w:rPr>
          <w:rFonts w:ascii="Times New Roman" w:hAnsi="Times New Roman" w:cs="Times New Roman"/>
        </w:rPr>
        <w:t xml:space="preserve">. (no date) ‘The Environment Rating Scales’ </w:t>
      </w:r>
      <w:hyperlink r:id="rId8" w:history="1">
        <w:r w:rsidRPr="00FE2536">
          <w:rPr>
            <w:rStyle w:val="Hyperlink"/>
            <w:rFonts w:ascii="Times New Roman" w:hAnsi="Times New Roman" w:cs="Times New Roman"/>
          </w:rPr>
          <w:t>http://www.ecersuk.org/2.html</w:t>
        </w:r>
      </w:hyperlink>
      <w:r w:rsidRPr="00FE2536">
        <w:rPr>
          <w:rFonts w:ascii="Times New Roman" w:hAnsi="Times New Roman" w:cs="Times New Roman"/>
        </w:rPr>
        <w:t xml:space="preserve"> </w:t>
      </w:r>
    </w:p>
    <w:p w14:paraId="3D2B9780" w14:textId="1AC650DF" w:rsidR="00A916E7" w:rsidRPr="00FE2536" w:rsidRDefault="00A916E7" w:rsidP="00D11D22">
      <w:pPr>
        <w:rPr>
          <w:rFonts w:ascii="Times New Roman" w:hAnsi="Times New Roman" w:cs="Times New Roman"/>
        </w:rPr>
      </w:pPr>
      <w:r w:rsidRPr="00FE2536">
        <w:rPr>
          <w:rFonts w:ascii="Times New Roman" w:hAnsi="Times New Roman" w:cs="Times New Roman"/>
        </w:rPr>
        <w:t>(Accessed: 26</w:t>
      </w:r>
      <w:r w:rsidRPr="00FE2536">
        <w:rPr>
          <w:rFonts w:ascii="Times New Roman" w:hAnsi="Times New Roman" w:cs="Times New Roman"/>
          <w:vertAlign w:val="superscript"/>
        </w:rPr>
        <w:t>th</w:t>
      </w:r>
      <w:r w:rsidRPr="00FE2536">
        <w:rPr>
          <w:rFonts w:ascii="Times New Roman" w:hAnsi="Times New Roman" w:cs="Times New Roman"/>
        </w:rPr>
        <w:t xml:space="preserve"> March). </w:t>
      </w:r>
    </w:p>
    <w:p w14:paraId="74FC103B" w14:textId="77777777" w:rsidR="00A916E7" w:rsidRPr="00FE2536" w:rsidRDefault="00A916E7" w:rsidP="00D11D22">
      <w:pPr>
        <w:rPr>
          <w:rFonts w:ascii="Times New Roman" w:hAnsi="Times New Roman" w:cs="Times New Roman"/>
        </w:rPr>
      </w:pPr>
    </w:p>
    <w:p w14:paraId="0D6FBB50" w14:textId="3AC848AC" w:rsidR="00A916E7" w:rsidRPr="00FE2536" w:rsidRDefault="00A916E7" w:rsidP="00D11D22">
      <w:pPr>
        <w:rPr>
          <w:rFonts w:ascii="Times New Roman" w:hAnsi="Times New Roman" w:cs="Times New Roman"/>
        </w:rPr>
      </w:pPr>
      <w:r w:rsidRPr="00FE2536">
        <w:rPr>
          <w:rFonts w:ascii="Times New Roman" w:hAnsi="Times New Roman" w:cs="Times New Roman"/>
        </w:rPr>
        <w:t>ESTYN. (2019) ‘Guidance handbook for inspecting care and education in regulated non-school settings eligible for funding for part-time education’ https://www.estyn.gov.wales/sites/default/files/documents/Guidance%20handbook% 20for%20the%20inspection%20of%20nonmaintained%20nursery%20settings%20September%202018%20V1%20en.pdf (Accessed 26</w:t>
      </w:r>
      <w:r w:rsidRPr="00FE2536">
        <w:rPr>
          <w:rFonts w:ascii="Times New Roman" w:hAnsi="Times New Roman" w:cs="Times New Roman"/>
          <w:vertAlign w:val="superscript"/>
        </w:rPr>
        <w:t>th</w:t>
      </w:r>
      <w:r w:rsidRPr="00FE2536">
        <w:rPr>
          <w:rFonts w:ascii="Times New Roman" w:hAnsi="Times New Roman" w:cs="Times New Roman"/>
        </w:rPr>
        <w:t xml:space="preserve"> March).</w:t>
      </w:r>
    </w:p>
    <w:p w14:paraId="3E538909" w14:textId="77777777" w:rsidR="00A916E7" w:rsidRPr="00FE2536" w:rsidRDefault="00A916E7" w:rsidP="00D11D22">
      <w:pPr>
        <w:rPr>
          <w:rFonts w:ascii="Times New Roman" w:hAnsi="Times New Roman" w:cs="Times New Roman"/>
        </w:rPr>
      </w:pPr>
    </w:p>
    <w:p w14:paraId="10CE76E2" w14:textId="54C21E2A" w:rsidR="006C7FD5" w:rsidRPr="00FE2536" w:rsidRDefault="006C7FD5" w:rsidP="00D11D22">
      <w:pPr>
        <w:rPr>
          <w:rFonts w:ascii="Times New Roman" w:hAnsi="Times New Roman" w:cs="Times New Roman"/>
        </w:rPr>
      </w:pPr>
      <w:r w:rsidRPr="00FE2536">
        <w:rPr>
          <w:rFonts w:ascii="Times New Roman" w:hAnsi="Times New Roman" w:cs="Times New Roman"/>
        </w:rPr>
        <w:t xml:space="preserve">Howard, S., Siraj, I., </w:t>
      </w:r>
      <w:proofErr w:type="spellStart"/>
      <w:r w:rsidRPr="00FE2536">
        <w:rPr>
          <w:rFonts w:ascii="Times New Roman" w:hAnsi="Times New Roman" w:cs="Times New Roman"/>
        </w:rPr>
        <w:t>Melhuish</w:t>
      </w:r>
      <w:proofErr w:type="spellEnd"/>
      <w:r w:rsidRPr="00FE2536">
        <w:rPr>
          <w:rFonts w:ascii="Times New Roman" w:hAnsi="Times New Roman" w:cs="Times New Roman"/>
        </w:rPr>
        <w:t xml:space="preserve">, E., Kingston, D., </w:t>
      </w:r>
      <w:proofErr w:type="spellStart"/>
      <w:r w:rsidRPr="00FE2536">
        <w:rPr>
          <w:rFonts w:ascii="Times New Roman" w:hAnsi="Times New Roman" w:cs="Times New Roman"/>
        </w:rPr>
        <w:t>Neilsen</w:t>
      </w:r>
      <w:proofErr w:type="spellEnd"/>
      <w:r w:rsidRPr="00FE2536">
        <w:rPr>
          <w:rFonts w:ascii="Times New Roman" w:hAnsi="Times New Roman" w:cs="Times New Roman"/>
        </w:rPr>
        <w:t xml:space="preserve">-Hewett, C., </w:t>
      </w:r>
      <w:proofErr w:type="spellStart"/>
      <w:r w:rsidRPr="00FE2536">
        <w:rPr>
          <w:rFonts w:ascii="Times New Roman" w:hAnsi="Times New Roman" w:cs="Times New Roman"/>
        </w:rPr>
        <w:t>Rosnay</w:t>
      </w:r>
      <w:proofErr w:type="spellEnd"/>
      <w:r w:rsidRPr="00FE2536">
        <w:rPr>
          <w:rFonts w:ascii="Times New Roman" w:hAnsi="Times New Roman" w:cs="Times New Roman"/>
        </w:rPr>
        <w:t xml:space="preserve">, M., </w:t>
      </w:r>
      <w:proofErr w:type="spellStart"/>
      <w:r w:rsidRPr="00FE2536">
        <w:rPr>
          <w:rFonts w:ascii="Times New Roman" w:hAnsi="Times New Roman" w:cs="Times New Roman"/>
        </w:rPr>
        <w:t>Duursma</w:t>
      </w:r>
      <w:proofErr w:type="spellEnd"/>
      <w:r w:rsidRPr="00FE2536">
        <w:rPr>
          <w:rFonts w:ascii="Times New Roman" w:hAnsi="Times New Roman" w:cs="Times New Roman"/>
        </w:rPr>
        <w:t xml:space="preserve">, E. and </w:t>
      </w:r>
      <w:proofErr w:type="spellStart"/>
      <w:r w:rsidRPr="00FE2536">
        <w:rPr>
          <w:rFonts w:ascii="Times New Roman" w:hAnsi="Times New Roman" w:cs="Times New Roman"/>
        </w:rPr>
        <w:t>Luu</w:t>
      </w:r>
      <w:proofErr w:type="spellEnd"/>
      <w:r w:rsidRPr="00FE2536">
        <w:rPr>
          <w:rFonts w:ascii="Times New Roman" w:hAnsi="Times New Roman" w:cs="Times New Roman"/>
        </w:rPr>
        <w:t>, B. (2018) ‘Measuring Interactional Quality in Pre-School Settings: Introduction and Validation of The Sustained Shared Thinking and Emotional Wellbeing (SSTEW) Scale’, Early Childhood Development and Care. Pp 1-14.</w:t>
      </w:r>
      <w:r w:rsidR="009155E1" w:rsidRPr="00FE2536">
        <w:rPr>
          <w:rFonts w:ascii="Times New Roman" w:hAnsi="Times New Roman" w:cs="Times New Roman"/>
        </w:rPr>
        <w:t xml:space="preserve"> (Accessed: 27</w:t>
      </w:r>
      <w:r w:rsidR="009155E1" w:rsidRPr="00FE2536">
        <w:rPr>
          <w:rFonts w:ascii="Times New Roman" w:hAnsi="Times New Roman" w:cs="Times New Roman"/>
          <w:vertAlign w:val="superscript"/>
        </w:rPr>
        <w:t>th</w:t>
      </w:r>
      <w:r w:rsidR="009155E1" w:rsidRPr="00FE2536">
        <w:rPr>
          <w:rFonts w:ascii="Times New Roman" w:hAnsi="Times New Roman" w:cs="Times New Roman"/>
        </w:rPr>
        <w:t xml:space="preserve"> March 2024)</w:t>
      </w:r>
      <w:r w:rsidR="009509E0" w:rsidRPr="00FE2536">
        <w:rPr>
          <w:rFonts w:ascii="Times New Roman" w:hAnsi="Times New Roman" w:cs="Times New Roman"/>
        </w:rPr>
        <w:t xml:space="preserve">. </w:t>
      </w:r>
    </w:p>
    <w:p w14:paraId="10E2CEE0" w14:textId="77777777" w:rsidR="006C7FD5" w:rsidRPr="00FE2536" w:rsidRDefault="006C7FD5" w:rsidP="00D11D22">
      <w:pPr>
        <w:rPr>
          <w:rFonts w:ascii="Times New Roman" w:hAnsi="Times New Roman" w:cs="Times New Roman"/>
        </w:rPr>
      </w:pPr>
    </w:p>
    <w:p w14:paraId="23F65682" w14:textId="515789A9" w:rsidR="009155E1" w:rsidRPr="00FE2536" w:rsidRDefault="009155E1" w:rsidP="00D11D22">
      <w:pPr>
        <w:rPr>
          <w:rFonts w:ascii="Times New Roman" w:hAnsi="Times New Roman" w:cs="Times New Roman"/>
        </w:rPr>
      </w:pPr>
      <w:r w:rsidRPr="00FE2536">
        <w:rPr>
          <w:rFonts w:ascii="Times New Roman" w:hAnsi="Times New Roman" w:cs="Times New Roman"/>
        </w:rPr>
        <w:t>Ishimine, K. (2011) ‘Quality in Early Childhood Education and Care: A Case Study of Disadvantage’, Australian Educational Researcher. Volume 38, Issue 3, pp257-274. (Accessed: 27</w:t>
      </w:r>
      <w:r w:rsidRPr="00FE2536">
        <w:rPr>
          <w:rFonts w:ascii="Times New Roman" w:hAnsi="Times New Roman" w:cs="Times New Roman"/>
          <w:vertAlign w:val="superscript"/>
        </w:rPr>
        <w:t>th</w:t>
      </w:r>
      <w:r w:rsidRPr="00FE2536">
        <w:rPr>
          <w:rFonts w:ascii="Times New Roman" w:hAnsi="Times New Roman" w:cs="Times New Roman"/>
        </w:rPr>
        <w:t xml:space="preserve"> March 2024)</w:t>
      </w:r>
      <w:r w:rsidR="009509E0" w:rsidRPr="00FE2536">
        <w:rPr>
          <w:rFonts w:ascii="Times New Roman" w:hAnsi="Times New Roman" w:cs="Times New Roman"/>
        </w:rPr>
        <w:t>.</w:t>
      </w:r>
    </w:p>
    <w:p w14:paraId="05738EF0" w14:textId="77777777" w:rsidR="009155E1" w:rsidRPr="00FE2536" w:rsidRDefault="009155E1" w:rsidP="00D11D22">
      <w:pPr>
        <w:rPr>
          <w:rFonts w:ascii="Times New Roman" w:hAnsi="Times New Roman" w:cs="Times New Roman"/>
        </w:rPr>
      </w:pPr>
    </w:p>
    <w:p w14:paraId="66B0C16A" w14:textId="77777777" w:rsidR="0040075B" w:rsidRPr="00FE2536" w:rsidRDefault="009155E1" w:rsidP="00D11D22">
      <w:pPr>
        <w:rPr>
          <w:rFonts w:ascii="Times New Roman" w:hAnsi="Times New Roman" w:cs="Times New Roman"/>
        </w:rPr>
      </w:pPr>
      <w:r w:rsidRPr="00FE2536">
        <w:rPr>
          <w:rFonts w:ascii="Times New Roman" w:hAnsi="Times New Roman" w:cs="Times New Roman"/>
        </w:rPr>
        <w:t xml:space="preserve">Kingston, D. and Siraj, I. (2017) ‘Supporting the Implementation of The Foundation Phase Through Effective Professional Development’, Wales Journal of Education. </w:t>
      </w:r>
    </w:p>
    <w:p w14:paraId="201D7137" w14:textId="77777777" w:rsidR="000D33DA" w:rsidRPr="00FE2536" w:rsidRDefault="000D33DA" w:rsidP="00D11D22">
      <w:pPr>
        <w:rPr>
          <w:rFonts w:ascii="Times New Roman" w:hAnsi="Times New Roman" w:cs="Times New Roman"/>
        </w:rPr>
      </w:pPr>
      <w:r w:rsidRPr="00FE2536">
        <w:rPr>
          <w:rFonts w:ascii="Times New Roman" w:hAnsi="Times New Roman" w:cs="Times New Roman"/>
        </w:rPr>
        <w:t xml:space="preserve">Lewis, A. (2016) ‘Well-Being and the Early Years Curriculum: A Case Study of The Foundation Phase in Wales’ 12 </w:t>
      </w:r>
      <w:hyperlink r:id="rId9" w:history="1">
        <w:r w:rsidRPr="00FE2536">
          <w:rPr>
            <w:rStyle w:val="Hyperlink"/>
            <w:rFonts w:ascii="Times New Roman" w:hAnsi="Times New Roman" w:cs="Times New Roman"/>
          </w:rPr>
          <w:t>https://orca.cf.ac.uk/98708/1/thesis_Alyson_Lewis_March2017%20FINAL.pdf</w:t>
        </w:r>
      </w:hyperlink>
      <w:r w:rsidRPr="00FE2536">
        <w:rPr>
          <w:rFonts w:ascii="Times New Roman" w:hAnsi="Times New Roman" w:cs="Times New Roman"/>
        </w:rPr>
        <w:t xml:space="preserve"> </w:t>
      </w:r>
    </w:p>
    <w:p w14:paraId="6ECC59A3" w14:textId="36250184" w:rsidR="000D33DA" w:rsidRPr="00FE2536" w:rsidRDefault="000D33DA" w:rsidP="00D11D22">
      <w:pPr>
        <w:rPr>
          <w:rFonts w:ascii="Times New Roman" w:hAnsi="Times New Roman" w:cs="Times New Roman"/>
        </w:rPr>
      </w:pPr>
      <w:r w:rsidRPr="00FE2536">
        <w:rPr>
          <w:rFonts w:ascii="Times New Roman" w:hAnsi="Times New Roman" w:cs="Times New Roman"/>
        </w:rPr>
        <w:t>(Accessed: 26</w:t>
      </w:r>
      <w:r w:rsidRPr="00FE2536">
        <w:rPr>
          <w:rFonts w:ascii="Times New Roman" w:hAnsi="Times New Roman" w:cs="Times New Roman"/>
          <w:vertAlign w:val="superscript"/>
        </w:rPr>
        <w:t>th</w:t>
      </w:r>
      <w:r w:rsidRPr="00FE2536">
        <w:rPr>
          <w:rFonts w:ascii="Times New Roman" w:hAnsi="Times New Roman" w:cs="Times New Roman"/>
        </w:rPr>
        <w:t xml:space="preserve"> March 2024).</w:t>
      </w:r>
    </w:p>
    <w:p w14:paraId="45A07BEF" w14:textId="77777777" w:rsidR="000D33DA" w:rsidRPr="00FE2536" w:rsidRDefault="000D33DA" w:rsidP="00D11D22">
      <w:pPr>
        <w:rPr>
          <w:rFonts w:ascii="Times New Roman" w:hAnsi="Times New Roman" w:cs="Times New Roman"/>
        </w:rPr>
      </w:pPr>
    </w:p>
    <w:p w14:paraId="5C377DA2" w14:textId="4577FE98" w:rsidR="0040075B" w:rsidRPr="00FE2536" w:rsidRDefault="0040075B" w:rsidP="00D11D22">
      <w:pPr>
        <w:rPr>
          <w:rFonts w:ascii="Times New Roman" w:hAnsi="Times New Roman" w:cs="Times New Roman"/>
        </w:rPr>
      </w:pPr>
      <w:r w:rsidRPr="00FE2536">
        <w:rPr>
          <w:rFonts w:ascii="Times New Roman" w:hAnsi="Times New Roman" w:cs="Times New Roman"/>
        </w:rPr>
        <w:t xml:space="preserve">Siraj-Blatchford, I., Sylva, K., </w:t>
      </w:r>
      <w:proofErr w:type="spellStart"/>
      <w:r w:rsidRPr="00FE2536">
        <w:rPr>
          <w:rFonts w:ascii="Times New Roman" w:hAnsi="Times New Roman" w:cs="Times New Roman"/>
        </w:rPr>
        <w:t>Muttock</w:t>
      </w:r>
      <w:proofErr w:type="spellEnd"/>
      <w:r w:rsidRPr="00FE2536">
        <w:rPr>
          <w:rFonts w:ascii="Times New Roman" w:hAnsi="Times New Roman" w:cs="Times New Roman"/>
        </w:rPr>
        <w:t xml:space="preserve">, S., </w:t>
      </w:r>
      <w:proofErr w:type="spellStart"/>
      <w:r w:rsidRPr="00FE2536">
        <w:rPr>
          <w:rFonts w:ascii="Times New Roman" w:hAnsi="Times New Roman" w:cs="Times New Roman"/>
        </w:rPr>
        <w:t>Gilden</w:t>
      </w:r>
      <w:proofErr w:type="spellEnd"/>
      <w:r w:rsidRPr="00FE2536">
        <w:rPr>
          <w:rFonts w:ascii="Times New Roman" w:hAnsi="Times New Roman" w:cs="Times New Roman"/>
        </w:rPr>
        <w:t xml:space="preserve">, R. and Bell, D. (2002) ‘Researching Effective Pedagogy in the Early Years.’ </w:t>
      </w:r>
      <w:hyperlink r:id="rId10" w:history="1">
        <w:r w:rsidRPr="00FE2536">
          <w:rPr>
            <w:rStyle w:val="Hyperlink"/>
            <w:rFonts w:ascii="Times New Roman" w:hAnsi="Times New Roman" w:cs="Times New Roman"/>
          </w:rPr>
          <w:t>https://dera.ioe.ac.uk/4650/1/RR356.pdf</w:t>
        </w:r>
      </w:hyperlink>
      <w:r w:rsidRPr="00FE2536">
        <w:rPr>
          <w:rFonts w:ascii="Times New Roman" w:hAnsi="Times New Roman" w:cs="Times New Roman"/>
        </w:rPr>
        <w:t xml:space="preserve"> ( Accessed: 26</w:t>
      </w:r>
      <w:r w:rsidRPr="00FE2536">
        <w:rPr>
          <w:rFonts w:ascii="Times New Roman" w:hAnsi="Times New Roman" w:cs="Times New Roman"/>
          <w:vertAlign w:val="superscript"/>
        </w:rPr>
        <w:t>th</w:t>
      </w:r>
      <w:r w:rsidRPr="00FE2536">
        <w:rPr>
          <w:rFonts w:ascii="Times New Roman" w:hAnsi="Times New Roman" w:cs="Times New Roman"/>
        </w:rPr>
        <w:t xml:space="preserve"> March 2024) </w:t>
      </w:r>
    </w:p>
    <w:p w14:paraId="254CB37C" w14:textId="77777777" w:rsidR="0040075B" w:rsidRPr="00FE2536" w:rsidRDefault="0040075B" w:rsidP="00D11D22">
      <w:pPr>
        <w:rPr>
          <w:rFonts w:ascii="Times New Roman" w:hAnsi="Times New Roman" w:cs="Times New Roman"/>
        </w:rPr>
      </w:pPr>
    </w:p>
    <w:p w14:paraId="7D2C3317" w14:textId="0FD4C773" w:rsidR="00C47B67" w:rsidRPr="00FE2536" w:rsidRDefault="00C47B67" w:rsidP="00D11D22">
      <w:pPr>
        <w:rPr>
          <w:rFonts w:ascii="Times New Roman" w:hAnsi="Times New Roman" w:cs="Times New Roman"/>
        </w:rPr>
      </w:pPr>
      <w:r w:rsidRPr="00FE2536">
        <w:rPr>
          <w:rFonts w:ascii="Times New Roman" w:hAnsi="Times New Roman" w:cs="Times New Roman"/>
        </w:rPr>
        <w:t xml:space="preserve">Siraj, I., Kingston, D. and </w:t>
      </w:r>
      <w:proofErr w:type="spellStart"/>
      <w:r w:rsidRPr="00FE2536">
        <w:rPr>
          <w:rFonts w:ascii="Times New Roman" w:hAnsi="Times New Roman" w:cs="Times New Roman"/>
        </w:rPr>
        <w:t>Melhuish</w:t>
      </w:r>
      <w:proofErr w:type="spellEnd"/>
      <w:r w:rsidRPr="00FE2536">
        <w:rPr>
          <w:rFonts w:ascii="Times New Roman" w:hAnsi="Times New Roman" w:cs="Times New Roman"/>
        </w:rPr>
        <w:t>, E. (2015) Assessing Quality in Early Childhood Education and Care: Sustained Shared Thinking and Emotional Well-being (SSTEW) Scale for 2-5 Year Olds Provision. Stoke-on-Trent: IOS Press. (Accessed: 26</w:t>
      </w:r>
      <w:r w:rsidRPr="00FE2536">
        <w:rPr>
          <w:rFonts w:ascii="Times New Roman" w:hAnsi="Times New Roman" w:cs="Times New Roman"/>
          <w:vertAlign w:val="superscript"/>
        </w:rPr>
        <w:t>th</w:t>
      </w:r>
      <w:r w:rsidRPr="00FE2536">
        <w:rPr>
          <w:rFonts w:ascii="Times New Roman" w:hAnsi="Times New Roman" w:cs="Times New Roman"/>
        </w:rPr>
        <w:t xml:space="preserve"> March 2024).</w:t>
      </w:r>
    </w:p>
    <w:p w14:paraId="559F6913" w14:textId="77777777" w:rsidR="00C47B67" w:rsidRPr="00FE2536" w:rsidRDefault="00C47B67" w:rsidP="00D11D22">
      <w:pPr>
        <w:rPr>
          <w:rFonts w:ascii="Times New Roman" w:hAnsi="Times New Roman" w:cs="Times New Roman"/>
        </w:rPr>
      </w:pPr>
    </w:p>
    <w:p w14:paraId="6034A1A9" w14:textId="23B0EDCC" w:rsidR="009155E1" w:rsidRPr="00FE2536" w:rsidRDefault="009155E1" w:rsidP="00D11D22">
      <w:pPr>
        <w:rPr>
          <w:rFonts w:ascii="Times New Roman" w:hAnsi="Times New Roman" w:cs="Times New Roman"/>
        </w:rPr>
      </w:pPr>
      <w:r w:rsidRPr="00FE2536">
        <w:rPr>
          <w:rFonts w:ascii="Times New Roman" w:hAnsi="Times New Roman" w:cs="Times New Roman"/>
        </w:rPr>
        <w:t>Special Edition: Professional Learning. Volume 19, Issue 1, pp39-68. (Accessed: 27</w:t>
      </w:r>
      <w:r w:rsidRPr="00FE2536">
        <w:rPr>
          <w:rFonts w:ascii="Times New Roman" w:hAnsi="Times New Roman" w:cs="Times New Roman"/>
          <w:vertAlign w:val="superscript"/>
        </w:rPr>
        <w:t>th</w:t>
      </w:r>
      <w:r w:rsidRPr="00FE2536">
        <w:rPr>
          <w:rFonts w:ascii="Times New Roman" w:hAnsi="Times New Roman" w:cs="Times New Roman"/>
        </w:rPr>
        <w:t xml:space="preserve"> March 2024).</w:t>
      </w:r>
    </w:p>
    <w:p w14:paraId="1CD37F9A" w14:textId="77777777" w:rsidR="009155E1" w:rsidRPr="00FE2536" w:rsidRDefault="009155E1" w:rsidP="00D11D22">
      <w:pPr>
        <w:rPr>
          <w:rFonts w:ascii="Times New Roman" w:hAnsi="Times New Roman" w:cs="Times New Roman"/>
        </w:rPr>
      </w:pPr>
    </w:p>
    <w:p w14:paraId="5CB9EC4F" w14:textId="78D2E553" w:rsidR="00172DC6" w:rsidRPr="00FE2536" w:rsidRDefault="00172DC6" w:rsidP="00D11D22">
      <w:pPr>
        <w:rPr>
          <w:rFonts w:ascii="Times New Roman" w:hAnsi="Times New Roman" w:cs="Times New Roman"/>
        </w:rPr>
      </w:pPr>
      <w:proofErr w:type="spellStart"/>
      <w:r w:rsidRPr="00FE2536">
        <w:rPr>
          <w:rFonts w:ascii="Times New Roman" w:hAnsi="Times New Roman" w:cs="Times New Roman"/>
        </w:rPr>
        <w:t>Melhuish</w:t>
      </w:r>
      <w:proofErr w:type="spellEnd"/>
      <w:r w:rsidRPr="00FE2536">
        <w:rPr>
          <w:rFonts w:ascii="Times New Roman" w:hAnsi="Times New Roman" w:cs="Times New Roman"/>
        </w:rPr>
        <w:t>, T. (2015) ‘How SSTEW Scale Supports Quality Improvement’ https://www.foundationyears.org.uk/files/2015/03/Eary-Childhood-Matters-apresentation-by-Iram-and-Denise.pdf [Accessed: 27th March 2024].</w:t>
      </w:r>
    </w:p>
    <w:p w14:paraId="453D2249" w14:textId="1E0A1B4F" w:rsidR="00FE2536" w:rsidRPr="00FE2536" w:rsidRDefault="00FE2536" w:rsidP="00FE2536">
      <w:pPr>
        <w:pStyle w:val="NormalWeb"/>
        <w:ind w:left="567" w:hanging="567"/>
        <w:rPr>
          <w:color w:val="000000"/>
        </w:rPr>
      </w:pPr>
      <w:r w:rsidRPr="00FE2536">
        <w:rPr>
          <w:color w:val="000000"/>
        </w:rPr>
        <w:t>Moss, P. 2016. Why can’t we get beyond quality?</w:t>
      </w:r>
      <w:r w:rsidRPr="00FE2536">
        <w:rPr>
          <w:rStyle w:val="apple-converted-space"/>
          <w:rFonts w:eastAsiaTheme="majorEastAsia"/>
          <w:color w:val="000000"/>
        </w:rPr>
        <w:t> </w:t>
      </w:r>
      <w:r w:rsidRPr="00FE2536">
        <w:rPr>
          <w:i/>
          <w:iCs/>
          <w:color w:val="000000"/>
        </w:rPr>
        <w:t>Contemporary Issues in Early</w:t>
      </w:r>
      <w:r>
        <w:rPr>
          <w:i/>
          <w:iCs/>
          <w:color w:val="000000"/>
        </w:rPr>
        <w:t xml:space="preserve">     </w:t>
      </w:r>
      <w:r w:rsidRPr="00FE2536">
        <w:rPr>
          <w:i/>
          <w:iCs/>
          <w:color w:val="000000"/>
        </w:rPr>
        <w:t>Childhood</w:t>
      </w:r>
      <w:r w:rsidRPr="00FE2536">
        <w:rPr>
          <w:rStyle w:val="apple-converted-space"/>
          <w:rFonts w:eastAsiaTheme="majorEastAsia"/>
          <w:color w:val="000000"/>
        </w:rPr>
        <w:t> </w:t>
      </w:r>
      <w:r w:rsidRPr="00FE2536">
        <w:rPr>
          <w:color w:val="000000"/>
        </w:rPr>
        <w:t>17(1), pp. 8–15.</w:t>
      </w:r>
      <w:r w:rsidRPr="00FE2536">
        <w:rPr>
          <w:rStyle w:val="apple-converted-space"/>
          <w:rFonts w:eastAsiaTheme="majorEastAsia"/>
          <w:color w:val="000000"/>
        </w:rPr>
        <w:t> </w:t>
      </w:r>
      <w:r>
        <w:rPr>
          <w:rStyle w:val="apple-converted-space"/>
          <w:rFonts w:eastAsiaTheme="majorEastAsia"/>
          <w:color w:val="000000"/>
        </w:rPr>
        <w:t>(Accessed: 23</w:t>
      </w:r>
      <w:r w:rsidRPr="00FE2536">
        <w:rPr>
          <w:rStyle w:val="apple-converted-space"/>
          <w:rFonts w:eastAsiaTheme="majorEastAsia"/>
          <w:color w:val="000000"/>
          <w:vertAlign w:val="superscript"/>
        </w:rPr>
        <w:t>rd</w:t>
      </w:r>
      <w:r>
        <w:rPr>
          <w:rStyle w:val="apple-converted-space"/>
          <w:rFonts w:eastAsiaTheme="majorEastAsia"/>
          <w:color w:val="000000"/>
        </w:rPr>
        <w:t xml:space="preserve"> March 2024). </w:t>
      </w:r>
    </w:p>
    <w:p w14:paraId="5FF55A50" w14:textId="2D4494E4" w:rsidR="00B211CA" w:rsidRPr="00FE2536" w:rsidRDefault="00B211CA" w:rsidP="00D11D22">
      <w:pPr>
        <w:rPr>
          <w:rFonts w:ascii="Times New Roman" w:hAnsi="Times New Roman" w:cs="Times New Roman"/>
        </w:rPr>
      </w:pPr>
      <w:proofErr w:type="spellStart"/>
      <w:r w:rsidRPr="00FE2536">
        <w:rPr>
          <w:rFonts w:ascii="Times New Roman" w:hAnsi="Times New Roman" w:cs="Times New Roman"/>
        </w:rPr>
        <w:t>Munton</w:t>
      </w:r>
      <w:proofErr w:type="spellEnd"/>
      <w:r w:rsidRPr="00FE2536">
        <w:rPr>
          <w:rFonts w:ascii="Times New Roman" w:hAnsi="Times New Roman" w:cs="Times New Roman"/>
        </w:rPr>
        <w:t xml:space="preserve">, T., McCullum, B. and Rivers, K. (2001) ‘Childcare Quality Improvement and Assurance Practice’ </w:t>
      </w:r>
      <w:hyperlink r:id="rId11" w:history="1">
        <w:r w:rsidRPr="00FE2536">
          <w:rPr>
            <w:rStyle w:val="Hyperlink"/>
            <w:rFonts w:ascii="Times New Roman" w:hAnsi="Times New Roman" w:cs="Times New Roman"/>
          </w:rPr>
          <w:t>https://dera.ioe.ac.uk/4631/1/RR266.pdf</w:t>
        </w:r>
      </w:hyperlink>
      <w:r w:rsidRPr="00FE2536">
        <w:rPr>
          <w:rFonts w:ascii="Times New Roman" w:hAnsi="Times New Roman" w:cs="Times New Roman"/>
        </w:rPr>
        <w:t xml:space="preserve"> (Accessed: 26</w:t>
      </w:r>
      <w:r w:rsidRPr="00FE2536">
        <w:rPr>
          <w:rFonts w:ascii="Times New Roman" w:hAnsi="Times New Roman" w:cs="Times New Roman"/>
          <w:vertAlign w:val="superscript"/>
        </w:rPr>
        <w:t>th</w:t>
      </w:r>
      <w:r w:rsidRPr="00FE2536">
        <w:rPr>
          <w:rFonts w:ascii="Times New Roman" w:hAnsi="Times New Roman" w:cs="Times New Roman"/>
        </w:rPr>
        <w:t xml:space="preserve"> March 2024)</w:t>
      </w:r>
      <w:r w:rsidR="009509E0" w:rsidRPr="00FE2536">
        <w:rPr>
          <w:rFonts w:ascii="Times New Roman" w:hAnsi="Times New Roman" w:cs="Times New Roman"/>
        </w:rPr>
        <w:t>.</w:t>
      </w:r>
    </w:p>
    <w:p w14:paraId="71164790" w14:textId="77777777" w:rsidR="00B211CA" w:rsidRPr="00FE2536" w:rsidRDefault="00B211CA" w:rsidP="00D11D22">
      <w:pPr>
        <w:rPr>
          <w:rFonts w:ascii="Times New Roman" w:hAnsi="Times New Roman" w:cs="Times New Roman"/>
        </w:rPr>
      </w:pPr>
    </w:p>
    <w:p w14:paraId="56A5D9BC" w14:textId="6E785529" w:rsidR="00172DC6" w:rsidRPr="00FE2536" w:rsidRDefault="00172DC6" w:rsidP="00D11D22">
      <w:pPr>
        <w:rPr>
          <w:rFonts w:ascii="Times New Roman" w:hAnsi="Times New Roman" w:cs="Times New Roman"/>
        </w:rPr>
      </w:pPr>
      <w:r w:rsidRPr="00FE2536">
        <w:rPr>
          <w:rFonts w:ascii="Times New Roman" w:hAnsi="Times New Roman" w:cs="Times New Roman"/>
        </w:rPr>
        <w:t xml:space="preserve">Nutbrown, C. (2012) ‘Foundations for quality, </w:t>
      </w:r>
      <w:proofErr w:type="gramStart"/>
      <w:r w:rsidRPr="00FE2536">
        <w:rPr>
          <w:rFonts w:ascii="Times New Roman" w:hAnsi="Times New Roman" w:cs="Times New Roman"/>
        </w:rPr>
        <w:t>The</w:t>
      </w:r>
      <w:proofErr w:type="gramEnd"/>
      <w:r w:rsidRPr="00FE2536">
        <w:rPr>
          <w:rFonts w:ascii="Times New Roman" w:hAnsi="Times New Roman" w:cs="Times New Roman"/>
        </w:rPr>
        <w:t xml:space="preserve"> independent review of early education and childcare qualifications, Final Report’ https://assets.publishing.service.gov.uk/government/uploads/system/uploads/attach metadata/file/175463/Nutbrown-Review.pdf ( Accessed: 27</w:t>
      </w:r>
      <w:r w:rsidRPr="00FE2536">
        <w:rPr>
          <w:rFonts w:ascii="Times New Roman" w:hAnsi="Times New Roman" w:cs="Times New Roman"/>
          <w:vertAlign w:val="superscript"/>
        </w:rPr>
        <w:t>th</w:t>
      </w:r>
      <w:r w:rsidRPr="00FE2536">
        <w:rPr>
          <w:rFonts w:ascii="Times New Roman" w:hAnsi="Times New Roman" w:cs="Times New Roman"/>
        </w:rPr>
        <w:t xml:space="preserve"> March</w:t>
      </w:r>
      <w:r w:rsidR="009155E1" w:rsidRPr="00FE2536">
        <w:rPr>
          <w:rFonts w:ascii="Times New Roman" w:hAnsi="Times New Roman" w:cs="Times New Roman"/>
        </w:rPr>
        <w:t xml:space="preserve"> 2024</w:t>
      </w:r>
      <w:r w:rsidRPr="00FE2536">
        <w:rPr>
          <w:rFonts w:ascii="Times New Roman" w:hAnsi="Times New Roman" w:cs="Times New Roman"/>
        </w:rPr>
        <w:t>)</w:t>
      </w:r>
      <w:r w:rsidR="009155E1" w:rsidRPr="00FE2536">
        <w:rPr>
          <w:rFonts w:ascii="Times New Roman" w:hAnsi="Times New Roman" w:cs="Times New Roman"/>
        </w:rPr>
        <w:t>.</w:t>
      </w:r>
    </w:p>
    <w:p w14:paraId="7180116B" w14:textId="77777777" w:rsidR="00172DC6" w:rsidRPr="00FE2536" w:rsidRDefault="00172DC6" w:rsidP="00D11D22">
      <w:pPr>
        <w:rPr>
          <w:rFonts w:ascii="Times New Roman" w:hAnsi="Times New Roman" w:cs="Times New Roman"/>
        </w:rPr>
      </w:pPr>
    </w:p>
    <w:p w14:paraId="2F40ABD7" w14:textId="212DDDD4" w:rsidR="009509E0" w:rsidRPr="00FE2536" w:rsidRDefault="009509E0" w:rsidP="00D11D22">
      <w:pPr>
        <w:rPr>
          <w:rFonts w:ascii="Times New Roman" w:hAnsi="Times New Roman" w:cs="Times New Roman"/>
        </w:rPr>
      </w:pPr>
      <w:r w:rsidRPr="00FE2536">
        <w:rPr>
          <w:rFonts w:ascii="Times New Roman" w:hAnsi="Times New Roman" w:cs="Times New Roman"/>
        </w:rPr>
        <w:t xml:space="preserve">Sylva, K., </w:t>
      </w:r>
      <w:proofErr w:type="spellStart"/>
      <w:r w:rsidRPr="00FE2536">
        <w:rPr>
          <w:rFonts w:ascii="Times New Roman" w:hAnsi="Times New Roman" w:cs="Times New Roman"/>
        </w:rPr>
        <w:t>Melhuish</w:t>
      </w:r>
      <w:proofErr w:type="spellEnd"/>
      <w:r w:rsidRPr="00FE2536">
        <w:rPr>
          <w:rFonts w:ascii="Times New Roman" w:hAnsi="Times New Roman" w:cs="Times New Roman"/>
        </w:rPr>
        <w:t xml:space="preserve">, E., Sammons, P., Siraj-Blatchford, I. and Taggart, B. (2004) ‘The Effective Provision of Pre-School Education (EPPE) Project: Final Report.’ </w:t>
      </w:r>
      <w:hyperlink r:id="rId12" w:history="1">
        <w:r w:rsidRPr="00FE2536">
          <w:rPr>
            <w:rStyle w:val="Hyperlink"/>
            <w:rFonts w:ascii="Times New Roman" w:hAnsi="Times New Roman" w:cs="Times New Roman"/>
          </w:rPr>
          <w:t>http://discovery.ucl.ac.uk/10005309/1/sylva2004EPPEfinal.pdf</w:t>
        </w:r>
      </w:hyperlink>
      <w:r w:rsidRPr="00FE2536">
        <w:rPr>
          <w:rFonts w:ascii="Times New Roman" w:hAnsi="Times New Roman" w:cs="Times New Roman"/>
        </w:rPr>
        <w:t xml:space="preserve"> ( Accessed: 27</w:t>
      </w:r>
      <w:r w:rsidRPr="00FE2536">
        <w:rPr>
          <w:rFonts w:ascii="Times New Roman" w:hAnsi="Times New Roman" w:cs="Times New Roman"/>
          <w:vertAlign w:val="superscript"/>
        </w:rPr>
        <w:t>th</w:t>
      </w:r>
      <w:r w:rsidRPr="00FE2536">
        <w:rPr>
          <w:rFonts w:ascii="Times New Roman" w:hAnsi="Times New Roman" w:cs="Times New Roman"/>
        </w:rPr>
        <w:t xml:space="preserve"> March 2024).</w:t>
      </w:r>
    </w:p>
    <w:p w14:paraId="18A57F62" w14:textId="6FA4DBD9" w:rsidR="009509E0" w:rsidRPr="00FE2536" w:rsidRDefault="009509E0" w:rsidP="00D11D22">
      <w:pPr>
        <w:rPr>
          <w:rFonts w:ascii="Times New Roman" w:hAnsi="Times New Roman" w:cs="Times New Roman"/>
        </w:rPr>
      </w:pPr>
      <w:r w:rsidRPr="00FE2536">
        <w:rPr>
          <w:rFonts w:ascii="Times New Roman" w:hAnsi="Times New Roman" w:cs="Times New Roman"/>
        </w:rPr>
        <w:t xml:space="preserve"> </w:t>
      </w:r>
    </w:p>
    <w:p w14:paraId="397E61C2" w14:textId="77777777" w:rsidR="00C41BA4" w:rsidRPr="00FE2536" w:rsidRDefault="00C41BA4" w:rsidP="00D11D22">
      <w:pPr>
        <w:rPr>
          <w:rFonts w:ascii="Times New Roman" w:hAnsi="Times New Roman" w:cs="Times New Roman"/>
        </w:rPr>
      </w:pPr>
      <w:r w:rsidRPr="00FE2536">
        <w:rPr>
          <w:rFonts w:ascii="Times New Roman" w:hAnsi="Times New Roman" w:cs="Times New Roman"/>
        </w:rPr>
        <w:t>Tanner, E., Welsh, E. and Jane, L. (2006) ‘The Quality Defining Process in Early Years Services: A Case Study’, Children and Society. Volume 20, Issue 1, pp4-16. 9</w:t>
      </w:r>
    </w:p>
    <w:p w14:paraId="604DFC1C" w14:textId="40791A1B" w:rsidR="00C41BA4" w:rsidRPr="00FE2536" w:rsidRDefault="00C41BA4" w:rsidP="00D11D22">
      <w:pPr>
        <w:rPr>
          <w:rFonts w:ascii="Times New Roman" w:hAnsi="Times New Roman" w:cs="Times New Roman"/>
        </w:rPr>
      </w:pPr>
      <w:r w:rsidRPr="00FE2536">
        <w:rPr>
          <w:rFonts w:ascii="Times New Roman" w:hAnsi="Times New Roman" w:cs="Times New Roman"/>
        </w:rPr>
        <w:t>(Accessed: 26</w:t>
      </w:r>
      <w:r w:rsidRPr="00FE2536">
        <w:rPr>
          <w:rFonts w:ascii="Times New Roman" w:hAnsi="Times New Roman" w:cs="Times New Roman"/>
          <w:vertAlign w:val="superscript"/>
        </w:rPr>
        <w:t>th</w:t>
      </w:r>
      <w:r w:rsidRPr="00FE2536">
        <w:rPr>
          <w:rFonts w:ascii="Times New Roman" w:hAnsi="Times New Roman" w:cs="Times New Roman"/>
        </w:rPr>
        <w:t xml:space="preserve"> March 2024) </w:t>
      </w:r>
    </w:p>
    <w:p w14:paraId="2E306709" w14:textId="77777777" w:rsidR="00C41BA4" w:rsidRPr="00FE2536" w:rsidRDefault="00C41BA4" w:rsidP="00D11D22">
      <w:pPr>
        <w:rPr>
          <w:rFonts w:ascii="Times New Roman" w:hAnsi="Times New Roman" w:cs="Times New Roman"/>
        </w:rPr>
      </w:pPr>
    </w:p>
    <w:p w14:paraId="4C316495" w14:textId="77777777" w:rsidR="00C41BA4" w:rsidRPr="00FE2536" w:rsidRDefault="00C41BA4" w:rsidP="00D11D22">
      <w:pPr>
        <w:rPr>
          <w:rFonts w:ascii="Times New Roman" w:hAnsi="Times New Roman" w:cs="Times New Roman"/>
        </w:rPr>
      </w:pPr>
      <w:r w:rsidRPr="00FE2536">
        <w:rPr>
          <w:rFonts w:ascii="Times New Roman" w:hAnsi="Times New Roman" w:cs="Times New Roman"/>
        </w:rPr>
        <w:t xml:space="preserve">UNC Child Development Institute. (no date) ‘Environment Rating Scales’ </w:t>
      </w:r>
      <w:hyperlink r:id="rId13" w:history="1">
        <w:r w:rsidRPr="00FE2536">
          <w:rPr>
            <w:rStyle w:val="Hyperlink"/>
            <w:rFonts w:ascii="Times New Roman" w:hAnsi="Times New Roman" w:cs="Times New Roman"/>
          </w:rPr>
          <w:t>https://ers.fpg.unc.edu/about-environment-rating-scales</w:t>
        </w:r>
      </w:hyperlink>
      <w:r w:rsidRPr="00FE2536">
        <w:rPr>
          <w:rFonts w:ascii="Times New Roman" w:hAnsi="Times New Roman" w:cs="Times New Roman"/>
        </w:rPr>
        <w:t xml:space="preserve"> </w:t>
      </w:r>
    </w:p>
    <w:p w14:paraId="5F0FD2AA" w14:textId="5C628FBE" w:rsidR="00C41BA4" w:rsidRPr="00FE2536" w:rsidRDefault="00C41BA4" w:rsidP="00D11D22">
      <w:pPr>
        <w:rPr>
          <w:rFonts w:ascii="Times New Roman" w:hAnsi="Times New Roman" w:cs="Times New Roman"/>
        </w:rPr>
      </w:pPr>
      <w:r w:rsidRPr="00FE2536">
        <w:rPr>
          <w:rFonts w:ascii="Times New Roman" w:hAnsi="Times New Roman" w:cs="Times New Roman"/>
        </w:rPr>
        <w:t>(Accessed 26</w:t>
      </w:r>
      <w:r w:rsidRPr="00FE2536">
        <w:rPr>
          <w:rFonts w:ascii="Times New Roman" w:hAnsi="Times New Roman" w:cs="Times New Roman"/>
          <w:vertAlign w:val="superscript"/>
        </w:rPr>
        <w:t>th</w:t>
      </w:r>
      <w:r w:rsidRPr="00FE2536">
        <w:rPr>
          <w:rFonts w:ascii="Times New Roman" w:hAnsi="Times New Roman" w:cs="Times New Roman"/>
        </w:rPr>
        <w:t xml:space="preserve"> March 2024).</w:t>
      </w:r>
    </w:p>
    <w:p w14:paraId="2BF3E463" w14:textId="77777777" w:rsidR="00C41BA4" w:rsidRPr="00FE2536" w:rsidRDefault="00C41BA4" w:rsidP="00D11D22">
      <w:pPr>
        <w:rPr>
          <w:rFonts w:ascii="Times New Roman" w:hAnsi="Times New Roman" w:cs="Times New Roman"/>
        </w:rPr>
      </w:pPr>
    </w:p>
    <w:p w14:paraId="5B92F100" w14:textId="7D11B905" w:rsidR="00B211CA" w:rsidRPr="00FE2536" w:rsidRDefault="00B211CA" w:rsidP="00D11D22">
      <w:pPr>
        <w:rPr>
          <w:rFonts w:ascii="Times New Roman" w:hAnsi="Times New Roman" w:cs="Times New Roman"/>
        </w:rPr>
      </w:pPr>
      <w:r w:rsidRPr="00FE2536">
        <w:rPr>
          <w:rFonts w:ascii="Times New Roman" w:hAnsi="Times New Roman" w:cs="Times New Roman"/>
        </w:rPr>
        <w:t xml:space="preserve">UNICEF. (1992) ‘United Nations Conventions on the Rights of the Child’ </w:t>
      </w:r>
      <w:hyperlink r:id="rId14" w:history="1">
        <w:r w:rsidRPr="00FE2536">
          <w:rPr>
            <w:rStyle w:val="Hyperlink"/>
            <w:rFonts w:ascii="Times New Roman" w:hAnsi="Times New Roman" w:cs="Times New Roman"/>
          </w:rPr>
          <w:t>https://www.unicef.org.uk/what-we-do/un-convention-child-rights/</w:t>
        </w:r>
      </w:hyperlink>
      <w:r w:rsidRPr="00FE2536">
        <w:rPr>
          <w:rFonts w:ascii="Times New Roman" w:hAnsi="Times New Roman" w:cs="Times New Roman"/>
        </w:rPr>
        <w:t xml:space="preserve"> </w:t>
      </w:r>
    </w:p>
    <w:p w14:paraId="6A1DD04E" w14:textId="77A3E395" w:rsidR="00B211CA" w:rsidRPr="00FE2536" w:rsidRDefault="00B211CA" w:rsidP="00D11D22">
      <w:pPr>
        <w:rPr>
          <w:rFonts w:ascii="Times New Roman" w:hAnsi="Times New Roman" w:cs="Times New Roman"/>
        </w:rPr>
      </w:pPr>
      <w:r w:rsidRPr="00FE2536">
        <w:rPr>
          <w:rFonts w:ascii="Times New Roman" w:hAnsi="Times New Roman" w:cs="Times New Roman"/>
        </w:rPr>
        <w:t>(Accessed: 26</w:t>
      </w:r>
      <w:r w:rsidRPr="00FE2536">
        <w:rPr>
          <w:rFonts w:ascii="Times New Roman" w:hAnsi="Times New Roman" w:cs="Times New Roman"/>
          <w:vertAlign w:val="superscript"/>
        </w:rPr>
        <w:t>th</w:t>
      </w:r>
      <w:r w:rsidRPr="00FE2536">
        <w:rPr>
          <w:rFonts w:ascii="Times New Roman" w:hAnsi="Times New Roman" w:cs="Times New Roman"/>
        </w:rPr>
        <w:t xml:space="preserve"> March 2024)</w:t>
      </w:r>
      <w:r w:rsidR="009509E0" w:rsidRPr="00FE2536">
        <w:rPr>
          <w:rFonts w:ascii="Times New Roman" w:hAnsi="Times New Roman" w:cs="Times New Roman"/>
        </w:rPr>
        <w:t>.</w:t>
      </w:r>
    </w:p>
    <w:p w14:paraId="1EB95C42" w14:textId="77777777" w:rsidR="00B211CA" w:rsidRPr="00FE2536" w:rsidRDefault="00B211CA" w:rsidP="00D11D22">
      <w:pPr>
        <w:rPr>
          <w:rFonts w:ascii="Times New Roman" w:hAnsi="Times New Roman" w:cs="Times New Roman"/>
        </w:rPr>
      </w:pPr>
    </w:p>
    <w:p w14:paraId="008193DE" w14:textId="1EFFAB33" w:rsidR="00B211CA" w:rsidRPr="00FE2536" w:rsidRDefault="00B211CA" w:rsidP="00D11D22">
      <w:pPr>
        <w:rPr>
          <w:rFonts w:ascii="Times New Roman" w:hAnsi="Times New Roman" w:cs="Times New Roman"/>
        </w:rPr>
      </w:pPr>
      <w:r w:rsidRPr="00FE2536">
        <w:rPr>
          <w:rFonts w:ascii="Times New Roman" w:hAnsi="Times New Roman" w:cs="Times New Roman"/>
        </w:rPr>
        <w:t xml:space="preserve">Welsh Government. (2009) ‘Outdoor Learning Handbook’ 14 </w:t>
      </w:r>
      <w:hyperlink r:id="rId15" w:history="1">
        <w:r w:rsidRPr="00FE2536">
          <w:rPr>
            <w:rStyle w:val="Hyperlink"/>
            <w:rFonts w:ascii="Times New Roman" w:hAnsi="Times New Roman" w:cs="Times New Roman"/>
          </w:rPr>
          <w:t>http://learning.gov.wales/docs/learningwales/publications/140828-foundation-phaseoutdoor-learning-handbook-en.pdf</w:t>
        </w:r>
      </w:hyperlink>
      <w:r w:rsidRPr="00FE2536">
        <w:rPr>
          <w:rFonts w:ascii="Times New Roman" w:hAnsi="Times New Roman" w:cs="Times New Roman"/>
        </w:rPr>
        <w:t xml:space="preserve"> (Accessed: 27</w:t>
      </w:r>
      <w:r w:rsidRPr="00FE2536">
        <w:rPr>
          <w:rFonts w:ascii="Times New Roman" w:hAnsi="Times New Roman" w:cs="Times New Roman"/>
          <w:vertAlign w:val="superscript"/>
        </w:rPr>
        <w:t>th</w:t>
      </w:r>
      <w:r w:rsidRPr="00FE2536">
        <w:rPr>
          <w:rFonts w:ascii="Times New Roman" w:hAnsi="Times New Roman" w:cs="Times New Roman"/>
        </w:rPr>
        <w:t xml:space="preserve"> March 2024)</w:t>
      </w:r>
      <w:r w:rsidR="009509E0" w:rsidRPr="00FE2536">
        <w:rPr>
          <w:rFonts w:ascii="Times New Roman" w:hAnsi="Times New Roman" w:cs="Times New Roman"/>
        </w:rPr>
        <w:t xml:space="preserve">. </w:t>
      </w:r>
    </w:p>
    <w:p w14:paraId="09FD7E9F" w14:textId="77777777" w:rsidR="00B211CA" w:rsidRPr="00FE2536" w:rsidRDefault="00B211CA" w:rsidP="00D11D22">
      <w:pPr>
        <w:rPr>
          <w:rFonts w:ascii="Times New Roman" w:hAnsi="Times New Roman" w:cs="Times New Roman"/>
        </w:rPr>
      </w:pPr>
    </w:p>
    <w:p w14:paraId="224564EF" w14:textId="24C42B5A" w:rsidR="009509E0" w:rsidRPr="00FE2536" w:rsidRDefault="009509E0" w:rsidP="00D11D22">
      <w:pPr>
        <w:rPr>
          <w:rFonts w:ascii="Times New Roman" w:hAnsi="Times New Roman" w:cs="Times New Roman"/>
        </w:rPr>
      </w:pPr>
      <w:r w:rsidRPr="00FE2536">
        <w:rPr>
          <w:rFonts w:ascii="Times New Roman" w:hAnsi="Times New Roman" w:cs="Times New Roman"/>
        </w:rPr>
        <w:t xml:space="preserve">Welsh Government. (2011) ‘Nurturing Children, Supporting Families’ </w:t>
      </w:r>
      <w:hyperlink r:id="rId16" w:history="1">
        <w:r w:rsidRPr="00FE2536">
          <w:rPr>
            <w:rStyle w:val="Hyperlink"/>
            <w:rFonts w:ascii="Times New Roman" w:hAnsi="Times New Roman" w:cs="Times New Roman"/>
          </w:rPr>
          <w:t>https://gweddill.gov.wales/docs/dcells/publications/110216policyen.pdf</w:t>
        </w:r>
      </w:hyperlink>
      <w:r w:rsidRPr="00FE2536">
        <w:rPr>
          <w:rFonts w:ascii="Times New Roman" w:hAnsi="Times New Roman" w:cs="Times New Roman"/>
        </w:rPr>
        <w:t xml:space="preserve"> ( Accessed: 27</w:t>
      </w:r>
      <w:r w:rsidRPr="00FE2536">
        <w:rPr>
          <w:rFonts w:ascii="Times New Roman" w:hAnsi="Times New Roman" w:cs="Times New Roman"/>
          <w:vertAlign w:val="superscript"/>
        </w:rPr>
        <w:t>th</w:t>
      </w:r>
      <w:r w:rsidRPr="00FE2536">
        <w:rPr>
          <w:rFonts w:ascii="Times New Roman" w:hAnsi="Times New Roman" w:cs="Times New Roman"/>
        </w:rPr>
        <w:t xml:space="preserve"> March). </w:t>
      </w:r>
    </w:p>
    <w:p w14:paraId="6F634AD9" w14:textId="77777777" w:rsidR="009509E0" w:rsidRPr="00FE2536" w:rsidRDefault="009509E0" w:rsidP="00D11D22">
      <w:pPr>
        <w:rPr>
          <w:rFonts w:ascii="Times New Roman" w:hAnsi="Times New Roman" w:cs="Times New Roman"/>
        </w:rPr>
      </w:pPr>
    </w:p>
    <w:p w14:paraId="29D64DF2" w14:textId="5B3DDD65" w:rsidR="00172DC6" w:rsidRPr="00FE2536" w:rsidRDefault="00172DC6" w:rsidP="00D11D22">
      <w:pPr>
        <w:rPr>
          <w:rFonts w:ascii="Times New Roman" w:hAnsi="Times New Roman" w:cs="Times New Roman"/>
        </w:rPr>
      </w:pPr>
      <w:r w:rsidRPr="00FE2536">
        <w:rPr>
          <w:rFonts w:ascii="Times New Roman" w:hAnsi="Times New Roman" w:cs="Times New Roman"/>
        </w:rPr>
        <w:t>Welsh Government. (2014) ‘Flying Start Annex: Quality Childcare Guidance’ https://gweddill.gov.wales/docs/dsjlg/publications/130926fsannex2en.pdf [Accessed: 28th March 20</w:t>
      </w:r>
      <w:r w:rsidR="009155E1" w:rsidRPr="00FE2536">
        <w:rPr>
          <w:rFonts w:ascii="Times New Roman" w:hAnsi="Times New Roman" w:cs="Times New Roman"/>
        </w:rPr>
        <w:t>24)</w:t>
      </w:r>
      <w:r w:rsidRPr="00FE2536">
        <w:rPr>
          <w:rFonts w:ascii="Times New Roman" w:hAnsi="Times New Roman" w:cs="Times New Roman"/>
        </w:rPr>
        <w:t>.</w:t>
      </w:r>
    </w:p>
    <w:p w14:paraId="604C6C6B" w14:textId="77777777" w:rsidR="00172DC6" w:rsidRPr="00FE2536" w:rsidRDefault="00172DC6" w:rsidP="00D11D22">
      <w:pPr>
        <w:rPr>
          <w:rFonts w:ascii="Times New Roman" w:hAnsi="Times New Roman" w:cs="Times New Roman"/>
        </w:rPr>
      </w:pPr>
    </w:p>
    <w:p w14:paraId="5ABDF47A" w14:textId="349CEA01" w:rsidR="00172DC6" w:rsidRPr="00FE2536" w:rsidRDefault="00172DC6" w:rsidP="00D11D22">
      <w:pPr>
        <w:rPr>
          <w:rFonts w:ascii="Times New Roman" w:hAnsi="Times New Roman" w:cs="Times New Roman"/>
        </w:rPr>
      </w:pPr>
      <w:r w:rsidRPr="00FE2536">
        <w:rPr>
          <w:rFonts w:ascii="Times New Roman" w:hAnsi="Times New Roman" w:cs="Times New Roman"/>
        </w:rPr>
        <w:t>Welsh Government. (2015) ‘Implementation of Children’s Rights in Wales’ https://gweddill.gov.wales/topics/people-and-communities/people/children-andyoung-people/rights/implementation-of-childrens-rights/?lang=en [Accessed: 23rd March 20</w:t>
      </w:r>
      <w:r w:rsidR="009155E1" w:rsidRPr="00FE2536">
        <w:rPr>
          <w:rFonts w:ascii="Times New Roman" w:hAnsi="Times New Roman" w:cs="Times New Roman"/>
        </w:rPr>
        <w:t>24</w:t>
      </w:r>
      <w:r w:rsidRPr="00FE2536">
        <w:rPr>
          <w:rFonts w:ascii="Times New Roman" w:hAnsi="Times New Roman" w:cs="Times New Roman"/>
        </w:rPr>
        <w:t>].</w:t>
      </w:r>
    </w:p>
    <w:p w14:paraId="06A07AC3" w14:textId="77777777" w:rsidR="006C7FD5" w:rsidRPr="00FE2536" w:rsidRDefault="006C7FD5" w:rsidP="00D11D22">
      <w:pPr>
        <w:rPr>
          <w:rFonts w:ascii="Times New Roman" w:hAnsi="Times New Roman" w:cs="Times New Roman"/>
        </w:rPr>
      </w:pPr>
    </w:p>
    <w:p w14:paraId="1C9562B9" w14:textId="211A8970" w:rsidR="00172DC6" w:rsidRPr="00FE2536" w:rsidRDefault="00172DC6" w:rsidP="00D11D22">
      <w:pPr>
        <w:rPr>
          <w:rFonts w:ascii="Times New Roman" w:hAnsi="Times New Roman" w:cs="Times New Roman"/>
        </w:rPr>
      </w:pPr>
      <w:r w:rsidRPr="00FE2536">
        <w:rPr>
          <w:rFonts w:ascii="Times New Roman" w:hAnsi="Times New Roman" w:cs="Times New Roman"/>
        </w:rPr>
        <w:t xml:space="preserve">Welsh Government. (2016) ‘National Minimum Standards for Regulated Childcare for Children up to the Age of 12 Years’ </w:t>
      </w:r>
      <w:hyperlink r:id="rId17" w:history="1">
        <w:r w:rsidRPr="00FE2536">
          <w:rPr>
            <w:rStyle w:val="Hyperlink"/>
            <w:rFonts w:ascii="Times New Roman" w:hAnsi="Times New Roman" w:cs="Times New Roman"/>
          </w:rPr>
          <w:t>https://careinspectorate.wales/sites/default/files/2018-01/160411regchildcareen.pdf</w:t>
        </w:r>
      </w:hyperlink>
      <w:r w:rsidRPr="00FE2536">
        <w:rPr>
          <w:rFonts w:ascii="Times New Roman" w:hAnsi="Times New Roman" w:cs="Times New Roman"/>
        </w:rPr>
        <w:t xml:space="preserve"> (Accessed 27th March</w:t>
      </w:r>
      <w:r w:rsidR="009155E1" w:rsidRPr="00FE2536">
        <w:rPr>
          <w:rFonts w:ascii="Times New Roman" w:hAnsi="Times New Roman" w:cs="Times New Roman"/>
        </w:rPr>
        <w:t xml:space="preserve"> 2024</w:t>
      </w:r>
      <w:r w:rsidRPr="00FE2536">
        <w:rPr>
          <w:rFonts w:ascii="Times New Roman" w:hAnsi="Times New Roman" w:cs="Times New Roman"/>
        </w:rPr>
        <w:t>)</w:t>
      </w:r>
      <w:r w:rsidR="009155E1" w:rsidRPr="00FE2536">
        <w:rPr>
          <w:rFonts w:ascii="Times New Roman" w:hAnsi="Times New Roman" w:cs="Times New Roman"/>
        </w:rPr>
        <w:t>.</w:t>
      </w:r>
    </w:p>
    <w:p w14:paraId="58E3BCDC" w14:textId="77777777" w:rsidR="00172DC6" w:rsidRDefault="00172DC6" w:rsidP="00D11D22"/>
    <w:p w14:paraId="1D30ED96" w14:textId="77777777" w:rsidR="00C028BF" w:rsidRDefault="00C028BF" w:rsidP="00D11D22"/>
    <w:p w14:paraId="7C1E6917" w14:textId="77777777" w:rsidR="00172DC6" w:rsidRPr="0027486F" w:rsidRDefault="00172DC6" w:rsidP="00D11D22">
      <w:pPr>
        <w:rPr>
          <w:rFonts w:ascii="Kohinoor Devanagari" w:hAnsi="Kohinoor Devanagari" w:cs="Kohinoor Devanagari"/>
          <w:b/>
          <w:bCs/>
          <w:u w:val="single"/>
        </w:rPr>
      </w:pPr>
    </w:p>
    <w:sectPr w:rsidR="00172DC6" w:rsidRPr="0027486F" w:rsidSect="0059240E">
      <w:headerReference w:type="default" r:id="rId18"/>
      <w:footerReference w:type="even" r:id="rId19"/>
      <w:footerReference w:type="default" r:id="rId2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915586" w14:textId="77777777" w:rsidR="0059240E" w:rsidRDefault="0059240E" w:rsidP="001259E1">
      <w:r>
        <w:separator/>
      </w:r>
    </w:p>
  </w:endnote>
  <w:endnote w:type="continuationSeparator" w:id="0">
    <w:p w14:paraId="2B0B95B5" w14:textId="77777777" w:rsidR="0059240E" w:rsidRDefault="0059240E" w:rsidP="001259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Kohinoor Devanagari">
    <w:panose1 w:val="02000000000000000000"/>
    <w:charset w:val="4D"/>
    <w:family w:val="auto"/>
    <w:pitch w:val="variable"/>
    <w:sig w:usb0="00008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65843594"/>
      <w:docPartObj>
        <w:docPartGallery w:val="Page Numbers (Bottom of Page)"/>
        <w:docPartUnique/>
      </w:docPartObj>
    </w:sdtPr>
    <w:sdtContent>
      <w:p w14:paraId="0EA26C0F" w14:textId="264823AE" w:rsidR="001259E1" w:rsidRDefault="001259E1" w:rsidP="00DA77C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25AC0C8" w14:textId="77777777" w:rsidR="001259E1" w:rsidRDefault="001259E1" w:rsidP="001259E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12728352"/>
      <w:docPartObj>
        <w:docPartGallery w:val="Page Numbers (Bottom of Page)"/>
        <w:docPartUnique/>
      </w:docPartObj>
    </w:sdtPr>
    <w:sdtContent>
      <w:p w14:paraId="5E6E6857" w14:textId="2BE8A197" w:rsidR="001259E1" w:rsidRDefault="001259E1" w:rsidP="00DA77C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D7436FE" w14:textId="77777777" w:rsidR="001259E1" w:rsidRDefault="001259E1" w:rsidP="001259E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72FDC1" w14:textId="77777777" w:rsidR="0059240E" w:rsidRDefault="0059240E" w:rsidP="001259E1">
      <w:r>
        <w:separator/>
      </w:r>
    </w:p>
  </w:footnote>
  <w:footnote w:type="continuationSeparator" w:id="0">
    <w:p w14:paraId="7DD8087B" w14:textId="77777777" w:rsidR="0059240E" w:rsidRDefault="0059240E" w:rsidP="001259E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D3EA81" w14:textId="1FDF7E8B" w:rsidR="00E75A7E" w:rsidRDefault="00E75A7E">
    <w:pPr>
      <w:pStyle w:val="Header"/>
    </w:pPr>
    <w:r>
      <w:t xml:space="preserve">Zahra Bashir </w:t>
    </w:r>
  </w:p>
  <w:p w14:paraId="7C3A14F9" w14:textId="6591051C" w:rsidR="00E75A7E" w:rsidRDefault="00E75A7E">
    <w:pPr>
      <w:pStyle w:val="Header"/>
    </w:pPr>
    <w:r>
      <w:t>Student Number: 2308220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B76"/>
    <w:rsid w:val="00045F68"/>
    <w:rsid w:val="00057FA7"/>
    <w:rsid w:val="000627F8"/>
    <w:rsid w:val="000A468A"/>
    <w:rsid w:val="000D33DA"/>
    <w:rsid w:val="001259E1"/>
    <w:rsid w:val="0015016B"/>
    <w:rsid w:val="001534A0"/>
    <w:rsid w:val="00164E22"/>
    <w:rsid w:val="00171357"/>
    <w:rsid w:val="00172DC6"/>
    <w:rsid w:val="001C5F5D"/>
    <w:rsid w:val="001E35FE"/>
    <w:rsid w:val="00243975"/>
    <w:rsid w:val="002657E7"/>
    <w:rsid w:val="0027486F"/>
    <w:rsid w:val="002848A1"/>
    <w:rsid w:val="00297551"/>
    <w:rsid w:val="002C2ECC"/>
    <w:rsid w:val="00316209"/>
    <w:rsid w:val="00344A65"/>
    <w:rsid w:val="00373908"/>
    <w:rsid w:val="00391E42"/>
    <w:rsid w:val="003A75DE"/>
    <w:rsid w:val="003B094A"/>
    <w:rsid w:val="003D5784"/>
    <w:rsid w:val="003F2AAB"/>
    <w:rsid w:val="003F3376"/>
    <w:rsid w:val="0040075B"/>
    <w:rsid w:val="00444C29"/>
    <w:rsid w:val="004569D9"/>
    <w:rsid w:val="004606EE"/>
    <w:rsid w:val="004A6BA5"/>
    <w:rsid w:val="004C0AA7"/>
    <w:rsid w:val="00505956"/>
    <w:rsid w:val="00586329"/>
    <w:rsid w:val="0059240E"/>
    <w:rsid w:val="00592F72"/>
    <w:rsid w:val="005A0E06"/>
    <w:rsid w:val="005B6F9B"/>
    <w:rsid w:val="00601586"/>
    <w:rsid w:val="00604774"/>
    <w:rsid w:val="00636B76"/>
    <w:rsid w:val="006461E9"/>
    <w:rsid w:val="0066502B"/>
    <w:rsid w:val="006A7DE3"/>
    <w:rsid w:val="006B31FD"/>
    <w:rsid w:val="006C7FD5"/>
    <w:rsid w:val="00763B74"/>
    <w:rsid w:val="007B0FB5"/>
    <w:rsid w:val="007C1D0B"/>
    <w:rsid w:val="007D1B41"/>
    <w:rsid w:val="0081195B"/>
    <w:rsid w:val="00832217"/>
    <w:rsid w:val="008354A2"/>
    <w:rsid w:val="00855199"/>
    <w:rsid w:val="00895C51"/>
    <w:rsid w:val="008B7CC1"/>
    <w:rsid w:val="008C1701"/>
    <w:rsid w:val="008D5A46"/>
    <w:rsid w:val="008D78C9"/>
    <w:rsid w:val="009155E1"/>
    <w:rsid w:val="009269D1"/>
    <w:rsid w:val="009275A3"/>
    <w:rsid w:val="009509E0"/>
    <w:rsid w:val="00A21B6F"/>
    <w:rsid w:val="00A548CF"/>
    <w:rsid w:val="00A54D28"/>
    <w:rsid w:val="00A916E7"/>
    <w:rsid w:val="00AD6351"/>
    <w:rsid w:val="00B0466E"/>
    <w:rsid w:val="00B211CA"/>
    <w:rsid w:val="00B4067C"/>
    <w:rsid w:val="00B4236A"/>
    <w:rsid w:val="00B47F8A"/>
    <w:rsid w:val="00B82CE5"/>
    <w:rsid w:val="00BE7DB5"/>
    <w:rsid w:val="00C028BF"/>
    <w:rsid w:val="00C41BA4"/>
    <w:rsid w:val="00C47B67"/>
    <w:rsid w:val="00CE6E87"/>
    <w:rsid w:val="00D11D22"/>
    <w:rsid w:val="00D44585"/>
    <w:rsid w:val="00D605EA"/>
    <w:rsid w:val="00D835CF"/>
    <w:rsid w:val="00DA34FD"/>
    <w:rsid w:val="00DC71EA"/>
    <w:rsid w:val="00DD4AA3"/>
    <w:rsid w:val="00E01B27"/>
    <w:rsid w:val="00E26080"/>
    <w:rsid w:val="00E75A7E"/>
    <w:rsid w:val="00E83327"/>
    <w:rsid w:val="00EC6093"/>
    <w:rsid w:val="00F22C62"/>
    <w:rsid w:val="00F23751"/>
    <w:rsid w:val="00F23B50"/>
    <w:rsid w:val="00F631F2"/>
    <w:rsid w:val="00FA11BE"/>
    <w:rsid w:val="00FD573F"/>
    <w:rsid w:val="00FE2536"/>
    <w:rsid w:val="00FE2E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FD70687"/>
  <w15:chartTrackingRefBased/>
  <w15:docId w15:val="{AC2BB3A0-CF32-4742-AA15-1E2CAA0EA8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6B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36B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36B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6B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6B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6B7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6B7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6B7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6B7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6B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36B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6B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6B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6B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6B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6B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6B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6B76"/>
    <w:rPr>
      <w:rFonts w:eastAsiaTheme="majorEastAsia" w:cstheme="majorBidi"/>
      <w:color w:val="272727" w:themeColor="text1" w:themeTint="D8"/>
    </w:rPr>
  </w:style>
  <w:style w:type="paragraph" w:styleId="Title">
    <w:name w:val="Title"/>
    <w:basedOn w:val="Normal"/>
    <w:next w:val="Normal"/>
    <w:link w:val="TitleChar"/>
    <w:uiPriority w:val="10"/>
    <w:qFormat/>
    <w:rsid w:val="00636B7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6B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6B7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6B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6B7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36B76"/>
    <w:rPr>
      <w:i/>
      <w:iCs/>
      <w:color w:val="404040" w:themeColor="text1" w:themeTint="BF"/>
    </w:rPr>
  </w:style>
  <w:style w:type="paragraph" w:styleId="ListParagraph">
    <w:name w:val="List Paragraph"/>
    <w:basedOn w:val="Normal"/>
    <w:uiPriority w:val="34"/>
    <w:qFormat/>
    <w:rsid w:val="00636B76"/>
    <w:pPr>
      <w:ind w:left="720"/>
      <w:contextualSpacing/>
    </w:pPr>
  </w:style>
  <w:style w:type="character" w:styleId="IntenseEmphasis">
    <w:name w:val="Intense Emphasis"/>
    <w:basedOn w:val="DefaultParagraphFont"/>
    <w:uiPriority w:val="21"/>
    <w:qFormat/>
    <w:rsid w:val="00636B76"/>
    <w:rPr>
      <w:i/>
      <w:iCs/>
      <w:color w:val="0F4761" w:themeColor="accent1" w:themeShade="BF"/>
    </w:rPr>
  </w:style>
  <w:style w:type="paragraph" w:styleId="IntenseQuote">
    <w:name w:val="Intense Quote"/>
    <w:basedOn w:val="Normal"/>
    <w:next w:val="Normal"/>
    <w:link w:val="IntenseQuoteChar"/>
    <w:uiPriority w:val="30"/>
    <w:qFormat/>
    <w:rsid w:val="00636B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6B76"/>
    <w:rPr>
      <w:i/>
      <w:iCs/>
      <w:color w:val="0F4761" w:themeColor="accent1" w:themeShade="BF"/>
    </w:rPr>
  </w:style>
  <w:style w:type="character" w:styleId="IntenseReference">
    <w:name w:val="Intense Reference"/>
    <w:basedOn w:val="DefaultParagraphFont"/>
    <w:uiPriority w:val="32"/>
    <w:qFormat/>
    <w:rsid w:val="00636B76"/>
    <w:rPr>
      <w:b/>
      <w:bCs/>
      <w:smallCaps/>
      <w:color w:val="0F4761" w:themeColor="accent1" w:themeShade="BF"/>
      <w:spacing w:val="5"/>
    </w:rPr>
  </w:style>
  <w:style w:type="paragraph" w:styleId="Footer">
    <w:name w:val="footer"/>
    <w:basedOn w:val="Normal"/>
    <w:link w:val="FooterChar"/>
    <w:uiPriority w:val="99"/>
    <w:unhideWhenUsed/>
    <w:rsid w:val="001259E1"/>
    <w:pPr>
      <w:tabs>
        <w:tab w:val="center" w:pos="4513"/>
        <w:tab w:val="right" w:pos="9026"/>
      </w:tabs>
    </w:pPr>
  </w:style>
  <w:style w:type="character" w:customStyle="1" w:styleId="FooterChar">
    <w:name w:val="Footer Char"/>
    <w:basedOn w:val="DefaultParagraphFont"/>
    <w:link w:val="Footer"/>
    <w:uiPriority w:val="99"/>
    <w:rsid w:val="001259E1"/>
  </w:style>
  <w:style w:type="character" w:styleId="PageNumber">
    <w:name w:val="page number"/>
    <w:basedOn w:val="DefaultParagraphFont"/>
    <w:uiPriority w:val="99"/>
    <w:semiHidden/>
    <w:unhideWhenUsed/>
    <w:rsid w:val="001259E1"/>
  </w:style>
  <w:style w:type="character" w:styleId="Hyperlink">
    <w:name w:val="Hyperlink"/>
    <w:basedOn w:val="DefaultParagraphFont"/>
    <w:uiPriority w:val="99"/>
    <w:unhideWhenUsed/>
    <w:rsid w:val="00172DC6"/>
    <w:rPr>
      <w:color w:val="467886" w:themeColor="hyperlink"/>
      <w:u w:val="single"/>
    </w:rPr>
  </w:style>
  <w:style w:type="character" w:styleId="UnresolvedMention">
    <w:name w:val="Unresolved Mention"/>
    <w:basedOn w:val="DefaultParagraphFont"/>
    <w:uiPriority w:val="99"/>
    <w:semiHidden/>
    <w:unhideWhenUsed/>
    <w:rsid w:val="00172DC6"/>
    <w:rPr>
      <w:color w:val="605E5C"/>
      <w:shd w:val="clear" w:color="auto" w:fill="E1DFDD"/>
    </w:rPr>
  </w:style>
  <w:style w:type="paragraph" w:styleId="Header">
    <w:name w:val="header"/>
    <w:basedOn w:val="Normal"/>
    <w:link w:val="HeaderChar"/>
    <w:uiPriority w:val="99"/>
    <w:unhideWhenUsed/>
    <w:rsid w:val="00E75A7E"/>
    <w:pPr>
      <w:tabs>
        <w:tab w:val="center" w:pos="4513"/>
        <w:tab w:val="right" w:pos="9026"/>
      </w:tabs>
    </w:pPr>
  </w:style>
  <w:style w:type="character" w:customStyle="1" w:styleId="HeaderChar">
    <w:name w:val="Header Char"/>
    <w:basedOn w:val="DefaultParagraphFont"/>
    <w:link w:val="Header"/>
    <w:uiPriority w:val="99"/>
    <w:rsid w:val="00E75A7E"/>
  </w:style>
  <w:style w:type="paragraph" w:styleId="NormalWeb">
    <w:name w:val="Normal (Web)"/>
    <w:basedOn w:val="Normal"/>
    <w:uiPriority w:val="99"/>
    <w:semiHidden/>
    <w:unhideWhenUsed/>
    <w:rsid w:val="00FE2536"/>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FE2536"/>
  </w:style>
  <w:style w:type="character" w:styleId="FollowedHyperlink">
    <w:name w:val="FollowedHyperlink"/>
    <w:basedOn w:val="DefaultParagraphFont"/>
    <w:uiPriority w:val="99"/>
    <w:semiHidden/>
    <w:unhideWhenUsed/>
    <w:rsid w:val="00FE253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842418">
      <w:bodyDiv w:val="1"/>
      <w:marLeft w:val="0"/>
      <w:marRight w:val="0"/>
      <w:marTop w:val="0"/>
      <w:marBottom w:val="0"/>
      <w:divBdr>
        <w:top w:val="none" w:sz="0" w:space="0" w:color="auto"/>
        <w:left w:val="none" w:sz="0" w:space="0" w:color="auto"/>
        <w:bottom w:val="none" w:sz="0" w:space="0" w:color="auto"/>
        <w:right w:val="none" w:sz="0" w:space="0" w:color="auto"/>
      </w:divBdr>
    </w:div>
    <w:div w:id="1984962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cersuk.org/2.html" TargetMode="External"/><Relationship Id="rId13" Type="http://schemas.openxmlformats.org/officeDocument/2006/relationships/hyperlink" Target="https://ers.fpg.unc.edu/about-environment-rating-scales"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ers.fpg.unc.edu/sites/ers.fpg.unc.edu/files/ReliabilityEcers.pdf" TargetMode="External"/><Relationship Id="rId12" Type="http://schemas.openxmlformats.org/officeDocument/2006/relationships/hyperlink" Target="http://discovery.ucl.ac.uk/10005309/1/sylva2004EPPEfinal.pdf" TargetMode="External"/><Relationship Id="rId17" Type="http://schemas.openxmlformats.org/officeDocument/2006/relationships/hyperlink" Target="https://careinspectorate.wales/sites/default/files/2018-01/160411regchildcareen.pdf" TargetMode="External"/><Relationship Id="rId2" Type="http://schemas.openxmlformats.org/officeDocument/2006/relationships/styles" Target="styles.xml"/><Relationship Id="rId16" Type="http://schemas.openxmlformats.org/officeDocument/2006/relationships/hyperlink" Target="https://gweddill.gov.wales/docs/dcells/publications/110216policyen.pdf"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era.ioe.ac.uk/4631/1/RR266.pdf" TargetMode="External"/><Relationship Id="rId5" Type="http://schemas.openxmlformats.org/officeDocument/2006/relationships/footnotes" Target="footnotes.xml"/><Relationship Id="rId15" Type="http://schemas.openxmlformats.org/officeDocument/2006/relationships/hyperlink" Target="http://learning.gov.wales/docs/learningwales/publications/140828-foundation-phaseoutdoor-learning-handbook-en.pdf" TargetMode="External"/><Relationship Id="rId10" Type="http://schemas.openxmlformats.org/officeDocument/2006/relationships/hyperlink" Target="https://dera.ioe.ac.uk/4650/1/RR356.pdf"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orca.cf.ac.uk/98708/1/thesis_Alyson_Lewis_March2017%20FINAL.pdf" TargetMode="External"/><Relationship Id="rId14" Type="http://schemas.openxmlformats.org/officeDocument/2006/relationships/hyperlink" Target="https://www.unicef.org.uk/what-we-do/un-convention-child-right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C6E67F-2866-C141-BE0C-66306E98BE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627</TotalTime>
  <Pages>9</Pages>
  <Words>3262</Words>
  <Characters>18599</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zahra bashir</dc:creator>
  <cp:keywords/>
  <dc:description/>
  <cp:lastModifiedBy>zahra bashir</cp:lastModifiedBy>
  <cp:revision>45</cp:revision>
  <dcterms:created xsi:type="dcterms:W3CDTF">2024-03-26T13:24:00Z</dcterms:created>
  <dcterms:modified xsi:type="dcterms:W3CDTF">2024-03-28T20:14:00Z</dcterms:modified>
</cp:coreProperties>
</file>