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0" w:line="259" w:lineRule="auto"/>
        <w:jc w:val="center"/>
        <w:rPr>
          <w:rFonts w:ascii="Arial" w:cs="Arial" w:eastAsia="Arial" w:hAnsi="Arial"/>
        </w:rPr>
      </w:pPr>
      <w:r w:rsidDel="00000000" w:rsidR="00000000" w:rsidRPr="00000000">
        <w:rPr>
          <w:rFonts w:ascii="Arial" w:cs="Arial" w:eastAsia="Arial" w:hAnsi="Arial"/>
          <w:color w:val="000000"/>
          <w:sz w:val="22"/>
          <w:szCs w:val="22"/>
        </w:rPr>
        <w:drawing>
          <wp:inline distB="0" distT="0" distL="0" distR="0">
            <wp:extent cx="1805305" cy="724535"/>
            <wp:effectExtent b="0" l="0" r="0" t="0"/>
            <wp:docPr descr="https://lh7-rt.googleusercontent.com/docsz/AD_4nXfPIalu5MYXCGc5g9ONUQxtocCV63bjyXebFmz5ReS_l596bl012iJC72TEgxSGCcDjLJ7tJ9LzIgGP18LKDNQSYXjwrpYSaabdRrL6u5nKHhJxJV15JoFRmjLBR0r5pqehiuFyUQ?key=azcur8CGQZ5QaDFXtqJHC9JT" id="3" name="image2.png"/>
            <a:graphic>
              <a:graphicData uri="http://schemas.openxmlformats.org/drawingml/2006/picture">
                <pic:pic>
                  <pic:nvPicPr>
                    <pic:cNvPr descr="https://lh7-rt.googleusercontent.com/docsz/AD_4nXfPIalu5MYXCGc5g9ONUQxtocCV63bjyXebFmz5ReS_l596bl012iJC72TEgxSGCcDjLJ7tJ9LzIgGP18LKDNQSYXjwrpYSaabdRrL6u5nKHhJxJV15JoFRmjLBR0r5pqehiuFyUQ?key=azcur8CGQZ5QaDFXtqJHC9JT" id="0" name="image2.png"/>
                    <pic:cNvPicPr preferRelativeResize="0"/>
                  </pic:nvPicPr>
                  <pic:blipFill>
                    <a:blip r:embed="rId7"/>
                    <a:srcRect b="0" l="0" r="0" t="0"/>
                    <a:stretch>
                      <a:fillRect/>
                    </a:stretch>
                  </pic:blipFill>
                  <pic:spPr>
                    <a:xfrm>
                      <a:off x="0" y="0"/>
                      <a:ext cx="1805305" cy="7245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before="0" w:line="259"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3">
      <w:pPr>
        <w:spacing w:after="160" w:before="0" w:line="259"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4">
      <w:pPr>
        <w:spacing w:after="160" w:before="0" w:line="259"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5">
      <w:pPr>
        <w:spacing w:after="160" w:before="0" w:line="259" w:lineRule="auto"/>
        <w:jc w:val="center"/>
        <w:rPr>
          <w:rFonts w:ascii="Arial" w:cs="Arial" w:eastAsia="Arial" w:hAnsi="Arial"/>
          <w:b w:val="1"/>
          <w:sz w:val="44"/>
          <w:szCs w:val="44"/>
          <w:u w:val="single"/>
        </w:rPr>
      </w:pPr>
      <w:r w:rsidDel="00000000" w:rsidR="00000000" w:rsidRPr="00000000">
        <w:rPr>
          <w:rFonts w:ascii="Arial" w:cs="Arial" w:eastAsia="Arial" w:hAnsi="Arial"/>
          <w:b w:val="1"/>
          <w:sz w:val="44"/>
          <w:szCs w:val="44"/>
          <w:u w:val="single"/>
          <w:rtl w:val="0"/>
        </w:rPr>
        <w:t xml:space="preserve">Master of Business Administration</w:t>
      </w:r>
    </w:p>
    <w:p w:rsidR="00000000" w:rsidDel="00000000" w:rsidP="00000000" w:rsidRDefault="00000000" w:rsidRPr="00000000" w14:paraId="00000006">
      <w:pPr>
        <w:spacing w:after="160" w:before="0" w:line="259" w:lineRule="auto"/>
        <w:jc w:val="center"/>
        <w:rPr>
          <w:rFonts w:ascii="Arial" w:cs="Arial" w:eastAsia="Arial" w:hAnsi="Arial"/>
          <w:b w:val="1"/>
          <w:i w:val="1"/>
          <w:sz w:val="44"/>
          <w:szCs w:val="44"/>
          <w:u w:val="single"/>
        </w:rPr>
      </w:pPr>
      <w:r w:rsidDel="00000000" w:rsidR="00000000" w:rsidRPr="00000000">
        <w:rPr>
          <w:rFonts w:ascii="Arial" w:cs="Arial" w:eastAsia="Arial" w:hAnsi="Arial"/>
          <w:b w:val="1"/>
          <w:i w:val="1"/>
          <w:sz w:val="44"/>
          <w:szCs w:val="44"/>
          <w:u w:val="single"/>
          <w:rtl w:val="0"/>
        </w:rPr>
        <w:t xml:space="preserve">Marketing Management (LCMB7024)</w:t>
      </w:r>
    </w:p>
    <w:p w:rsidR="00000000" w:rsidDel="00000000" w:rsidP="00000000" w:rsidRDefault="00000000" w:rsidRPr="00000000" w14:paraId="00000007">
      <w:pPr>
        <w:spacing w:after="160" w:before="0" w:line="259" w:lineRule="auto"/>
        <w:jc w:val="center"/>
        <w:rPr>
          <w:rFonts w:ascii="Arial" w:cs="Arial" w:eastAsia="Arial" w:hAnsi="Arial"/>
          <w:b w:val="1"/>
          <w:i w:val="1"/>
          <w:sz w:val="40"/>
          <w:szCs w:val="40"/>
          <w:u w:val="single"/>
        </w:rPr>
      </w:pPr>
      <w:r w:rsidDel="00000000" w:rsidR="00000000" w:rsidRPr="00000000">
        <w:rPr>
          <w:rFonts w:ascii="Arial" w:cs="Arial" w:eastAsia="Arial" w:hAnsi="Arial"/>
          <w:b w:val="1"/>
          <w:i w:val="1"/>
          <w:sz w:val="40"/>
          <w:szCs w:val="40"/>
          <w:u w:val="single"/>
          <w:rtl w:val="0"/>
        </w:rPr>
        <w:t xml:space="preserve">Assessment Component 1- Essay</w:t>
      </w:r>
    </w:p>
    <w:p w:rsidR="00000000" w:rsidDel="00000000" w:rsidP="00000000" w:rsidRDefault="00000000" w:rsidRPr="00000000" w14:paraId="00000008">
      <w:pPr>
        <w:spacing w:after="160" w:before="0" w:line="259" w:lineRule="auto"/>
        <w:jc w:val="center"/>
        <w:rPr>
          <w:rFonts w:ascii="Arial" w:cs="Arial" w:eastAsia="Arial" w:hAnsi="Arial"/>
          <w:b w:val="1"/>
          <w:i w:val="1"/>
          <w:sz w:val="40"/>
          <w:szCs w:val="40"/>
          <w:u w:val="single"/>
        </w:rPr>
      </w:pPr>
      <w:r w:rsidDel="00000000" w:rsidR="00000000" w:rsidRPr="00000000">
        <w:rPr>
          <w:rtl w:val="0"/>
        </w:rPr>
      </w:r>
    </w:p>
    <w:p w:rsidR="00000000" w:rsidDel="00000000" w:rsidP="00000000" w:rsidRDefault="00000000" w:rsidRPr="00000000" w14:paraId="00000009">
      <w:pPr>
        <w:spacing w:after="160" w:before="0" w:line="259" w:lineRule="auto"/>
        <w:jc w:val="center"/>
        <w:rPr>
          <w:rFonts w:ascii="Arial" w:cs="Arial" w:eastAsia="Arial" w:hAnsi="Arial"/>
          <w:b w:val="1"/>
          <w:sz w:val="32"/>
          <w:szCs w:val="32"/>
          <w:highlight w:val="yellow"/>
          <w:u w:val="single"/>
        </w:rPr>
      </w:pPr>
      <w:r w:rsidDel="00000000" w:rsidR="00000000" w:rsidRPr="00000000">
        <w:rPr>
          <w:rFonts w:ascii="Arial" w:cs="Arial" w:eastAsia="Arial" w:hAnsi="Arial"/>
          <w:b w:val="1"/>
          <w:sz w:val="32"/>
          <w:szCs w:val="32"/>
          <w:highlight w:val="yellow"/>
          <w:u w:val="single"/>
          <w:rtl w:val="0"/>
        </w:rPr>
        <w:t xml:space="preserve">Student ID:</w:t>
      </w:r>
    </w:p>
    <w:p w:rsidR="00000000" w:rsidDel="00000000" w:rsidP="00000000" w:rsidRDefault="00000000" w:rsidRPr="00000000" w14:paraId="0000000A">
      <w:pPr>
        <w:spacing w:after="160" w:before="0" w:line="259" w:lineRule="auto"/>
        <w:jc w:val="center"/>
        <w:rPr>
          <w:rFonts w:ascii="Arial" w:cs="Arial" w:eastAsia="Arial" w:hAnsi="Arial"/>
          <w:b w:val="1"/>
          <w:sz w:val="32"/>
          <w:szCs w:val="32"/>
          <w:highlight w:val="yellow"/>
          <w:u w:val="single"/>
        </w:rPr>
      </w:pPr>
      <w:r w:rsidDel="00000000" w:rsidR="00000000" w:rsidRPr="00000000">
        <w:rPr>
          <w:rFonts w:ascii="Arial" w:cs="Arial" w:eastAsia="Arial" w:hAnsi="Arial"/>
          <w:b w:val="1"/>
          <w:sz w:val="32"/>
          <w:szCs w:val="32"/>
          <w:highlight w:val="yellow"/>
          <w:u w:val="single"/>
          <w:rtl w:val="0"/>
        </w:rPr>
        <w:t xml:space="preserve">Word Count:</w:t>
      </w:r>
    </w:p>
    <w:p w:rsidR="00000000" w:rsidDel="00000000" w:rsidP="00000000" w:rsidRDefault="00000000" w:rsidRPr="00000000" w14:paraId="0000000B">
      <w:pPr>
        <w:spacing w:after="160" w:before="0" w:line="259" w:lineRule="auto"/>
        <w:jc w:val="left"/>
        <w:rPr>
          <w:rFonts w:ascii="Arial" w:cs="Arial" w:eastAsia="Arial" w:hAnsi="Arial"/>
          <w:b w:val="1"/>
          <w:sz w:val="32"/>
          <w:szCs w:val="32"/>
          <w:highlight w:val="yellow"/>
          <w:u w:val="single"/>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r18gghpbe8g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bwbb22mqlef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Pioneer and Follower Companies</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jvn2z66ndpl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 of Pioneer Companies</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7pgndfpf90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 of Follower Companies</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xfd6zzoy7w6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Product Life Cycle Strategies</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dw31f078nix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Growth Stage Strategies</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r1ur9h7aix7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Maturity Stage Strategies</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jhm5djpayv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Advantages and Disadvantages of the Product Life Cycle Model</w:t>
              <w:tab/>
              <w:t xml:space="preserve">9</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mr2aso8j37t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8oobs5o7u7s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7">
          <w:pPr>
            <w:spacing w:after="120" w:before="12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spacing w:after="120" w:before="120" w:lineRule="auto"/>
        <w:rPr>
          <w:rFonts w:ascii="Arial" w:cs="Arial" w:eastAsia="Arial" w:hAnsi="Arial"/>
        </w:rPr>
      </w:pPr>
      <w:r w:rsidDel="00000000" w:rsidR="00000000" w:rsidRPr="00000000">
        <w:rPr>
          <w:rtl w:val="0"/>
        </w:rPr>
      </w:r>
    </w:p>
    <w:p w:rsidR="00000000" w:rsidDel="00000000" w:rsidP="00000000" w:rsidRDefault="00000000" w:rsidRPr="00000000" w14:paraId="00000019">
      <w:pPr>
        <w:spacing w:after="120" w:before="120"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spacing w:before="120" w:lineRule="auto"/>
        <w:rPr>
          <w:rFonts w:ascii="Arial" w:cs="Arial" w:eastAsia="Arial" w:hAnsi="Arial"/>
        </w:rPr>
      </w:pPr>
      <w:bookmarkStart w:colFirst="0" w:colLast="0" w:name="_heading=h.r18gghpbe8gj" w:id="0"/>
      <w:bookmarkEnd w:id="0"/>
      <w:r w:rsidDel="00000000" w:rsidR="00000000" w:rsidRPr="00000000">
        <w:rPr>
          <w:rFonts w:ascii="Arial" w:cs="Arial" w:eastAsia="Arial" w:hAnsi="Arial"/>
          <w:rtl w:val="0"/>
        </w:rPr>
        <w:t xml:space="preserve">Introduction</w:t>
      </w:r>
    </w:p>
    <w:p w:rsidR="00000000" w:rsidDel="00000000" w:rsidP="00000000" w:rsidRDefault="00000000" w:rsidRPr="00000000" w14:paraId="0000001B">
      <w:pPr>
        <w:spacing w:after="120" w:before="120" w:lineRule="auto"/>
        <w:rPr>
          <w:rFonts w:ascii="Arial" w:cs="Arial" w:eastAsia="Arial" w:hAnsi="Arial"/>
          <w:b w:val="1"/>
        </w:rPr>
      </w:pPr>
      <w:r w:rsidDel="00000000" w:rsidR="00000000" w:rsidRPr="00000000">
        <w:rPr>
          <w:rFonts w:ascii="Arial" w:cs="Arial" w:eastAsia="Arial" w:hAnsi="Arial"/>
          <w:rtl w:val="0"/>
        </w:rPr>
        <w:t xml:space="preserve">This essay evaluates the strategic marketing process through the examination of being either a pioneer or a follower and their impact on business achievement. In the dynamic business landscape, every organisation is required to make an important decision regarding marketing, whether to be a leader or a follower. Businesses have to decide between launching new products and technologies ahead of time as pioneers or waiting and entering after market pioneers. Companies that introduce new products first receive advantages from their early entry such as establishing brand awareness and dominating technology, however, they must accept substantial risks and expenditures (</w:t>
      </w:r>
      <w:r w:rsidDel="00000000" w:rsidR="00000000" w:rsidRPr="00000000">
        <w:rPr>
          <w:rFonts w:ascii="Arial" w:cs="Arial" w:eastAsia="Arial" w:hAnsi="Arial"/>
          <w:highlight w:val="white"/>
          <w:rtl w:val="0"/>
        </w:rPr>
        <w:t xml:space="preserve">Dreiling and Bican, 2022</w:t>
      </w:r>
      <w:r w:rsidDel="00000000" w:rsidR="00000000" w:rsidRPr="00000000">
        <w:rPr>
          <w:rFonts w:ascii="Arial" w:cs="Arial" w:eastAsia="Arial" w:hAnsi="Arial"/>
          <w:rtl w:val="0"/>
        </w:rPr>
        <w:t xml:space="preserve">). Followers of business strategy access superior market information and reduce product development risks by incorporating existing market success. Each leadership method achieves results based on market factors along with existing competition in addition to customer purchasing patterns. This essay analyses how successful pioneer and follower companies manage their product life cycle through specific strategies while remaining competitive and achieving sustained growth.</w:t>
      </w: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before="120" w:lineRule="auto"/>
        <w:rPr>
          <w:rFonts w:ascii="Arial" w:cs="Arial" w:eastAsia="Arial" w:hAnsi="Arial"/>
        </w:rPr>
      </w:pPr>
      <w:bookmarkStart w:colFirst="0" w:colLast="0" w:name="_heading=h.bwbb22mqlefr" w:id="1"/>
      <w:bookmarkEnd w:id="1"/>
      <w:r w:rsidDel="00000000" w:rsidR="00000000" w:rsidRPr="00000000">
        <w:rPr>
          <w:rFonts w:ascii="Arial" w:cs="Arial" w:eastAsia="Arial" w:hAnsi="Arial"/>
          <w:rtl w:val="0"/>
        </w:rPr>
        <w:t xml:space="preserve">1. Pioneer and Follower Companies</w:t>
      </w:r>
    </w:p>
    <w:p w:rsidR="00000000" w:rsidDel="00000000" w:rsidP="00000000" w:rsidRDefault="00000000" w:rsidRPr="00000000" w14:paraId="0000001D">
      <w:pPr>
        <w:pStyle w:val="Heading2"/>
        <w:spacing w:after="120" w:before="120" w:lineRule="auto"/>
        <w:rPr>
          <w:rFonts w:ascii="Arial" w:cs="Arial" w:eastAsia="Arial" w:hAnsi="Arial"/>
        </w:rPr>
      </w:pPr>
      <w:bookmarkStart w:colFirst="0" w:colLast="0" w:name="_heading=h.jvn2z66ndplp" w:id="2"/>
      <w:bookmarkEnd w:id="2"/>
      <w:r w:rsidDel="00000000" w:rsidR="00000000" w:rsidRPr="00000000">
        <w:rPr>
          <w:rFonts w:ascii="Arial" w:cs="Arial" w:eastAsia="Arial" w:hAnsi="Arial"/>
          <w:rtl w:val="0"/>
        </w:rPr>
        <w:t xml:space="preserve">Evaluation of Pioneer Companies</w:t>
      </w:r>
    </w:p>
    <w:p w:rsidR="00000000" w:rsidDel="00000000" w:rsidP="00000000" w:rsidRDefault="00000000" w:rsidRPr="00000000" w14:paraId="0000001E">
      <w:pPr>
        <w:spacing w:after="120" w:before="120" w:lineRule="auto"/>
        <w:rPr>
          <w:rFonts w:ascii="Arial" w:cs="Arial" w:eastAsia="Arial" w:hAnsi="Arial"/>
        </w:rPr>
      </w:pPr>
      <w:r w:rsidDel="00000000" w:rsidR="00000000" w:rsidRPr="00000000">
        <w:rPr>
          <w:rFonts w:ascii="Arial" w:cs="Arial" w:eastAsia="Arial" w:hAnsi="Arial"/>
          <w:rtl w:val="0"/>
        </w:rPr>
        <w:t xml:space="preserve">In the view of </w:t>
      </w:r>
      <w:r w:rsidDel="00000000" w:rsidR="00000000" w:rsidRPr="00000000">
        <w:rPr>
          <w:rFonts w:ascii="Arial" w:cs="Arial" w:eastAsia="Arial" w:hAnsi="Arial"/>
          <w:highlight w:val="white"/>
          <w:rtl w:val="0"/>
        </w:rPr>
        <w:t xml:space="preserve">Ruiz-Ortega, et al.,</w:t>
      </w:r>
      <w:r w:rsidDel="00000000" w:rsidR="00000000" w:rsidRPr="00000000">
        <w:rPr>
          <w:rFonts w:ascii="Arial" w:cs="Arial" w:eastAsia="Arial" w:hAnsi="Arial"/>
          <w:rtl w:val="0"/>
        </w:rPr>
        <w:t xml:space="preserve"> (2024), a pioneer company is a business that initially introduces a new product or service in order to establish a new market along with the aim to transform an existing one in a significant manner. It has been observed that pioneers achieve an advantage by establishing industry standards, influencing consumer tastes, and building brand loyalty. Pioneer firms tend to spend a lot on research and development (R&amp;D) to innovate and disrupt conventional business models.</w:t>
      </w:r>
    </w:p>
    <w:p w:rsidR="00000000" w:rsidDel="00000000" w:rsidP="00000000" w:rsidRDefault="00000000" w:rsidRPr="00000000" w14:paraId="0000001F">
      <w:pPr>
        <w:spacing w:after="120" w:before="120" w:lineRule="auto"/>
        <w:rPr>
          <w:rFonts w:ascii="Arial" w:cs="Arial" w:eastAsia="Arial" w:hAnsi="Arial"/>
        </w:rPr>
      </w:pPr>
      <w:r w:rsidDel="00000000" w:rsidR="00000000" w:rsidRPr="00000000">
        <w:rPr>
          <w:rFonts w:ascii="Arial" w:cs="Arial" w:eastAsia="Arial" w:hAnsi="Arial"/>
          <w:rtl w:val="0"/>
        </w:rPr>
        <w:t xml:space="preserve">There are several advantages of the pioneer firms such as </w:t>
      </w:r>
      <w:r w:rsidDel="00000000" w:rsidR="00000000" w:rsidRPr="00000000">
        <w:rPr>
          <w:rFonts w:ascii="Arial" w:cs="Arial" w:eastAsia="Arial" w:hAnsi="Arial"/>
          <w:b w:val="1"/>
          <w:i w:val="1"/>
          <w:rtl w:val="0"/>
        </w:rPr>
        <w:t xml:space="preserve">first-mover benefits</w:t>
      </w:r>
      <w:r w:rsidDel="00000000" w:rsidR="00000000" w:rsidRPr="00000000">
        <w:rPr>
          <w:rFonts w:ascii="Arial" w:cs="Arial" w:eastAsia="Arial" w:hAnsi="Arial"/>
          <w:rtl w:val="0"/>
        </w:rPr>
        <w:t xml:space="preserve">. By entering into a market before anyone else supports it to stay ahead of the competition and gain a well-established brand presence and loyalty with customers (</w:t>
      </w:r>
      <w:r w:rsidDel="00000000" w:rsidR="00000000" w:rsidRPr="00000000">
        <w:rPr>
          <w:rFonts w:ascii="Arial" w:cs="Arial" w:eastAsia="Arial" w:hAnsi="Arial"/>
          <w:highlight w:val="white"/>
          <w:rtl w:val="0"/>
        </w:rPr>
        <w:t xml:space="preserve">Cirik and Makadok, 2023</w:t>
      </w:r>
      <w:r w:rsidDel="00000000" w:rsidR="00000000" w:rsidRPr="00000000">
        <w:rPr>
          <w:rFonts w:ascii="Arial" w:cs="Arial" w:eastAsia="Arial" w:hAnsi="Arial"/>
          <w:rtl w:val="0"/>
        </w:rPr>
        <w:t xml:space="preserve">). For example, Tesla has transformed the electric vehicle (EV) market by being one of the first major automakers to focus on EV technology at scale and resulting in its market leadership among competitors. Another benefit is that it is possible to </w:t>
      </w:r>
      <w:r w:rsidDel="00000000" w:rsidR="00000000" w:rsidRPr="00000000">
        <w:rPr>
          <w:rFonts w:ascii="Arial" w:cs="Arial" w:eastAsia="Arial" w:hAnsi="Arial"/>
          <w:b w:val="1"/>
          <w:i w:val="1"/>
          <w:rtl w:val="0"/>
        </w:rPr>
        <w:t xml:space="preserve">create industry standards</w:t>
      </w:r>
      <w:r w:rsidDel="00000000" w:rsidR="00000000" w:rsidRPr="00000000">
        <w:rPr>
          <w:rFonts w:ascii="Arial" w:cs="Arial" w:eastAsia="Arial" w:hAnsi="Arial"/>
          <w:rtl w:val="0"/>
        </w:rPr>
        <w:t xml:space="preserve"> and </w:t>
      </w:r>
      <w:r w:rsidDel="00000000" w:rsidR="00000000" w:rsidRPr="00000000">
        <w:rPr>
          <w:rFonts w:ascii="Arial" w:cs="Arial" w:eastAsia="Arial" w:hAnsi="Arial"/>
          <w:b w:val="1"/>
          <w:i w:val="1"/>
          <w:rtl w:val="0"/>
        </w:rPr>
        <w:t xml:space="preserve">dictate regulations</w:t>
      </w:r>
      <w:r w:rsidDel="00000000" w:rsidR="00000000" w:rsidRPr="00000000">
        <w:rPr>
          <w:rFonts w:ascii="Arial" w:cs="Arial" w:eastAsia="Arial" w:hAnsi="Arial"/>
          <w:rtl w:val="0"/>
        </w:rPr>
        <w:t xml:space="preserve">. If a firm enters the market as a pioneer, it has the power to influence the direction of the industry so that subsequent entrants will have to adjust to its innovations (</w:t>
      </w:r>
      <w:r w:rsidDel="00000000" w:rsidR="00000000" w:rsidRPr="00000000">
        <w:rPr>
          <w:rFonts w:ascii="Arial" w:cs="Arial" w:eastAsia="Arial" w:hAnsi="Arial"/>
          <w:highlight w:val="white"/>
          <w:rtl w:val="0"/>
        </w:rPr>
        <w:t xml:space="preserve">Schulze, et al., 2022</w:t>
      </w:r>
      <w:r w:rsidDel="00000000" w:rsidR="00000000" w:rsidRPr="00000000">
        <w:rPr>
          <w:rFonts w:ascii="Arial" w:cs="Arial" w:eastAsia="Arial" w:hAnsi="Arial"/>
          <w:rtl w:val="0"/>
        </w:rPr>
        <w:t xml:space="preserve">). For instance, Apple’s release of the iPhone in 2007 created the standard for smartphone design and capability that set a standard that continues to shape the industry today. </w:t>
      </w:r>
    </w:p>
    <w:p w:rsidR="00000000" w:rsidDel="00000000" w:rsidP="00000000" w:rsidRDefault="00000000" w:rsidRPr="00000000" w14:paraId="00000020">
      <w:pPr>
        <w:spacing w:after="120" w:before="120" w:lineRule="auto"/>
        <w:rPr>
          <w:rFonts w:ascii="Arial" w:cs="Arial" w:eastAsia="Arial" w:hAnsi="Arial"/>
        </w:rPr>
      </w:pPr>
      <w:r w:rsidDel="00000000" w:rsidR="00000000" w:rsidRPr="00000000">
        <w:rPr>
          <w:rFonts w:ascii="Arial" w:cs="Arial" w:eastAsia="Arial" w:hAnsi="Arial"/>
          <w:rtl w:val="0"/>
        </w:rPr>
        <w:t xml:space="preserve">In addition, pioneers are also enabled by </w:t>
      </w:r>
      <w:r w:rsidDel="00000000" w:rsidR="00000000" w:rsidRPr="00000000">
        <w:rPr>
          <w:rFonts w:ascii="Arial" w:cs="Arial" w:eastAsia="Arial" w:hAnsi="Arial"/>
          <w:b w:val="1"/>
          <w:i w:val="1"/>
          <w:rtl w:val="0"/>
        </w:rPr>
        <w:t xml:space="preserve">technological innovation</w:t>
      </w:r>
      <w:r w:rsidDel="00000000" w:rsidR="00000000" w:rsidRPr="00000000">
        <w:rPr>
          <w:rFonts w:ascii="Arial" w:cs="Arial" w:eastAsia="Arial" w:hAnsi="Arial"/>
          <w:rtl w:val="0"/>
        </w:rPr>
        <w:t xml:space="preserve"> and leadership because they tend to have proprietary technology that makes entry by competitors costly. For example, Amazon Web Services (AWS) was initially the only provider of large-scale cloud computing, thus having an edge over late entrants such as Microsoft Azure and Google Cloud (</w:t>
      </w:r>
      <w:r w:rsidDel="00000000" w:rsidR="00000000" w:rsidRPr="00000000">
        <w:rPr>
          <w:rFonts w:ascii="Arial" w:cs="Arial" w:eastAsia="Arial" w:hAnsi="Arial"/>
          <w:highlight w:val="white"/>
          <w:rtl w:val="0"/>
        </w:rPr>
        <w:t xml:space="preserve">Bayazitov, et al., 2024</w:t>
      </w:r>
      <w:r w:rsidDel="00000000" w:rsidR="00000000" w:rsidRPr="00000000">
        <w:rPr>
          <w:rFonts w:ascii="Arial" w:cs="Arial" w:eastAsia="Arial" w:hAnsi="Arial"/>
          <w:rtl w:val="0"/>
        </w:rPr>
        <w:t xml:space="preserve">). Moreover, they are capable of acquiring robust </w:t>
      </w:r>
      <w:r w:rsidDel="00000000" w:rsidR="00000000" w:rsidRPr="00000000">
        <w:rPr>
          <w:rFonts w:ascii="Arial" w:cs="Arial" w:eastAsia="Arial" w:hAnsi="Arial"/>
          <w:b w:val="1"/>
          <w:i w:val="1"/>
          <w:rtl w:val="0"/>
        </w:rPr>
        <w:t xml:space="preserve">customer loyalty</w:t>
      </w:r>
      <w:r w:rsidDel="00000000" w:rsidR="00000000" w:rsidRPr="00000000">
        <w:rPr>
          <w:rFonts w:ascii="Arial" w:cs="Arial" w:eastAsia="Arial" w:hAnsi="Arial"/>
          <w:rtl w:val="0"/>
        </w:rPr>
        <w:t xml:space="preserve"> and market trust. It has been observed consumers usually equate pioneering firms with excellence, innovation, and leadership. For instance, Netflix was the firm that shifted from DVD rentals to web streaming and gained a large subscriber base business model.</w:t>
      </w:r>
    </w:p>
    <w:p w:rsidR="00000000" w:rsidDel="00000000" w:rsidP="00000000" w:rsidRDefault="00000000" w:rsidRPr="00000000" w14:paraId="00000021">
      <w:pPr>
        <w:spacing w:after="120" w:before="120" w:lineRule="auto"/>
        <w:rPr>
          <w:rFonts w:ascii="Arial" w:cs="Arial" w:eastAsia="Arial" w:hAnsi="Arial"/>
        </w:rPr>
      </w:pPr>
      <w:r w:rsidDel="00000000" w:rsidR="00000000" w:rsidRPr="00000000">
        <w:rPr>
          <w:rFonts w:ascii="Arial" w:cs="Arial" w:eastAsia="Arial" w:hAnsi="Arial"/>
          <w:b w:val="1"/>
          <w:i w:val="1"/>
          <w:rtl w:val="0"/>
        </w:rPr>
        <w:t xml:space="preserve">Tesla</w:t>
      </w:r>
      <w:r w:rsidDel="00000000" w:rsidR="00000000" w:rsidRPr="00000000">
        <w:rPr>
          <w:rFonts w:ascii="Arial" w:cs="Arial" w:eastAsia="Arial" w:hAnsi="Arial"/>
          <w:rtl w:val="0"/>
        </w:rPr>
        <w:t xml:space="preserve"> is one of the best examples of an EV industry pioneer that has achieved success. The company was established in 2003 and made strong moves to go commercial with EVs when established automobile companies were unsure about this (</w:t>
      </w:r>
      <w:r w:rsidDel="00000000" w:rsidR="00000000" w:rsidRPr="00000000">
        <w:rPr>
          <w:rFonts w:ascii="Arial" w:cs="Arial" w:eastAsia="Arial" w:hAnsi="Arial"/>
          <w:highlight w:val="white"/>
          <w:rtl w:val="0"/>
        </w:rPr>
        <w:t xml:space="preserve">Lang, et al., 2021</w:t>
      </w:r>
      <w:r w:rsidDel="00000000" w:rsidR="00000000" w:rsidRPr="00000000">
        <w:rPr>
          <w:rFonts w:ascii="Arial" w:cs="Arial" w:eastAsia="Arial" w:hAnsi="Arial"/>
          <w:rtl w:val="0"/>
        </w:rPr>
        <w:t xml:space="preserve">). The firm leveraged several strategic opportunities to dominate the market and maintain its position at the top. By introducing high-performance EVs before mainstream competition, Tesla made itself a company that was intrinsically connected with innovation and sustainability. In addition to this, its commitment towards technological innovation has differentiated it in the market. For example, its Full Self-Driving (FSD) software developments in 2023 have kept it ahead of autonomous driving technology (</w:t>
      </w:r>
      <w:r w:rsidDel="00000000" w:rsidR="00000000" w:rsidRPr="00000000">
        <w:rPr>
          <w:rFonts w:ascii="Arial" w:cs="Arial" w:eastAsia="Arial" w:hAnsi="Arial"/>
          <w:highlight w:val="white"/>
          <w:rtl w:val="0"/>
        </w:rPr>
        <w:t xml:space="preserve">Nordhoff, et al., 2023</w:t>
      </w:r>
      <w:r w:rsidDel="00000000" w:rsidR="00000000" w:rsidRPr="00000000">
        <w:rPr>
          <w:rFonts w:ascii="Arial" w:cs="Arial" w:eastAsia="Arial" w:hAnsi="Arial"/>
          <w:rtl w:val="0"/>
        </w:rPr>
        <w:t xml:space="preserve">). Its Supercharger availability in 2023 forced other manufacturers to implement its high-speed charging stations, once again validating Tesla’s brand leadership. Furthermore, the company’s emphasis on customer retention has been exemplified by its 2023 over-the-air software updates. It is the process of transmitting and installing wireless software updates on a device such as a car without requiring physical connections.</w:t>
      </w:r>
    </w:p>
    <w:p w:rsidR="00000000" w:rsidDel="00000000" w:rsidP="00000000" w:rsidRDefault="00000000" w:rsidRPr="00000000" w14:paraId="00000022">
      <w:pPr>
        <w:pStyle w:val="Heading2"/>
        <w:spacing w:after="120" w:before="120" w:lineRule="auto"/>
        <w:rPr>
          <w:rFonts w:ascii="Arial" w:cs="Arial" w:eastAsia="Arial" w:hAnsi="Arial"/>
        </w:rPr>
      </w:pPr>
      <w:bookmarkStart w:colFirst="0" w:colLast="0" w:name="_heading=h.7pgndfpf90p" w:id="3"/>
      <w:bookmarkEnd w:id="3"/>
      <w:r w:rsidDel="00000000" w:rsidR="00000000" w:rsidRPr="00000000">
        <w:rPr>
          <w:rFonts w:ascii="Arial" w:cs="Arial" w:eastAsia="Arial" w:hAnsi="Arial"/>
          <w:rtl w:val="0"/>
        </w:rPr>
        <w:t xml:space="preserve">Evaluation of Follower Companies</w:t>
      </w:r>
    </w:p>
    <w:p w:rsidR="00000000" w:rsidDel="00000000" w:rsidP="00000000" w:rsidRDefault="00000000" w:rsidRPr="00000000" w14:paraId="00000023">
      <w:pPr>
        <w:spacing w:after="120" w:before="120" w:lineRule="auto"/>
        <w:rPr>
          <w:rFonts w:ascii="Arial" w:cs="Arial" w:eastAsia="Arial" w:hAnsi="Arial"/>
        </w:rPr>
      </w:pPr>
      <w:r w:rsidDel="00000000" w:rsidR="00000000" w:rsidRPr="00000000">
        <w:rPr>
          <w:rFonts w:ascii="Arial" w:cs="Arial" w:eastAsia="Arial" w:hAnsi="Arial"/>
          <w:rtl w:val="0"/>
        </w:rPr>
        <w:t xml:space="preserve">A follower firm is a company which enters a mature market following the pioneering firm’s offering of a new product, service, or technology (</w:t>
      </w:r>
      <w:r w:rsidDel="00000000" w:rsidR="00000000" w:rsidRPr="00000000">
        <w:rPr>
          <w:rFonts w:ascii="Arial" w:cs="Arial" w:eastAsia="Arial" w:hAnsi="Arial"/>
          <w:highlight w:val="white"/>
          <w:rtl w:val="0"/>
        </w:rPr>
        <w:t xml:space="preserve">Kamp and Ruiz de Apodaca, 2023</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white"/>
          <w:rtl w:val="0"/>
        </w:rPr>
        <w:t xml:space="preserve">Giachetti and Pira, </w:t>
      </w:r>
      <w:r w:rsidDel="00000000" w:rsidR="00000000" w:rsidRPr="00000000">
        <w:rPr>
          <w:rFonts w:ascii="Arial" w:cs="Arial" w:eastAsia="Arial" w:hAnsi="Arial"/>
          <w:rtl w:val="0"/>
        </w:rPr>
        <w:t xml:space="preserve">(2022) suggests that these firms need comparably low investment in their R&amp;D and have access to market knowledge and capacity to build upon existing innovations. In contrast to first movers, who are exposed to the risks of unproven markets, followers can benefit from established demand and make strategic moves that position themselves more favourably. Moreover, while first movers have an initial market lead, followers can gain a large market share with successful execution, responsiveness, and incremental innovation.</w:t>
      </w:r>
    </w:p>
    <w:p w:rsidR="00000000" w:rsidDel="00000000" w:rsidP="00000000" w:rsidRDefault="00000000" w:rsidRPr="00000000" w14:paraId="00000024">
      <w:pPr>
        <w:spacing w:after="120" w:before="120" w:lineRule="auto"/>
        <w:rPr>
          <w:rFonts w:ascii="Arial" w:cs="Arial" w:eastAsia="Arial" w:hAnsi="Arial"/>
        </w:rPr>
      </w:pPr>
      <w:r w:rsidDel="00000000" w:rsidR="00000000" w:rsidRPr="00000000">
        <w:rPr>
          <w:rFonts w:ascii="Arial" w:cs="Arial" w:eastAsia="Arial" w:hAnsi="Arial"/>
          <w:rtl w:val="0"/>
        </w:rPr>
        <w:t xml:space="preserve">One of the biggest benefits of being a follower is the significant </w:t>
      </w:r>
      <w:r w:rsidDel="00000000" w:rsidR="00000000" w:rsidRPr="00000000">
        <w:rPr>
          <w:rFonts w:ascii="Arial" w:cs="Arial" w:eastAsia="Arial" w:hAnsi="Arial"/>
          <w:b w:val="1"/>
          <w:i w:val="1"/>
          <w:rtl w:val="0"/>
        </w:rPr>
        <w:t xml:space="preserve">reduction in R&amp;D expenses</w:t>
      </w:r>
      <w:r w:rsidDel="00000000" w:rsidR="00000000" w:rsidRPr="00000000">
        <w:rPr>
          <w:rFonts w:ascii="Arial" w:cs="Arial" w:eastAsia="Arial" w:hAnsi="Arial"/>
          <w:rtl w:val="0"/>
        </w:rPr>
        <w:t xml:space="preserve">. The pioneering companies invest a lot of money in developing products, innovation in technology, and educating customers about the market that usually has huge risks and expenses involved. Followers can get the benefits of these investments by improving upon the existing innovations without spending as much. For example, while Huawei and Motorola were among the earliest to deploy foldable screen technology, Samsung entered the fold with its Galaxy Z Fold5 model (</w:t>
      </w:r>
      <w:r w:rsidDel="00000000" w:rsidR="00000000" w:rsidRPr="00000000">
        <w:rPr>
          <w:rFonts w:ascii="Arial" w:cs="Arial" w:eastAsia="Arial" w:hAnsi="Arial"/>
          <w:highlight w:val="white"/>
          <w:rtl w:val="0"/>
        </w:rPr>
        <w:t xml:space="preserve">Kim, et al., 2023</w:t>
      </w:r>
      <w:r w:rsidDel="00000000" w:rsidR="00000000" w:rsidRPr="00000000">
        <w:rPr>
          <w:rFonts w:ascii="Arial" w:cs="Arial" w:eastAsia="Arial" w:hAnsi="Arial"/>
          <w:rtl w:val="0"/>
        </w:rPr>
        <w:t xml:space="preserve">). The company enters the market with enhanced durability and design improvements upon early market research. It focused on learning from the setbacks of its earlier versions and was able to provide a better product without paying the premium cost of being first with research and development. </w:t>
      </w:r>
    </w:p>
    <w:p w:rsidR="00000000" w:rsidDel="00000000" w:rsidP="00000000" w:rsidRDefault="00000000" w:rsidRPr="00000000" w14:paraId="00000025">
      <w:pPr>
        <w:spacing w:after="120" w:before="120" w:lineRule="auto"/>
        <w:rPr>
          <w:rFonts w:ascii="Arial" w:cs="Arial" w:eastAsia="Arial" w:hAnsi="Arial"/>
        </w:rPr>
      </w:pPr>
      <w:r w:rsidDel="00000000" w:rsidR="00000000" w:rsidRPr="00000000">
        <w:rPr>
          <w:rFonts w:ascii="Arial" w:cs="Arial" w:eastAsia="Arial" w:hAnsi="Arial"/>
          <w:rtl w:val="0"/>
        </w:rPr>
        <w:t xml:space="preserve">Another major benefit for follower firms is </w:t>
      </w:r>
      <w:r w:rsidDel="00000000" w:rsidR="00000000" w:rsidRPr="00000000">
        <w:rPr>
          <w:rFonts w:ascii="Arial" w:cs="Arial" w:eastAsia="Arial" w:hAnsi="Arial"/>
          <w:b w:val="1"/>
          <w:i w:val="1"/>
          <w:rtl w:val="0"/>
        </w:rPr>
        <w:t xml:space="preserve">market validation.</w:t>
      </w:r>
      <w:r w:rsidDel="00000000" w:rsidR="00000000" w:rsidRPr="00000000">
        <w:rPr>
          <w:rFonts w:ascii="Arial" w:cs="Arial" w:eastAsia="Arial" w:hAnsi="Arial"/>
          <w:rtl w:val="0"/>
        </w:rPr>
        <w:t xml:space="preserve"> By entering in mature market, followers get an opportunity to study consumers’ behaviours, industry patterns, and competition patterns that eliminate the uncertainties that come with new products yet to be tested (</w:t>
      </w:r>
      <w:r w:rsidDel="00000000" w:rsidR="00000000" w:rsidRPr="00000000">
        <w:rPr>
          <w:rFonts w:ascii="Arial" w:cs="Arial" w:eastAsia="Arial" w:hAnsi="Arial"/>
          <w:highlight w:val="white"/>
          <w:rtl w:val="0"/>
        </w:rPr>
        <w:t xml:space="preserve">Gómez, et al., 2022</w:t>
      </w:r>
      <w:r w:rsidDel="00000000" w:rsidR="00000000" w:rsidRPr="00000000">
        <w:rPr>
          <w:rFonts w:ascii="Arial" w:cs="Arial" w:eastAsia="Arial" w:hAnsi="Arial"/>
          <w:rtl w:val="0"/>
        </w:rPr>
        <w:t xml:space="preserve">). For example, Facebook is not a pioneer brand in the social media market. MySpace was the first to get into the social media market, but it faces several challenges. Facebook learned the failings of MySpace, particularly its complicated design and insufficiently focused advertising and streamlined its business model to improve (</w:t>
      </w:r>
      <w:r w:rsidDel="00000000" w:rsidR="00000000" w:rsidRPr="00000000">
        <w:rPr>
          <w:rFonts w:ascii="Arial" w:cs="Arial" w:eastAsia="Arial" w:hAnsi="Arial"/>
          <w:highlight w:val="white"/>
          <w:rtl w:val="0"/>
        </w:rPr>
        <w:t xml:space="preserve">Robertson, 2021</w:t>
      </w:r>
      <w:r w:rsidDel="00000000" w:rsidR="00000000" w:rsidRPr="00000000">
        <w:rPr>
          <w:rFonts w:ascii="Arial" w:cs="Arial" w:eastAsia="Arial" w:hAnsi="Arial"/>
          <w:rtl w:val="0"/>
        </w:rPr>
        <w:t xml:space="preserve">). Follower companies further have the advantage of </w:t>
      </w:r>
      <w:r w:rsidDel="00000000" w:rsidR="00000000" w:rsidRPr="00000000">
        <w:rPr>
          <w:rFonts w:ascii="Arial" w:cs="Arial" w:eastAsia="Arial" w:hAnsi="Arial"/>
          <w:b w:val="1"/>
          <w:i w:val="1"/>
          <w:rtl w:val="0"/>
        </w:rPr>
        <w:t xml:space="preserve">making improvements</w:t>
      </w:r>
      <w:r w:rsidDel="00000000" w:rsidR="00000000" w:rsidRPr="00000000">
        <w:rPr>
          <w:rFonts w:ascii="Arial" w:cs="Arial" w:eastAsia="Arial" w:hAnsi="Arial"/>
          <w:rtl w:val="0"/>
        </w:rPr>
        <w:t xml:space="preserve"> on established products by fulfilling consumer pain points and streamlining pricing models. For example, Xiaomi, one of the leading smartphone companies that has entered the market after Apple and Samsung. It differentiates itself by providing high-quality smartphones at affordable prices, focusing mainly on emerging markets. </w:t>
      </w:r>
      <w:r w:rsidDel="00000000" w:rsidR="00000000" w:rsidRPr="00000000">
        <w:rPr>
          <w:rFonts w:ascii="Arial" w:cs="Arial" w:eastAsia="Arial" w:hAnsi="Arial"/>
          <w:b w:val="1"/>
          <w:i w:val="1"/>
          <w:rtl w:val="0"/>
        </w:rPr>
        <w:t xml:space="preserve">Strategic flexibility</w:t>
      </w:r>
      <w:r w:rsidDel="00000000" w:rsidR="00000000" w:rsidRPr="00000000">
        <w:rPr>
          <w:rFonts w:ascii="Arial" w:cs="Arial" w:eastAsia="Arial" w:hAnsi="Arial"/>
          <w:rtl w:val="0"/>
        </w:rPr>
        <w:t xml:space="preserve"> is another key strength for follower companies since they can change direction instantly according to the movement of markets and new opportunities. For instance, Spotify studies the flaws of brands such as Apple Music and by adding algorithm-based playlist suggestions and venturing into the podcast category it gains a competitive edge (Baker, 2023).</w:t>
      </w:r>
    </w:p>
    <w:p w:rsidR="00000000" w:rsidDel="00000000" w:rsidP="00000000" w:rsidRDefault="00000000" w:rsidRPr="00000000" w14:paraId="00000026">
      <w:pPr>
        <w:spacing w:after="120" w:before="120" w:lineRule="auto"/>
        <w:rPr>
          <w:rFonts w:ascii="Arial" w:cs="Arial" w:eastAsia="Arial" w:hAnsi="Arial"/>
        </w:rPr>
      </w:pPr>
      <w:r w:rsidDel="00000000" w:rsidR="00000000" w:rsidRPr="00000000">
        <w:rPr>
          <w:rFonts w:ascii="Arial" w:cs="Arial" w:eastAsia="Arial" w:hAnsi="Arial"/>
          <w:rtl w:val="0"/>
        </w:rPr>
        <w:t xml:space="preserve">Facebook that was established in 2004 by Mark Zuckerberg is one of the prime examples of a follower firm. It can be determined that by entering into the social media industry after MySpace that had already created a robust customer base, Facebook has an advantage in examining MySpace’s failures (</w:t>
      </w:r>
      <w:r w:rsidDel="00000000" w:rsidR="00000000" w:rsidRPr="00000000">
        <w:rPr>
          <w:rFonts w:ascii="Arial" w:cs="Arial" w:eastAsia="Arial" w:hAnsi="Arial"/>
          <w:highlight w:val="white"/>
          <w:rtl w:val="0"/>
        </w:rPr>
        <w:t xml:space="preserve">Anderson and Wood, 2021</w:t>
      </w:r>
      <w:r w:rsidDel="00000000" w:rsidR="00000000" w:rsidRPr="00000000">
        <w:rPr>
          <w:rFonts w:ascii="Arial" w:cs="Arial" w:eastAsia="Arial" w:hAnsi="Arial"/>
          <w:rtl w:val="0"/>
        </w:rPr>
        <w:t xml:space="preserve">). MySpace was criticised for its messy design, poor personalisation, and ineffective advertising policies that caused poor user engagement. Facebook focused on solving these problems by building a cleaner, easier-to-use interface and adding features like the "News Feed" and sponsored content. It further used vast amounts of user data to serve up more relevant content and ads that improved the overall user experience and increased the rate of engagement. Through market research, learning consumer tastes, and fine-tuning its platform accordingly it overtook MySpace and other rivals to become the world’s leading social network. This case illustrates how followers can leverage market validation to streamline their strategy and obtain sustainable success.</w:t>
      </w:r>
    </w:p>
    <w:p w:rsidR="00000000" w:rsidDel="00000000" w:rsidP="00000000" w:rsidRDefault="00000000" w:rsidRPr="00000000" w14:paraId="00000027">
      <w:pPr>
        <w:spacing w:after="120" w:before="120"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spacing w:before="120" w:lineRule="auto"/>
        <w:rPr>
          <w:rFonts w:ascii="Arial" w:cs="Arial" w:eastAsia="Arial" w:hAnsi="Arial"/>
          <w:b w:val="1"/>
          <w:color w:val="000000"/>
          <w:sz w:val="24"/>
          <w:szCs w:val="24"/>
        </w:rPr>
      </w:pPr>
      <w:bookmarkStart w:colFirst="0" w:colLast="0" w:name="_heading=h.xfd6zzoy7w6o" w:id="4"/>
      <w:bookmarkEnd w:id="4"/>
      <w:r w:rsidDel="00000000" w:rsidR="00000000" w:rsidRPr="00000000">
        <w:rPr>
          <w:rFonts w:ascii="Arial" w:cs="Arial" w:eastAsia="Arial" w:hAnsi="Arial"/>
          <w:rtl w:val="0"/>
        </w:rPr>
        <w:t xml:space="preserve">2</w:t>
      </w:r>
      <w:r w:rsidDel="00000000" w:rsidR="00000000" w:rsidRPr="00000000">
        <w:rPr>
          <w:rFonts w:ascii="Arial" w:cs="Arial" w:eastAsia="Arial" w:hAnsi="Arial"/>
          <w:b w:val="0"/>
          <w:rtl w:val="0"/>
        </w:rPr>
        <w:t xml:space="preserve">. </w:t>
      </w:r>
      <w:r w:rsidDel="00000000" w:rsidR="00000000" w:rsidRPr="00000000">
        <w:rPr>
          <w:rFonts w:ascii="Arial" w:cs="Arial" w:eastAsia="Arial" w:hAnsi="Arial"/>
          <w:b w:val="1"/>
          <w:color w:val="000000"/>
          <w:sz w:val="24"/>
          <w:szCs w:val="24"/>
          <w:rtl w:val="0"/>
        </w:rPr>
        <w:t xml:space="preserve">Product Life Cycle Strategies</w:t>
      </w:r>
    </w:p>
    <w:p w:rsidR="00000000" w:rsidDel="00000000" w:rsidP="00000000" w:rsidRDefault="00000000" w:rsidRPr="00000000" w14:paraId="00000029">
      <w:pPr>
        <w:spacing w:after="120" w:before="120" w:lineRule="auto"/>
        <w:rPr>
          <w:rFonts w:ascii="Arial" w:cs="Arial" w:eastAsia="Arial" w:hAnsi="Arial"/>
        </w:rPr>
      </w:pPr>
      <w:r w:rsidDel="00000000" w:rsidR="00000000" w:rsidRPr="00000000">
        <w:rPr>
          <w:rFonts w:ascii="Arial" w:cs="Arial" w:eastAsia="Arial" w:hAnsi="Arial"/>
          <w:rtl w:val="0"/>
        </w:rPr>
        <w:t xml:space="preserve">Product Life Cycle model demonstrates phases of a product in the market that are generally classified as introduction, growth, maturity, and saturation as reflected in the below figure (CFI, 2025). The introduction stage is defined by low sales and high expenses, increasing adoption and profitability characterising the growth stage. Market saturation is represented by maturity, where innovative approaches are needed to sustain competitive positioning, while decline indicates diminishing demand, and companies either revive or discontinue the product. Stark, (2022) explain that the PLC model allows firms to establish strategic plans through time-based product analysis that enables them to modify marketing and competitive approaches effectively. Companies use this tool to predict sales patterns alongside resource management to secure profits in competitive market sectors. Firms gain better market response ability by understanding the PLC to connect their production plans with financial strategies and marketing operations.</w:t>
      </w:r>
    </w:p>
    <w:p w:rsidR="00000000" w:rsidDel="00000000" w:rsidP="00000000" w:rsidRDefault="00000000" w:rsidRPr="00000000" w14:paraId="0000002A">
      <w:pPr>
        <w:keepNext w:val="1"/>
        <w:spacing w:after="120" w:before="120" w:lineRule="auto"/>
        <w:jc w:val="center"/>
        <w:rPr>
          <w:rFonts w:ascii="Arial" w:cs="Arial" w:eastAsia="Arial" w:hAnsi="Arial"/>
        </w:rPr>
      </w:pPr>
      <w:r w:rsidDel="00000000" w:rsidR="00000000" w:rsidRPr="00000000">
        <w:rPr>
          <w:rFonts w:ascii="Arial" w:cs="Arial" w:eastAsia="Arial" w:hAnsi="Arial"/>
        </w:rPr>
        <w:drawing>
          <wp:inline distB="0" distT="0" distL="0" distR="0">
            <wp:extent cx="4131317" cy="3039672"/>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131317" cy="3039672"/>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Figure 1: Product Life Cycle Stages</w:t>
      </w:r>
    </w:p>
    <w:p w:rsidR="00000000" w:rsidDel="00000000" w:rsidP="00000000" w:rsidRDefault="00000000" w:rsidRPr="00000000" w14:paraId="0000002C">
      <w:pPr>
        <w:spacing w:after="120" w:before="120" w:lineRule="auto"/>
        <w:jc w:val="center"/>
        <w:rPr>
          <w:rFonts w:ascii="Arial" w:cs="Arial" w:eastAsia="Arial" w:hAnsi="Arial"/>
          <w:b w:val="1"/>
          <w:i w:val="1"/>
        </w:rPr>
      </w:pPr>
      <w:r w:rsidDel="00000000" w:rsidR="00000000" w:rsidRPr="00000000">
        <w:rPr>
          <w:rFonts w:ascii="Arial" w:cs="Arial" w:eastAsia="Arial" w:hAnsi="Arial"/>
          <w:b w:val="1"/>
          <w:i w:val="1"/>
          <w:rtl w:val="0"/>
        </w:rPr>
        <w:t xml:space="preserve">(Source: CFI, 2025)</w:t>
      </w:r>
    </w:p>
    <w:p w:rsidR="00000000" w:rsidDel="00000000" w:rsidP="00000000" w:rsidRDefault="00000000" w:rsidRPr="00000000" w14:paraId="0000002D">
      <w:pPr>
        <w:pStyle w:val="Heading2"/>
        <w:spacing w:after="120" w:before="120" w:lineRule="auto"/>
        <w:rPr>
          <w:rFonts w:ascii="Arial" w:cs="Arial" w:eastAsia="Arial" w:hAnsi="Arial"/>
        </w:rPr>
      </w:pPr>
      <w:bookmarkStart w:colFirst="0" w:colLast="0" w:name="_heading=h.dw31f078nixm" w:id="5"/>
      <w:bookmarkEnd w:id="5"/>
      <w:r w:rsidDel="00000000" w:rsidR="00000000" w:rsidRPr="00000000">
        <w:rPr>
          <w:rFonts w:ascii="Arial" w:cs="Arial" w:eastAsia="Arial" w:hAnsi="Arial"/>
          <w:rtl w:val="0"/>
        </w:rPr>
        <w:t xml:space="preserve">Growth Stage Strategies</w:t>
      </w:r>
    </w:p>
    <w:p w:rsidR="00000000" w:rsidDel="00000000" w:rsidP="00000000" w:rsidRDefault="00000000" w:rsidRPr="00000000" w14:paraId="0000002E">
      <w:pPr>
        <w:spacing w:after="120" w:before="120" w:lineRule="auto"/>
        <w:rPr>
          <w:rFonts w:ascii="Arial" w:cs="Arial" w:eastAsia="Arial" w:hAnsi="Arial"/>
        </w:rPr>
      </w:pPr>
      <w:r w:rsidDel="00000000" w:rsidR="00000000" w:rsidRPr="00000000">
        <w:rPr>
          <w:rFonts w:ascii="Arial" w:cs="Arial" w:eastAsia="Arial" w:hAnsi="Arial"/>
          <w:rtl w:val="0"/>
        </w:rPr>
        <w:t xml:space="preserve">Organisations in their growth stage see growing customer interest that produces elevated sales figures together with increased profits. By using various defensive measures and offensive approaches businesses defend their present market position while growing their total market control. The </w:t>
      </w:r>
      <w:r w:rsidDel="00000000" w:rsidR="00000000" w:rsidRPr="00000000">
        <w:rPr>
          <w:rFonts w:ascii="Arial" w:cs="Arial" w:eastAsia="Arial" w:hAnsi="Arial"/>
          <w:b w:val="1"/>
          <w:i w:val="1"/>
          <w:rtl w:val="0"/>
        </w:rPr>
        <w:t xml:space="preserve">Fortress or Position</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i w:val="1"/>
          <w:rtl w:val="0"/>
        </w:rPr>
        <w:t xml:space="preserve">Defense </w:t>
      </w:r>
      <w:r w:rsidDel="00000000" w:rsidR="00000000" w:rsidRPr="00000000">
        <w:rPr>
          <w:rFonts w:ascii="Arial" w:cs="Arial" w:eastAsia="Arial" w:hAnsi="Arial"/>
          <w:rtl w:val="0"/>
        </w:rPr>
        <w:t xml:space="preserve">strategy stands as a predominant defensive method to strengthen brands and features in order to discourage competitors from entering the market (</w:t>
      </w:r>
      <w:r w:rsidDel="00000000" w:rsidR="00000000" w:rsidRPr="00000000">
        <w:rPr>
          <w:rFonts w:ascii="Arial" w:cs="Arial" w:eastAsia="Arial" w:hAnsi="Arial"/>
          <w:highlight w:val="white"/>
          <w:rtl w:val="0"/>
        </w:rPr>
        <w:t xml:space="preserve">Ganjkhanloo, et al., 2021</w:t>
      </w:r>
      <w:r w:rsidDel="00000000" w:rsidR="00000000" w:rsidRPr="00000000">
        <w:rPr>
          <w:rFonts w:ascii="Arial" w:cs="Arial" w:eastAsia="Arial" w:hAnsi="Arial"/>
          <w:rtl w:val="0"/>
        </w:rPr>
        <w:t xml:space="preserve">). For example, Apple maintains customer excitement for its iPhones and defends its market position through innovative features. Manufacturers protect their market segments through </w:t>
      </w:r>
      <w:r w:rsidDel="00000000" w:rsidR="00000000" w:rsidRPr="00000000">
        <w:rPr>
          <w:rFonts w:ascii="Arial" w:cs="Arial" w:eastAsia="Arial" w:hAnsi="Arial"/>
          <w:b w:val="1"/>
          <w:i w:val="1"/>
          <w:rtl w:val="0"/>
        </w:rPr>
        <w:t xml:space="preserve">the Flanker Strategy</w:t>
      </w:r>
      <w:r w:rsidDel="00000000" w:rsidR="00000000" w:rsidRPr="00000000">
        <w:rPr>
          <w:rFonts w:ascii="Arial" w:cs="Arial" w:eastAsia="Arial" w:hAnsi="Arial"/>
          <w:rtl w:val="0"/>
        </w:rPr>
        <w:t xml:space="preserve"> by launching additional products that address various consumer groups. A flanker strategy involves introducing new products to target different market segments while defending against competitors by expanding the product range (</w:t>
      </w:r>
      <w:r w:rsidDel="00000000" w:rsidR="00000000" w:rsidRPr="00000000">
        <w:rPr>
          <w:rFonts w:ascii="Arial" w:cs="Arial" w:eastAsia="Arial" w:hAnsi="Arial"/>
          <w:highlight w:val="white"/>
          <w:rtl w:val="0"/>
        </w:rPr>
        <w:t xml:space="preserve">Bugg and Gonthier, 2020</w:t>
      </w:r>
      <w:r w:rsidDel="00000000" w:rsidR="00000000" w:rsidRPr="00000000">
        <w:rPr>
          <w:rFonts w:ascii="Arial" w:cs="Arial" w:eastAsia="Arial" w:hAnsi="Arial"/>
          <w:rtl w:val="0"/>
        </w:rPr>
        <w:t xml:space="preserve">). For example, through its product variety Hindustan Unilever can effectively defend against both premium and budget brands because it offers various products at various price ranges.</w:t>
      </w:r>
    </w:p>
    <w:p w:rsidR="00000000" w:rsidDel="00000000" w:rsidP="00000000" w:rsidRDefault="00000000" w:rsidRPr="00000000" w14:paraId="0000002F">
      <w:pPr>
        <w:spacing w:after="120" w:before="120" w:lineRule="auto"/>
        <w:rPr>
          <w:rFonts w:ascii="Arial" w:cs="Arial" w:eastAsia="Arial" w:hAnsi="Arial"/>
        </w:rPr>
      </w:pPr>
      <w:r w:rsidDel="00000000" w:rsidR="00000000" w:rsidRPr="00000000">
        <w:rPr>
          <w:rFonts w:ascii="Arial" w:cs="Arial" w:eastAsia="Arial" w:hAnsi="Arial"/>
          <w:rtl w:val="0"/>
        </w:rPr>
        <w:t xml:space="preserve">On the offensive side, </w:t>
      </w:r>
      <w:r w:rsidDel="00000000" w:rsidR="00000000" w:rsidRPr="00000000">
        <w:rPr>
          <w:rFonts w:ascii="Arial" w:cs="Arial" w:eastAsia="Arial" w:hAnsi="Arial"/>
          <w:b w:val="1"/>
          <w:i w:val="1"/>
          <w:rtl w:val="0"/>
        </w:rPr>
        <w:t xml:space="preserve">Frontal Attack Strategies</w:t>
      </w:r>
      <w:r w:rsidDel="00000000" w:rsidR="00000000" w:rsidRPr="00000000">
        <w:rPr>
          <w:rFonts w:ascii="Arial" w:cs="Arial" w:eastAsia="Arial" w:hAnsi="Arial"/>
          <w:rtl w:val="0"/>
        </w:rPr>
        <w:t xml:space="preserve"> enable firms to challenge the industry leaders directly with more features or being price competitive (</w:t>
      </w:r>
      <w:r w:rsidDel="00000000" w:rsidR="00000000" w:rsidRPr="00000000">
        <w:rPr>
          <w:rFonts w:ascii="Arial" w:cs="Arial" w:eastAsia="Arial" w:hAnsi="Arial"/>
          <w:highlight w:val="white"/>
          <w:rtl w:val="0"/>
        </w:rPr>
        <w:t xml:space="preserve">Czinkota, et al., 2021</w:t>
      </w:r>
      <w:r w:rsidDel="00000000" w:rsidR="00000000" w:rsidRPr="00000000">
        <w:rPr>
          <w:rFonts w:ascii="Arial" w:cs="Arial" w:eastAsia="Arial" w:hAnsi="Arial"/>
          <w:rtl w:val="0"/>
        </w:rPr>
        <w:t xml:space="preserve">). This can be determined by the strategic action of Xiaomi as it changed the game of the smartphone world with the ability to produce great quality phones cheaper than Apple and Samsung in new economies (</w:t>
      </w:r>
      <w:r w:rsidDel="00000000" w:rsidR="00000000" w:rsidRPr="00000000">
        <w:rPr>
          <w:rFonts w:ascii="Arial" w:cs="Arial" w:eastAsia="Arial" w:hAnsi="Arial"/>
          <w:highlight w:val="white"/>
          <w:rtl w:val="0"/>
        </w:rPr>
        <w:t xml:space="preserve">Zhang, 2024</w:t>
      </w:r>
      <w:r w:rsidDel="00000000" w:rsidR="00000000" w:rsidRPr="00000000">
        <w:rPr>
          <w:rFonts w:ascii="Arial" w:cs="Arial" w:eastAsia="Arial" w:hAnsi="Arial"/>
          <w:rtl w:val="0"/>
        </w:rPr>
        <w:t xml:space="preserve">). Further, there is an aggressive </w:t>
      </w:r>
      <w:r w:rsidDel="00000000" w:rsidR="00000000" w:rsidRPr="00000000">
        <w:rPr>
          <w:rFonts w:ascii="Arial" w:cs="Arial" w:eastAsia="Arial" w:hAnsi="Arial"/>
          <w:b w:val="1"/>
          <w:i w:val="1"/>
          <w:rtl w:val="0"/>
        </w:rPr>
        <w:t xml:space="preserve">Leapfrog Strategy</w:t>
      </w:r>
      <w:r w:rsidDel="00000000" w:rsidR="00000000" w:rsidRPr="00000000">
        <w:rPr>
          <w:rFonts w:ascii="Arial" w:cs="Arial" w:eastAsia="Arial" w:hAnsi="Arial"/>
          <w:rtl w:val="0"/>
        </w:rPr>
        <w:t xml:space="preserve">, under which companies roll out innovations that transcend what already exists in the marketplace (</w:t>
      </w:r>
      <w:r w:rsidDel="00000000" w:rsidR="00000000" w:rsidRPr="00000000">
        <w:rPr>
          <w:rFonts w:ascii="Arial" w:cs="Arial" w:eastAsia="Arial" w:hAnsi="Arial"/>
          <w:highlight w:val="white"/>
          <w:rtl w:val="0"/>
        </w:rPr>
        <w:t xml:space="preserve">Chen and Liu, 2021</w:t>
      </w:r>
      <w:r w:rsidDel="00000000" w:rsidR="00000000" w:rsidRPr="00000000">
        <w:rPr>
          <w:rFonts w:ascii="Arial" w:cs="Arial" w:eastAsia="Arial" w:hAnsi="Arial"/>
          <w:rtl w:val="0"/>
        </w:rPr>
        <w:t xml:space="preserve">). For instance, Tesla’s release of electric cars with sophisticated autonomous driving technology is a prime example of this tactic, enabling the company to surpass conventional carmakers in the sustainable mobility market (</w:t>
      </w:r>
      <w:r w:rsidDel="00000000" w:rsidR="00000000" w:rsidRPr="00000000">
        <w:rPr>
          <w:rFonts w:ascii="Arial" w:cs="Arial" w:eastAsia="Arial" w:hAnsi="Arial"/>
          <w:highlight w:val="white"/>
          <w:rtl w:val="0"/>
        </w:rPr>
        <w:t xml:space="preserve">Xiao, 2024</w:t>
      </w:r>
      <w:r w:rsidDel="00000000" w:rsidR="00000000" w:rsidRPr="00000000">
        <w:rPr>
          <w:rFonts w:ascii="Arial" w:cs="Arial" w:eastAsia="Arial" w:hAnsi="Arial"/>
          <w:rtl w:val="0"/>
        </w:rPr>
        <w:t xml:space="preserve">). Follower firms especially gain from such attack moves by using existing market knowledge to improve and launch competitive substitutes that attract customers.</w:t>
      </w:r>
    </w:p>
    <w:p w:rsidR="00000000" w:rsidDel="00000000" w:rsidP="00000000" w:rsidRDefault="00000000" w:rsidRPr="00000000" w14:paraId="00000030">
      <w:pPr>
        <w:pStyle w:val="Heading2"/>
        <w:spacing w:after="120" w:before="120" w:lineRule="auto"/>
        <w:rPr>
          <w:rFonts w:ascii="Arial" w:cs="Arial" w:eastAsia="Arial" w:hAnsi="Arial"/>
        </w:rPr>
      </w:pPr>
      <w:bookmarkStart w:colFirst="0" w:colLast="0" w:name="_heading=h.r1ur9h7aix7c" w:id="6"/>
      <w:bookmarkEnd w:id="6"/>
      <w:r w:rsidDel="00000000" w:rsidR="00000000" w:rsidRPr="00000000">
        <w:rPr>
          <w:rFonts w:ascii="Arial" w:cs="Arial" w:eastAsia="Arial" w:hAnsi="Arial"/>
          <w:rtl w:val="0"/>
        </w:rPr>
        <w:t xml:space="preserve">Maturity Stage Strategies</w:t>
      </w:r>
    </w:p>
    <w:p w:rsidR="00000000" w:rsidDel="00000000" w:rsidP="00000000" w:rsidRDefault="00000000" w:rsidRPr="00000000" w14:paraId="00000031">
      <w:pPr>
        <w:spacing w:after="120" w:before="120" w:lineRule="auto"/>
        <w:rPr>
          <w:rFonts w:ascii="Arial" w:cs="Arial" w:eastAsia="Arial" w:hAnsi="Arial"/>
        </w:rPr>
      </w:pPr>
      <w:r w:rsidDel="00000000" w:rsidR="00000000" w:rsidRPr="00000000">
        <w:rPr>
          <w:rFonts w:ascii="Arial" w:cs="Arial" w:eastAsia="Arial" w:hAnsi="Arial"/>
          <w:rtl w:val="0"/>
        </w:rPr>
        <w:t xml:space="preserve">When products have entered the maturity phase, market saturation and fierce competition require strategic realignments to ensure continued growth. The </w:t>
      </w:r>
      <w:r w:rsidDel="00000000" w:rsidR="00000000" w:rsidRPr="00000000">
        <w:rPr>
          <w:rFonts w:ascii="Arial" w:cs="Arial" w:eastAsia="Arial" w:hAnsi="Arial"/>
          <w:b w:val="1"/>
          <w:i w:val="1"/>
          <w:rtl w:val="0"/>
        </w:rPr>
        <w:t xml:space="preserve">Increased Penetration</w:t>
      </w:r>
      <w:r w:rsidDel="00000000" w:rsidR="00000000" w:rsidRPr="00000000">
        <w:rPr>
          <w:rFonts w:ascii="Arial" w:cs="Arial" w:eastAsia="Arial" w:hAnsi="Arial"/>
          <w:rtl w:val="0"/>
        </w:rPr>
        <w:t xml:space="preserve"> strategy presents an effective solution that improves both the availability and distribution scope of products (</w:t>
      </w:r>
      <w:r w:rsidDel="00000000" w:rsidR="00000000" w:rsidRPr="00000000">
        <w:rPr>
          <w:rFonts w:ascii="Arial" w:cs="Arial" w:eastAsia="Arial" w:hAnsi="Arial"/>
          <w:highlight w:val="white"/>
          <w:rtl w:val="0"/>
        </w:rPr>
        <w:t xml:space="preserve">Sadeghian, et al., 2022</w:t>
      </w:r>
      <w:r w:rsidDel="00000000" w:rsidR="00000000" w:rsidRPr="00000000">
        <w:rPr>
          <w:rFonts w:ascii="Arial" w:cs="Arial" w:eastAsia="Arial" w:hAnsi="Arial"/>
          <w:rtl w:val="0"/>
        </w:rPr>
        <w:t xml:space="preserve">). Companies implement market penetration by lowering prices and using incentives in promotion and increasing their distribution network. The beverage industry leader Coca-Cola maintains market dominance by using this strategy through ongoing promotional activities and adding retail partnership schemes (</w:t>
      </w:r>
      <w:r w:rsidDel="00000000" w:rsidR="00000000" w:rsidRPr="00000000">
        <w:rPr>
          <w:rFonts w:ascii="Arial" w:cs="Arial" w:eastAsia="Arial" w:hAnsi="Arial"/>
          <w:highlight w:val="white"/>
          <w:rtl w:val="0"/>
        </w:rPr>
        <w:t xml:space="preserve">Huse, et al., 2022</w:t>
      </w:r>
      <w:r w:rsidDel="00000000" w:rsidR="00000000" w:rsidRPr="00000000">
        <w:rPr>
          <w:rFonts w:ascii="Arial" w:cs="Arial" w:eastAsia="Arial" w:hAnsi="Arial"/>
          <w:rtl w:val="0"/>
        </w:rPr>
        <w:t xml:space="preserve">). The strength of pioneer companies in market leadership extends through the use of this strategy and follower companies boost their market presence by rolling out price discounts along with local marketing tactics.</w:t>
      </w:r>
    </w:p>
    <w:p w:rsidR="00000000" w:rsidDel="00000000" w:rsidP="00000000" w:rsidRDefault="00000000" w:rsidRPr="00000000" w14:paraId="00000032">
      <w:pPr>
        <w:spacing w:after="120" w:before="120" w:lineRule="auto"/>
        <w:rPr>
          <w:rFonts w:ascii="Arial" w:cs="Arial" w:eastAsia="Arial" w:hAnsi="Arial"/>
        </w:rPr>
      </w:pP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1"/>
          <w:i w:val="1"/>
          <w:rtl w:val="0"/>
        </w:rPr>
        <w:t xml:space="preserve">Global Market Expansion</w:t>
      </w:r>
      <w:r w:rsidDel="00000000" w:rsidR="00000000" w:rsidRPr="00000000">
        <w:rPr>
          <w:rFonts w:ascii="Arial" w:cs="Arial" w:eastAsia="Arial" w:hAnsi="Arial"/>
          <w:rtl w:val="0"/>
        </w:rPr>
        <w:t xml:space="preserve"> strategy enables businesses to set up their products in uncharted geographical areas for ongoing sales growth (</w:t>
      </w:r>
      <w:r w:rsidDel="00000000" w:rsidR="00000000" w:rsidRPr="00000000">
        <w:rPr>
          <w:rFonts w:ascii="Arial" w:cs="Arial" w:eastAsia="Arial" w:hAnsi="Arial"/>
          <w:highlight w:val="white"/>
          <w:rtl w:val="0"/>
        </w:rPr>
        <w:t xml:space="preserve">Okonkwo, et al., 2023</w:t>
      </w:r>
      <w:r w:rsidDel="00000000" w:rsidR="00000000" w:rsidRPr="00000000">
        <w:rPr>
          <w:rFonts w:ascii="Arial" w:cs="Arial" w:eastAsia="Arial" w:hAnsi="Arial"/>
          <w:rtl w:val="0"/>
        </w:rPr>
        <w:t xml:space="preserve">). Segmentation allows pioneer and follower organisations to use it as a tool for fighting declining home demand. This strategy can be observed in McDonald’s that consistently enters new international markets through strategic expansion that includes menu adaptation for each market alongside brand preservation. The entry of companies into unexplored international markets helps them extend their mature product lifecycles and minimise revenue deterioration. The market entry tactics of pioneer firms serve as learning material for follower companies which enables them to enhance their local strategy along with marketing success. </w:t>
      </w:r>
    </w:p>
    <w:p w:rsidR="00000000" w:rsidDel="00000000" w:rsidP="00000000" w:rsidRDefault="00000000" w:rsidRPr="00000000" w14:paraId="00000033">
      <w:pPr>
        <w:spacing w:after="120" w:before="120" w:lineRule="auto"/>
        <w:rPr>
          <w:rFonts w:ascii="Arial" w:cs="Arial" w:eastAsia="Arial" w:hAnsi="Arial"/>
        </w:rPr>
      </w:pPr>
      <w:r w:rsidDel="00000000" w:rsidR="00000000" w:rsidRPr="00000000">
        <w:rPr>
          <w:rFonts w:ascii="Arial" w:cs="Arial" w:eastAsia="Arial" w:hAnsi="Arial"/>
          <w:rtl w:val="0"/>
        </w:rPr>
        <w:t xml:space="preserve">Besides these strategies, companies in the maturity stage introduced modifications to their products and repositioned their brands, aimed at keeping consumer interest constant (</w:t>
      </w:r>
      <w:r w:rsidDel="00000000" w:rsidR="00000000" w:rsidRPr="00000000">
        <w:rPr>
          <w:rFonts w:ascii="Arial" w:cs="Arial" w:eastAsia="Arial" w:hAnsi="Arial"/>
          <w:highlight w:val="white"/>
          <w:rtl w:val="0"/>
        </w:rPr>
        <w:t xml:space="preserve">Su, et al., 2024</w:t>
      </w:r>
      <w:r w:rsidDel="00000000" w:rsidR="00000000" w:rsidRPr="00000000">
        <w:rPr>
          <w:rFonts w:ascii="Arial" w:cs="Arial" w:eastAsia="Arial" w:hAnsi="Arial"/>
          <w:rtl w:val="0"/>
        </w:rPr>
        <w:t xml:space="preserve">). Some technology firms such as Microsoft, have extended their software products’ life cycle through frequent updates and new features to keep them alive and relevant in a continually changing market. Similarly, fashion labels increase the desirability of their collections by means of seasonal offers and limited series collaborations ensuring customer engagement and satisfaction. With these strategies, both pioneer and follower companies demonstrate how best to lengthen the market lives of their products at competitive standards during their maturity stages.</w:t>
      </w:r>
    </w:p>
    <w:p w:rsidR="00000000" w:rsidDel="00000000" w:rsidP="00000000" w:rsidRDefault="00000000" w:rsidRPr="00000000" w14:paraId="00000034">
      <w:pPr>
        <w:pStyle w:val="Heading2"/>
        <w:spacing w:after="120" w:before="120" w:lineRule="auto"/>
        <w:rPr>
          <w:rFonts w:ascii="Arial" w:cs="Arial" w:eastAsia="Arial" w:hAnsi="Arial"/>
        </w:rPr>
      </w:pPr>
      <w:bookmarkStart w:colFirst="0" w:colLast="0" w:name="_heading=h.jhm5djpayvr" w:id="7"/>
      <w:bookmarkEnd w:id="7"/>
      <w:r w:rsidDel="00000000" w:rsidR="00000000" w:rsidRPr="00000000">
        <w:rPr>
          <w:rFonts w:ascii="Arial" w:cs="Arial" w:eastAsia="Arial" w:hAnsi="Arial"/>
          <w:rtl w:val="0"/>
        </w:rPr>
        <w:t xml:space="preserve">Advantages and Disadvantages of the Product Life Cycle Model</w:t>
      </w:r>
    </w:p>
    <w:p w:rsidR="00000000" w:rsidDel="00000000" w:rsidP="00000000" w:rsidRDefault="00000000" w:rsidRPr="00000000" w14:paraId="00000035">
      <w:pPr>
        <w:spacing w:after="120" w:before="120" w:lineRule="auto"/>
        <w:rPr>
          <w:rFonts w:ascii="Arial" w:cs="Arial" w:eastAsia="Arial" w:hAnsi="Arial"/>
        </w:rPr>
      </w:pPr>
      <w:r w:rsidDel="00000000" w:rsidR="00000000" w:rsidRPr="00000000">
        <w:rPr>
          <w:rFonts w:ascii="Arial" w:cs="Arial" w:eastAsia="Arial" w:hAnsi="Arial"/>
          <w:rtl w:val="0"/>
        </w:rPr>
        <w:t xml:space="preserve">The PLC model functions as a beneficial strategic tool for businesses through its several meaningful advantages. Through the use of the PLC model businesses can successfully identify market trends which helps drive strategic decision-making and resource distribution (Iveson, et al., 2022). The current stage of a product helps businesses make successful adjustments to their pricing techniques as well as promotion and distribution execution. The model facilitates strategic planning by helping businesses to properly invest their resources and design marketing activities per stage. It further enables companies to conduct competitive benchmarking at different stages by comparing their strategies which supports decision quality. Through implementing this model organisations can prevent possible threats by creating specialised plans that help them maintain profitability.</w:t>
      </w:r>
    </w:p>
    <w:p w:rsidR="00000000" w:rsidDel="00000000" w:rsidP="00000000" w:rsidRDefault="00000000" w:rsidRPr="00000000" w14:paraId="00000036">
      <w:pPr>
        <w:spacing w:after="120" w:before="120" w:lineRule="auto"/>
        <w:rPr>
          <w:rFonts w:ascii="Arial" w:cs="Arial" w:eastAsia="Arial" w:hAnsi="Arial"/>
        </w:rPr>
      </w:pPr>
      <w:r w:rsidDel="00000000" w:rsidR="00000000" w:rsidRPr="00000000">
        <w:rPr>
          <w:rFonts w:ascii="Arial" w:cs="Arial" w:eastAsia="Arial" w:hAnsi="Arial"/>
          <w:rtl w:val="0"/>
        </w:rPr>
        <w:t xml:space="preserve">However, the model has certain drawbacks that need to be addressed. The structured nature of the PLC model restricts analysis because various products do not proceed uniformly across stages. The combination of market disruptions along with technological advancements and shifts in consumer behaviour has the potential to affect product life cycle stages (</w:t>
      </w:r>
      <w:r w:rsidDel="00000000" w:rsidR="00000000" w:rsidRPr="00000000">
        <w:rPr>
          <w:rFonts w:ascii="Arial" w:cs="Arial" w:eastAsia="Arial" w:hAnsi="Arial"/>
          <w:highlight w:val="white"/>
          <w:rtl w:val="0"/>
        </w:rPr>
        <w:t xml:space="preserve">Dafflon, et al., 2021</w:t>
      </w:r>
      <w:r w:rsidDel="00000000" w:rsidR="00000000" w:rsidRPr="00000000">
        <w:rPr>
          <w:rFonts w:ascii="Arial" w:cs="Arial" w:eastAsia="Arial" w:hAnsi="Arial"/>
          <w:rtl w:val="0"/>
        </w:rPr>
        <w:t xml:space="preserve">). The model fails to incorporate external influences such as market regulation changes and economic shifts and competitive marketplace responses that could extend or shorten product life beyond the PLC model predictions. The model demonstrates potential issues with generalisation because various industries together with their corresponding products do not share equivalent life cycle timelines. The life cycle stages for technological products run shorter than those of conventional consumer items. The model proves ineffective in fast-changing markets when it depends on previous data because such industries experience regular shifts that change business dynamics.</w:t>
      </w:r>
    </w:p>
    <w:p w:rsidR="00000000" w:rsidDel="00000000" w:rsidP="00000000" w:rsidRDefault="00000000" w:rsidRPr="00000000" w14:paraId="00000037">
      <w:pPr>
        <w:spacing w:after="120" w:before="120"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spacing w:before="120" w:lineRule="auto"/>
        <w:rPr>
          <w:rFonts w:ascii="Arial" w:cs="Arial" w:eastAsia="Arial" w:hAnsi="Arial"/>
        </w:rPr>
      </w:pPr>
      <w:bookmarkStart w:colFirst="0" w:colLast="0" w:name="_heading=h.mr2aso8j37tv" w:id="8"/>
      <w:bookmarkEnd w:id="8"/>
      <w:r w:rsidDel="00000000" w:rsidR="00000000" w:rsidRPr="00000000">
        <w:rPr>
          <w:rFonts w:ascii="Arial" w:cs="Arial" w:eastAsia="Arial" w:hAnsi="Arial"/>
          <w:rtl w:val="0"/>
        </w:rPr>
        <w:t xml:space="preserve">Conclusion</w:t>
      </w:r>
    </w:p>
    <w:p w:rsidR="00000000" w:rsidDel="00000000" w:rsidP="00000000" w:rsidRDefault="00000000" w:rsidRPr="00000000" w14:paraId="00000039">
      <w:pPr>
        <w:spacing w:after="120" w:before="120" w:lineRule="auto"/>
        <w:rPr>
          <w:rFonts w:ascii="Arial" w:cs="Arial" w:eastAsia="Arial" w:hAnsi="Arial"/>
        </w:rPr>
      </w:pPr>
      <w:r w:rsidDel="00000000" w:rsidR="00000000" w:rsidRPr="00000000">
        <w:rPr>
          <w:rFonts w:ascii="Arial" w:cs="Arial" w:eastAsia="Arial" w:hAnsi="Arial"/>
          <w:rtl w:val="0"/>
        </w:rPr>
        <w:t xml:space="preserve">In conclusion, it has been analysed that both pioneer and follower strategies have their own set of advantages and disadvantages in strategic marketing. It has been observed that pioneers enjoy first-mover advantages such as brand identification, technological innovation, and setting industry standards that can be determined in the case of Tesla and Apple. However, they are required to face high R&amp;D expenses and uncertainty in the market. Follower companies such as Facebook and Xiaomi d on existing market demand, cutting risks while improving existing innovations. The success of every strategy is a function of market forces, competition, and consumer tastes.</w:t>
      </w:r>
    </w:p>
    <w:p w:rsidR="00000000" w:rsidDel="00000000" w:rsidP="00000000" w:rsidRDefault="00000000" w:rsidRPr="00000000" w14:paraId="0000003A">
      <w:pPr>
        <w:spacing w:after="120" w:before="120"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spacing w:before="120" w:lineRule="auto"/>
        <w:rPr>
          <w:rFonts w:ascii="Arial" w:cs="Arial" w:eastAsia="Arial" w:hAnsi="Arial"/>
        </w:rPr>
      </w:pPr>
      <w:bookmarkStart w:colFirst="0" w:colLast="0" w:name="_heading=h.8oobs5o7u7sj" w:id="9"/>
      <w:bookmarkEnd w:id="9"/>
      <w:r w:rsidDel="00000000" w:rsidR="00000000" w:rsidRPr="00000000">
        <w:rPr>
          <w:rFonts w:ascii="Arial" w:cs="Arial" w:eastAsia="Arial" w:hAnsi="Arial"/>
          <w:rtl w:val="0"/>
        </w:rPr>
        <w:t xml:space="preserve">References</w:t>
      </w:r>
    </w:p>
    <w:p w:rsidR="00000000" w:rsidDel="00000000" w:rsidP="00000000" w:rsidRDefault="00000000" w:rsidRPr="00000000" w14:paraId="0000003C">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Anderson, I.A. and Wood, W. (2021) Habits and the electronic herd: The psychology behind social media’s successes and failures. </w:t>
      </w:r>
      <w:r w:rsidDel="00000000" w:rsidR="00000000" w:rsidRPr="00000000">
        <w:rPr>
          <w:rFonts w:ascii="Arial" w:cs="Arial" w:eastAsia="Arial" w:hAnsi="Arial"/>
          <w:i w:val="1"/>
          <w:highlight w:val="white"/>
          <w:rtl w:val="0"/>
        </w:rPr>
        <w:t xml:space="preserve">Consumer Psychology Review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4</w:t>
      </w:r>
      <w:r w:rsidDel="00000000" w:rsidR="00000000" w:rsidRPr="00000000">
        <w:rPr>
          <w:rFonts w:ascii="Arial" w:cs="Arial" w:eastAsia="Arial" w:hAnsi="Arial"/>
          <w:highlight w:val="white"/>
          <w:rtl w:val="0"/>
        </w:rPr>
        <w:t xml:space="preserve">(1), pp.83-99.</w:t>
      </w:r>
    </w:p>
    <w:p w:rsidR="00000000" w:rsidDel="00000000" w:rsidP="00000000" w:rsidRDefault="00000000" w:rsidRPr="00000000" w14:paraId="0000003D">
      <w:pPr>
        <w:rPr/>
      </w:pPr>
      <w:r w:rsidDel="00000000" w:rsidR="00000000" w:rsidRPr="00000000">
        <w:rPr>
          <w:rtl w:val="0"/>
        </w:rPr>
        <w:t xml:space="preserve">Baker, T. (2023) Spotify vs. Apple Music: Which is better? [Online]. Available at: </w:t>
      </w:r>
      <w:r w:rsidDel="00000000" w:rsidR="00000000" w:rsidRPr="00000000">
        <w:rPr>
          <w:highlight w:val="white"/>
          <w:rtl w:val="0"/>
        </w:rPr>
        <w:t xml:space="preserve">https://medium.com/@iamtimbaker/spotify-vs-apple-music-which-is-better-7b1aecb23039#</w:t>
      </w:r>
      <w:r w:rsidDel="00000000" w:rsidR="00000000" w:rsidRPr="00000000">
        <w:rPr>
          <w:rtl w:val="0"/>
        </w:rPr>
        <w:t xml:space="preserve"> [Accessed on: 7 March 2025].</w:t>
      </w:r>
    </w:p>
    <w:p w:rsidR="00000000" w:rsidDel="00000000" w:rsidP="00000000" w:rsidRDefault="00000000" w:rsidRPr="00000000" w14:paraId="0000003E">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Bayazitov, D., Kozhakhmet, K., Omirali, A. and Zhumaliyeva, R. (2024) Leveraging Amazon Web Services for cloud storage and AI algorithm integration: A comprehensive analysis. </w:t>
      </w:r>
      <w:r w:rsidDel="00000000" w:rsidR="00000000" w:rsidRPr="00000000">
        <w:rPr>
          <w:rFonts w:ascii="Arial" w:cs="Arial" w:eastAsia="Arial" w:hAnsi="Arial"/>
          <w:i w:val="1"/>
          <w:highlight w:val="white"/>
          <w:rtl w:val="0"/>
        </w:rPr>
        <w:t xml:space="preserve">Applied Mathematics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18</w:t>
      </w:r>
      <w:r w:rsidDel="00000000" w:rsidR="00000000" w:rsidRPr="00000000">
        <w:rPr>
          <w:rFonts w:ascii="Arial" w:cs="Arial" w:eastAsia="Arial" w:hAnsi="Arial"/>
          <w:highlight w:val="white"/>
          <w:rtl w:val="0"/>
        </w:rPr>
        <w:t xml:space="preserve">(6), pp.1235-1246.</w:t>
      </w:r>
    </w:p>
    <w:p w:rsidR="00000000" w:rsidDel="00000000" w:rsidP="00000000" w:rsidRDefault="00000000" w:rsidRPr="00000000" w14:paraId="0000003F">
      <w:pPr>
        <w:rPr>
          <w:highlight w:val="white"/>
        </w:rPr>
      </w:pPr>
      <w:r w:rsidDel="00000000" w:rsidR="00000000" w:rsidRPr="00000000">
        <w:rPr>
          <w:highlight w:val="white"/>
          <w:rtl w:val="0"/>
        </w:rPr>
        <w:t xml:space="preserve">Bugg, J.M. and Gonthier, C. (2020) List-level control in the flanker task. </w:t>
      </w:r>
      <w:r w:rsidDel="00000000" w:rsidR="00000000" w:rsidRPr="00000000">
        <w:rPr>
          <w:i w:val="1"/>
          <w:highlight w:val="white"/>
          <w:rtl w:val="0"/>
        </w:rPr>
        <w:t xml:space="preserve">Quarterly Journal of Experimental Psychology</w:t>
      </w:r>
      <w:r w:rsidDel="00000000" w:rsidR="00000000" w:rsidRPr="00000000">
        <w:rPr>
          <w:highlight w:val="white"/>
          <w:rtl w:val="0"/>
        </w:rPr>
        <w:t xml:space="preserve">, </w:t>
      </w:r>
      <w:r w:rsidDel="00000000" w:rsidR="00000000" w:rsidRPr="00000000">
        <w:rPr>
          <w:i w:val="1"/>
          <w:highlight w:val="white"/>
          <w:rtl w:val="0"/>
        </w:rPr>
        <w:t xml:space="preserve">73</w:t>
      </w:r>
      <w:r w:rsidDel="00000000" w:rsidR="00000000" w:rsidRPr="00000000">
        <w:rPr>
          <w:highlight w:val="white"/>
          <w:rtl w:val="0"/>
        </w:rPr>
        <w:t xml:space="preserve">(9), pp.1444-1459.</w:t>
      </w:r>
    </w:p>
    <w:p w:rsidR="00000000" w:rsidDel="00000000" w:rsidP="00000000" w:rsidRDefault="00000000" w:rsidRPr="00000000" w14:paraId="00000040">
      <w:pPr>
        <w:rPr/>
      </w:pPr>
      <w:r w:rsidDel="00000000" w:rsidR="00000000" w:rsidRPr="00000000">
        <w:rPr>
          <w:rtl w:val="0"/>
        </w:rPr>
        <w:t xml:space="preserve">CFI. (2024) Product Life Cycle [Online]. Available at: https://corporatefinanceinstitute.com/resources/management/product-life-cycle/ [Accessed on: 7 March 2025].</w:t>
      </w:r>
    </w:p>
    <w:p w:rsidR="00000000" w:rsidDel="00000000" w:rsidP="00000000" w:rsidRDefault="00000000" w:rsidRPr="00000000" w14:paraId="00000041">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Chen, W.H. and Liu, Y.Y. (2021) Configurations of home-country experience, leapfrog strategy, and management team composition for acceleration of international expansion: Evidence from Asian multinational enterprises. </w:t>
      </w:r>
      <w:r w:rsidDel="00000000" w:rsidR="00000000" w:rsidRPr="00000000">
        <w:rPr>
          <w:rFonts w:ascii="Arial" w:cs="Arial" w:eastAsia="Arial" w:hAnsi="Arial"/>
          <w:i w:val="1"/>
          <w:highlight w:val="white"/>
          <w:rtl w:val="0"/>
        </w:rPr>
        <w:t xml:space="preserve">Asia Pacific Journal of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38</w:t>
      </w:r>
      <w:r w:rsidDel="00000000" w:rsidR="00000000" w:rsidRPr="00000000">
        <w:rPr>
          <w:rFonts w:ascii="Arial" w:cs="Arial" w:eastAsia="Arial" w:hAnsi="Arial"/>
          <w:highlight w:val="white"/>
          <w:rtl w:val="0"/>
        </w:rPr>
        <w:t xml:space="preserve">, pp.709-733.</w:t>
      </w:r>
      <w:r w:rsidDel="00000000" w:rsidR="00000000" w:rsidRPr="00000000">
        <w:rPr>
          <w:rFonts w:ascii="Arial" w:cs="Arial" w:eastAsia="Arial" w:hAnsi="Arial"/>
          <w:rtl w:val="0"/>
        </w:rPr>
        <w:t xml:space="preserve"> </w:t>
      </w:r>
    </w:p>
    <w:p w:rsidR="00000000" w:rsidDel="00000000" w:rsidP="00000000" w:rsidRDefault="00000000" w:rsidRPr="00000000" w14:paraId="00000042">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Cirik, K. and Makadok, R. (2023) First-mover advantages versus first-mover benefits: What’s the difference and why does it matter?. </w:t>
      </w:r>
      <w:r w:rsidDel="00000000" w:rsidR="00000000" w:rsidRPr="00000000">
        <w:rPr>
          <w:rFonts w:ascii="Arial" w:cs="Arial" w:eastAsia="Arial" w:hAnsi="Arial"/>
          <w:i w:val="1"/>
          <w:highlight w:val="white"/>
          <w:rtl w:val="0"/>
        </w:rPr>
        <w:t xml:space="preserve">Academy of Management Review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48</w:t>
      </w:r>
      <w:r w:rsidDel="00000000" w:rsidR="00000000" w:rsidRPr="00000000">
        <w:rPr>
          <w:rFonts w:ascii="Arial" w:cs="Arial" w:eastAsia="Arial" w:hAnsi="Arial"/>
          <w:highlight w:val="white"/>
          <w:rtl w:val="0"/>
        </w:rPr>
        <w:t xml:space="preserve">(3), pp.409-431.</w:t>
      </w:r>
    </w:p>
    <w:p w:rsidR="00000000" w:rsidDel="00000000" w:rsidP="00000000" w:rsidRDefault="00000000" w:rsidRPr="00000000" w14:paraId="00000043">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Czinkota, M.R., Kotabe, M., Vrontis, D., Shams, S.R., Czinkota, M.R., Kotabe, M., Vrontis, D. and Shams, S.R. (2021) Understanding the market environment and the competition. </w:t>
      </w:r>
      <w:r w:rsidDel="00000000" w:rsidR="00000000" w:rsidRPr="00000000">
        <w:rPr>
          <w:rFonts w:ascii="Arial" w:cs="Arial" w:eastAsia="Arial" w:hAnsi="Arial"/>
          <w:i w:val="1"/>
          <w:highlight w:val="white"/>
          <w:rtl w:val="0"/>
        </w:rPr>
        <w:t xml:space="preserve">Marketing Management: Past, Present and Future</w:t>
      </w:r>
      <w:r w:rsidDel="00000000" w:rsidR="00000000" w:rsidRPr="00000000">
        <w:rPr>
          <w:rFonts w:ascii="Arial" w:cs="Arial" w:eastAsia="Arial" w:hAnsi="Arial"/>
          <w:highlight w:val="white"/>
          <w:rtl w:val="0"/>
        </w:rPr>
        <w:t xml:space="preserve">, pp.91-134.</w:t>
      </w:r>
      <w:r w:rsidDel="00000000" w:rsidR="00000000" w:rsidRPr="00000000">
        <w:rPr>
          <w:rFonts w:ascii="Arial" w:cs="Arial" w:eastAsia="Arial" w:hAnsi="Arial"/>
          <w:rtl w:val="0"/>
        </w:rPr>
        <w:t xml:space="preserve"> </w:t>
      </w:r>
    </w:p>
    <w:p w:rsidR="00000000" w:rsidDel="00000000" w:rsidP="00000000" w:rsidRDefault="00000000" w:rsidRPr="00000000" w14:paraId="00000044">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Dafflon, B., Moalla, N. and Ouzrout, Y. (2021) The challenges, approaches, and used techniques of CPS for manufacturing in Industry 4.0: a literature review. </w:t>
      </w:r>
      <w:r w:rsidDel="00000000" w:rsidR="00000000" w:rsidRPr="00000000">
        <w:rPr>
          <w:rFonts w:ascii="Arial" w:cs="Arial" w:eastAsia="Arial" w:hAnsi="Arial"/>
          <w:i w:val="1"/>
          <w:highlight w:val="white"/>
          <w:rtl w:val="0"/>
        </w:rPr>
        <w:t xml:space="preserve">The International Journal of Advanced Manufacturing Technology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113</w:t>
      </w:r>
      <w:r w:rsidDel="00000000" w:rsidR="00000000" w:rsidRPr="00000000">
        <w:rPr>
          <w:rFonts w:ascii="Arial" w:cs="Arial" w:eastAsia="Arial" w:hAnsi="Arial"/>
          <w:highlight w:val="white"/>
          <w:rtl w:val="0"/>
        </w:rPr>
        <w:t xml:space="preserve">, pp.2395-2412.</w:t>
      </w:r>
      <w:r w:rsidDel="00000000" w:rsidR="00000000" w:rsidRPr="00000000">
        <w:rPr>
          <w:rtl w:val="0"/>
        </w:rPr>
      </w:r>
    </w:p>
    <w:p w:rsidR="00000000" w:rsidDel="00000000" w:rsidP="00000000" w:rsidRDefault="00000000" w:rsidRPr="00000000" w14:paraId="00000045">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Dreiling, A. and Bican, P.M. (2022) Pioneer or follower: Which strategy to choose?. In </w:t>
      </w:r>
      <w:r w:rsidDel="00000000" w:rsidR="00000000" w:rsidRPr="00000000">
        <w:rPr>
          <w:rFonts w:ascii="Arial" w:cs="Arial" w:eastAsia="Arial" w:hAnsi="Arial"/>
          <w:i w:val="1"/>
          <w:highlight w:val="white"/>
          <w:rtl w:val="0"/>
        </w:rPr>
        <w:t xml:space="preserve">The Routledge companion to technology management</w:t>
      </w:r>
      <w:r w:rsidDel="00000000" w:rsidR="00000000" w:rsidRPr="00000000">
        <w:rPr>
          <w:rFonts w:ascii="Arial" w:cs="Arial" w:eastAsia="Arial" w:hAnsi="Arial"/>
          <w:highlight w:val="white"/>
          <w:rtl w:val="0"/>
        </w:rPr>
        <w:t xml:space="preserve"> (pp. 100-115). Routledge.</w:t>
      </w:r>
    </w:p>
    <w:p w:rsidR="00000000" w:rsidDel="00000000" w:rsidP="00000000" w:rsidRDefault="00000000" w:rsidRPr="00000000" w14:paraId="00000046">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Ganjkhanloo, A., Memari, Z. and Khabiri, M. (2021) Marketing Strategies to developing the Iranian sports industry. </w:t>
      </w:r>
      <w:r w:rsidDel="00000000" w:rsidR="00000000" w:rsidRPr="00000000">
        <w:rPr>
          <w:rFonts w:ascii="Arial" w:cs="Arial" w:eastAsia="Arial" w:hAnsi="Arial"/>
          <w:i w:val="1"/>
          <w:highlight w:val="white"/>
          <w:rtl w:val="0"/>
        </w:rPr>
        <w:t xml:space="preserve">Sports Business Journal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w:t>
      </w:r>
      <w:r w:rsidDel="00000000" w:rsidR="00000000" w:rsidRPr="00000000">
        <w:rPr>
          <w:rFonts w:ascii="Arial" w:cs="Arial" w:eastAsia="Arial" w:hAnsi="Arial"/>
          <w:highlight w:val="white"/>
          <w:rtl w:val="0"/>
        </w:rPr>
        <w:t xml:space="preserve">(2), pp.95-113.</w:t>
      </w:r>
    </w:p>
    <w:p w:rsidR="00000000" w:rsidDel="00000000" w:rsidP="00000000" w:rsidRDefault="00000000" w:rsidRPr="00000000" w14:paraId="00000047">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Giachetti, C. and Pira, S.L. (2022) Catching up with the market leader: Does it pay to rapidly imitate its innovations?. </w:t>
      </w:r>
      <w:r w:rsidDel="00000000" w:rsidR="00000000" w:rsidRPr="00000000">
        <w:rPr>
          <w:rFonts w:ascii="Arial" w:cs="Arial" w:eastAsia="Arial" w:hAnsi="Arial"/>
          <w:i w:val="1"/>
          <w:highlight w:val="white"/>
          <w:rtl w:val="0"/>
        </w:rPr>
        <w:t xml:space="preserve">Research Policy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51</w:t>
      </w:r>
      <w:r w:rsidDel="00000000" w:rsidR="00000000" w:rsidRPr="00000000">
        <w:rPr>
          <w:rFonts w:ascii="Arial" w:cs="Arial" w:eastAsia="Arial" w:hAnsi="Arial"/>
          <w:highlight w:val="white"/>
          <w:rtl w:val="0"/>
        </w:rPr>
        <w:t xml:space="preserve">(5), p.104505.</w:t>
      </w:r>
    </w:p>
    <w:p w:rsidR="00000000" w:rsidDel="00000000" w:rsidP="00000000" w:rsidRDefault="00000000" w:rsidRPr="00000000" w14:paraId="00000048">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Gómez, J., Perez-Aradros, B. and Salazar, I. (2022) How to beat early movers: The role of competitive strategy and industry dynamism on followers’ performance in the telecommunications industry. </w:t>
      </w:r>
      <w:r w:rsidDel="00000000" w:rsidR="00000000" w:rsidRPr="00000000">
        <w:rPr>
          <w:rFonts w:ascii="Arial" w:cs="Arial" w:eastAsia="Arial" w:hAnsi="Arial"/>
          <w:i w:val="1"/>
          <w:highlight w:val="white"/>
          <w:rtl w:val="0"/>
        </w:rPr>
        <w:t xml:space="preserve">Long Range Planning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55</w:t>
      </w:r>
      <w:r w:rsidDel="00000000" w:rsidR="00000000" w:rsidRPr="00000000">
        <w:rPr>
          <w:rFonts w:ascii="Arial" w:cs="Arial" w:eastAsia="Arial" w:hAnsi="Arial"/>
          <w:highlight w:val="white"/>
          <w:rtl w:val="0"/>
        </w:rPr>
        <w:t xml:space="preserve">(5), p.102244.</w:t>
      </w:r>
    </w:p>
    <w:p w:rsidR="00000000" w:rsidDel="00000000" w:rsidP="00000000" w:rsidRDefault="00000000" w:rsidRPr="00000000" w14:paraId="00000049">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Huse, O., Reeve, E., Bell, C., Sacks, G., Baker, P., Wood, B. and Backholer, K. (2022) Strategies used by the soft drink industry to grow and sustain sales: a case-study of The Coca-Cola Company in East Asia. </w:t>
      </w:r>
      <w:r w:rsidDel="00000000" w:rsidR="00000000" w:rsidRPr="00000000">
        <w:rPr>
          <w:rFonts w:ascii="Arial" w:cs="Arial" w:eastAsia="Arial" w:hAnsi="Arial"/>
          <w:i w:val="1"/>
          <w:highlight w:val="white"/>
          <w:rtl w:val="0"/>
        </w:rPr>
        <w:t xml:space="preserve">BMJ global health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7</w:t>
      </w:r>
      <w:r w:rsidDel="00000000" w:rsidR="00000000" w:rsidRPr="00000000">
        <w:rPr>
          <w:rFonts w:ascii="Arial" w:cs="Arial" w:eastAsia="Arial" w:hAnsi="Arial"/>
          <w:highlight w:val="white"/>
          <w:rtl w:val="0"/>
        </w:rPr>
        <w:t xml:space="preserve">(12), p.e010386.</w:t>
      </w:r>
      <w:r w:rsidDel="00000000" w:rsidR="00000000" w:rsidRPr="00000000">
        <w:rPr>
          <w:rFonts w:ascii="Arial" w:cs="Arial" w:eastAsia="Arial" w:hAnsi="Arial"/>
          <w:rtl w:val="0"/>
        </w:rPr>
        <w:t xml:space="preserve"> </w:t>
      </w:r>
    </w:p>
    <w:p w:rsidR="00000000" w:rsidDel="00000000" w:rsidP="00000000" w:rsidRDefault="00000000" w:rsidRPr="00000000" w14:paraId="0000004A">
      <w:pPr>
        <w:spacing w:after="120" w:before="120" w:lineRule="auto"/>
        <w:rPr>
          <w:rFonts w:ascii="Arial" w:cs="Arial" w:eastAsia="Arial" w:hAnsi="Arial"/>
        </w:rPr>
      </w:pPr>
      <w:r w:rsidDel="00000000" w:rsidR="00000000" w:rsidRPr="00000000">
        <w:rPr>
          <w:rFonts w:ascii="Arial" w:cs="Arial" w:eastAsia="Arial" w:hAnsi="Arial"/>
          <w:rtl w:val="0"/>
        </w:rPr>
        <w:t xml:space="preserve">Iveson, A., Hultman, M. and Davvetas, V. (2022) The product life cycle revisited: an integrative review and research agenda, </w:t>
      </w:r>
      <w:r w:rsidDel="00000000" w:rsidR="00000000" w:rsidRPr="00000000">
        <w:rPr>
          <w:rFonts w:ascii="Arial" w:cs="Arial" w:eastAsia="Arial" w:hAnsi="Arial"/>
          <w:i w:val="1"/>
          <w:rtl w:val="0"/>
        </w:rPr>
        <w:t xml:space="preserve">European Journal of Marketing,</w:t>
      </w:r>
      <w:r w:rsidDel="00000000" w:rsidR="00000000" w:rsidRPr="00000000">
        <w:rPr>
          <w:rFonts w:ascii="Arial" w:cs="Arial" w:eastAsia="Arial" w:hAnsi="Arial"/>
          <w:rtl w:val="0"/>
        </w:rPr>
        <w:t xml:space="preserve"> Vol. 56 No. 2, pp. 467-499.</w:t>
      </w:r>
    </w:p>
    <w:p w:rsidR="00000000" w:rsidDel="00000000" w:rsidP="00000000" w:rsidRDefault="00000000" w:rsidRPr="00000000" w14:paraId="0000004B">
      <w:pPr>
        <w:spacing w:after="120" w:before="120" w:lineRule="auto"/>
        <w:rPr>
          <w:rFonts w:ascii="Arial" w:cs="Arial" w:eastAsia="Arial" w:hAnsi="Arial"/>
          <w:highlight w:val="white"/>
        </w:rPr>
      </w:pPr>
      <w:bookmarkStart w:colFirst="0" w:colLast="0" w:name="_heading=h.5zlsbin0vpok" w:id="10"/>
      <w:bookmarkEnd w:id="10"/>
      <w:r w:rsidDel="00000000" w:rsidR="00000000" w:rsidRPr="00000000">
        <w:rPr>
          <w:rFonts w:ascii="Arial" w:cs="Arial" w:eastAsia="Arial" w:hAnsi="Arial"/>
          <w:highlight w:val="white"/>
          <w:rtl w:val="0"/>
        </w:rPr>
        <w:t xml:space="preserve">Kamp, B. and Ruiz de Apodaca, I. (2023) Leveraging (in) formal early-mover and diligent-follower advantage mechanisms to attain international niche market leadership: insights from Basque “hidden champions”. </w:t>
      </w:r>
      <w:r w:rsidDel="00000000" w:rsidR="00000000" w:rsidRPr="00000000">
        <w:rPr>
          <w:rFonts w:ascii="Arial" w:cs="Arial" w:eastAsia="Arial" w:hAnsi="Arial"/>
          <w:i w:val="1"/>
          <w:highlight w:val="white"/>
          <w:rtl w:val="0"/>
        </w:rPr>
        <w:t xml:space="preserve">Competitiveness Review: An International Business Journal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33</w:t>
      </w:r>
      <w:r w:rsidDel="00000000" w:rsidR="00000000" w:rsidRPr="00000000">
        <w:rPr>
          <w:rFonts w:ascii="Arial" w:cs="Arial" w:eastAsia="Arial" w:hAnsi="Arial"/>
          <w:highlight w:val="white"/>
          <w:rtl w:val="0"/>
        </w:rPr>
        <w:t xml:space="preserve">(6), pp.1013-1045.</w:t>
      </w:r>
    </w:p>
    <w:p w:rsidR="00000000" w:rsidDel="00000000" w:rsidP="00000000" w:rsidRDefault="00000000" w:rsidRPr="00000000" w14:paraId="0000004C">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Kim, M., Ma, K.Y., Kim, H., Lee, Y., Park, J.H. and Shin, H.S. (2023) 2D materials in the display industry: status and prospects. </w:t>
      </w:r>
      <w:r w:rsidDel="00000000" w:rsidR="00000000" w:rsidRPr="00000000">
        <w:rPr>
          <w:rFonts w:ascii="Arial" w:cs="Arial" w:eastAsia="Arial" w:hAnsi="Arial"/>
          <w:i w:val="1"/>
          <w:highlight w:val="white"/>
          <w:rtl w:val="0"/>
        </w:rPr>
        <w:t xml:space="preserve">Advanced Materials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35</w:t>
      </w:r>
      <w:r w:rsidDel="00000000" w:rsidR="00000000" w:rsidRPr="00000000">
        <w:rPr>
          <w:rFonts w:ascii="Arial" w:cs="Arial" w:eastAsia="Arial" w:hAnsi="Arial"/>
          <w:highlight w:val="white"/>
          <w:rtl w:val="0"/>
        </w:rPr>
        <w:t xml:space="preserve">(43), p.2205520.</w:t>
      </w:r>
    </w:p>
    <w:p w:rsidR="00000000" w:rsidDel="00000000" w:rsidP="00000000" w:rsidRDefault="00000000" w:rsidRPr="00000000" w14:paraId="0000004D">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Lang, J.W., Reber, B. and Aldori, H. (2021) How Tesla created advantages in the ev automotive paradigm, through an integrated business model of value capture and value creation. </w:t>
      </w:r>
      <w:r w:rsidDel="00000000" w:rsidR="00000000" w:rsidRPr="00000000">
        <w:rPr>
          <w:rFonts w:ascii="Arial" w:cs="Arial" w:eastAsia="Arial" w:hAnsi="Arial"/>
          <w:i w:val="1"/>
          <w:highlight w:val="white"/>
          <w:rtl w:val="0"/>
        </w:rPr>
        <w:t xml:space="preserve">Business &amp; Management Studies: An International Journal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9</w:t>
      </w:r>
      <w:r w:rsidDel="00000000" w:rsidR="00000000" w:rsidRPr="00000000">
        <w:rPr>
          <w:rFonts w:ascii="Arial" w:cs="Arial" w:eastAsia="Arial" w:hAnsi="Arial"/>
          <w:highlight w:val="white"/>
          <w:rtl w:val="0"/>
        </w:rPr>
        <w:t xml:space="preserve">(1), pp.385-404.</w:t>
      </w:r>
    </w:p>
    <w:p w:rsidR="00000000" w:rsidDel="00000000" w:rsidP="00000000" w:rsidRDefault="00000000" w:rsidRPr="00000000" w14:paraId="0000004E">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Nordhoff, S., Stapel, J., He, X., Gentner, A. and Happee, R. (2023) Do driver’s characteristics, system performance, perceived safety, and trust influence how drivers use partial automation? A structural equation modelling analysis. </w:t>
      </w:r>
      <w:r w:rsidDel="00000000" w:rsidR="00000000" w:rsidRPr="00000000">
        <w:rPr>
          <w:rFonts w:ascii="Arial" w:cs="Arial" w:eastAsia="Arial" w:hAnsi="Arial"/>
          <w:i w:val="1"/>
          <w:highlight w:val="white"/>
          <w:rtl w:val="0"/>
        </w:rPr>
        <w:t xml:space="preserve">Frontiers in Psychology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14</w:t>
      </w:r>
      <w:r w:rsidDel="00000000" w:rsidR="00000000" w:rsidRPr="00000000">
        <w:rPr>
          <w:rFonts w:ascii="Arial" w:cs="Arial" w:eastAsia="Arial" w:hAnsi="Arial"/>
          <w:highlight w:val="white"/>
          <w:rtl w:val="0"/>
        </w:rPr>
        <w:t xml:space="preserve">, p.1125031.</w:t>
      </w:r>
    </w:p>
    <w:p w:rsidR="00000000" w:rsidDel="00000000" w:rsidP="00000000" w:rsidRDefault="00000000" w:rsidRPr="00000000" w14:paraId="0000004F">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Okonkwo, I., Mujinga, J., Namkoisse, E. and Francisco, A. (2023) Localization and global marketing: Adapting digital strategies for diverse audiences. </w:t>
      </w:r>
      <w:r w:rsidDel="00000000" w:rsidR="00000000" w:rsidRPr="00000000">
        <w:rPr>
          <w:rFonts w:ascii="Arial" w:cs="Arial" w:eastAsia="Arial" w:hAnsi="Arial"/>
          <w:i w:val="1"/>
          <w:highlight w:val="white"/>
          <w:rtl w:val="0"/>
        </w:rPr>
        <w:t xml:space="preserve">Journal of Digital Marketing and Communication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3</w:t>
      </w:r>
      <w:r w:rsidDel="00000000" w:rsidR="00000000" w:rsidRPr="00000000">
        <w:rPr>
          <w:rFonts w:ascii="Arial" w:cs="Arial" w:eastAsia="Arial" w:hAnsi="Arial"/>
          <w:highlight w:val="white"/>
          <w:rtl w:val="0"/>
        </w:rPr>
        <w:t xml:space="preserve">(2), pp.66-80.</w:t>
      </w:r>
      <w:r w:rsidDel="00000000" w:rsidR="00000000" w:rsidRPr="00000000">
        <w:rPr>
          <w:rFonts w:ascii="Arial" w:cs="Arial" w:eastAsia="Arial" w:hAnsi="Arial"/>
          <w:rtl w:val="0"/>
        </w:rPr>
        <w:t xml:space="preserve"> </w:t>
      </w:r>
    </w:p>
    <w:p w:rsidR="00000000" w:rsidDel="00000000" w:rsidP="00000000" w:rsidRDefault="00000000" w:rsidRPr="00000000" w14:paraId="00000050">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Robertson, J.A. (2021) Pioneering success: The benefits of being a first-mover in gaining competitive advantage. </w:t>
      </w:r>
      <w:r w:rsidDel="00000000" w:rsidR="00000000" w:rsidRPr="00000000">
        <w:rPr>
          <w:rFonts w:ascii="Arial" w:cs="Arial" w:eastAsia="Arial" w:hAnsi="Arial"/>
          <w:i w:val="1"/>
          <w:highlight w:val="white"/>
          <w:rtl w:val="0"/>
        </w:rPr>
        <w:t xml:space="preserve">Strategic Direction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37</w:t>
      </w:r>
      <w:r w:rsidDel="00000000" w:rsidR="00000000" w:rsidRPr="00000000">
        <w:rPr>
          <w:rFonts w:ascii="Arial" w:cs="Arial" w:eastAsia="Arial" w:hAnsi="Arial"/>
          <w:highlight w:val="white"/>
          <w:rtl w:val="0"/>
        </w:rPr>
        <w:t xml:space="preserve">(11), pp.26-28.</w:t>
      </w:r>
    </w:p>
    <w:p w:rsidR="00000000" w:rsidDel="00000000" w:rsidP="00000000" w:rsidRDefault="00000000" w:rsidRPr="00000000" w14:paraId="00000051">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Ruiz-Ortega, M.J., Rodrigo-Alarcón, J. and Parra-Requena, G. (2024) New directions to create dynamic capabilities: The role of pioneering orientation and interorganizational relationships. </w:t>
      </w:r>
      <w:r w:rsidDel="00000000" w:rsidR="00000000" w:rsidRPr="00000000">
        <w:rPr>
          <w:rFonts w:ascii="Arial" w:cs="Arial" w:eastAsia="Arial" w:hAnsi="Arial"/>
          <w:i w:val="1"/>
          <w:highlight w:val="white"/>
          <w:rtl w:val="0"/>
        </w:rPr>
        <w:t xml:space="preserve">European Management Journal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42</w:t>
      </w:r>
      <w:r w:rsidDel="00000000" w:rsidR="00000000" w:rsidRPr="00000000">
        <w:rPr>
          <w:rFonts w:ascii="Arial" w:cs="Arial" w:eastAsia="Arial" w:hAnsi="Arial"/>
          <w:highlight w:val="white"/>
          <w:rtl w:val="0"/>
        </w:rPr>
        <w:t xml:space="preserve">(3), pp.371-384.</w:t>
      </w:r>
    </w:p>
    <w:p w:rsidR="00000000" w:rsidDel="00000000" w:rsidP="00000000" w:rsidRDefault="00000000" w:rsidRPr="00000000" w14:paraId="00000052">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Sadeghian, O., Oshnoei, A., Mohammadi-Ivatloo, B., Vahidinasab, V. and Anvari-Moghaddam, A. (2022) A comprehensive review on electric vehicles smart charging: Solutions, strategies, technologies, and challenges. </w:t>
      </w:r>
      <w:r w:rsidDel="00000000" w:rsidR="00000000" w:rsidRPr="00000000">
        <w:rPr>
          <w:rFonts w:ascii="Arial" w:cs="Arial" w:eastAsia="Arial" w:hAnsi="Arial"/>
          <w:i w:val="1"/>
          <w:highlight w:val="white"/>
          <w:rtl w:val="0"/>
        </w:rPr>
        <w:t xml:space="preserve">Journal of Energy Storage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54</w:t>
      </w:r>
      <w:r w:rsidDel="00000000" w:rsidR="00000000" w:rsidRPr="00000000">
        <w:rPr>
          <w:rFonts w:ascii="Arial" w:cs="Arial" w:eastAsia="Arial" w:hAnsi="Arial"/>
          <w:highlight w:val="white"/>
          <w:rtl w:val="0"/>
        </w:rPr>
        <w:t xml:space="preserve">, p.105241.</w:t>
      </w:r>
      <w:r w:rsidDel="00000000" w:rsidR="00000000" w:rsidRPr="00000000">
        <w:rPr>
          <w:rFonts w:ascii="Arial" w:cs="Arial" w:eastAsia="Arial" w:hAnsi="Arial"/>
          <w:rtl w:val="0"/>
        </w:rPr>
        <w:t xml:space="preserve"> </w:t>
      </w:r>
    </w:p>
    <w:p w:rsidR="00000000" w:rsidDel="00000000" w:rsidP="00000000" w:rsidRDefault="00000000" w:rsidRPr="00000000" w14:paraId="00000053">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Schulze, A., Townsend, J.D. and Talay, M.B. (2022) Completing the market orientation matrix: The impact of proactive competitor orientation on innovation and firm performance. </w:t>
      </w:r>
      <w:r w:rsidDel="00000000" w:rsidR="00000000" w:rsidRPr="00000000">
        <w:rPr>
          <w:rFonts w:ascii="Arial" w:cs="Arial" w:eastAsia="Arial" w:hAnsi="Arial"/>
          <w:i w:val="1"/>
          <w:highlight w:val="white"/>
          <w:rtl w:val="0"/>
        </w:rPr>
        <w:t xml:space="preserve">Industrial Marketing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103</w:t>
      </w:r>
      <w:r w:rsidDel="00000000" w:rsidR="00000000" w:rsidRPr="00000000">
        <w:rPr>
          <w:rFonts w:ascii="Arial" w:cs="Arial" w:eastAsia="Arial" w:hAnsi="Arial"/>
          <w:highlight w:val="white"/>
          <w:rtl w:val="0"/>
        </w:rPr>
        <w:t xml:space="preserve">, pp.198-214.</w:t>
      </w:r>
    </w:p>
    <w:p w:rsidR="00000000" w:rsidDel="00000000" w:rsidP="00000000" w:rsidRDefault="00000000" w:rsidRPr="00000000" w14:paraId="00000054">
      <w:pPr>
        <w:spacing w:after="120" w:before="120" w:lineRule="auto"/>
        <w:rPr>
          <w:rFonts w:ascii="Arial" w:cs="Arial" w:eastAsia="Arial" w:hAnsi="Arial"/>
          <w:highlight w:val="white"/>
        </w:rPr>
      </w:pPr>
      <w:r w:rsidDel="00000000" w:rsidR="00000000" w:rsidRPr="00000000">
        <w:rPr>
          <w:rFonts w:ascii="Arial" w:cs="Arial" w:eastAsia="Arial" w:hAnsi="Arial"/>
          <w:highlight w:val="white"/>
          <w:rtl w:val="0"/>
        </w:rPr>
        <w:t xml:space="preserve">Stark, J. (2022) Product lifecycle management (PLM). In </w:t>
      </w:r>
      <w:r w:rsidDel="00000000" w:rsidR="00000000" w:rsidRPr="00000000">
        <w:rPr>
          <w:rFonts w:ascii="Arial" w:cs="Arial" w:eastAsia="Arial" w:hAnsi="Arial"/>
          <w:i w:val="1"/>
          <w:highlight w:val="white"/>
          <w:rtl w:val="0"/>
        </w:rPr>
        <w:t xml:space="preserve">Product lifecycle management (volume 1) 21st Century paradigm for product realisation</w:t>
      </w:r>
      <w:r w:rsidDel="00000000" w:rsidR="00000000" w:rsidRPr="00000000">
        <w:rPr>
          <w:rFonts w:ascii="Arial" w:cs="Arial" w:eastAsia="Arial" w:hAnsi="Arial"/>
          <w:highlight w:val="white"/>
          <w:rtl w:val="0"/>
        </w:rPr>
        <w:t xml:space="preserve"> (pp. 1-32). Cham: Springer International Publishing.</w:t>
      </w:r>
    </w:p>
    <w:p w:rsidR="00000000" w:rsidDel="00000000" w:rsidP="00000000" w:rsidRDefault="00000000" w:rsidRPr="00000000" w14:paraId="00000055">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Su, J., Gao, X. and Tan, J. (2024) Positioning for optimal distinctiveness: How firms manage competitive and institutional pressures under dynamic and complex environment. </w:t>
      </w:r>
      <w:r w:rsidDel="00000000" w:rsidR="00000000" w:rsidRPr="00000000">
        <w:rPr>
          <w:rFonts w:ascii="Arial" w:cs="Arial" w:eastAsia="Arial" w:hAnsi="Arial"/>
          <w:i w:val="1"/>
          <w:highlight w:val="white"/>
          <w:rtl w:val="0"/>
        </w:rPr>
        <w:t xml:space="preserve">Strategic Management Journal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45</w:t>
      </w:r>
      <w:r w:rsidDel="00000000" w:rsidR="00000000" w:rsidRPr="00000000">
        <w:rPr>
          <w:rFonts w:ascii="Arial" w:cs="Arial" w:eastAsia="Arial" w:hAnsi="Arial"/>
          <w:highlight w:val="white"/>
          <w:rtl w:val="0"/>
        </w:rPr>
        <w:t xml:space="preserve">(2), pp.333-361.</w:t>
      </w:r>
      <w:r w:rsidDel="00000000" w:rsidR="00000000" w:rsidRPr="00000000">
        <w:rPr>
          <w:rFonts w:ascii="Arial" w:cs="Arial" w:eastAsia="Arial" w:hAnsi="Arial"/>
          <w:rtl w:val="0"/>
        </w:rPr>
        <w:t xml:space="preserve"> </w:t>
      </w:r>
    </w:p>
    <w:p w:rsidR="00000000" w:rsidDel="00000000" w:rsidP="00000000" w:rsidRDefault="00000000" w:rsidRPr="00000000" w14:paraId="00000056">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Xiao, T. (2024) Analyzing the Impact of Technological Innovation: A Case of Tesla's Self-driving Technology. </w:t>
      </w:r>
      <w:r w:rsidDel="00000000" w:rsidR="00000000" w:rsidRPr="00000000">
        <w:rPr>
          <w:rFonts w:ascii="Arial" w:cs="Arial" w:eastAsia="Arial" w:hAnsi="Arial"/>
          <w:i w:val="1"/>
          <w:highlight w:val="white"/>
          <w:rtl w:val="0"/>
        </w:rPr>
        <w:t xml:space="preserve">Advances in Economics, Management and Political Sciences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99</w:t>
      </w:r>
      <w:r w:rsidDel="00000000" w:rsidR="00000000" w:rsidRPr="00000000">
        <w:rPr>
          <w:rFonts w:ascii="Arial" w:cs="Arial" w:eastAsia="Arial" w:hAnsi="Arial"/>
          <w:highlight w:val="white"/>
          <w:rtl w:val="0"/>
        </w:rPr>
        <w:t xml:space="preserve">, pp.121-127.</w:t>
      </w:r>
      <w:r w:rsidDel="00000000" w:rsidR="00000000" w:rsidRPr="00000000">
        <w:rPr>
          <w:rFonts w:ascii="Arial" w:cs="Arial" w:eastAsia="Arial" w:hAnsi="Arial"/>
          <w:rtl w:val="0"/>
        </w:rPr>
        <w:t xml:space="preserve"> </w:t>
      </w:r>
    </w:p>
    <w:p w:rsidR="00000000" w:rsidDel="00000000" w:rsidP="00000000" w:rsidRDefault="00000000" w:rsidRPr="00000000" w14:paraId="00000057">
      <w:pPr>
        <w:spacing w:after="120" w:before="120" w:lineRule="auto"/>
        <w:rPr>
          <w:rFonts w:ascii="Arial" w:cs="Arial" w:eastAsia="Arial" w:hAnsi="Arial"/>
        </w:rPr>
      </w:pPr>
      <w:r w:rsidDel="00000000" w:rsidR="00000000" w:rsidRPr="00000000">
        <w:rPr>
          <w:rFonts w:ascii="Arial" w:cs="Arial" w:eastAsia="Arial" w:hAnsi="Arial"/>
          <w:highlight w:val="white"/>
          <w:rtl w:val="0"/>
        </w:rPr>
        <w:t xml:space="preserve">Zhang, S. (2024) How Marketing Strategy Empowers Brand Effectiveness: A Comparative Study of Xiaomi Mobile Phones and Huawei Mobile Phones. In </w:t>
      </w:r>
      <w:r w:rsidDel="00000000" w:rsidR="00000000" w:rsidRPr="00000000">
        <w:rPr>
          <w:rFonts w:ascii="Arial" w:cs="Arial" w:eastAsia="Arial" w:hAnsi="Arial"/>
          <w:i w:val="1"/>
          <w:highlight w:val="white"/>
          <w:rtl w:val="0"/>
        </w:rPr>
        <w:t xml:space="preserve">2024 9th International Conference on Social Sciences and Economic Development (ICSSED 2024)</w:t>
      </w:r>
      <w:r w:rsidDel="00000000" w:rsidR="00000000" w:rsidRPr="00000000">
        <w:rPr>
          <w:rFonts w:ascii="Arial" w:cs="Arial" w:eastAsia="Arial" w:hAnsi="Arial"/>
          <w:highlight w:val="white"/>
          <w:rtl w:val="0"/>
        </w:rPr>
        <w:t xml:space="preserve"> (pp. 1008-1015). Atlantis Press.</w:t>
      </w:r>
      <w:r w:rsidDel="00000000" w:rsidR="00000000" w:rsidRPr="00000000">
        <w:rPr>
          <w:rFonts w:ascii="Arial" w:cs="Arial" w:eastAsia="Arial" w:hAnsi="Arial"/>
          <w:rtl w:val="0"/>
        </w:rPr>
        <w:t xml:space="preserve">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240" w:before="24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360" w:lineRule="auto"/>
    </w:pPr>
    <w:rPr>
      <w:b w:val="1"/>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D57BA"/>
    <w:pPr>
      <w:spacing w:after="240" w:before="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val="1"/>
    <w:uiPriority w:val="9"/>
    <w:qFormat w:val="1"/>
    <w:rsid w:val="003C3730"/>
    <w:pPr>
      <w:keepNext w:val="1"/>
      <w:keepLines w:val="1"/>
      <w:spacing w:after="120" w:before="360"/>
      <w:outlineLvl w:val="0"/>
    </w:pPr>
    <w:rPr>
      <w:rFonts w:cstheme="majorBidi" w:eastAsiaTheme="majorEastAsia"/>
      <w:b w:val="1"/>
      <w:szCs w:val="32"/>
    </w:rPr>
  </w:style>
  <w:style w:type="paragraph" w:styleId="Heading2">
    <w:name w:val="heading 2"/>
    <w:basedOn w:val="Normal"/>
    <w:next w:val="Normal"/>
    <w:link w:val="Heading2Char"/>
    <w:autoRedefine w:val="1"/>
    <w:uiPriority w:val="9"/>
    <w:unhideWhenUsed w:val="1"/>
    <w:qFormat w:val="1"/>
    <w:rsid w:val="0005481A"/>
    <w:pPr>
      <w:keepNext w:val="1"/>
      <w:keepLines w:val="1"/>
      <w:spacing w:after="0" w:before="40"/>
      <w:outlineLvl w:val="1"/>
    </w:pPr>
    <w:rPr>
      <w:rFonts w:cstheme="majorBidi" w:eastAsiaTheme="majorEastAsia"/>
      <w:b w:val="1"/>
      <w:szCs w:val="26"/>
    </w:rPr>
  </w:style>
  <w:style w:type="paragraph" w:styleId="Heading3">
    <w:name w:val="heading 3"/>
    <w:basedOn w:val="Normal"/>
    <w:next w:val="Normal"/>
    <w:link w:val="Heading3Char"/>
    <w:uiPriority w:val="9"/>
    <w:unhideWhenUsed w:val="1"/>
    <w:qFormat w:val="1"/>
    <w:rsid w:val="00F674D2"/>
    <w:pPr>
      <w:keepNext w:val="1"/>
      <w:keepLines w:val="1"/>
      <w:spacing w:after="0" w:before="40"/>
      <w:outlineLvl w:val="2"/>
    </w:pPr>
    <w:rPr>
      <w:rFonts w:asciiTheme="majorHAnsi" w:cstheme="majorBidi" w:eastAsiaTheme="majorEastAsia" w:hAnsiTheme="majorHAnsi"/>
      <w:color w:val="1f3763" w:themeColor="accent1" w:themeShade="00007F"/>
      <w:szCs w:val="24"/>
    </w:rPr>
  </w:style>
  <w:style w:type="paragraph" w:styleId="Heading4">
    <w:name w:val="heading 4"/>
    <w:basedOn w:val="Normal"/>
    <w:next w:val="Normal"/>
    <w:link w:val="Heading4Char"/>
    <w:uiPriority w:val="9"/>
    <w:unhideWhenUsed w:val="1"/>
    <w:qFormat w:val="1"/>
    <w:rsid w:val="00F674D2"/>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F674D2"/>
    <w:pPr>
      <w:keepNext w:val="1"/>
      <w:keepLines w:val="1"/>
      <w:spacing w:after="0" w:before="40"/>
      <w:outlineLvl w:val="4"/>
    </w:pPr>
    <w:rPr>
      <w:rFonts w:asciiTheme="majorHAnsi" w:cstheme="majorBidi" w:eastAsiaTheme="majorEastAsia" w:hAnsiTheme="majorHAnsi"/>
      <w:color w:val="2f5496"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autoRedefine w:val="1"/>
    <w:uiPriority w:val="1"/>
    <w:qFormat w:val="1"/>
    <w:rsid w:val="004D57BA"/>
    <w:pPr>
      <w:spacing w:after="0" w:line="360" w:lineRule="auto"/>
      <w:jc w:val="both"/>
    </w:pPr>
    <w:rPr>
      <w:rFonts w:ascii="Times New Roman" w:hAnsi="Times New Roman"/>
      <w:color w:val="000000" w:themeColor="text1"/>
      <w:sz w:val="24"/>
    </w:rPr>
  </w:style>
  <w:style w:type="character" w:styleId="Heading1Char" w:customStyle="1">
    <w:name w:val="Heading 1 Char"/>
    <w:basedOn w:val="DefaultParagraphFont"/>
    <w:link w:val="Heading1"/>
    <w:uiPriority w:val="9"/>
    <w:rsid w:val="003C3730"/>
    <w:rPr>
      <w:rFonts w:ascii="Times New Roman" w:hAnsi="Times New Roman" w:cstheme="majorBidi" w:eastAsiaTheme="majorEastAsia"/>
      <w:b w:val="1"/>
      <w:color w:val="000000" w:themeColor="text1"/>
      <w:sz w:val="24"/>
      <w:szCs w:val="32"/>
      <w:lang w:val="en-GB"/>
    </w:rPr>
  </w:style>
  <w:style w:type="character" w:styleId="Heading2Char" w:customStyle="1">
    <w:name w:val="Heading 2 Char"/>
    <w:basedOn w:val="DefaultParagraphFont"/>
    <w:link w:val="Heading2"/>
    <w:uiPriority w:val="9"/>
    <w:rsid w:val="0005481A"/>
    <w:rPr>
      <w:rFonts w:ascii="Times New Roman" w:hAnsi="Times New Roman" w:cstheme="majorBidi" w:eastAsiaTheme="majorEastAsia"/>
      <w:b w:val="1"/>
      <w:color w:val="000000" w:themeColor="text1"/>
      <w:sz w:val="24"/>
      <w:szCs w:val="26"/>
      <w:lang w:val="en-GB"/>
    </w:rPr>
  </w:style>
  <w:style w:type="character" w:styleId="Heading3Char" w:customStyle="1">
    <w:name w:val="Heading 3 Char"/>
    <w:basedOn w:val="DefaultParagraphFont"/>
    <w:link w:val="Heading3"/>
    <w:uiPriority w:val="9"/>
    <w:rsid w:val="00F674D2"/>
    <w:rPr>
      <w:rFonts w:asciiTheme="majorHAnsi" w:cstheme="majorBidi" w:eastAsiaTheme="majorEastAsia" w:hAnsiTheme="majorHAnsi"/>
      <w:color w:val="1f3763" w:themeColor="accent1" w:themeShade="00007F"/>
      <w:sz w:val="24"/>
      <w:szCs w:val="24"/>
      <w:lang w:val="en-GB"/>
    </w:rPr>
  </w:style>
  <w:style w:type="character" w:styleId="Heading4Char" w:customStyle="1">
    <w:name w:val="Heading 4 Char"/>
    <w:basedOn w:val="DefaultParagraphFont"/>
    <w:link w:val="Heading4"/>
    <w:uiPriority w:val="9"/>
    <w:rsid w:val="00F674D2"/>
    <w:rPr>
      <w:rFonts w:asciiTheme="majorHAnsi" w:cstheme="majorBidi" w:eastAsiaTheme="majorEastAsia" w:hAnsiTheme="majorHAnsi"/>
      <w:i w:val="1"/>
      <w:iCs w:val="1"/>
      <w:color w:val="2f5496" w:themeColor="accent1" w:themeShade="0000BF"/>
      <w:sz w:val="24"/>
      <w:lang w:val="en-GB"/>
    </w:rPr>
  </w:style>
  <w:style w:type="character" w:styleId="Heading5Char" w:customStyle="1">
    <w:name w:val="Heading 5 Char"/>
    <w:basedOn w:val="DefaultParagraphFont"/>
    <w:link w:val="Heading5"/>
    <w:uiPriority w:val="9"/>
    <w:semiHidden w:val="1"/>
    <w:rsid w:val="00F674D2"/>
    <w:rPr>
      <w:rFonts w:asciiTheme="majorHAnsi" w:cstheme="majorBidi" w:eastAsiaTheme="majorEastAsia" w:hAnsiTheme="majorHAnsi"/>
      <w:color w:val="2f5496" w:themeColor="accent1" w:themeShade="0000BF"/>
      <w:sz w:val="24"/>
      <w:lang w:val="en-GB"/>
    </w:rPr>
  </w:style>
  <w:style w:type="character" w:styleId="Strong">
    <w:name w:val="Strong"/>
    <w:basedOn w:val="DefaultParagraphFont"/>
    <w:uiPriority w:val="22"/>
    <w:qFormat w:val="1"/>
    <w:rsid w:val="00F674D2"/>
    <w:rPr>
      <w:b w:val="1"/>
      <w:bCs w:val="1"/>
    </w:rPr>
  </w:style>
  <w:style w:type="paragraph" w:styleId="NormalWeb">
    <w:name w:val="Normal (Web)"/>
    <w:basedOn w:val="Normal"/>
    <w:uiPriority w:val="99"/>
    <w:semiHidden w:val="1"/>
    <w:unhideWhenUsed w:val="1"/>
    <w:rsid w:val="00F674D2"/>
    <w:pPr>
      <w:spacing w:after="100" w:afterAutospacing="1" w:before="100" w:beforeAutospacing="1" w:line="240" w:lineRule="auto"/>
      <w:jc w:val="left"/>
    </w:pPr>
    <w:rPr>
      <w:rFonts w:cs="Times New Roman" w:eastAsia="Times New Roman"/>
      <w:color w:val="auto"/>
      <w:szCs w:val="24"/>
      <w:lang w:eastAsia="en-GB"/>
    </w:rPr>
  </w:style>
  <w:style w:type="paragraph" w:styleId="ListParagraph">
    <w:name w:val="List Paragraph"/>
    <w:basedOn w:val="Normal"/>
    <w:uiPriority w:val="34"/>
    <w:qFormat w:val="1"/>
    <w:rsid w:val="00735749"/>
    <w:pPr>
      <w:ind w:left="720"/>
      <w:contextualSpacing w:val="1"/>
    </w:pPr>
  </w:style>
  <w:style w:type="character" w:styleId="Hyperlink">
    <w:name w:val="Hyperlink"/>
    <w:basedOn w:val="DefaultParagraphFont"/>
    <w:uiPriority w:val="99"/>
    <w:unhideWhenUsed w:val="1"/>
    <w:rsid w:val="002E19A8"/>
    <w:rPr>
      <w:color w:val="0000ff"/>
      <w:u w:val="single"/>
    </w:rPr>
  </w:style>
  <w:style w:type="character" w:styleId="text" w:customStyle="1">
    <w:name w:val="text"/>
    <w:basedOn w:val="DefaultParagraphFont"/>
    <w:rsid w:val="002E19A8"/>
  </w:style>
  <w:style w:type="paragraph" w:styleId="TOCHeading">
    <w:name w:val="TOC Heading"/>
    <w:basedOn w:val="Heading1"/>
    <w:next w:val="Normal"/>
    <w:uiPriority w:val="39"/>
    <w:unhideWhenUsed w:val="1"/>
    <w:qFormat w:val="1"/>
    <w:rsid w:val="002E19A8"/>
    <w:pPr>
      <w:spacing w:after="0" w:before="240" w:line="259" w:lineRule="auto"/>
      <w:jc w:val="left"/>
      <w:outlineLvl w:val="9"/>
    </w:pPr>
    <w:rPr>
      <w:rFonts w:asciiTheme="majorHAnsi" w:hAnsiTheme="majorHAnsi"/>
      <w:b w:val="0"/>
      <w:color w:val="2f5496" w:themeColor="accent1" w:themeShade="0000BF"/>
      <w:sz w:val="32"/>
      <w:lang w:val="en-US"/>
    </w:rPr>
  </w:style>
  <w:style w:type="paragraph" w:styleId="TOC1">
    <w:name w:val="toc 1"/>
    <w:basedOn w:val="Normal"/>
    <w:next w:val="Normal"/>
    <w:autoRedefine w:val="1"/>
    <w:uiPriority w:val="39"/>
    <w:unhideWhenUsed w:val="1"/>
    <w:rsid w:val="002E19A8"/>
    <w:pPr>
      <w:spacing w:after="100"/>
    </w:pPr>
  </w:style>
  <w:style w:type="paragraph" w:styleId="Header">
    <w:name w:val="header"/>
    <w:basedOn w:val="Normal"/>
    <w:link w:val="HeaderChar"/>
    <w:uiPriority w:val="99"/>
    <w:unhideWhenUsed w:val="1"/>
    <w:rsid w:val="000B240F"/>
    <w:pPr>
      <w:tabs>
        <w:tab w:val="center" w:pos="4513"/>
        <w:tab w:val="right" w:pos="9026"/>
      </w:tabs>
      <w:spacing w:after="0" w:before="0" w:line="240" w:lineRule="auto"/>
    </w:pPr>
  </w:style>
  <w:style w:type="character" w:styleId="HeaderChar" w:customStyle="1">
    <w:name w:val="Header Char"/>
    <w:basedOn w:val="DefaultParagraphFont"/>
    <w:link w:val="Header"/>
    <w:uiPriority w:val="99"/>
    <w:rsid w:val="000B240F"/>
    <w:rPr>
      <w:rFonts w:ascii="Times New Roman" w:hAnsi="Times New Roman"/>
      <w:color w:val="000000" w:themeColor="text1"/>
      <w:sz w:val="24"/>
      <w:lang w:val="en-GB"/>
    </w:rPr>
  </w:style>
  <w:style w:type="paragraph" w:styleId="Footer">
    <w:name w:val="footer"/>
    <w:basedOn w:val="Normal"/>
    <w:link w:val="FooterChar"/>
    <w:uiPriority w:val="99"/>
    <w:unhideWhenUsed w:val="1"/>
    <w:rsid w:val="000B240F"/>
    <w:pPr>
      <w:tabs>
        <w:tab w:val="center" w:pos="4513"/>
        <w:tab w:val="right" w:pos="9026"/>
      </w:tabs>
      <w:spacing w:after="0" w:before="0" w:line="240" w:lineRule="auto"/>
    </w:pPr>
  </w:style>
  <w:style w:type="character" w:styleId="FooterChar" w:customStyle="1">
    <w:name w:val="Footer Char"/>
    <w:basedOn w:val="DefaultParagraphFont"/>
    <w:link w:val="Footer"/>
    <w:uiPriority w:val="99"/>
    <w:rsid w:val="000B240F"/>
    <w:rPr>
      <w:rFonts w:ascii="Times New Roman" w:hAnsi="Times New Roman"/>
      <w:color w:val="000000" w:themeColor="text1"/>
      <w:sz w:val="24"/>
      <w:lang w:val="en-GB"/>
    </w:rPr>
  </w:style>
  <w:style w:type="character" w:styleId="UnresolvedMention">
    <w:name w:val="Unresolved Mention"/>
    <w:basedOn w:val="DefaultParagraphFont"/>
    <w:uiPriority w:val="99"/>
    <w:semiHidden w:val="1"/>
    <w:unhideWhenUsed w:val="1"/>
    <w:rsid w:val="00F6061F"/>
    <w:rPr>
      <w:color w:val="605e5c"/>
      <w:shd w:color="auto" w:fill="e1dfdd" w:val="clear"/>
    </w:rPr>
  </w:style>
  <w:style w:type="paragraph" w:styleId="Caption">
    <w:name w:val="caption"/>
    <w:basedOn w:val="Normal"/>
    <w:next w:val="Normal"/>
    <w:uiPriority w:val="35"/>
    <w:unhideWhenUsed w:val="1"/>
    <w:qFormat w:val="1"/>
    <w:rsid w:val="00762618"/>
    <w:pPr>
      <w:spacing w:after="200" w:before="0" w:line="240" w:lineRule="auto"/>
    </w:pPr>
    <w:rPr>
      <w:i w:val="1"/>
      <w:iCs w:val="1"/>
      <w:color w:val="44546a" w:themeColor="text2"/>
      <w:sz w:val="18"/>
      <w:szCs w:val="18"/>
    </w:rPr>
  </w:style>
  <w:style w:type="paragraph" w:styleId="TOC2">
    <w:name w:val="toc 2"/>
    <w:basedOn w:val="Normal"/>
    <w:next w:val="Normal"/>
    <w:autoRedefine w:val="1"/>
    <w:uiPriority w:val="39"/>
    <w:unhideWhenUsed w:val="1"/>
    <w:rsid w:val="00754349"/>
    <w:pPr>
      <w:spacing w:after="100"/>
      <w:ind w:left="24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m+D2V3EGnpPxR9Ue130XFVwVJg==">CgMxLjAyDmgucjE4Z2docGJlOGdqMg5oLmJ3YmIyMm1xbGVmcjIOaC5qdm4yejY2bmRwbHAyDWguN3BnbmRmcGY5MHAyDmgueGZkNnp6b3k3dzZvMg5oLmR3MzFmMDc4bml4bTIOaC5yMXVyOWg3YWl4N2MyDWguamhtNWRqcGF5dnIyDmgubXIyYXNvOGozN3R2Mg5oLjhvb2JzNW83dTdzajIOaC41emxzYmluMHZwb2s4AHIhMV85alMxR1Q2Zm12eHREaXkzeVBhOG15MjBuaU9XQm9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2025-03-07T05:50:00Z</dcterms:created>
</cp:coreProperties>
</file>