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044DA" w14:textId="7CAFA457" w:rsidR="23748E3B" w:rsidRDefault="238CA98D" w:rsidP="238CA98D">
      <w:pPr>
        <w:jc w:val="center"/>
        <w:rPr>
          <w:rFonts w:ascii="Arial" w:eastAsia="Arial" w:hAnsi="Arial" w:cs="Arial"/>
          <w:b/>
          <w:bCs/>
          <w:sz w:val="28"/>
          <w:szCs w:val="28"/>
        </w:rPr>
      </w:pPr>
      <w:r w:rsidRPr="238CA98D">
        <w:rPr>
          <w:rFonts w:ascii="Arial" w:eastAsia="Arial" w:hAnsi="Arial" w:cs="Arial"/>
          <w:b/>
          <w:bCs/>
          <w:sz w:val="28"/>
          <w:szCs w:val="28"/>
        </w:rPr>
        <w:t>BMDS7000</w:t>
      </w:r>
      <w:r w:rsidR="23748E3B">
        <w:br/>
      </w:r>
      <w:r w:rsidR="23748E3B" w:rsidRPr="238CA98D">
        <w:rPr>
          <w:rFonts w:ascii="Arial" w:eastAsia="Arial" w:hAnsi="Arial" w:cs="Arial"/>
          <w:b/>
          <w:bCs/>
          <w:sz w:val="28"/>
          <w:szCs w:val="28"/>
        </w:rPr>
        <w:t xml:space="preserve">Application functionality report for the </w:t>
      </w:r>
      <w:r w:rsidRPr="238CA98D">
        <w:rPr>
          <w:rFonts w:ascii="Arial" w:eastAsia="Arial" w:hAnsi="Arial" w:cs="Arial"/>
          <w:b/>
          <w:bCs/>
          <w:sz w:val="28"/>
          <w:szCs w:val="28"/>
        </w:rPr>
        <w:t>E-Datix incident reporting system</w:t>
      </w:r>
    </w:p>
    <w:p w14:paraId="7E0E023F" w14:textId="3C050A04" w:rsidR="23748E3B" w:rsidRDefault="238CA98D" w:rsidP="238CA98D">
      <w:pPr>
        <w:jc w:val="center"/>
        <w:rPr>
          <w:rFonts w:ascii="Arial" w:eastAsia="Arial" w:hAnsi="Arial" w:cs="Arial"/>
          <w:b/>
          <w:bCs/>
          <w:sz w:val="28"/>
          <w:szCs w:val="28"/>
        </w:rPr>
      </w:pPr>
      <w:r w:rsidRPr="238CA98D">
        <w:rPr>
          <w:rFonts w:ascii="Arial" w:eastAsia="Arial" w:hAnsi="Arial" w:cs="Arial"/>
          <w:sz w:val="24"/>
          <w:szCs w:val="24"/>
        </w:rPr>
        <w:t>Matt McCarthy - 2112755</w:t>
      </w:r>
    </w:p>
    <w:p w14:paraId="5E5787A5" w14:textId="64C85F85" w:rsidR="006150C7" w:rsidRDefault="3FB4F9FC" w:rsidP="238CA98D">
      <w:pPr>
        <w:rPr>
          <w:rFonts w:ascii="Arial" w:eastAsia="Arial" w:hAnsi="Arial" w:cs="Arial"/>
          <w:b/>
          <w:bCs/>
          <w:sz w:val="24"/>
          <w:szCs w:val="24"/>
        </w:rPr>
      </w:pPr>
      <w:r>
        <w:br/>
      </w:r>
      <w:r w:rsidRPr="238CA98D">
        <w:rPr>
          <w:rFonts w:ascii="Arial" w:eastAsia="Arial" w:hAnsi="Arial" w:cs="Arial"/>
          <w:b/>
          <w:bCs/>
          <w:sz w:val="28"/>
          <w:szCs w:val="28"/>
        </w:rPr>
        <w:t>Introduction</w:t>
      </w:r>
    </w:p>
    <w:p w14:paraId="3A42E320" w14:textId="3BA63BDD" w:rsidR="1ACAB0C9" w:rsidRDefault="1ACAB0C9" w:rsidP="238CA98D">
      <w:pPr>
        <w:rPr>
          <w:rFonts w:ascii="Arial" w:eastAsia="Arial" w:hAnsi="Arial" w:cs="Arial"/>
          <w:sz w:val="24"/>
          <w:szCs w:val="24"/>
        </w:rPr>
      </w:pPr>
      <w:r w:rsidRPr="26E87E42">
        <w:rPr>
          <w:rFonts w:ascii="Arial" w:eastAsia="Arial" w:hAnsi="Arial" w:cs="Arial"/>
          <w:sz w:val="24"/>
          <w:szCs w:val="24"/>
        </w:rPr>
        <w:t xml:space="preserve">Patient safety is a global public health issue, with the risk of a patient death caused by </w:t>
      </w:r>
      <w:r w:rsidR="2131472D" w:rsidRPr="26E87E42">
        <w:rPr>
          <w:rFonts w:ascii="Arial" w:eastAsia="Arial" w:hAnsi="Arial" w:cs="Arial"/>
          <w:sz w:val="24"/>
          <w:szCs w:val="24"/>
        </w:rPr>
        <w:t>a preventable patient safety incident estimated to be 1 in 300 (World Health Organization, 2019, p.1).</w:t>
      </w:r>
      <w:r w:rsidR="7683B938" w:rsidRPr="26E87E42">
        <w:rPr>
          <w:rFonts w:ascii="Arial" w:eastAsia="Arial" w:hAnsi="Arial" w:cs="Arial"/>
          <w:sz w:val="24"/>
          <w:szCs w:val="24"/>
        </w:rPr>
        <w:t xml:space="preserve"> </w:t>
      </w:r>
      <w:r w:rsidR="18C76443" w:rsidRPr="26E87E42">
        <w:rPr>
          <w:rFonts w:ascii="Arial" w:eastAsia="Arial" w:hAnsi="Arial" w:cs="Arial"/>
          <w:sz w:val="24"/>
          <w:szCs w:val="24"/>
        </w:rPr>
        <w:t xml:space="preserve">The </w:t>
      </w:r>
      <w:r w:rsidR="34FAD54A" w:rsidRPr="26E87E42">
        <w:rPr>
          <w:rFonts w:ascii="Arial" w:eastAsia="Arial" w:hAnsi="Arial" w:cs="Arial"/>
          <w:sz w:val="24"/>
          <w:szCs w:val="24"/>
        </w:rPr>
        <w:t>Institute of Medicine’s report, ‘To Err is Human’ promoted incident reporting as a key tool to improve safety within healthcare, drawing from experience in other high-risk sectors, such as aviation and the nuclear industr</w:t>
      </w:r>
      <w:r w:rsidR="15A8EBDE" w:rsidRPr="26E87E42">
        <w:rPr>
          <w:rFonts w:ascii="Arial" w:eastAsia="Arial" w:hAnsi="Arial" w:cs="Arial"/>
          <w:sz w:val="24"/>
          <w:szCs w:val="24"/>
        </w:rPr>
        <w:t>y (Institute of Medicine</w:t>
      </w:r>
      <w:r w:rsidR="6EBAEEAA" w:rsidRPr="26E87E42">
        <w:rPr>
          <w:rFonts w:ascii="Arial" w:eastAsia="Arial" w:hAnsi="Arial" w:cs="Arial"/>
          <w:sz w:val="24"/>
          <w:szCs w:val="24"/>
        </w:rPr>
        <w:t>, 2000)</w:t>
      </w:r>
      <w:r w:rsidR="2193147B" w:rsidRPr="26E87E42">
        <w:rPr>
          <w:rFonts w:ascii="Arial" w:eastAsia="Arial" w:hAnsi="Arial" w:cs="Arial"/>
          <w:sz w:val="24"/>
          <w:szCs w:val="24"/>
        </w:rPr>
        <w:t>.</w:t>
      </w:r>
      <w:r w:rsidR="6110E0D4" w:rsidRPr="26E87E42">
        <w:rPr>
          <w:rFonts w:ascii="Arial" w:eastAsia="Arial" w:hAnsi="Arial" w:cs="Arial"/>
          <w:sz w:val="24"/>
          <w:szCs w:val="24"/>
        </w:rPr>
        <w:t xml:space="preserve"> The report had a significant impact on healthcare and is described as launching the patient safety movement (</w:t>
      </w:r>
      <w:proofErr w:type="spellStart"/>
      <w:r w:rsidR="109A03EE" w:rsidRPr="26E87E42">
        <w:rPr>
          <w:rFonts w:ascii="Arial" w:eastAsia="Arial" w:hAnsi="Arial" w:cs="Arial"/>
          <w:sz w:val="24"/>
          <w:szCs w:val="24"/>
        </w:rPr>
        <w:t>Leape</w:t>
      </w:r>
      <w:proofErr w:type="spellEnd"/>
      <w:r w:rsidR="109A03EE" w:rsidRPr="26E87E42">
        <w:rPr>
          <w:rFonts w:ascii="Arial" w:eastAsia="Arial" w:hAnsi="Arial" w:cs="Arial"/>
          <w:sz w:val="24"/>
          <w:szCs w:val="24"/>
        </w:rPr>
        <w:t>, 2021).</w:t>
      </w:r>
    </w:p>
    <w:p w14:paraId="2DD3AC7B" w14:textId="43A86E91" w:rsidR="00C377FA" w:rsidRDefault="7683B938" w:rsidP="238CA98D">
      <w:pPr>
        <w:rPr>
          <w:rFonts w:ascii="Arial" w:eastAsia="Arial" w:hAnsi="Arial" w:cs="Arial"/>
          <w:sz w:val="24"/>
          <w:szCs w:val="24"/>
        </w:rPr>
      </w:pPr>
      <w:r w:rsidRPr="238CA98D">
        <w:rPr>
          <w:rFonts w:ascii="Arial" w:eastAsia="Arial" w:hAnsi="Arial" w:cs="Arial"/>
          <w:sz w:val="24"/>
          <w:szCs w:val="24"/>
        </w:rPr>
        <w:t xml:space="preserve">Donaldson et al. (2021, p145) highlight the need to </w:t>
      </w:r>
      <w:r w:rsidR="70A154F6" w:rsidRPr="238CA98D">
        <w:rPr>
          <w:rFonts w:ascii="Arial" w:eastAsia="Arial" w:hAnsi="Arial" w:cs="Arial"/>
          <w:sz w:val="24"/>
          <w:szCs w:val="24"/>
        </w:rPr>
        <w:t xml:space="preserve">develop appropriate incident reporting and learning systems to understand and improve the </w:t>
      </w:r>
      <w:r w:rsidR="2F463A28" w:rsidRPr="238CA98D">
        <w:rPr>
          <w:rFonts w:ascii="Arial" w:eastAsia="Arial" w:hAnsi="Arial" w:cs="Arial"/>
          <w:sz w:val="24"/>
          <w:szCs w:val="24"/>
        </w:rPr>
        <w:t xml:space="preserve">safety of healthcare. </w:t>
      </w:r>
      <w:r w:rsidR="00C377FA" w:rsidRPr="238CA98D">
        <w:rPr>
          <w:rFonts w:ascii="Arial" w:eastAsia="Arial" w:hAnsi="Arial" w:cs="Arial"/>
          <w:sz w:val="24"/>
          <w:szCs w:val="24"/>
        </w:rPr>
        <w:t xml:space="preserve">Many healthcare organisations use one incident reporting system to capture </w:t>
      </w:r>
      <w:r w:rsidR="001100FD" w:rsidRPr="238CA98D">
        <w:rPr>
          <w:rFonts w:ascii="Arial" w:eastAsia="Arial" w:hAnsi="Arial" w:cs="Arial"/>
          <w:sz w:val="24"/>
          <w:szCs w:val="24"/>
        </w:rPr>
        <w:t>incidents which affect both patients and staff</w:t>
      </w:r>
      <w:r w:rsidR="00C0025F" w:rsidRPr="238CA98D">
        <w:rPr>
          <w:rFonts w:ascii="Arial" w:eastAsia="Arial" w:hAnsi="Arial" w:cs="Arial"/>
          <w:sz w:val="24"/>
          <w:szCs w:val="24"/>
        </w:rPr>
        <w:t>. The latter acting as an accident book for the purpose</w:t>
      </w:r>
      <w:r w:rsidR="001100FD" w:rsidRPr="238CA98D">
        <w:rPr>
          <w:rFonts w:ascii="Arial" w:eastAsia="Arial" w:hAnsi="Arial" w:cs="Arial"/>
          <w:sz w:val="24"/>
          <w:szCs w:val="24"/>
        </w:rPr>
        <w:t>s</w:t>
      </w:r>
      <w:r w:rsidR="00C0025F" w:rsidRPr="238CA98D">
        <w:rPr>
          <w:rFonts w:ascii="Arial" w:eastAsia="Arial" w:hAnsi="Arial" w:cs="Arial"/>
          <w:sz w:val="24"/>
          <w:szCs w:val="24"/>
        </w:rPr>
        <w:t xml:space="preserve"> of health and safety legislation</w:t>
      </w:r>
      <w:r w:rsidR="00E16CF8" w:rsidRPr="238CA98D">
        <w:rPr>
          <w:rFonts w:ascii="Arial" w:eastAsia="Arial" w:hAnsi="Arial" w:cs="Arial"/>
          <w:sz w:val="24"/>
          <w:szCs w:val="24"/>
        </w:rPr>
        <w:t xml:space="preserve">. This paper will focus on the </w:t>
      </w:r>
      <w:r w:rsidR="001100FD" w:rsidRPr="238CA98D">
        <w:rPr>
          <w:rFonts w:ascii="Arial" w:eastAsia="Arial" w:hAnsi="Arial" w:cs="Arial"/>
          <w:sz w:val="24"/>
          <w:szCs w:val="24"/>
        </w:rPr>
        <w:t>patient safety application of an incident reporting system.</w:t>
      </w:r>
    </w:p>
    <w:p w14:paraId="0B1F39FA" w14:textId="27A73B98" w:rsidR="3B036ADA" w:rsidRDefault="3B036ADA" w:rsidP="238CA98D">
      <w:pPr>
        <w:rPr>
          <w:rFonts w:ascii="Arial" w:eastAsia="Arial" w:hAnsi="Arial" w:cs="Arial"/>
          <w:sz w:val="24"/>
          <w:szCs w:val="24"/>
        </w:rPr>
      </w:pPr>
      <w:r w:rsidRPr="238CA98D">
        <w:rPr>
          <w:rFonts w:ascii="Arial" w:eastAsia="Arial" w:hAnsi="Arial" w:cs="Arial"/>
          <w:sz w:val="24"/>
          <w:szCs w:val="24"/>
        </w:rPr>
        <w:t xml:space="preserve">There are </w:t>
      </w:r>
      <w:proofErr w:type="gramStart"/>
      <w:r w:rsidRPr="238CA98D">
        <w:rPr>
          <w:rFonts w:ascii="Arial" w:eastAsia="Arial" w:hAnsi="Arial" w:cs="Arial"/>
          <w:sz w:val="24"/>
          <w:szCs w:val="24"/>
        </w:rPr>
        <w:t>a number of</w:t>
      </w:r>
      <w:proofErr w:type="gramEnd"/>
      <w:r w:rsidRPr="238CA98D">
        <w:rPr>
          <w:rFonts w:ascii="Arial" w:eastAsia="Arial" w:hAnsi="Arial" w:cs="Arial"/>
          <w:sz w:val="24"/>
          <w:szCs w:val="24"/>
        </w:rPr>
        <w:t xml:space="preserve"> definitions for a patient safety incident</w:t>
      </w:r>
      <w:r w:rsidR="0BD3AEF4" w:rsidRPr="238CA98D">
        <w:rPr>
          <w:rFonts w:ascii="Arial" w:eastAsia="Arial" w:hAnsi="Arial" w:cs="Arial"/>
          <w:sz w:val="24"/>
          <w:szCs w:val="24"/>
        </w:rPr>
        <w:t xml:space="preserve">, with one of the most commonly used being from the now-disbanded National Patient Safety Agency. </w:t>
      </w:r>
      <w:r w:rsidR="3D203D28" w:rsidRPr="238CA98D">
        <w:rPr>
          <w:rFonts w:ascii="Arial" w:eastAsia="Arial" w:hAnsi="Arial" w:cs="Arial"/>
          <w:sz w:val="24"/>
          <w:szCs w:val="24"/>
        </w:rPr>
        <w:t>This defines a patient safety incident as “An</w:t>
      </w:r>
      <w:r w:rsidR="193A91D0" w:rsidRPr="238CA98D">
        <w:rPr>
          <w:rFonts w:ascii="Arial" w:eastAsia="Arial" w:hAnsi="Arial" w:cs="Arial"/>
          <w:sz w:val="24"/>
          <w:szCs w:val="24"/>
        </w:rPr>
        <w:t>y unintended or unexpected incident that could have or did lead to harm for one or more patients receiving NHS-funded healthcare</w:t>
      </w:r>
      <w:r w:rsidR="25B00E9C" w:rsidRPr="238CA98D">
        <w:rPr>
          <w:rFonts w:ascii="Arial" w:eastAsia="Arial" w:hAnsi="Arial" w:cs="Arial"/>
          <w:sz w:val="24"/>
          <w:szCs w:val="24"/>
        </w:rPr>
        <w:t>”</w:t>
      </w:r>
      <w:r w:rsidR="193A91D0" w:rsidRPr="238CA98D">
        <w:rPr>
          <w:rFonts w:ascii="Arial" w:eastAsia="Arial" w:hAnsi="Arial" w:cs="Arial"/>
          <w:sz w:val="24"/>
          <w:szCs w:val="24"/>
        </w:rPr>
        <w:t>. (National Patient Safety Agency, 2004, p. 97).</w:t>
      </w:r>
    </w:p>
    <w:p w14:paraId="049E42C2" w14:textId="77D12869" w:rsidR="238CA98D" w:rsidRDefault="238CA98D" w:rsidP="238CA98D">
      <w:pPr>
        <w:rPr>
          <w:rFonts w:ascii="Arial" w:eastAsia="Arial" w:hAnsi="Arial" w:cs="Arial"/>
          <w:sz w:val="24"/>
          <w:szCs w:val="24"/>
        </w:rPr>
      </w:pPr>
      <w:r w:rsidRPr="26E87E42">
        <w:rPr>
          <w:rFonts w:ascii="Arial" w:eastAsia="Arial" w:hAnsi="Arial" w:cs="Arial"/>
          <w:sz w:val="24"/>
          <w:szCs w:val="24"/>
        </w:rPr>
        <w:t>A patient’s journey through a healthcare pathway often involves many separate locations, services, and staff. Transfers of information between these introduce areas of risk and prevent seamless patient care. Problems with these information transfers can often lead to patient safety incidents that could or do result in harm. For example, at an organisational level, referrals between hospitals can be lost or not acted on appropriately. Similarly, at an individual staff level, a nurse may mishear a verbal order to give medication, leading to a potentially harmful error.</w:t>
      </w:r>
    </w:p>
    <w:p w14:paraId="7AD36C98" w14:textId="46810782" w:rsidR="00B74507" w:rsidRDefault="00B74507" w:rsidP="238CA98D">
      <w:pPr>
        <w:rPr>
          <w:rFonts w:ascii="Arial" w:eastAsia="Arial" w:hAnsi="Arial" w:cs="Arial"/>
          <w:sz w:val="24"/>
          <w:szCs w:val="24"/>
        </w:rPr>
      </w:pPr>
      <w:r w:rsidRPr="26E87E42">
        <w:rPr>
          <w:rFonts w:ascii="Arial" w:eastAsia="Arial" w:hAnsi="Arial" w:cs="Arial"/>
          <w:sz w:val="24"/>
          <w:szCs w:val="24"/>
        </w:rPr>
        <w:t xml:space="preserve">As with many </w:t>
      </w:r>
      <w:r w:rsidR="00C45090" w:rsidRPr="26E87E42">
        <w:rPr>
          <w:rFonts w:ascii="Arial" w:eastAsia="Arial" w:hAnsi="Arial" w:cs="Arial"/>
          <w:sz w:val="24"/>
          <w:szCs w:val="24"/>
        </w:rPr>
        <w:t xml:space="preserve">healthcare processes, early incident reporting systems were </w:t>
      </w:r>
      <w:proofErr w:type="gramStart"/>
      <w:r w:rsidR="00C45090" w:rsidRPr="26E87E42">
        <w:rPr>
          <w:rFonts w:ascii="Arial" w:eastAsia="Arial" w:hAnsi="Arial" w:cs="Arial"/>
          <w:sz w:val="24"/>
          <w:szCs w:val="24"/>
        </w:rPr>
        <w:t>paper-based</w:t>
      </w:r>
      <w:proofErr w:type="gramEnd"/>
      <w:r w:rsidR="004E5BEA" w:rsidRPr="26E87E42">
        <w:rPr>
          <w:rFonts w:ascii="Arial" w:eastAsia="Arial" w:hAnsi="Arial" w:cs="Arial"/>
          <w:sz w:val="24"/>
          <w:szCs w:val="24"/>
        </w:rPr>
        <w:t xml:space="preserve">, with incident forms completed by hand and sent to a manager within the area and then later to </w:t>
      </w:r>
      <w:r w:rsidR="00DA4157" w:rsidRPr="26E87E42">
        <w:rPr>
          <w:rFonts w:ascii="Arial" w:eastAsia="Arial" w:hAnsi="Arial" w:cs="Arial"/>
          <w:sz w:val="24"/>
          <w:szCs w:val="24"/>
        </w:rPr>
        <w:t>central patient safety teams for logging.</w:t>
      </w:r>
    </w:p>
    <w:p w14:paraId="6274C1CF" w14:textId="0D009DE6" w:rsidR="00C4669E" w:rsidRDefault="0012787E" w:rsidP="238CA98D">
      <w:pPr>
        <w:rPr>
          <w:rFonts w:ascii="Arial" w:eastAsia="Arial" w:hAnsi="Arial" w:cs="Arial"/>
          <w:sz w:val="24"/>
          <w:szCs w:val="24"/>
        </w:rPr>
      </w:pPr>
      <w:r w:rsidRPr="238CA98D">
        <w:rPr>
          <w:rFonts w:ascii="Arial" w:eastAsia="Arial" w:hAnsi="Arial" w:cs="Arial"/>
          <w:sz w:val="24"/>
          <w:szCs w:val="24"/>
        </w:rPr>
        <w:t xml:space="preserve">This paper system </w:t>
      </w:r>
      <w:r w:rsidR="003129C6" w:rsidRPr="238CA98D">
        <w:rPr>
          <w:rFonts w:ascii="Arial" w:eastAsia="Arial" w:hAnsi="Arial" w:cs="Arial"/>
          <w:sz w:val="24"/>
          <w:szCs w:val="24"/>
        </w:rPr>
        <w:t xml:space="preserve">involved inherent delays as forms were transported, especially from community </w:t>
      </w:r>
      <w:r w:rsidR="00CD4A57" w:rsidRPr="238CA98D">
        <w:rPr>
          <w:rFonts w:ascii="Arial" w:eastAsia="Arial" w:hAnsi="Arial" w:cs="Arial"/>
          <w:sz w:val="24"/>
          <w:szCs w:val="24"/>
        </w:rPr>
        <w:t xml:space="preserve">services. </w:t>
      </w:r>
    </w:p>
    <w:p w14:paraId="657B6027" w14:textId="384022B3" w:rsidR="0079429A" w:rsidRDefault="00437F5C" w:rsidP="238CA98D">
      <w:pPr>
        <w:rPr>
          <w:rFonts w:ascii="Arial" w:eastAsia="Arial" w:hAnsi="Arial" w:cs="Arial"/>
          <w:sz w:val="24"/>
          <w:szCs w:val="24"/>
        </w:rPr>
      </w:pPr>
      <w:r w:rsidRPr="26E87E42">
        <w:rPr>
          <w:rFonts w:ascii="Arial" w:eastAsia="Arial" w:hAnsi="Arial" w:cs="Arial"/>
          <w:sz w:val="24"/>
          <w:szCs w:val="24"/>
        </w:rPr>
        <w:t xml:space="preserve">The value of incident reporting systems to the overall safety of healthcare is subject to ongoing debate. </w:t>
      </w:r>
      <w:r w:rsidR="00022EDC" w:rsidRPr="26E87E42">
        <w:rPr>
          <w:rFonts w:ascii="Arial" w:eastAsia="Arial" w:hAnsi="Arial" w:cs="Arial"/>
          <w:sz w:val="24"/>
          <w:szCs w:val="24"/>
        </w:rPr>
        <w:t xml:space="preserve">McRae (2016) </w:t>
      </w:r>
      <w:r w:rsidR="003344EB" w:rsidRPr="26E87E42">
        <w:rPr>
          <w:rFonts w:ascii="Arial" w:eastAsia="Arial" w:hAnsi="Arial" w:cs="Arial"/>
          <w:sz w:val="24"/>
          <w:szCs w:val="24"/>
        </w:rPr>
        <w:t xml:space="preserve">proposes the </w:t>
      </w:r>
      <w:r w:rsidR="00EE5F51" w:rsidRPr="26E87E42">
        <w:rPr>
          <w:rFonts w:ascii="Arial" w:eastAsia="Arial" w:hAnsi="Arial" w:cs="Arial"/>
          <w:sz w:val="24"/>
          <w:szCs w:val="24"/>
        </w:rPr>
        <w:t>cause of some of the issues with incident reporting as</w:t>
      </w:r>
      <w:r w:rsidR="00584AF0" w:rsidRPr="26E87E42">
        <w:rPr>
          <w:rFonts w:ascii="Arial" w:eastAsia="Arial" w:hAnsi="Arial" w:cs="Arial"/>
          <w:sz w:val="24"/>
          <w:szCs w:val="24"/>
        </w:rPr>
        <w:t xml:space="preserve"> problems in</w:t>
      </w:r>
      <w:r w:rsidR="003143E9" w:rsidRPr="26E87E42">
        <w:rPr>
          <w:rFonts w:ascii="Arial" w:eastAsia="Arial" w:hAnsi="Arial" w:cs="Arial"/>
          <w:sz w:val="24"/>
          <w:szCs w:val="24"/>
        </w:rPr>
        <w:t xml:space="preserve"> translation of this system from </w:t>
      </w:r>
      <w:r w:rsidR="00584AF0" w:rsidRPr="26E87E42">
        <w:rPr>
          <w:rFonts w:ascii="Arial" w:eastAsia="Arial" w:hAnsi="Arial" w:cs="Arial"/>
          <w:sz w:val="24"/>
          <w:szCs w:val="24"/>
        </w:rPr>
        <w:t xml:space="preserve">its original source in high-risk industries, such as aviation. </w:t>
      </w:r>
      <w:r w:rsidR="0079429A" w:rsidRPr="26E87E42">
        <w:rPr>
          <w:rFonts w:ascii="Arial" w:eastAsia="Arial" w:hAnsi="Arial" w:cs="Arial"/>
          <w:sz w:val="24"/>
          <w:szCs w:val="24"/>
        </w:rPr>
        <w:t xml:space="preserve">Regardless of </w:t>
      </w:r>
      <w:r w:rsidR="00BC1005" w:rsidRPr="26E87E42">
        <w:rPr>
          <w:rFonts w:ascii="Arial" w:eastAsia="Arial" w:hAnsi="Arial" w:cs="Arial"/>
          <w:sz w:val="24"/>
          <w:szCs w:val="24"/>
        </w:rPr>
        <w:t xml:space="preserve">the variable perceived value of </w:t>
      </w:r>
      <w:r w:rsidR="0014477F" w:rsidRPr="26E87E42">
        <w:rPr>
          <w:rFonts w:ascii="Arial" w:eastAsia="Arial" w:hAnsi="Arial" w:cs="Arial"/>
          <w:sz w:val="24"/>
          <w:szCs w:val="24"/>
        </w:rPr>
        <w:lastRenderedPageBreak/>
        <w:t xml:space="preserve">incident reports to improving safety, the </w:t>
      </w:r>
      <w:r w:rsidR="00ED75CE" w:rsidRPr="26E87E42">
        <w:rPr>
          <w:rFonts w:ascii="Arial" w:eastAsia="Arial" w:hAnsi="Arial" w:cs="Arial"/>
          <w:sz w:val="24"/>
          <w:szCs w:val="24"/>
        </w:rPr>
        <w:t>consensus is that incident reporting is required</w:t>
      </w:r>
      <w:r w:rsidR="00381142" w:rsidRPr="26E87E42">
        <w:rPr>
          <w:rFonts w:ascii="Arial" w:eastAsia="Arial" w:hAnsi="Arial" w:cs="Arial"/>
          <w:sz w:val="24"/>
          <w:szCs w:val="24"/>
        </w:rPr>
        <w:t xml:space="preserve"> in some form within healthcare.</w:t>
      </w:r>
    </w:p>
    <w:p w14:paraId="7EB52325" w14:textId="08DCDB69" w:rsidR="00B92712" w:rsidRDefault="00515FA6" w:rsidP="238CA98D">
      <w:pPr>
        <w:rPr>
          <w:rFonts w:ascii="Arial" w:eastAsia="Arial" w:hAnsi="Arial" w:cs="Arial"/>
          <w:sz w:val="24"/>
          <w:szCs w:val="24"/>
        </w:rPr>
      </w:pPr>
      <w:r w:rsidRPr="26E87E42">
        <w:rPr>
          <w:rFonts w:ascii="Arial" w:eastAsia="Arial" w:hAnsi="Arial" w:cs="Arial"/>
          <w:sz w:val="24"/>
          <w:szCs w:val="24"/>
        </w:rPr>
        <w:t xml:space="preserve">Anonymised incident data is collated </w:t>
      </w:r>
      <w:r w:rsidR="00AA5696" w:rsidRPr="26E87E42">
        <w:rPr>
          <w:rFonts w:ascii="Arial" w:eastAsia="Arial" w:hAnsi="Arial" w:cs="Arial"/>
          <w:sz w:val="24"/>
          <w:szCs w:val="24"/>
        </w:rPr>
        <w:t>nationally for England and Wales by the National Reporting and Learning System (NRLS)</w:t>
      </w:r>
      <w:r w:rsidR="00E276D1" w:rsidRPr="26E87E42">
        <w:rPr>
          <w:rFonts w:ascii="Arial" w:eastAsia="Arial" w:hAnsi="Arial" w:cs="Arial"/>
          <w:sz w:val="24"/>
          <w:szCs w:val="24"/>
        </w:rPr>
        <w:t xml:space="preserve">, although this is shortly due to change with the introduction of </w:t>
      </w:r>
      <w:r w:rsidR="002F641C" w:rsidRPr="26E87E42">
        <w:rPr>
          <w:rFonts w:ascii="Arial" w:eastAsia="Arial" w:hAnsi="Arial" w:cs="Arial"/>
          <w:sz w:val="24"/>
          <w:szCs w:val="24"/>
        </w:rPr>
        <w:t xml:space="preserve">its replacement in England, known as the Learn </w:t>
      </w:r>
      <w:bookmarkStart w:id="0" w:name="_Int_Jocsv8Zn"/>
      <w:proofErr w:type="gramStart"/>
      <w:r w:rsidR="002F641C" w:rsidRPr="26E87E42">
        <w:rPr>
          <w:rFonts w:ascii="Arial" w:eastAsia="Arial" w:hAnsi="Arial" w:cs="Arial"/>
          <w:sz w:val="24"/>
          <w:szCs w:val="24"/>
        </w:rPr>
        <w:t>From</w:t>
      </w:r>
      <w:bookmarkEnd w:id="0"/>
      <w:proofErr w:type="gramEnd"/>
      <w:r w:rsidR="002F641C" w:rsidRPr="26E87E42">
        <w:rPr>
          <w:rFonts w:ascii="Arial" w:eastAsia="Arial" w:hAnsi="Arial" w:cs="Arial"/>
          <w:sz w:val="24"/>
          <w:szCs w:val="24"/>
        </w:rPr>
        <w:t xml:space="preserve"> Patient Safety Events Service (NHS England, 2021). </w:t>
      </w:r>
      <w:r w:rsidR="00D96720" w:rsidRPr="26E87E42">
        <w:rPr>
          <w:rFonts w:ascii="Arial" w:eastAsia="Arial" w:hAnsi="Arial" w:cs="Arial"/>
          <w:sz w:val="24"/>
          <w:szCs w:val="24"/>
        </w:rPr>
        <w:t xml:space="preserve">Wales is considering its own </w:t>
      </w:r>
      <w:r w:rsidR="00812A4E" w:rsidRPr="26E87E42">
        <w:rPr>
          <w:rFonts w:ascii="Arial" w:eastAsia="Arial" w:hAnsi="Arial" w:cs="Arial"/>
          <w:sz w:val="24"/>
          <w:szCs w:val="24"/>
        </w:rPr>
        <w:t>national system.</w:t>
      </w:r>
    </w:p>
    <w:p w14:paraId="16E3EBAF" w14:textId="29069063" w:rsidR="00812A4E" w:rsidRDefault="00F11C19" w:rsidP="238CA98D">
      <w:pPr>
        <w:rPr>
          <w:rFonts w:ascii="Arial" w:eastAsia="Arial" w:hAnsi="Arial" w:cs="Arial"/>
          <w:sz w:val="24"/>
          <w:szCs w:val="24"/>
        </w:rPr>
      </w:pPr>
      <w:r w:rsidRPr="238CA98D">
        <w:rPr>
          <w:rFonts w:ascii="Arial" w:eastAsia="Arial" w:hAnsi="Arial" w:cs="Arial"/>
          <w:sz w:val="24"/>
          <w:szCs w:val="24"/>
        </w:rPr>
        <w:t xml:space="preserve">At its simplest, an incident reporting system </w:t>
      </w:r>
      <w:r w:rsidR="002C51CE" w:rsidRPr="238CA98D">
        <w:rPr>
          <w:rFonts w:ascii="Arial" w:eastAsia="Arial" w:hAnsi="Arial" w:cs="Arial"/>
          <w:sz w:val="24"/>
          <w:szCs w:val="24"/>
        </w:rPr>
        <w:t>records details about a patient safety incident and adds this to a database</w:t>
      </w:r>
      <w:r w:rsidR="00DE380E" w:rsidRPr="238CA98D">
        <w:rPr>
          <w:rFonts w:ascii="Arial" w:eastAsia="Arial" w:hAnsi="Arial" w:cs="Arial"/>
          <w:sz w:val="24"/>
          <w:szCs w:val="24"/>
        </w:rPr>
        <w:t xml:space="preserve">. Further details can be added to the entry </w:t>
      </w:r>
      <w:proofErr w:type="gramStart"/>
      <w:r w:rsidR="00DE380E" w:rsidRPr="238CA98D">
        <w:rPr>
          <w:rFonts w:ascii="Arial" w:eastAsia="Arial" w:hAnsi="Arial" w:cs="Arial"/>
          <w:sz w:val="24"/>
          <w:szCs w:val="24"/>
        </w:rPr>
        <w:t>at a later time</w:t>
      </w:r>
      <w:proofErr w:type="gramEnd"/>
      <w:r w:rsidR="00DE380E" w:rsidRPr="238CA98D">
        <w:rPr>
          <w:rFonts w:ascii="Arial" w:eastAsia="Arial" w:hAnsi="Arial" w:cs="Arial"/>
          <w:sz w:val="24"/>
          <w:szCs w:val="24"/>
        </w:rPr>
        <w:t xml:space="preserve"> to document</w:t>
      </w:r>
      <w:r w:rsidR="00BC43C3" w:rsidRPr="238CA98D">
        <w:rPr>
          <w:rFonts w:ascii="Arial" w:eastAsia="Arial" w:hAnsi="Arial" w:cs="Arial"/>
          <w:sz w:val="24"/>
          <w:szCs w:val="24"/>
        </w:rPr>
        <w:t xml:space="preserve"> the</w:t>
      </w:r>
      <w:r w:rsidR="00DE380E" w:rsidRPr="238CA98D">
        <w:rPr>
          <w:rFonts w:ascii="Arial" w:eastAsia="Arial" w:hAnsi="Arial" w:cs="Arial"/>
          <w:sz w:val="24"/>
          <w:szCs w:val="24"/>
        </w:rPr>
        <w:t xml:space="preserve"> </w:t>
      </w:r>
      <w:r w:rsidR="00BC43C3" w:rsidRPr="238CA98D">
        <w:rPr>
          <w:rFonts w:ascii="Arial" w:eastAsia="Arial" w:hAnsi="Arial" w:cs="Arial"/>
          <w:sz w:val="24"/>
          <w:szCs w:val="24"/>
        </w:rPr>
        <w:t xml:space="preserve">investigation of the incident and any actions taken in response. </w:t>
      </w:r>
    </w:p>
    <w:p w14:paraId="4F1E5765" w14:textId="645D267A" w:rsidR="00C76FB1" w:rsidRDefault="3DB9A077" w:rsidP="238CA98D">
      <w:pPr>
        <w:rPr>
          <w:rFonts w:ascii="Arial" w:eastAsia="Arial" w:hAnsi="Arial" w:cs="Arial"/>
          <w:sz w:val="24"/>
          <w:szCs w:val="24"/>
        </w:rPr>
      </w:pPr>
      <w:r w:rsidRPr="238CA98D">
        <w:rPr>
          <w:rFonts w:ascii="Arial" w:eastAsia="Arial" w:hAnsi="Arial" w:cs="Arial"/>
          <w:sz w:val="24"/>
          <w:szCs w:val="24"/>
        </w:rPr>
        <w:t>There are three major groups of users who interact with the incident reporting software: Incident reporters, incident managers, and organisational teams</w:t>
      </w:r>
      <w:r w:rsidR="69AEF49E" w:rsidRPr="238CA98D">
        <w:rPr>
          <w:rFonts w:ascii="Arial" w:eastAsia="Arial" w:hAnsi="Arial" w:cs="Arial"/>
          <w:sz w:val="24"/>
          <w:szCs w:val="24"/>
        </w:rPr>
        <w:t>. Incident reporters are primarily frontline staff who may be involved in or identify patient safety incidents.</w:t>
      </w:r>
      <w:r w:rsidR="498B8BD5" w:rsidRPr="238CA98D">
        <w:rPr>
          <w:rFonts w:ascii="Arial" w:eastAsia="Arial" w:hAnsi="Arial" w:cs="Arial"/>
          <w:sz w:val="24"/>
          <w:szCs w:val="24"/>
        </w:rPr>
        <w:t xml:space="preserve"> Incident managers are staff within an organisation who have a role in responding to and investigating patient safety incidents. </w:t>
      </w:r>
      <w:r w:rsidR="2DA192AF" w:rsidRPr="238CA98D">
        <w:rPr>
          <w:rFonts w:ascii="Arial" w:eastAsia="Arial" w:hAnsi="Arial" w:cs="Arial"/>
          <w:sz w:val="24"/>
          <w:szCs w:val="24"/>
        </w:rPr>
        <w:t>Organisational teams are those with oversight of patient safety within a section of, or across an organisation.</w:t>
      </w:r>
    </w:p>
    <w:p w14:paraId="0FED2F1D" w14:textId="1353F6C1" w:rsidR="23748E3B" w:rsidRDefault="23748E3B" w:rsidP="238CA98D">
      <w:pPr>
        <w:rPr>
          <w:rFonts w:ascii="Arial" w:eastAsia="Arial" w:hAnsi="Arial" w:cs="Arial"/>
          <w:sz w:val="24"/>
          <w:szCs w:val="24"/>
        </w:rPr>
      </w:pPr>
      <w:r w:rsidRPr="238CA98D">
        <w:rPr>
          <w:rFonts w:ascii="Arial" w:eastAsia="Arial" w:hAnsi="Arial" w:cs="Arial"/>
          <w:sz w:val="24"/>
          <w:szCs w:val="24"/>
        </w:rPr>
        <w:t>Locally, the approach to incident reporting within Cardiff and Vale University Health Board is set out in the Incident Reporting Procedure (Cardiff and Vale University Health Board, 2018). This places a requirement on all employees to report patient safety incidents using the electronic system provided.</w:t>
      </w:r>
    </w:p>
    <w:p w14:paraId="63570604" w14:textId="0DB83B66" w:rsidR="59F0AAF7" w:rsidRDefault="59F0AAF7" w:rsidP="238CA98D">
      <w:pPr>
        <w:rPr>
          <w:rFonts w:ascii="Arial" w:eastAsia="Arial" w:hAnsi="Arial" w:cs="Arial"/>
          <w:color w:val="000000" w:themeColor="text1"/>
          <w:sz w:val="24"/>
          <w:szCs w:val="24"/>
        </w:rPr>
      </w:pPr>
      <w:r w:rsidRPr="238CA98D">
        <w:rPr>
          <w:rFonts w:ascii="Arial" w:eastAsia="Arial" w:hAnsi="Arial" w:cs="Arial"/>
          <w:sz w:val="24"/>
          <w:szCs w:val="24"/>
        </w:rPr>
        <w:t xml:space="preserve">In Wales, incident reporting forms part of the Putting Things Right regulations, which is underpinned in law by </w:t>
      </w:r>
      <w:r w:rsidR="23748E3B" w:rsidRPr="238CA98D">
        <w:rPr>
          <w:rFonts w:ascii="Arial" w:eastAsia="Arial" w:hAnsi="Arial" w:cs="Arial"/>
          <w:i/>
          <w:iCs/>
          <w:color w:val="000000" w:themeColor="text1"/>
          <w:sz w:val="24"/>
          <w:szCs w:val="24"/>
        </w:rPr>
        <w:t>The National Health Service (Concerns, Complaints and Redress Arrangements) (Wales) Regulations 2011</w:t>
      </w:r>
      <w:r w:rsidR="23748E3B" w:rsidRPr="238CA98D">
        <w:rPr>
          <w:rFonts w:ascii="Arial" w:eastAsia="Arial" w:hAnsi="Arial" w:cs="Arial"/>
          <w:color w:val="000000" w:themeColor="text1"/>
          <w:sz w:val="24"/>
          <w:szCs w:val="24"/>
        </w:rPr>
        <w:t>.</w:t>
      </w:r>
    </w:p>
    <w:p w14:paraId="6A466652" w14:textId="6DD37573" w:rsidR="7CF9EDB9" w:rsidRDefault="7CF9EDB9" w:rsidP="238CA98D">
      <w:pPr>
        <w:rPr>
          <w:rFonts w:ascii="Arial" w:eastAsia="Arial" w:hAnsi="Arial" w:cs="Arial"/>
          <w:sz w:val="24"/>
          <w:szCs w:val="24"/>
        </w:rPr>
      </w:pPr>
      <w:r w:rsidRPr="238CA98D">
        <w:rPr>
          <w:rFonts w:ascii="Arial" w:eastAsia="Arial" w:hAnsi="Arial" w:cs="Arial"/>
          <w:sz w:val="24"/>
          <w:szCs w:val="24"/>
        </w:rPr>
        <w:t xml:space="preserve">Within Cardiff and Vale University Health Board, Datix Web has been </w:t>
      </w:r>
      <w:r w:rsidR="0360841E" w:rsidRPr="238CA98D">
        <w:rPr>
          <w:rFonts w:ascii="Arial" w:eastAsia="Arial" w:hAnsi="Arial" w:cs="Arial"/>
          <w:sz w:val="24"/>
          <w:szCs w:val="24"/>
        </w:rPr>
        <w:t xml:space="preserve">used since 2015. Datix Web is a widely used incident reporting and management system, developed by </w:t>
      </w:r>
      <w:proofErr w:type="spellStart"/>
      <w:r w:rsidR="0360841E" w:rsidRPr="238CA98D">
        <w:rPr>
          <w:rFonts w:ascii="Arial" w:eastAsia="Arial" w:hAnsi="Arial" w:cs="Arial"/>
          <w:sz w:val="24"/>
          <w:szCs w:val="24"/>
        </w:rPr>
        <w:t>RLDatix</w:t>
      </w:r>
      <w:proofErr w:type="spellEnd"/>
      <w:r w:rsidR="0360841E" w:rsidRPr="238CA98D">
        <w:rPr>
          <w:rFonts w:ascii="Arial" w:eastAsia="Arial" w:hAnsi="Arial" w:cs="Arial"/>
          <w:sz w:val="24"/>
          <w:szCs w:val="24"/>
        </w:rPr>
        <w:t xml:space="preserve">. Prior to 2015, an earlier version of the software, called Rich Client, was used. This software was only available to the corporate teams and incidents were transcribed into the system from paper forms completed by staff. </w:t>
      </w:r>
    </w:p>
    <w:p w14:paraId="30D7619D" w14:textId="2DB76417" w:rsidR="744F794B" w:rsidRDefault="744F794B" w:rsidP="238CA98D">
      <w:pPr>
        <w:rPr>
          <w:rFonts w:ascii="Arial" w:eastAsia="Arial" w:hAnsi="Arial" w:cs="Arial"/>
          <w:sz w:val="24"/>
          <w:szCs w:val="24"/>
        </w:rPr>
      </w:pPr>
    </w:p>
    <w:p w14:paraId="6F879627" w14:textId="77777777" w:rsidR="00A84ABA" w:rsidRDefault="00A84ABA" w:rsidP="238CA98D">
      <w:pPr>
        <w:rPr>
          <w:rFonts w:ascii="Arial" w:eastAsia="Arial" w:hAnsi="Arial" w:cs="Arial"/>
          <w:sz w:val="24"/>
          <w:szCs w:val="24"/>
        </w:rPr>
      </w:pPr>
    </w:p>
    <w:p w14:paraId="5223DCC6" w14:textId="61E45225" w:rsidR="00812A4E" w:rsidRDefault="0E9F6D48" w:rsidP="238CA98D">
      <w:pPr>
        <w:rPr>
          <w:rFonts w:ascii="Arial" w:eastAsia="Arial" w:hAnsi="Arial" w:cs="Arial"/>
          <w:b/>
          <w:bCs/>
          <w:sz w:val="28"/>
          <w:szCs w:val="28"/>
        </w:rPr>
      </w:pPr>
      <w:r w:rsidRPr="238CA98D">
        <w:rPr>
          <w:rFonts w:ascii="Arial" w:eastAsia="Arial" w:hAnsi="Arial" w:cs="Arial"/>
          <w:b/>
          <w:bCs/>
          <w:sz w:val="28"/>
          <w:szCs w:val="28"/>
        </w:rPr>
        <w:t>Methods</w:t>
      </w:r>
    </w:p>
    <w:p w14:paraId="24668393" w14:textId="4A015B89" w:rsidR="7A35113C" w:rsidRDefault="7A35113C" w:rsidP="26E87E42">
      <w:pPr>
        <w:rPr>
          <w:rFonts w:ascii="Arial" w:eastAsia="Arial" w:hAnsi="Arial" w:cs="Arial"/>
          <w:b/>
          <w:bCs/>
          <w:i/>
          <w:iCs/>
          <w:sz w:val="24"/>
          <w:szCs w:val="24"/>
        </w:rPr>
      </w:pPr>
      <w:r w:rsidRPr="26E87E42">
        <w:rPr>
          <w:rFonts w:ascii="Arial" w:eastAsia="Arial" w:hAnsi="Arial" w:cs="Arial"/>
          <w:sz w:val="24"/>
          <w:szCs w:val="24"/>
        </w:rPr>
        <w:t xml:space="preserve">Various evaluation frameworks have been developed to assess IT adoption. The </w:t>
      </w:r>
      <w:r w:rsidR="1E0ECD49" w:rsidRPr="26E87E42">
        <w:rPr>
          <w:rFonts w:ascii="Arial" w:eastAsia="Arial" w:hAnsi="Arial" w:cs="Arial"/>
          <w:sz w:val="24"/>
          <w:szCs w:val="24"/>
        </w:rPr>
        <w:t xml:space="preserve">framework proposed by </w:t>
      </w:r>
      <w:proofErr w:type="spellStart"/>
      <w:r w:rsidR="1E0ECD49" w:rsidRPr="26E87E42">
        <w:rPr>
          <w:rFonts w:ascii="Arial" w:eastAsia="Arial" w:hAnsi="Arial" w:cs="Arial"/>
          <w:sz w:val="24"/>
          <w:szCs w:val="24"/>
        </w:rPr>
        <w:t>Ammenwerth</w:t>
      </w:r>
      <w:proofErr w:type="spellEnd"/>
      <w:r w:rsidR="1E0ECD49" w:rsidRPr="26E87E42">
        <w:rPr>
          <w:rFonts w:ascii="Arial" w:eastAsia="Arial" w:hAnsi="Arial" w:cs="Arial"/>
          <w:sz w:val="24"/>
          <w:szCs w:val="24"/>
        </w:rPr>
        <w:t xml:space="preserve">, </w:t>
      </w:r>
      <w:proofErr w:type="spellStart"/>
      <w:r w:rsidR="1E0ECD49" w:rsidRPr="26E87E42">
        <w:rPr>
          <w:rFonts w:ascii="Arial" w:eastAsia="Arial" w:hAnsi="Arial" w:cs="Arial"/>
          <w:sz w:val="24"/>
          <w:szCs w:val="24"/>
        </w:rPr>
        <w:t>Iller</w:t>
      </w:r>
      <w:proofErr w:type="spellEnd"/>
      <w:r w:rsidR="1E0ECD49" w:rsidRPr="26E87E42">
        <w:rPr>
          <w:rFonts w:ascii="Arial" w:eastAsia="Arial" w:hAnsi="Arial" w:cs="Arial"/>
          <w:sz w:val="24"/>
          <w:szCs w:val="24"/>
        </w:rPr>
        <w:t xml:space="preserve"> and Mahler (2006) consider the fit between individuals, tasks, and technology (FITT).</w:t>
      </w:r>
      <w:r w:rsidR="3A27877B" w:rsidRPr="26E87E42">
        <w:rPr>
          <w:rFonts w:ascii="Arial" w:eastAsia="Arial" w:hAnsi="Arial" w:cs="Arial"/>
          <w:sz w:val="24"/>
          <w:szCs w:val="24"/>
        </w:rPr>
        <w:t xml:space="preserve"> The FITT framework was designed with healthcare IT implementations in mind, as demonstrated by the authors’ choice of </w:t>
      </w:r>
      <w:r w:rsidR="1979FA14" w:rsidRPr="26E87E42">
        <w:rPr>
          <w:rFonts w:ascii="Arial" w:eastAsia="Arial" w:hAnsi="Arial" w:cs="Arial"/>
          <w:sz w:val="24"/>
          <w:szCs w:val="24"/>
        </w:rPr>
        <w:t xml:space="preserve">case study in the journal article. </w:t>
      </w:r>
      <w:r w:rsidR="23748E3B" w:rsidRPr="26E87E42">
        <w:rPr>
          <w:rFonts w:ascii="Arial" w:eastAsia="Arial" w:hAnsi="Arial" w:cs="Arial"/>
          <w:sz w:val="24"/>
          <w:szCs w:val="24"/>
        </w:rPr>
        <w:t>The FITT framework aims to assess the quality of fit between the three aspects of IT adoption. The authors describe the quality of fit as being dependent on the attributes of the task, individual and technology.</w:t>
      </w:r>
      <w:r>
        <w:br/>
      </w:r>
      <w:r>
        <w:lastRenderedPageBreak/>
        <w:br/>
      </w:r>
      <w:r w:rsidR="238CA98D" w:rsidRPr="26E87E42">
        <w:rPr>
          <w:rFonts w:ascii="Arial" w:eastAsia="Arial" w:hAnsi="Arial" w:cs="Arial"/>
          <w:b/>
          <w:bCs/>
          <w:i/>
          <w:iCs/>
          <w:sz w:val="24"/>
          <w:szCs w:val="24"/>
        </w:rPr>
        <w:t>Task</w:t>
      </w:r>
    </w:p>
    <w:p w14:paraId="1FD379B6" w14:textId="787E374E" w:rsidR="23748E3B" w:rsidRDefault="23748E3B" w:rsidP="238CA98D">
      <w:pPr>
        <w:rPr>
          <w:rFonts w:ascii="Arial" w:eastAsia="Arial" w:hAnsi="Arial" w:cs="Arial"/>
          <w:sz w:val="24"/>
          <w:szCs w:val="24"/>
        </w:rPr>
      </w:pPr>
      <w:r w:rsidRPr="238CA98D">
        <w:rPr>
          <w:rFonts w:ascii="Arial" w:eastAsia="Arial" w:hAnsi="Arial" w:cs="Arial"/>
          <w:sz w:val="24"/>
          <w:szCs w:val="24"/>
        </w:rPr>
        <w:t>Capturing patient safety incidents is the primary function of an incident reporting system and can be considered the major ‘task’ that is achieved by individuals using the technology. Depending on the role of the individual, that task may be further expanded into recording the outcome of any investigation into, or review of the incident, and any actions taken to mitigate future risks. The task is relatively straightforward, with the required information mainly factual and available to the reporter either directly, or from other sources such as a patient’s notes or from electronic clinical systems.</w:t>
      </w:r>
    </w:p>
    <w:p w14:paraId="1BE0E87E" w14:textId="1A9C9480" w:rsidR="238CA98D" w:rsidRDefault="238CA98D" w:rsidP="238CA98D">
      <w:pPr>
        <w:rPr>
          <w:rFonts w:ascii="Arial" w:eastAsia="Arial" w:hAnsi="Arial" w:cs="Arial"/>
          <w:sz w:val="24"/>
          <w:szCs w:val="24"/>
        </w:rPr>
      </w:pPr>
      <w:r w:rsidRPr="238CA98D">
        <w:rPr>
          <w:rFonts w:ascii="Arial" w:eastAsia="Arial" w:hAnsi="Arial" w:cs="Arial"/>
          <w:sz w:val="24"/>
          <w:szCs w:val="24"/>
        </w:rPr>
        <w:t>The minimum mandated dataset required by the NRLS broadly contains:</w:t>
      </w:r>
      <w:r>
        <w:br/>
      </w:r>
      <w:r w:rsidRPr="238CA98D">
        <w:rPr>
          <w:rFonts w:ascii="Arial" w:eastAsia="Arial" w:hAnsi="Arial" w:cs="Arial"/>
          <w:sz w:val="24"/>
          <w:szCs w:val="24"/>
        </w:rPr>
        <w:t>- An automatically generated incident identifier</w:t>
      </w:r>
      <w:r>
        <w:br/>
      </w:r>
      <w:r w:rsidRPr="238CA98D">
        <w:rPr>
          <w:rFonts w:ascii="Arial" w:eastAsia="Arial" w:hAnsi="Arial" w:cs="Arial"/>
          <w:sz w:val="24"/>
          <w:szCs w:val="24"/>
        </w:rPr>
        <w:t>- The care setting where the incident occurred</w:t>
      </w:r>
      <w:r>
        <w:br/>
      </w:r>
      <w:r w:rsidRPr="238CA98D">
        <w:rPr>
          <w:rFonts w:ascii="Arial" w:eastAsia="Arial" w:hAnsi="Arial" w:cs="Arial"/>
          <w:sz w:val="24"/>
          <w:szCs w:val="24"/>
        </w:rPr>
        <w:t>- NHS organisation code</w:t>
      </w:r>
      <w:r>
        <w:br/>
      </w:r>
      <w:r w:rsidRPr="238CA98D">
        <w:rPr>
          <w:rFonts w:ascii="Arial" w:eastAsia="Arial" w:hAnsi="Arial" w:cs="Arial"/>
          <w:sz w:val="24"/>
          <w:szCs w:val="24"/>
        </w:rPr>
        <w:t>- Incident location</w:t>
      </w:r>
      <w:r>
        <w:br/>
      </w:r>
      <w:r w:rsidRPr="238CA98D">
        <w:rPr>
          <w:rFonts w:ascii="Arial" w:eastAsia="Arial" w:hAnsi="Arial" w:cs="Arial"/>
          <w:sz w:val="24"/>
          <w:szCs w:val="24"/>
        </w:rPr>
        <w:t>- Incident categorisation</w:t>
      </w:r>
      <w:r>
        <w:br/>
      </w:r>
      <w:r w:rsidRPr="238CA98D">
        <w:rPr>
          <w:rFonts w:ascii="Arial" w:eastAsia="Arial" w:hAnsi="Arial" w:cs="Arial"/>
          <w:sz w:val="24"/>
          <w:szCs w:val="24"/>
        </w:rPr>
        <w:t>- Incident description</w:t>
      </w:r>
      <w:r>
        <w:br/>
      </w:r>
      <w:r w:rsidRPr="238CA98D">
        <w:rPr>
          <w:rFonts w:ascii="Arial" w:eastAsia="Arial" w:hAnsi="Arial" w:cs="Arial"/>
          <w:sz w:val="24"/>
          <w:szCs w:val="24"/>
        </w:rPr>
        <w:t>- Clinical specialty caring for the patient affected</w:t>
      </w:r>
      <w:r>
        <w:br/>
      </w:r>
      <w:r w:rsidRPr="238CA98D">
        <w:rPr>
          <w:rFonts w:ascii="Arial" w:eastAsia="Arial" w:hAnsi="Arial" w:cs="Arial"/>
          <w:sz w:val="24"/>
          <w:szCs w:val="24"/>
        </w:rPr>
        <w:t>- Level of harm</w:t>
      </w:r>
      <w:r>
        <w:br/>
      </w:r>
      <w:r w:rsidRPr="238CA98D">
        <w:rPr>
          <w:rFonts w:ascii="Arial" w:eastAsia="Arial" w:hAnsi="Arial" w:cs="Arial"/>
          <w:sz w:val="24"/>
          <w:szCs w:val="24"/>
        </w:rPr>
        <w:t>- Details of involved medication or medical device where applicable</w:t>
      </w:r>
      <w:r>
        <w:br/>
      </w:r>
      <w:r w:rsidRPr="238CA98D">
        <w:rPr>
          <w:rFonts w:ascii="Arial" w:eastAsia="Arial" w:hAnsi="Arial" w:cs="Arial"/>
          <w:sz w:val="24"/>
          <w:szCs w:val="24"/>
        </w:rPr>
        <w:t>(</w:t>
      </w:r>
      <w:proofErr w:type="spellStart"/>
      <w:r w:rsidRPr="238CA98D">
        <w:rPr>
          <w:rFonts w:ascii="Arial" w:eastAsia="Arial" w:hAnsi="Arial" w:cs="Arial"/>
          <w:sz w:val="24"/>
          <w:szCs w:val="24"/>
        </w:rPr>
        <w:t>Mainey</w:t>
      </w:r>
      <w:proofErr w:type="spellEnd"/>
      <w:r w:rsidRPr="238CA98D">
        <w:rPr>
          <w:rFonts w:ascii="Arial" w:eastAsia="Arial" w:hAnsi="Arial" w:cs="Arial"/>
          <w:sz w:val="24"/>
          <w:szCs w:val="24"/>
        </w:rPr>
        <w:t>, 2019).</w:t>
      </w:r>
    </w:p>
    <w:p w14:paraId="142FC805" w14:textId="6F34F56D" w:rsidR="23748E3B" w:rsidRDefault="23748E3B" w:rsidP="238CA98D">
      <w:pPr>
        <w:rPr>
          <w:rFonts w:ascii="Arial" w:eastAsia="Arial" w:hAnsi="Arial" w:cs="Arial"/>
          <w:sz w:val="24"/>
          <w:szCs w:val="24"/>
        </w:rPr>
      </w:pPr>
      <w:r w:rsidRPr="238CA98D">
        <w:rPr>
          <w:rFonts w:ascii="Arial" w:eastAsia="Arial" w:hAnsi="Arial" w:cs="Arial"/>
          <w:sz w:val="24"/>
          <w:szCs w:val="24"/>
        </w:rPr>
        <w:t>While the NRLS dataset can be considered a required minimum, the Datix Web software is configurable to local requirements and additions made to the dataset. This is demonstrated in publicly available training materials from various NHS organisations (Warwickshire North Clinical Commissioning Group, 2020; Black Country Partnership NHS Foundation Trust, 2019).</w:t>
      </w:r>
    </w:p>
    <w:p w14:paraId="44C857A9" w14:textId="790A7C46" w:rsidR="23748E3B" w:rsidRDefault="23748E3B" w:rsidP="26E87E42">
      <w:pPr>
        <w:rPr>
          <w:rFonts w:ascii="Arial" w:eastAsia="Arial" w:hAnsi="Arial" w:cs="Arial"/>
          <w:i/>
          <w:iCs/>
          <w:sz w:val="24"/>
          <w:szCs w:val="24"/>
        </w:rPr>
      </w:pPr>
      <w:r w:rsidRPr="26E87E42">
        <w:rPr>
          <w:rFonts w:ascii="Arial" w:eastAsia="Arial" w:hAnsi="Arial" w:cs="Arial"/>
          <w:sz w:val="24"/>
          <w:szCs w:val="24"/>
        </w:rPr>
        <w:t xml:space="preserve">Incident reports capture some, but not all areas of patient safety information. Considering the concepts identified within the framework developed by the World Health Organization, incident reports contain as a minimum information on </w:t>
      </w:r>
      <w:r w:rsidRPr="26E87E42">
        <w:rPr>
          <w:rFonts w:ascii="Arial" w:eastAsia="Arial" w:hAnsi="Arial" w:cs="Arial"/>
          <w:i/>
          <w:iCs/>
          <w:sz w:val="24"/>
          <w:szCs w:val="24"/>
        </w:rPr>
        <w:t xml:space="preserve">patient characteristics, incident characteristics </w:t>
      </w:r>
      <w:r w:rsidRPr="26E87E42">
        <w:rPr>
          <w:rFonts w:ascii="Arial" w:eastAsia="Arial" w:hAnsi="Arial" w:cs="Arial"/>
          <w:sz w:val="24"/>
          <w:szCs w:val="24"/>
        </w:rPr>
        <w:t xml:space="preserve">and </w:t>
      </w:r>
      <w:r w:rsidRPr="26E87E42">
        <w:rPr>
          <w:rFonts w:ascii="Arial" w:eastAsia="Arial" w:hAnsi="Arial" w:cs="Arial"/>
          <w:i/>
          <w:iCs/>
          <w:sz w:val="24"/>
          <w:szCs w:val="24"/>
        </w:rPr>
        <w:t xml:space="preserve">incident type </w:t>
      </w:r>
      <w:r w:rsidRPr="26E87E42">
        <w:rPr>
          <w:rFonts w:ascii="Arial" w:eastAsia="Arial" w:hAnsi="Arial" w:cs="Arial"/>
          <w:sz w:val="24"/>
          <w:szCs w:val="24"/>
        </w:rPr>
        <w:t xml:space="preserve">(Sherman </w:t>
      </w:r>
      <w:r w:rsidRPr="26E87E42">
        <w:rPr>
          <w:rFonts w:ascii="Arial" w:eastAsia="Arial" w:hAnsi="Arial" w:cs="Arial"/>
          <w:i/>
          <w:iCs/>
          <w:sz w:val="24"/>
          <w:szCs w:val="24"/>
        </w:rPr>
        <w:t>et al</w:t>
      </w:r>
      <w:r w:rsidRPr="26E87E42">
        <w:rPr>
          <w:rFonts w:ascii="Arial" w:eastAsia="Arial" w:hAnsi="Arial" w:cs="Arial"/>
          <w:sz w:val="24"/>
          <w:szCs w:val="24"/>
        </w:rPr>
        <w:t xml:space="preserve">. 2009). The value of incidents reports </w:t>
      </w:r>
      <w:bookmarkStart w:id="1" w:name="_Int_WbI0lRuE"/>
      <w:proofErr w:type="gramStart"/>
      <w:r w:rsidRPr="26E87E42">
        <w:rPr>
          <w:rFonts w:ascii="Arial" w:eastAsia="Arial" w:hAnsi="Arial" w:cs="Arial"/>
          <w:sz w:val="24"/>
          <w:szCs w:val="24"/>
        </w:rPr>
        <w:t>are</w:t>
      </w:r>
      <w:bookmarkEnd w:id="1"/>
      <w:proofErr w:type="gramEnd"/>
      <w:r w:rsidRPr="26E87E42">
        <w:rPr>
          <w:rFonts w:ascii="Arial" w:eastAsia="Arial" w:hAnsi="Arial" w:cs="Arial"/>
          <w:sz w:val="24"/>
          <w:szCs w:val="24"/>
        </w:rPr>
        <w:t xml:space="preserve"> improved when </w:t>
      </w:r>
      <w:r w:rsidRPr="26E87E42">
        <w:rPr>
          <w:rFonts w:ascii="Arial" w:eastAsia="Arial" w:hAnsi="Arial" w:cs="Arial"/>
          <w:i/>
          <w:iCs/>
          <w:sz w:val="24"/>
          <w:szCs w:val="24"/>
        </w:rPr>
        <w:t>contributing factors</w:t>
      </w:r>
      <w:r w:rsidRPr="26E87E42">
        <w:rPr>
          <w:rFonts w:ascii="Arial" w:eastAsia="Arial" w:hAnsi="Arial" w:cs="Arial"/>
          <w:sz w:val="24"/>
          <w:szCs w:val="24"/>
        </w:rPr>
        <w:t xml:space="preserve"> are also included, although these may not be known at the time of the incident and often require further investigation. For example, an incident may be reported where an incorrect medication is administered to a patient. It might not be until an investigation is completed that it is known that the error was caused by both medications having a very similar packaging and being stored together.</w:t>
      </w:r>
    </w:p>
    <w:p w14:paraId="0AC42048" w14:textId="0CAF146A"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A broad assessment of the task of incident reporting can be gained by considering incident reporting rates within an organisation or department. These rates however cannot be considered solely a measure of the task, as this is influenced by other factors, both individual and technological. For example, if individuals do not see the value in reporting patient safety incidents, or if the system is complicated or unreliable, this is likely to negatively affect the overall incident reporting rate. </w:t>
      </w:r>
    </w:p>
    <w:p w14:paraId="3310D6C2" w14:textId="4186EF68" w:rsidR="23748E3B" w:rsidRDefault="23748E3B" w:rsidP="238CA98D">
      <w:pPr>
        <w:rPr>
          <w:rFonts w:ascii="Arial" w:eastAsia="Arial" w:hAnsi="Arial" w:cs="Arial"/>
          <w:sz w:val="24"/>
          <w:szCs w:val="24"/>
        </w:rPr>
      </w:pPr>
      <w:r w:rsidRPr="238CA98D">
        <w:rPr>
          <w:rFonts w:ascii="Arial" w:eastAsia="Arial" w:hAnsi="Arial" w:cs="Arial"/>
          <w:sz w:val="24"/>
          <w:szCs w:val="24"/>
        </w:rPr>
        <w:lastRenderedPageBreak/>
        <w:t>As with other healthcare statistics, caution must be taken when making comparisons between healthcare organisation, or even different departments within a hospital. Different patient groups have differing likelihoods of experiencing a patient safety incident while receiving healthcare. The types of incidents also vary between different patient groups and clinical specialities. For example, medication errors occur more frequently in paediatrics as the doses of medications often vary depending on a child’s age and/or weight, whereas in adult patients the dose is standard. This difference creates a latent cause of error within paediatrics. Variation in medication error rates between hospitals may be influenced by the number of paediatric patients cared for in each setting.</w:t>
      </w:r>
    </w:p>
    <w:p w14:paraId="28B57CB2" w14:textId="32AA4620"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Data from the National Reporting and Learning Service provides a breakdown of incident reporting rates per 10,000 population (Welsh Government, 2021). </w:t>
      </w:r>
      <w:proofErr w:type="gramStart"/>
      <w:r w:rsidRPr="238CA98D">
        <w:rPr>
          <w:rFonts w:ascii="Arial" w:eastAsia="Arial" w:hAnsi="Arial" w:cs="Arial"/>
          <w:sz w:val="24"/>
          <w:szCs w:val="24"/>
        </w:rPr>
        <w:t>Taking into account</w:t>
      </w:r>
      <w:proofErr w:type="gramEnd"/>
      <w:r w:rsidRPr="238CA98D">
        <w:rPr>
          <w:rFonts w:ascii="Arial" w:eastAsia="Arial" w:hAnsi="Arial" w:cs="Arial"/>
          <w:sz w:val="24"/>
          <w:szCs w:val="24"/>
        </w:rPr>
        <w:t xml:space="preserve"> the caveats on variation in patient populations and on the technological and organisational influences, reporting rates can be considered a broadly suitable assessment of how frequently the task of incident reporting is completed.</w:t>
      </w:r>
      <w:r>
        <w:br/>
      </w:r>
      <w:r>
        <w:br/>
      </w:r>
      <w:r w:rsidR="238CA98D" w:rsidRPr="238CA98D">
        <w:rPr>
          <w:rFonts w:ascii="Arial" w:eastAsia="Arial" w:hAnsi="Arial" w:cs="Arial"/>
          <w:b/>
          <w:bCs/>
          <w:i/>
          <w:iCs/>
          <w:sz w:val="24"/>
          <w:szCs w:val="24"/>
        </w:rPr>
        <w:t>Individual</w:t>
      </w:r>
    </w:p>
    <w:p w14:paraId="6BD30842" w14:textId="5894A12C" w:rsidR="23748E3B" w:rsidRDefault="23748E3B" w:rsidP="238CA98D">
      <w:pPr>
        <w:rPr>
          <w:rFonts w:ascii="Arial" w:eastAsia="Arial" w:hAnsi="Arial" w:cs="Arial"/>
          <w:sz w:val="24"/>
          <w:szCs w:val="24"/>
        </w:rPr>
      </w:pPr>
      <w:proofErr w:type="gramStart"/>
      <w:r w:rsidRPr="238CA98D">
        <w:rPr>
          <w:rFonts w:ascii="Arial" w:eastAsia="Arial" w:hAnsi="Arial" w:cs="Arial"/>
          <w:sz w:val="24"/>
          <w:szCs w:val="24"/>
        </w:rPr>
        <w:t>The majority of</w:t>
      </w:r>
      <w:proofErr w:type="gramEnd"/>
      <w:r w:rsidRPr="238CA98D">
        <w:rPr>
          <w:rFonts w:ascii="Arial" w:eastAsia="Arial" w:hAnsi="Arial" w:cs="Arial"/>
          <w:sz w:val="24"/>
          <w:szCs w:val="24"/>
        </w:rPr>
        <w:t xml:space="preserve"> incident reporting within the NHS relies on individual staff to identify and record patient safety incidents. It is known that this voluntary system significantly underreports incidents when compared to incidents identified on retrospective review of patient notes (</w:t>
      </w:r>
      <w:proofErr w:type="spellStart"/>
      <w:r w:rsidRPr="238CA98D">
        <w:rPr>
          <w:rFonts w:ascii="Arial" w:eastAsia="Arial" w:hAnsi="Arial" w:cs="Arial"/>
          <w:sz w:val="24"/>
          <w:szCs w:val="24"/>
        </w:rPr>
        <w:t>Christiaans-Dingelhoff</w:t>
      </w:r>
      <w:proofErr w:type="spellEnd"/>
      <w:r w:rsidRPr="238CA98D">
        <w:rPr>
          <w:rFonts w:ascii="Arial" w:eastAsia="Arial" w:hAnsi="Arial" w:cs="Arial"/>
          <w:sz w:val="24"/>
          <w:szCs w:val="24"/>
        </w:rPr>
        <w:t xml:space="preserve"> et al., 2011). </w:t>
      </w:r>
    </w:p>
    <w:p w14:paraId="5A6B5F1C" w14:textId="3184646F"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Influences on incident reporting are complex and multifactorial, including large concepts such as an organisation’s safety culture and varying attitudes towards incident reporting by different staff groups. In a study undertaken early in the development of incident reporting within healthcare, Kingston </w:t>
      </w:r>
      <w:r w:rsidRPr="238CA98D">
        <w:rPr>
          <w:rFonts w:ascii="Arial" w:eastAsia="Arial" w:hAnsi="Arial" w:cs="Arial"/>
          <w:i/>
          <w:iCs/>
          <w:sz w:val="24"/>
          <w:szCs w:val="24"/>
        </w:rPr>
        <w:t>et al.</w:t>
      </w:r>
      <w:r w:rsidRPr="238CA98D">
        <w:rPr>
          <w:rFonts w:ascii="Arial" w:eastAsia="Arial" w:hAnsi="Arial" w:cs="Arial"/>
          <w:sz w:val="24"/>
          <w:szCs w:val="24"/>
        </w:rPr>
        <w:t xml:space="preserve"> (2004) found that only 2% of incidents reported to the Australian national system were submitted by medical staff, compared to 88% by nursing staff. An organisation’s culture affects incident reporting, with a fear of punishment for errors highlighted as a dissuading factor for staff reporting an incident (</w:t>
      </w:r>
      <w:proofErr w:type="spellStart"/>
      <w:r w:rsidRPr="238CA98D">
        <w:rPr>
          <w:rFonts w:ascii="Arial" w:eastAsia="Arial" w:hAnsi="Arial" w:cs="Arial"/>
          <w:sz w:val="24"/>
          <w:szCs w:val="24"/>
        </w:rPr>
        <w:t>Wiele</w:t>
      </w:r>
      <w:proofErr w:type="spellEnd"/>
      <w:r w:rsidRPr="238CA98D">
        <w:rPr>
          <w:rFonts w:ascii="Arial" w:eastAsia="Arial" w:hAnsi="Arial" w:cs="Arial"/>
          <w:sz w:val="24"/>
          <w:szCs w:val="24"/>
        </w:rPr>
        <w:t xml:space="preserve"> and </w:t>
      </w:r>
      <w:proofErr w:type="spellStart"/>
      <w:r w:rsidRPr="238CA98D">
        <w:rPr>
          <w:rFonts w:ascii="Arial" w:eastAsia="Arial" w:hAnsi="Arial" w:cs="Arial"/>
          <w:sz w:val="24"/>
          <w:szCs w:val="24"/>
        </w:rPr>
        <w:t>Rantanen</w:t>
      </w:r>
      <w:proofErr w:type="spellEnd"/>
      <w:r w:rsidRPr="238CA98D">
        <w:rPr>
          <w:rFonts w:ascii="Arial" w:eastAsia="Arial" w:hAnsi="Arial" w:cs="Arial"/>
          <w:sz w:val="24"/>
          <w:szCs w:val="24"/>
        </w:rPr>
        <w:t xml:space="preserve">, 2015). While many other IT evaluation frameworks consider organisational factors as a discrete section, the FITT framework includes these as part of the ‘individual’ as staff member’s actions are shaped by organisational values and structures. </w:t>
      </w:r>
    </w:p>
    <w:p w14:paraId="11D54FB1" w14:textId="307D2E60" w:rsidR="23748E3B" w:rsidRDefault="23748E3B" w:rsidP="238CA98D">
      <w:pPr>
        <w:rPr>
          <w:rFonts w:ascii="Arial" w:eastAsia="Arial" w:hAnsi="Arial" w:cs="Arial"/>
          <w:sz w:val="24"/>
          <w:szCs w:val="24"/>
          <w:highlight w:val="cyan"/>
        </w:rPr>
      </w:pPr>
      <w:r w:rsidRPr="238CA98D">
        <w:rPr>
          <w:rFonts w:ascii="Arial" w:eastAsia="Arial" w:hAnsi="Arial" w:cs="Arial"/>
          <w:sz w:val="24"/>
          <w:szCs w:val="24"/>
        </w:rPr>
        <w:t xml:space="preserve">As set out in the Health Board’s policy, incident reporting is a task that may be required of any employee. Within healthcare staff, as with the wider population there are varying levels of IT literacy. Not all staff within the organisation have a computer or email account, which can be a barrier to reporting. </w:t>
      </w:r>
    </w:p>
    <w:p w14:paraId="4F08D0C8" w14:textId="77777777" w:rsidR="00A84ABA" w:rsidRDefault="23748E3B" w:rsidP="238CA98D">
      <w:r w:rsidRPr="238CA98D">
        <w:rPr>
          <w:rFonts w:ascii="Arial" w:eastAsia="Arial" w:hAnsi="Arial" w:cs="Arial"/>
          <w:sz w:val="24"/>
          <w:szCs w:val="24"/>
        </w:rPr>
        <w:t>An overview of an organisation’s approach to patient safety can be gained through a safety culture survey. A recent survey of staff within Cardiff and Vale UHB was used to understand the safety culture within the organisation and attitudes towards incident reporting (Cardiff and Vale University Health Board, 2021a).</w:t>
      </w:r>
      <w:r>
        <w:br/>
      </w:r>
    </w:p>
    <w:p w14:paraId="16917A13" w14:textId="77777777" w:rsidR="00A84ABA" w:rsidRDefault="00A84ABA" w:rsidP="238CA98D"/>
    <w:p w14:paraId="6A448408" w14:textId="203E7169" w:rsidR="23748E3B" w:rsidRDefault="23748E3B" w:rsidP="238CA98D">
      <w:pPr>
        <w:rPr>
          <w:rFonts w:ascii="Arial" w:eastAsia="Arial" w:hAnsi="Arial" w:cs="Arial"/>
          <w:b/>
          <w:bCs/>
          <w:i/>
          <w:iCs/>
          <w:sz w:val="24"/>
          <w:szCs w:val="24"/>
        </w:rPr>
      </w:pPr>
      <w:r>
        <w:lastRenderedPageBreak/>
        <w:br/>
      </w:r>
      <w:r w:rsidR="238CA98D" w:rsidRPr="238CA98D">
        <w:rPr>
          <w:rFonts w:ascii="Arial" w:eastAsia="Arial" w:hAnsi="Arial" w:cs="Arial"/>
          <w:b/>
          <w:bCs/>
          <w:i/>
          <w:iCs/>
          <w:sz w:val="24"/>
          <w:szCs w:val="24"/>
        </w:rPr>
        <w:t>Technology</w:t>
      </w:r>
    </w:p>
    <w:p w14:paraId="70467584" w14:textId="00D03418"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The design of electronic incident reporting systems is cited as a factor in staff members’ willingness to report patient safety incidents. In a study by </w:t>
      </w:r>
      <w:proofErr w:type="spellStart"/>
      <w:r w:rsidRPr="238CA98D">
        <w:rPr>
          <w:rFonts w:ascii="Arial" w:eastAsia="Arial" w:hAnsi="Arial" w:cs="Arial"/>
          <w:sz w:val="24"/>
          <w:szCs w:val="24"/>
        </w:rPr>
        <w:t>Birkeli</w:t>
      </w:r>
      <w:proofErr w:type="spellEnd"/>
      <w:r w:rsidRPr="238CA98D">
        <w:rPr>
          <w:rFonts w:ascii="Arial" w:eastAsia="Arial" w:hAnsi="Arial" w:cs="Arial"/>
          <w:sz w:val="24"/>
          <w:szCs w:val="24"/>
        </w:rPr>
        <w:t xml:space="preserve">, Jacobsen and </w:t>
      </w:r>
      <w:proofErr w:type="spellStart"/>
      <w:r w:rsidRPr="238CA98D">
        <w:rPr>
          <w:rFonts w:ascii="Arial" w:eastAsia="Arial" w:hAnsi="Arial" w:cs="Arial"/>
          <w:sz w:val="24"/>
          <w:szCs w:val="24"/>
        </w:rPr>
        <w:t>Ballangrud</w:t>
      </w:r>
      <w:proofErr w:type="spellEnd"/>
      <w:r w:rsidRPr="238CA98D">
        <w:rPr>
          <w:rFonts w:ascii="Arial" w:eastAsia="Arial" w:hAnsi="Arial" w:cs="Arial"/>
          <w:sz w:val="24"/>
          <w:szCs w:val="24"/>
        </w:rPr>
        <w:t xml:space="preserve"> (2021), staff members highlighted unnecessary input of the same information more than once. This was noted to be a particular problem when incidents occurred during busy shifts, limiting the available time to report.</w:t>
      </w:r>
    </w:p>
    <w:p w14:paraId="67E4B645" w14:textId="0083CB26" w:rsidR="23748E3B" w:rsidRDefault="23748E3B" w:rsidP="238CA98D">
      <w:pPr>
        <w:rPr>
          <w:rFonts w:ascii="Arial" w:eastAsia="Arial" w:hAnsi="Arial" w:cs="Arial"/>
          <w:sz w:val="24"/>
          <w:szCs w:val="24"/>
        </w:rPr>
      </w:pPr>
      <w:r w:rsidRPr="26E87E42">
        <w:rPr>
          <w:rFonts w:ascii="Arial" w:eastAsia="Arial" w:hAnsi="Arial" w:cs="Arial"/>
          <w:sz w:val="24"/>
          <w:szCs w:val="24"/>
        </w:rPr>
        <w:t>The Datix software is locally hosted, and access is only available from within the Health Board’s network. This limits the devices which can be used to report patient safety incidents to those owned and managed by the Health Board. This presents challenges as in a busy ward environment, there may not be a computer available as these are often shared between multiple staff and are used for many clinical and non-clinical tasks. The Health Board also provides community-based services, which presents access problems to staff who are visiting patients at home and rely on portable devices. Network access can be difficult, especially in the Western Vale locality where mobile voice and data services are limited.</w:t>
      </w:r>
    </w:p>
    <w:p w14:paraId="40B8A7BD" w14:textId="445B3A0B"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As with many healthcare IT systems, confidential and sensitive patient information is held within the Datix software, so appropriate safeguards are required to prevent unauthorised access and breaches of data protection. </w:t>
      </w:r>
    </w:p>
    <w:p w14:paraId="4CD4D2E4" w14:textId="7CD89E40" w:rsidR="4BD169D3" w:rsidRDefault="23748E3B" w:rsidP="238CA98D">
      <w:pPr>
        <w:rPr>
          <w:rFonts w:ascii="Arial" w:eastAsia="Arial" w:hAnsi="Arial" w:cs="Arial"/>
          <w:sz w:val="24"/>
          <w:szCs w:val="24"/>
        </w:rPr>
      </w:pPr>
      <w:r w:rsidRPr="26E87E42">
        <w:rPr>
          <w:rFonts w:ascii="Arial" w:eastAsia="Arial" w:hAnsi="Arial" w:cs="Arial"/>
          <w:sz w:val="24"/>
          <w:szCs w:val="24"/>
        </w:rPr>
        <w:t xml:space="preserve">Usability is a crucial factor in the success or failure of an IT system implementation. </w:t>
      </w:r>
      <w:r w:rsidR="4BD169D3" w:rsidRPr="26E87E42">
        <w:rPr>
          <w:rFonts w:ascii="Arial" w:eastAsia="Arial" w:hAnsi="Arial" w:cs="Arial"/>
          <w:sz w:val="24"/>
          <w:szCs w:val="24"/>
        </w:rPr>
        <w:t xml:space="preserve">The System Usability Scale (SUS) is one of the most frequently applied </w:t>
      </w:r>
      <w:r w:rsidR="39A60AEB" w:rsidRPr="26E87E42">
        <w:rPr>
          <w:rFonts w:ascii="Arial" w:eastAsia="Arial" w:hAnsi="Arial" w:cs="Arial"/>
          <w:sz w:val="24"/>
          <w:szCs w:val="24"/>
        </w:rPr>
        <w:t xml:space="preserve">methods for establishing the usability of software (Lewis, 2018). </w:t>
      </w:r>
      <w:r w:rsidR="4F81CA9A" w:rsidRPr="26E87E42">
        <w:rPr>
          <w:rFonts w:ascii="Arial" w:eastAsia="Arial" w:hAnsi="Arial" w:cs="Arial"/>
          <w:sz w:val="24"/>
          <w:szCs w:val="24"/>
        </w:rPr>
        <w:t xml:space="preserve">SUS was first set out in Brooke (1996) and has been </w:t>
      </w:r>
      <w:r w:rsidR="228B428D" w:rsidRPr="26E87E42">
        <w:rPr>
          <w:rFonts w:ascii="Arial" w:eastAsia="Arial" w:hAnsi="Arial" w:cs="Arial"/>
          <w:sz w:val="24"/>
          <w:szCs w:val="24"/>
        </w:rPr>
        <w:t xml:space="preserve">adapted and translated </w:t>
      </w:r>
      <w:r w:rsidR="4E3FE9BB" w:rsidRPr="26E87E42">
        <w:rPr>
          <w:rFonts w:ascii="Arial" w:eastAsia="Arial" w:hAnsi="Arial" w:cs="Arial"/>
          <w:sz w:val="24"/>
          <w:szCs w:val="24"/>
        </w:rPr>
        <w:t xml:space="preserve">widely since </w:t>
      </w:r>
      <w:r w:rsidR="5875B410" w:rsidRPr="26E87E42">
        <w:rPr>
          <w:rFonts w:ascii="Arial" w:eastAsia="Arial" w:hAnsi="Arial" w:cs="Arial"/>
          <w:sz w:val="24"/>
          <w:szCs w:val="24"/>
        </w:rPr>
        <w:t>its development</w:t>
      </w:r>
      <w:r w:rsidR="248E4FB4" w:rsidRPr="26E87E42">
        <w:rPr>
          <w:rFonts w:ascii="Arial" w:eastAsia="Arial" w:hAnsi="Arial" w:cs="Arial"/>
          <w:sz w:val="24"/>
          <w:szCs w:val="24"/>
        </w:rPr>
        <w:t xml:space="preserve"> (</w:t>
      </w:r>
      <w:proofErr w:type="spellStart"/>
      <w:r w:rsidR="248E4FB4" w:rsidRPr="26E87E42">
        <w:rPr>
          <w:rFonts w:ascii="Arial" w:eastAsia="Arial" w:hAnsi="Arial" w:cs="Arial"/>
          <w:sz w:val="24"/>
          <w:szCs w:val="24"/>
        </w:rPr>
        <w:t>AlGhannam</w:t>
      </w:r>
      <w:proofErr w:type="spellEnd"/>
      <w:r w:rsidR="248E4FB4" w:rsidRPr="26E87E42">
        <w:rPr>
          <w:rFonts w:ascii="Arial" w:eastAsia="Arial" w:hAnsi="Arial" w:cs="Arial"/>
          <w:sz w:val="24"/>
          <w:szCs w:val="24"/>
        </w:rPr>
        <w:t xml:space="preserve"> </w:t>
      </w:r>
      <w:r w:rsidR="248E4FB4" w:rsidRPr="26E87E42">
        <w:rPr>
          <w:rFonts w:ascii="Arial" w:eastAsia="Arial" w:hAnsi="Arial" w:cs="Arial"/>
          <w:i/>
          <w:iCs/>
          <w:sz w:val="24"/>
          <w:szCs w:val="24"/>
        </w:rPr>
        <w:t>et al</w:t>
      </w:r>
      <w:r w:rsidR="248E4FB4" w:rsidRPr="26E87E42">
        <w:rPr>
          <w:rFonts w:ascii="Arial" w:eastAsia="Arial" w:hAnsi="Arial" w:cs="Arial"/>
          <w:sz w:val="24"/>
          <w:szCs w:val="24"/>
        </w:rPr>
        <w:t>. 2017)</w:t>
      </w:r>
      <w:r w:rsidR="3063EDE5" w:rsidRPr="26E87E42">
        <w:rPr>
          <w:rFonts w:ascii="Arial" w:eastAsia="Arial" w:hAnsi="Arial" w:cs="Arial"/>
          <w:sz w:val="24"/>
          <w:szCs w:val="24"/>
        </w:rPr>
        <w:t>.</w:t>
      </w:r>
    </w:p>
    <w:p w14:paraId="07EB3D1D" w14:textId="7C576802" w:rsidR="3063EDE5" w:rsidRDefault="3063EDE5" w:rsidP="238CA98D">
      <w:pPr>
        <w:rPr>
          <w:rFonts w:ascii="Arial" w:eastAsia="Arial" w:hAnsi="Arial" w:cs="Arial"/>
          <w:sz w:val="24"/>
          <w:szCs w:val="24"/>
        </w:rPr>
      </w:pPr>
      <w:r w:rsidRPr="238CA98D">
        <w:rPr>
          <w:rFonts w:ascii="Arial" w:eastAsia="Arial" w:hAnsi="Arial" w:cs="Arial"/>
          <w:sz w:val="24"/>
          <w:szCs w:val="24"/>
        </w:rPr>
        <w:t xml:space="preserve">SUS is well suited to measuring perceived usability across a range of software products, however </w:t>
      </w:r>
      <w:r w:rsidR="0615625B" w:rsidRPr="238CA98D">
        <w:rPr>
          <w:rFonts w:ascii="Arial" w:eastAsia="Arial" w:hAnsi="Arial" w:cs="Arial"/>
          <w:sz w:val="24"/>
          <w:szCs w:val="24"/>
        </w:rPr>
        <w:t>as noted in Lewis (2018), a particular question</w:t>
      </w:r>
      <w:r w:rsidR="65EC0715" w:rsidRPr="238CA98D">
        <w:rPr>
          <w:rFonts w:ascii="Arial" w:eastAsia="Arial" w:hAnsi="Arial" w:cs="Arial"/>
          <w:sz w:val="24"/>
          <w:szCs w:val="24"/>
        </w:rPr>
        <w:t xml:space="preserve"> or questions may not be applicable</w:t>
      </w:r>
      <w:r w:rsidR="2A735089" w:rsidRPr="238CA98D">
        <w:rPr>
          <w:rFonts w:ascii="Arial" w:eastAsia="Arial" w:hAnsi="Arial" w:cs="Arial"/>
          <w:sz w:val="24"/>
          <w:szCs w:val="24"/>
        </w:rPr>
        <w:t xml:space="preserve"> </w:t>
      </w:r>
      <w:r w:rsidR="65EC0715" w:rsidRPr="238CA98D">
        <w:rPr>
          <w:rFonts w:ascii="Arial" w:eastAsia="Arial" w:hAnsi="Arial" w:cs="Arial"/>
          <w:sz w:val="24"/>
          <w:szCs w:val="24"/>
        </w:rPr>
        <w:t>where a system is used infrequently, such as in a system for registering complaints.</w:t>
      </w:r>
    </w:p>
    <w:p w14:paraId="0C5B66F3" w14:textId="7F0ABA0A" w:rsidR="7393684E" w:rsidRDefault="7393684E" w:rsidP="238CA98D">
      <w:pPr>
        <w:rPr>
          <w:rFonts w:ascii="Arial" w:eastAsia="Arial" w:hAnsi="Arial" w:cs="Arial"/>
          <w:sz w:val="24"/>
          <w:szCs w:val="24"/>
        </w:rPr>
      </w:pPr>
      <w:r w:rsidRPr="238CA98D">
        <w:rPr>
          <w:rFonts w:ascii="Arial" w:eastAsia="Arial" w:hAnsi="Arial" w:cs="Arial"/>
          <w:sz w:val="24"/>
          <w:szCs w:val="24"/>
        </w:rPr>
        <w:t xml:space="preserve">Considering </w:t>
      </w:r>
      <w:r w:rsidR="6551BF4D" w:rsidRPr="238CA98D">
        <w:rPr>
          <w:rFonts w:ascii="Arial" w:eastAsia="Arial" w:hAnsi="Arial" w:cs="Arial"/>
          <w:sz w:val="24"/>
          <w:szCs w:val="24"/>
        </w:rPr>
        <w:t xml:space="preserve">incident reporting systems </w:t>
      </w:r>
      <w:r w:rsidR="6BA860FC" w:rsidRPr="238CA98D">
        <w:rPr>
          <w:rFonts w:ascii="Arial" w:eastAsia="Arial" w:hAnsi="Arial" w:cs="Arial"/>
          <w:sz w:val="24"/>
          <w:szCs w:val="24"/>
        </w:rPr>
        <w:t>are only used when a harmful, or potentially harmful patient incident occurs</w:t>
      </w:r>
      <w:r w:rsidR="67FF3093" w:rsidRPr="238CA98D">
        <w:rPr>
          <w:rFonts w:ascii="Arial" w:eastAsia="Arial" w:hAnsi="Arial" w:cs="Arial"/>
          <w:sz w:val="24"/>
          <w:szCs w:val="24"/>
        </w:rPr>
        <w:t xml:space="preserve">, the standard </w:t>
      </w:r>
      <w:r w:rsidR="7AC0F5FB" w:rsidRPr="238CA98D">
        <w:rPr>
          <w:rFonts w:ascii="Arial" w:eastAsia="Arial" w:hAnsi="Arial" w:cs="Arial"/>
          <w:sz w:val="24"/>
          <w:szCs w:val="24"/>
        </w:rPr>
        <w:t>statement</w:t>
      </w:r>
      <w:r w:rsidR="67FF3093" w:rsidRPr="238CA98D">
        <w:rPr>
          <w:rFonts w:ascii="Arial" w:eastAsia="Arial" w:hAnsi="Arial" w:cs="Arial"/>
          <w:sz w:val="24"/>
          <w:szCs w:val="24"/>
        </w:rPr>
        <w:t xml:space="preserve"> “I think that I would like to use this system frequently” </w:t>
      </w:r>
      <w:r w:rsidR="0F7D893E" w:rsidRPr="238CA98D">
        <w:rPr>
          <w:rFonts w:ascii="Arial" w:eastAsia="Arial" w:hAnsi="Arial" w:cs="Arial"/>
          <w:sz w:val="24"/>
          <w:szCs w:val="24"/>
        </w:rPr>
        <w:t xml:space="preserve">may be confusing as by extension this would mean that more patient safety incidents occurred. Lewis </w:t>
      </w:r>
      <w:r w:rsidR="36E1CA2B" w:rsidRPr="238CA98D">
        <w:rPr>
          <w:rFonts w:ascii="Arial" w:eastAsia="Arial" w:hAnsi="Arial" w:cs="Arial"/>
          <w:sz w:val="24"/>
          <w:szCs w:val="24"/>
        </w:rPr>
        <w:t xml:space="preserve">and </w:t>
      </w:r>
      <w:proofErr w:type="spellStart"/>
      <w:r w:rsidR="36E1CA2B" w:rsidRPr="238CA98D">
        <w:rPr>
          <w:rFonts w:ascii="Arial" w:eastAsia="Arial" w:hAnsi="Arial" w:cs="Arial"/>
          <w:sz w:val="24"/>
          <w:szCs w:val="24"/>
        </w:rPr>
        <w:t>Sauro</w:t>
      </w:r>
      <w:proofErr w:type="spellEnd"/>
      <w:r w:rsidR="36E1CA2B" w:rsidRPr="238CA98D">
        <w:rPr>
          <w:rFonts w:ascii="Arial" w:eastAsia="Arial" w:hAnsi="Arial" w:cs="Arial"/>
          <w:sz w:val="24"/>
          <w:szCs w:val="24"/>
        </w:rPr>
        <w:t xml:space="preserve"> (2017) investigated the effect of removing a </w:t>
      </w:r>
      <w:r w:rsidR="19578386" w:rsidRPr="238CA98D">
        <w:rPr>
          <w:rFonts w:ascii="Arial" w:eastAsia="Arial" w:hAnsi="Arial" w:cs="Arial"/>
          <w:sz w:val="24"/>
          <w:szCs w:val="24"/>
        </w:rPr>
        <w:t>statement</w:t>
      </w:r>
      <w:r w:rsidR="36E1CA2B" w:rsidRPr="238CA98D">
        <w:rPr>
          <w:rFonts w:ascii="Arial" w:eastAsia="Arial" w:hAnsi="Arial" w:cs="Arial"/>
          <w:sz w:val="24"/>
          <w:szCs w:val="24"/>
        </w:rPr>
        <w:t xml:space="preserve"> from the SUS and found that this could be done with</w:t>
      </w:r>
      <w:r w:rsidR="3F819468" w:rsidRPr="238CA98D">
        <w:rPr>
          <w:rFonts w:ascii="Arial" w:eastAsia="Arial" w:hAnsi="Arial" w:cs="Arial"/>
          <w:sz w:val="24"/>
          <w:szCs w:val="24"/>
        </w:rPr>
        <w:t xml:space="preserve">out having a significant impact on the overall usability scores. </w:t>
      </w:r>
      <w:r w:rsidR="0A6F7440" w:rsidRPr="238CA98D">
        <w:rPr>
          <w:rFonts w:ascii="Arial" w:eastAsia="Arial" w:hAnsi="Arial" w:cs="Arial"/>
          <w:sz w:val="24"/>
          <w:szCs w:val="24"/>
        </w:rPr>
        <w:t>In view of this, a 9-</w:t>
      </w:r>
      <w:r w:rsidR="26B64A23" w:rsidRPr="238CA98D">
        <w:rPr>
          <w:rFonts w:ascii="Arial" w:eastAsia="Arial" w:hAnsi="Arial" w:cs="Arial"/>
          <w:sz w:val="24"/>
          <w:szCs w:val="24"/>
        </w:rPr>
        <w:t xml:space="preserve">statement </w:t>
      </w:r>
      <w:r w:rsidR="0A6F7440" w:rsidRPr="238CA98D">
        <w:rPr>
          <w:rFonts w:ascii="Arial" w:eastAsia="Arial" w:hAnsi="Arial" w:cs="Arial"/>
          <w:sz w:val="24"/>
          <w:szCs w:val="24"/>
        </w:rPr>
        <w:t xml:space="preserve">version of the original SUS was used. The wording was </w:t>
      </w:r>
      <w:r w:rsidR="7756E565" w:rsidRPr="238CA98D">
        <w:rPr>
          <w:rFonts w:ascii="Arial" w:eastAsia="Arial" w:hAnsi="Arial" w:cs="Arial"/>
          <w:sz w:val="24"/>
          <w:szCs w:val="24"/>
        </w:rPr>
        <w:t>adjusted to ensure the s</w:t>
      </w:r>
      <w:r w:rsidR="0C3156DE" w:rsidRPr="238CA98D">
        <w:rPr>
          <w:rFonts w:ascii="Arial" w:eastAsia="Arial" w:hAnsi="Arial" w:cs="Arial"/>
          <w:sz w:val="24"/>
          <w:szCs w:val="24"/>
        </w:rPr>
        <w:t>tatements</w:t>
      </w:r>
      <w:r w:rsidR="7756E565" w:rsidRPr="238CA98D">
        <w:rPr>
          <w:rFonts w:ascii="Arial" w:eastAsia="Arial" w:hAnsi="Arial" w:cs="Arial"/>
          <w:sz w:val="24"/>
          <w:szCs w:val="24"/>
        </w:rPr>
        <w:t xml:space="preserve"> were clear and relevant. The underlying meaning of each </w:t>
      </w:r>
      <w:r w:rsidR="1DCBD0C2" w:rsidRPr="238CA98D">
        <w:rPr>
          <w:rFonts w:ascii="Arial" w:eastAsia="Arial" w:hAnsi="Arial" w:cs="Arial"/>
          <w:sz w:val="24"/>
          <w:szCs w:val="24"/>
        </w:rPr>
        <w:t>statement</w:t>
      </w:r>
      <w:r w:rsidR="7756E565" w:rsidRPr="238CA98D">
        <w:rPr>
          <w:rFonts w:ascii="Arial" w:eastAsia="Arial" w:hAnsi="Arial" w:cs="Arial"/>
          <w:sz w:val="24"/>
          <w:szCs w:val="24"/>
        </w:rPr>
        <w:t xml:space="preserve"> was unchanged. </w:t>
      </w:r>
    </w:p>
    <w:p w14:paraId="42C79C80" w14:textId="507326FA" w:rsidR="59193D6A" w:rsidRDefault="59193D6A" w:rsidP="238CA98D">
      <w:pPr>
        <w:rPr>
          <w:rFonts w:ascii="Arial" w:eastAsia="Arial" w:hAnsi="Arial" w:cs="Arial"/>
          <w:sz w:val="24"/>
          <w:szCs w:val="24"/>
        </w:rPr>
      </w:pPr>
      <w:r w:rsidRPr="238CA98D">
        <w:rPr>
          <w:rFonts w:ascii="Arial" w:eastAsia="Arial" w:hAnsi="Arial" w:cs="Arial"/>
          <w:sz w:val="24"/>
          <w:szCs w:val="24"/>
        </w:rPr>
        <w:t xml:space="preserve">Whilst using a modified version of the SUS affects direct comparability with other studies, a literature search found no relevant studies assessing usability of incident reporting systems for comparison. Therefore, </w:t>
      </w:r>
      <w:r w:rsidR="2C22B55D" w:rsidRPr="238CA98D">
        <w:rPr>
          <w:rFonts w:ascii="Arial" w:eastAsia="Arial" w:hAnsi="Arial" w:cs="Arial"/>
          <w:sz w:val="24"/>
          <w:szCs w:val="24"/>
        </w:rPr>
        <w:t xml:space="preserve">it was considered preferable to </w:t>
      </w:r>
      <w:r w:rsidR="4FFC7169" w:rsidRPr="238CA98D">
        <w:rPr>
          <w:rFonts w:ascii="Arial" w:eastAsia="Arial" w:hAnsi="Arial" w:cs="Arial"/>
          <w:sz w:val="24"/>
          <w:szCs w:val="24"/>
        </w:rPr>
        <w:t xml:space="preserve">focus on ensuring that the wording of the </w:t>
      </w:r>
      <w:r w:rsidR="681164F1" w:rsidRPr="238CA98D">
        <w:rPr>
          <w:rFonts w:ascii="Arial" w:eastAsia="Arial" w:hAnsi="Arial" w:cs="Arial"/>
          <w:sz w:val="24"/>
          <w:szCs w:val="24"/>
        </w:rPr>
        <w:t>statement</w:t>
      </w:r>
      <w:r w:rsidR="4FFC7169" w:rsidRPr="238CA98D">
        <w:rPr>
          <w:rFonts w:ascii="Arial" w:eastAsia="Arial" w:hAnsi="Arial" w:cs="Arial"/>
          <w:sz w:val="24"/>
          <w:szCs w:val="24"/>
        </w:rPr>
        <w:t xml:space="preserve">s </w:t>
      </w:r>
      <w:r w:rsidR="3188F422" w:rsidRPr="238CA98D">
        <w:rPr>
          <w:rFonts w:ascii="Arial" w:eastAsia="Arial" w:hAnsi="Arial" w:cs="Arial"/>
          <w:sz w:val="24"/>
          <w:szCs w:val="24"/>
        </w:rPr>
        <w:t>was</w:t>
      </w:r>
      <w:r w:rsidR="4FFC7169" w:rsidRPr="238CA98D">
        <w:rPr>
          <w:rFonts w:ascii="Arial" w:eastAsia="Arial" w:hAnsi="Arial" w:cs="Arial"/>
          <w:sz w:val="24"/>
          <w:szCs w:val="24"/>
        </w:rPr>
        <w:t xml:space="preserve"> clear and relevant to incident reporting, rather than using an unmodified version to allow direct comparison.</w:t>
      </w:r>
      <w:r w:rsidR="27334BE7" w:rsidRPr="238CA98D">
        <w:rPr>
          <w:rFonts w:ascii="Arial" w:eastAsia="Arial" w:hAnsi="Arial" w:cs="Arial"/>
          <w:sz w:val="24"/>
          <w:szCs w:val="24"/>
        </w:rPr>
        <w:t xml:space="preserve"> The modified SUS is shown in Table 1.</w:t>
      </w:r>
    </w:p>
    <w:tbl>
      <w:tblPr>
        <w:tblStyle w:val="TableGrid"/>
        <w:tblW w:w="0" w:type="auto"/>
        <w:tblLayout w:type="fixed"/>
        <w:tblLook w:val="06A0" w:firstRow="1" w:lastRow="0" w:firstColumn="1" w:lastColumn="0" w:noHBand="1" w:noVBand="1"/>
      </w:tblPr>
      <w:tblGrid>
        <w:gridCol w:w="3765"/>
        <w:gridCol w:w="1155"/>
        <w:gridCol w:w="990"/>
        <w:gridCol w:w="1072"/>
        <w:gridCol w:w="1072"/>
        <w:gridCol w:w="1072"/>
      </w:tblGrid>
      <w:tr w:rsidR="23748E3B" w14:paraId="3D10DD56" w14:textId="77777777" w:rsidTr="238CA98D">
        <w:trPr>
          <w:trHeight w:val="375"/>
        </w:trPr>
        <w:tc>
          <w:tcPr>
            <w:tcW w:w="9126" w:type="dxa"/>
            <w:gridSpan w:val="6"/>
            <w:vAlign w:val="center"/>
          </w:tcPr>
          <w:p w14:paraId="0C1983D8" w14:textId="082ECD8F" w:rsidR="23748E3B" w:rsidRDefault="23748E3B" w:rsidP="238CA98D">
            <w:pPr>
              <w:rPr>
                <w:rFonts w:ascii="Arial" w:eastAsia="Arial" w:hAnsi="Arial" w:cs="Arial"/>
                <w:b/>
                <w:bCs/>
                <w:sz w:val="24"/>
                <w:szCs w:val="24"/>
              </w:rPr>
            </w:pPr>
            <w:r w:rsidRPr="238CA98D">
              <w:rPr>
                <w:rFonts w:ascii="Arial" w:eastAsia="Arial" w:hAnsi="Arial" w:cs="Arial"/>
                <w:b/>
                <w:bCs/>
                <w:sz w:val="24"/>
                <w:szCs w:val="24"/>
              </w:rPr>
              <w:lastRenderedPageBreak/>
              <w:t>Table 1 – System usability score statements</w:t>
            </w:r>
          </w:p>
        </w:tc>
      </w:tr>
      <w:tr w:rsidR="744F794B" w14:paraId="17864E73" w14:textId="77777777" w:rsidTr="238CA98D">
        <w:trPr>
          <w:trHeight w:val="570"/>
        </w:trPr>
        <w:tc>
          <w:tcPr>
            <w:tcW w:w="3765" w:type="dxa"/>
          </w:tcPr>
          <w:p w14:paraId="3A1EEDB3" w14:textId="2E3CF61D" w:rsidR="3019AEC6" w:rsidRDefault="3019AEC6" w:rsidP="238CA98D">
            <w:pPr>
              <w:rPr>
                <w:rFonts w:ascii="Arial" w:eastAsia="Arial" w:hAnsi="Arial" w:cs="Arial"/>
                <w:b/>
                <w:bCs/>
                <w:sz w:val="24"/>
                <w:szCs w:val="24"/>
              </w:rPr>
            </w:pPr>
          </w:p>
        </w:tc>
        <w:tc>
          <w:tcPr>
            <w:tcW w:w="1155" w:type="dxa"/>
            <w:vAlign w:val="center"/>
          </w:tcPr>
          <w:p w14:paraId="6DDFE5AF" w14:textId="360B77C7" w:rsidR="6B3D9396" w:rsidRDefault="69EEFFCB" w:rsidP="238CA98D">
            <w:pPr>
              <w:jc w:val="center"/>
              <w:rPr>
                <w:rFonts w:ascii="Arial" w:eastAsia="Arial" w:hAnsi="Arial" w:cs="Arial"/>
              </w:rPr>
            </w:pPr>
            <w:r w:rsidRPr="238CA98D">
              <w:rPr>
                <w:rFonts w:ascii="Arial" w:eastAsia="Arial" w:hAnsi="Arial" w:cs="Arial"/>
              </w:rPr>
              <w:t>Strongly disagree</w:t>
            </w:r>
          </w:p>
        </w:tc>
        <w:tc>
          <w:tcPr>
            <w:tcW w:w="990" w:type="dxa"/>
          </w:tcPr>
          <w:p w14:paraId="2D581677" w14:textId="0266E32F" w:rsidR="744F794B" w:rsidRDefault="744F794B" w:rsidP="238CA98D">
            <w:pPr>
              <w:rPr>
                <w:rFonts w:ascii="Arial" w:eastAsia="Arial" w:hAnsi="Arial" w:cs="Arial"/>
              </w:rPr>
            </w:pPr>
          </w:p>
        </w:tc>
        <w:tc>
          <w:tcPr>
            <w:tcW w:w="1072" w:type="dxa"/>
          </w:tcPr>
          <w:p w14:paraId="49D17C71" w14:textId="0266E32F" w:rsidR="744F794B" w:rsidRDefault="744F794B" w:rsidP="238CA98D">
            <w:pPr>
              <w:rPr>
                <w:rFonts w:ascii="Arial" w:eastAsia="Arial" w:hAnsi="Arial" w:cs="Arial"/>
              </w:rPr>
            </w:pPr>
          </w:p>
        </w:tc>
        <w:tc>
          <w:tcPr>
            <w:tcW w:w="1072" w:type="dxa"/>
          </w:tcPr>
          <w:p w14:paraId="39D4CD3A" w14:textId="0266E32F" w:rsidR="744F794B" w:rsidRDefault="744F794B" w:rsidP="238CA98D">
            <w:pPr>
              <w:rPr>
                <w:rFonts w:ascii="Arial" w:eastAsia="Arial" w:hAnsi="Arial" w:cs="Arial"/>
              </w:rPr>
            </w:pPr>
          </w:p>
        </w:tc>
        <w:tc>
          <w:tcPr>
            <w:tcW w:w="1072" w:type="dxa"/>
            <w:vAlign w:val="center"/>
          </w:tcPr>
          <w:p w14:paraId="526AE247" w14:textId="6A9B098C" w:rsidR="6B3D9396" w:rsidRDefault="69EEFFCB" w:rsidP="238CA98D">
            <w:pPr>
              <w:jc w:val="center"/>
              <w:rPr>
                <w:rFonts w:ascii="Arial" w:eastAsia="Arial" w:hAnsi="Arial" w:cs="Arial"/>
              </w:rPr>
            </w:pPr>
            <w:r w:rsidRPr="238CA98D">
              <w:rPr>
                <w:rFonts w:ascii="Arial" w:eastAsia="Arial" w:hAnsi="Arial" w:cs="Arial"/>
              </w:rPr>
              <w:t>Strongly agree</w:t>
            </w:r>
          </w:p>
        </w:tc>
      </w:tr>
      <w:tr w:rsidR="744F794B" w14:paraId="58E604A8" w14:textId="77777777" w:rsidTr="238CA98D">
        <w:tc>
          <w:tcPr>
            <w:tcW w:w="3765" w:type="dxa"/>
            <w:vAlign w:val="center"/>
          </w:tcPr>
          <w:p w14:paraId="027A7E75" w14:textId="2D6AFE9D" w:rsidR="6B3D9396" w:rsidRDefault="69EEFFCB" w:rsidP="238CA98D">
            <w:pPr>
              <w:rPr>
                <w:rFonts w:ascii="Arial" w:eastAsia="Arial" w:hAnsi="Arial" w:cs="Arial"/>
                <w:b/>
                <w:bCs/>
                <w:sz w:val="24"/>
                <w:szCs w:val="24"/>
              </w:rPr>
            </w:pPr>
            <w:r w:rsidRPr="238CA98D">
              <w:rPr>
                <w:rFonts w:ascii="Arial" w:eastAsia="Arial" w:hAnsi="Arial" w:cs="Arial"/>
                <w:b/>
                <w:bCs/>
                <w:sz w:val="24"/>
                <w:szCs w:val="24"/>
              </w:rPr>
              <w:t>Statement</w:t>
            </w:r>
          </w:p>
        </w:tc>
        <w:tc>
          <w:tcPr>
            <w:tcW w:w="1155" w:type="dxa"/>
          </w:tcPr>
          <w:p w14:paraId="1BF7551A" w14:textId="31D54566" w:rsidR="6B3D9396" w:rsidRDefault="69EEFFCB" w:rsidP="238CA98D">
            <w:pPr>
              <w:jc w:val="center"/>
              <w:rPr>
                <w:rFonts w:ascii="Arial" w:eastAsia="Arial" w:hAnsi="Arial" w:cs="Arial"/>
                <w:b/>
                <w:bCs/>
                <w:sz w:val="24"/>
                <w:szCs w:val="24"/>
              </w:rPr>
            </w:pPr>
            <w:r w:rsidRPr="238CA98D">
              <w:rPr>
                <w:rFonts w:ascii="Arial" w:eastAsia="Arial" w:hAnsi="Arial" w:cs="Arial"/>
                <w:b/>
                <w:bCs/>
                <w:sz w:val="24"/>
                <w:szCs w:val="24"/>
              </w:rPr>
              <w:t>1</w:t>
            </w:r>
          </w:p>
        </w:tc>
        <w:tc>
          <w:tcPr>
            <w:tcW w:w="990" w:type="dxa"/>
          </w:tcPr>
          <w:p w14:paraId="048CE3AB" w14:textId="38FBB2B7" w:rsidR="6B3D9396" w:rsidRDefault="69EEFFCB" w:rsidP="238CA98D">
            <w:pPr>
              <w:jc w:val="center"/>
              <w:rPr>
                <w:rFonts w:ascii="Arial" w:eastAsia="Arial" w:hAnsi="Arial" w:cs="Arial"/>
                <w:b/>
                <w:bCs/>
                <w:sz w:val="24"/>
                <w:szCs w:val="24"/>
              </w:rPr>
            </w:pPr>
            <w:r w:rsidRPr="238CA98D">
              <w:rPr>
                <w:rFonts w:ascii="Arial" w:eastAsia="Arial" w:hAnsi="Arial" w:cs="Arial"/>
                <w:b/>
                <w:bCs/>
                <w:sz w:val="24"/>
                <w:szCs w:val="24"/>
              </w:rPr>
              <w:t>2</w:t>
            </w:r>
          </w:p>
        </w:tc>
        <w:tc>
          <w:tcPr>
            <w:tcW w:w="1072" w:type="dxa"/>
          </w:tcPr>
          <w:p w14:paraId="4427372C" w14:textId="36577A3F" w:rsidR="6B3D9396" w:rsidRDefault="69EEFFCB" w:rsidP="238CA98D">
            <w:pPr>
              <w:jc w:val="center"/>
              <w:rPr>
                <w:rFonts w:ascii="Arial" w:eastAsia="Arial" w:hAnsi="Arial" w:cs="Arial"/>
                <w:b/>
                <w:bCs/>
                <w:sz w:val="24"/>
                <w:szCs w:val="24"/>
              </w:rPr>
            </w:pPr>
            <w:r w:rsidRPr="238CA98D">
              <w:rPr>
                <w:rFonts w:ascii="Arial" w:eastAsia="Arial" w:hAnsi="Arial" w:cs="Arial"/>
                <w:b/>
                <w:bCs/>
                <w:sz w:val="24"/>
                <w:szCs w:val="24"/>
              </w:rPr>
              <w:t>3</w:t>
            </w:r>
          </w:p>
        </w:tc>
        <w:tc>
          <w:tcPr>
            <w:tcW w:w="1072" w:type="dxa"/>
          </w:tcPr>
          <w:p w14:paraId="3461C15A" w14:textId="330BBC1F" w:rsidR="6B3D9396" w:rsidRDefault="69EEFFCB" w:rsidP="238CA98D">
            <w:pPr>
              <w:jc w:val="center"/>
              <w:rPr>
                <w:rFonts w:ascii="Arial" w:eastAsia="Arial" w:hAnsi="Arial" w:cs="Arial"/>
                <w:b/>
                <w:bCs/>
                <w:sz w:val="24"/>
                <w:szCs w:val="24"/>
              </w:rPr>
            </w:pPr>
            <w:r w:rsidRPr="238CA98D">
              <w:rPr>
                <w:rFonts w:ascii="Arial" w:eastAsia="Arial" w:hAnsi="Arial" w:cs="Arial"/>
                <w:b/>
                <w:bCs/>
                <w:sz w:val="24"/>
                <w:szCs w:val="24"/>
              </w:rPr>
              <w:t>4</w:t>
            </w:r>
          </w:p>
        </w:tc>
        <w:tc>
          <w:tcPr>
            <w:tcW w:w="1072" w:type="dxa"/>
          </w:tcPr>
          <w:p w14:paraId="15CEF7DC" w14:textId="5D129128" w:rsidR="6B3D9396" w:rsidRDefault="69EEFFCB" w:rsidP="238CA98D">
            <w:pPr>
              <w:jc w:val="center"/>
              <w:rPr>
                <w:rFonts w:ascii="Arial" w:eastAsia="Arial" w:hAnsi="Arial" w:cs="Arial"/>
                <w:b/>
                <w:bCs/>
                <w:sz w:val="24"/>
                <w:szCs w:val="24"/>
              </w:rPr>
            </w:pPr>
            <w:r w:rsidRPr="238CA98D">
              <w:rPr>
                <w:rFonts w:ascii="Arial" w:eastAsia="Arial" w:hAnsi="Arial" w:cs="Arial"/>
                <w:b/>
                <w:bCs/>
                <w:sz w:val="24"/>
                <w:szCs w:val="24"/>
              </w:rPr>
              <w:t>5</w:t>
            </w:r>
          </w:p>
        </w:tc>
      </w:tr>
      <w:tr w:rsidR="744F794B" w14:paraId="47373FBA" w14:textId="77777777" w:rsidTr="238CA98D">
        <w:tc>
          <w:tcPr>
            <w:tcW w:w="3765" w:type="dxa"/>
          </w:tcPr>
          <w:p w14:paraId="3CA580D7" w14:textId="31D12F33" w:rsidR="30490F2C" w:rsidRDefault="0AE51A6E" w:rsidP="238CA98D">
            <w:pPr>
              <w:rPr>
                <w:rFonts w:ascii="Arial" w:eastAsia="Arial" w:hAnsi="Arial" w:cs="Arial"/>
                <w:sz w:val="24"/>
                <w:szCs w:val="24"/>
              </w:rPr>
            </w:pPr>
            <w:r w:rsidRPr="238CA98D">
              <w:rPr>
                <w:rFonts w:ascii="Arial" w:eastAsia="Arial" w:hAnsi="Arial" w:cs="Arial"/>
                <w:sz w:val="24"/>
                <w:szCs w:val="24"/>
              </w:rPr>
              <w:t>I find E-Datix unnecessarily comple</w:t>
            </w:r>
            <w:r w:rsidR="0B3FC4BB" w:rsidRPr="238CA98D">
              <w:rPr>
                <w:rFonts w:ascii="Arial" w:eastAsia="Arial" w:hAnsi="Arial" w:cs="Arial"/>
                <w:sz w:val="24"/>
                <w:szCs w:val="24"/>
              </w:rPr>
              <w:t>x</w:t>
            </w:r>
          </w:p>
        </w:tc>
        <w:tc>
          <w:tcPr>
            <w:tcW w:w="1155" w:type="dxa"/>
          </w:tcPr>
          <w:p w14:paraId="269B14AC" w14:textId="0266E32F" w:rsidR="744F794B" w:rsidRDefault="744F794B" w:rsidP="238CA98D">
            <w:pPr>
              <w:rPr>
                <w:rFonts w:ascii="Arial" w:eastAsia="Arial" w:hAnsi="Arial" w:cs="Arial"/>
                <w:sz w:val="24"/>
                <w:szCs w:val="24"/>
              </w:rPr>
            </w:pPr>
          </w:p>
        </w:tc>
        <w:tc>
          <w:tcPr>
            <w:tcW w:w="990" w:type="dxa"/>
          </w:tcPr>
          <w:p w14:paraId="1DEDC66E" w14:textId="0266E32F" w:rsidR="744F794B" w:rsidRDefault="744F794B" w:rsidP="238CA98D">
            <w:pPr>
              <w:rPr>
                <w:rFonts w:ascii="Arial" w:eastAsia="Arial" w:hAnsi="Arial" w:cs="Arial"/>
                <w:sz w:val="24"/>
                <w:szCs w:val="24"/>
              </w:rPr>
            </w:pPr>
          </w:p>
        </w:tc>
        <w:tc>
          <w:tcPr>
            <w:tcW w:w="1072" w:type="dxa"/>
          </w:tcPr>
          <w:p w14:paraId="1C901581" w14:textId="0266E32F" w:rsidR="744F794B" w:rsidRDefault="744F794B" w:rsidP="238CA98D">
            <w:pPr>
              <w:rPr>
                <w:rFonts w:ascii="Arial" w:eastAsia="Arial" w:hAnsi="Arial" w:cs="Arial"/>
                <w:sz w:val="24"/>
                <w:szCs w:val="24"/>
              </w:rPr>
            </w:pPr>
          </w:p>
        </w:tc>
        <w:tc>
          <w:tcPr>
            <w:tcW w:w="1072" w:type="dxa"/>
          </w:tcPr>
          <w:p w14:paraId="7799503D" w14:textId="0266E32F" w:rsidR="744F794B" w:rsidRDefault="744F794B" w:rsidP="238CA98D">
            <w:pPr>
              <w:rPr>
                <w:rFonts w:ascii="Arial" w:eastAsia="Arial" w:hAnsi="Arial" w:cs="Arial"/>
                <w:sz w:val="24"/>
                <w:szCs w:val="24"/>
              </w:rPr>
            </w:pPr>
          </w:p>
        </w:tc>
        <w:tc>
          <w:tcPr>
            <w:tcW w:w="1072" w:type="dxa"/>
          </w:tcPr>
          <w:p w14:paraId="57623144" w14:textId="0266E32F" w:rsidR="744F794B" w:rsidRDefault="744F794B" w:rsidP="238CA98D">
            <w:pPr>
              <w:rPr>
                <w:rFonts w:ascii="Arial" w:eastAsia="Arial" w:hAnsi="Arial" w:cs="Arial"/>
                <w:sz w:val="24"/>
                <w:szCs w:val="24"/>
              </w:rPr>
            </w:pPr>
          </w:p>
        </w:tc>
      </w:tr>
      <w:tr w:rsidR="744F794B" w14:paraId="66258C1D" w14:textId="77777777" w:rsidTr="238CA98D">
        <w:tc>
          <w:tcPr>
            <w:tcW w:w="3765" w:type="dxa"/>
          </w:tcPr>
          <w:p w14:paraId="3A52D9BB" w14:textId="4126854A" w:rsidR="12C7B06A" w:rsidRDefault="0B3FC4BB" w:rsidP="238CA98D">
            <w:pPr>
              <w:spacing w:line="259" w:lineRule="auto"/>
              <w:rPr>
                <w:rFonts w:ascii="Arial" w:eastAsia="Arial" w:hAnsi="Arial" w:cs="Arial"/>
                <w:sz w:val="24"/>
                <w:szCs w:val="24"/>
              </w:rPr>
            </w:pPr>
            <w:r w:rsidRPr="238CA98D">
              <w:rPr>
                <w:rFonts w:ascii="Arial" w:eastAsia="Arial" w:hAnsi="Arial" w:cs="Arial"/>
                <w:sz w:val="24"/>
                <w:szCs w:val="24"/>
              </w:rPr>
              <w:t>I think that E-Datix is easy to use</w:t>
            </w:r>
          </w:p>
        </w:tc>
        <w:tc>
          <w:tcPr>
            <w:tcW w:w="1155" w:type="dxa"/>
          </w:tcPr>
          <w:p w14:paraId="33A20E6F" w14:textId="0266E32F" w:rsidR="744F794B" w:rsidRDefault="744F794B" w:rsidP="238CA98D">
            <w:pPr>
              <w:rPr>
                <w:rFonts w:ascii="Arial" w:eastAsia="Arial" w:hAnsi="Arial" w:cs="Arial"/>
                <w:sz w:val="24"/>
                <w:szCs w:val="24"/>
              </w:rPr>
            </w:pPr>
          </w:p>
        </w:tc>
        <w:tc>
          <w:tcPr>
            <w:tcW w:w="990" w:type="dxa"/>
          </w:tcPr>
          <w:p w14:paraId="1F04B7B3" w14:textId="0266E32F" w:rsidR="744F794B" w:rsidRDefault="744F794B" w:rsidP="238CA98D">
            <w:pPr>
              <w:rPr>
                <w:rFonts w:ascii="Arial" w:eastAsia="Arial" w:hAnsi="Arial" w:cs="Arial"/>
                <w:sz w:val="24"/>
                <w:szCs w:val="24"/>
              </w:rPr>
            </w:pPr>
          </w:p>
        </w:tc>
        <w:tc>
          <w:tcPr>
            <w:tcW w:w="1072" w:type="dxa"/>
          </w:tcPr>
          <w:p w14:paraId="3422A2C4" w14:textId="0266E32F" w:rsidR="744F794B" w:rsidRDefault="744F794B" w:rsidP="238CA98D">
            <w:pPr>
              <w:rPr>
                <w:rFonts w:ascii="Arial" w:eastAsia="Arial" w:hAnsi="Arial" w:cs="Arial"/>
                <w:sz w:val="24"/>
                <w:szCs w:val="24"/>
              </w:rPr>
            </w:pPr>
          </w:p>
        </w:tc>
        <w:tc>
          <w:tcPr>
            <w:tcW w:w="1072" w:type="dxa"/>
          </w:tcPr>
          <w:p w14:paraId="6DC25DDC" w14:textId="0266E32F" w:rsidR="744F794B" w:rsidRDefault="744F794B" w:rsidP="238CA98D">
            <w:pPr>
              <w:rPr>
                <w:rFonts w:ascii="Arial" w:eastAsia="Arial" w:hAnsi="Arial" w:cs="Arial"/>
                <w:sz w:val="24"/>
                <w:szCs w:val="24"/>
              </w:rPr>
            </w:pPr>
          </w:p>
        </w:tc>
        <w:tc>
          <w:tcPr>
            <w:tcW w:w="1072" w:type="dxa"/>
          </w:tcPr>
          <w:p w14:paraId="62E4CBE1" w14:textId="0266E32F" w:rsidR="744F794B" w:rsidRDefault="744F794B" w:rsidP="238CA98D">
            <w:pPr>
              <w:rPr>
                <w:rFonts w:ascii="Arial" w:eastAsia="Arial" w:hAnsi="Arial" w:cs="Arial"/>
                <w:sz w:val="24"/>
                <w:szCs w:val="24"/>
              </w:rPr>
            </w:pPr>
          </w:p>
        </w:tc>
      </w:tr>
      <w:tr w:rsidR="744F794B" w14:paraId="323C4CC9" w14:textId="77777777" w:rsidTr="238CA98D">
        <w:tc>
          <w:tcPr>
            <w:tcW w:w="3765" w:type="dxa"/>
          </w:tcPr>
          <w:p w14:paraId="5F5EDDA9" w14:textId="14E8D7D9" w:rsidR="12C7B06A" w:rsidRDefault="0B3FC4BB" w:rsidP="238CA98D">
            <w:pPr>
              <w:spacing w:line="259" w:lineRule="auto"/>
              <w:rPr>
                <w:rFonts w:ascii="Arial" w:eastAsia="Arial" w:hAnsi="Arial" w:cs="Arial"/>
                <w:sz w:val="24"/>
                <w:szCs w:val="24"/>
              </w:rPr>
            </w:pPr>
            <w:r w:rsidRPr="238CA98D">
              <w:rPr>
                <w:rFonts w:ascii="Arial" w:eastAsia="Arial" w:hAnsi="Arial" w:cs="Arial"/>
                <w:sz w:val="24"/>
                <w:szCs w:val="24"/>
              </w:rPr>
              <w:t>I need the support of a technical person to use E-Datix</w:t>
            </w:r>
          </w:p>
        </w:tc>
        <w:tc>
          <w:tcPr>
            <w:tcW w:w="1155" w:type="dxa"/>
          </w:tcPr>
          <w:p w14:paraId="6C5A5342" w14:textId="0266E32F" w:rsidR="744F794B" w:rsidRDefault="744F794B" w:rsidP="238CA98D">
            <w:pPr>
              <w:rPr>
                <w:rFonts w:ascii="Arial" w:eastAsia="Arial" w:hAnsi="Arial" w:cs="Arial"/>
                <w:sz w:val="24"/>
                <w:szCs w:val="24"/>
              </w:rPr>
            </w:pPr>
          </w:p>
        </w:tc>
        <w:tc>
          <w:tcPr>
            <w:tcW w:w="990" w:type="dxa"/>
          </w:tcPr>
          <w:p w14:paraId="43C3BC20" w14:textId="0266E32F" w:rsidR="744F794B" w:rsidRDefault="744F794B" w:rsidP="238CA98D">
            <w:pPr>
              <w:rPr>
                <w:rFonts w:ascii="Arial" w:eastAsia="Arial" w:hAnsi="Arial" w:cs="Arial"/>
                <w:sz w:val="24"/>
                <w:szCs w:val="24"/>
              </w:rPr>
            </w:pPr>
          </w:p>
        </w:tc>
        <w:tc>
          <w:tcPr>
            <w:tcW w:w="1072" w:type="dxa"/>
          </w:tcPr>
          <w:p w14:paraId="36365D67" w14:textId="0266E32F" w:rsidR="744F794B" w:rsidRDefault="744F794B" w:rsidP="238CA98D">
            <w:pPr>
              <w:rPr>
                <w:rFonts w:ascii="Arial" w:eastAsia="Arial" w:hAnsi="Arial" w:cs="Arial"/>
                <w:sz w:val="24"/>
                <w:szCs w:val="24"/>
              </w:rPr>
            </w:pPr>
          </w:p>
        </w:tc>
        <w:tc>
          <w:tcPr>
            <w:tcW w:w="1072" w:type="dxa"/>
          </w:tcPr>
          <w:p w14:paraId="62214E1B" w14:textId="0266E32F" w:rsidR="744F794B" w:rsidRDefault="744F794B" w:rsidP="238CA98D">
            <w:pPr>
              <w:rPr>
                <w:rFonts w:ascii="Arial" w:eastAsia="Arial" w:hAnsi="Arial" w:cs="Arial"/>
                <w:sz w:val="24"/>
                <w:szCs w:val="24"/>
              </w:rPr>
            </w:pPr>
          </w:p>
        </w:tc>
        <w:tc>
          <w:tcPr>
            <w:tcW w:w="1072" w:type="dxa"/>
          </w:tcPr>
          <w:p w14:paraId="6235033D" w14:textId="0266E32F" w:rsidR="744F794B" w:rsidRDefault="744F794B" w:rsidP="238CA98D">
            <w:pPr>
              <w:rPr>
                <w:rFonts w:ascii="Arial" w:eastAsia="Arial" w:hAnsi="Arial" w:cs="Arial"/>
                <w:sz w:val="24"/>
                <w:szCs w:val="24"/>
              </w:rPr>
            </w:pPr>
          </w:p>
        </w:tc>
      </w:tr>
      <w:tr w:rsidR="744F794B" w14:paraId="78884442" w14:textId="77777777" w:rsidTr="238CA98D">
        <w:tc>
          <w:tcPr>
            <w:tcW w:w="3765" w:type="dxa"/>
          </w:tcPr>
          <w:p w14:paraId="781CAEBD" w14:textId="66230834" w:rsidR="30490F2C" w:rsidRDefault="0AE51A6E" w:rsidP="238CA98D">
            <w:pPr>
              <w:rPr>
                <w:rFonts w:ascii="Arial" w:eastAsia="Arial" w:hAnsi="Arial" w:cs="Arial"/>
                <w:sz w:val="24"/>
                <w:szCs w:val="24"/>
              </w:rPr>
            </w:pPr>
            <w:r w:rsidRPr="238CA98D">
              <w:rPr>
                <w:rFonts w:ascii="Arial" w:eastAsia="Arial" w:hAnsi="Arial" w:cs="Arial"/>
                <w:sz w:val="24"/>
                <w:szCs w:val="24"/>
              </w:rPr>
              <w:t xml:space="preserve">I find the various functions of E-Datix </w:t>
            </w:r>
            <w:r w:rsidR="29FE34F7" w:rsidRPr="238CA98D">
              <w:rPr>
                <w:rFonts w:ascii="Arial" w:eastAsia="Arial" w:hAnsi="Arial" w:cs="Arial"/>
                <w:sz w:val="24"/>
                <w:szCs w:val="24"/>
              </w:rPr>
              <w:t>are</w:t>
            </w:r>
            <w:r w:rsidRPr="238CA98D">
              <w:rPr>
                <w:rFonts w:ascii="Arial" w:eastAsia="Arial" w:hAnsi="Arial" w:cs="Arial"/>
                <w:sz w:val="24"/>
                <w:szCs w:val="24"/>
              </w:rPr>
              <w:t xml:space="preserve"> well integrated</w:t>
            </w:r>
          </w:p>
        </w:tc>
        <w:tc>
          <w:tcPr>
            <w:tcW w:w="1155" w:type="dxa"/>
          </w:tcPr>
          <w:p w14:paraId="0B3B014E" w14:textId="6BF2F42E" w:rsidR="744F794B" w:rsidRDefault="744F794B" w:rsidP="238CA98D">
            <w:pPr>
              <w:rPr>
                <w:rFonts w:ascii="Arial" w:eastAsia="Arial" w:hAnsi="Arial" w:cs="Arial"/>
                <w:sz w:val="24"/>
                <w:szCs w:val="24"/>
              </w:rPr>
            </w:pPr>
          </w:p>
        </w:tc>
        <w:tc>
          <w:tcPr>
            <w:tcW w:w="990" w:type="dxa"/>
          </w:tcPr>
          <w:p w14:paraId="3969270E" w14:textId="3F34CBA3" w:rsidR="744F794B" w:rsidRDefault="744F794B" w:rsidP="238CA98D">
            <w:pPr>
              <w:rPr>
                <w:rFonts w:ascii="Arial" w:eastAsia="Arial" w:hAnsi="Arial" w:cs="Arial"/>
                <w:sz w:val="24"/>
                <w:szCs w:val="24"/>
              </w:rPr>
            </w:pPr>
          </w:p>
        </w:tc>
        <w:tc>
          <w:tcPr>
            <w:tcW w:w="1072" w:type="dxa"/>
          </w:tcPr>
          <w:p w14:paraId="22165A6B" w14:textId="6D43D2CD" w:rsidR="744F794B" w:rsidRDefault="744F794B" w:rsidP="238CA98D">
            <w:pPr>
              <w:rPr>
                <w:rFonts w:ascii="Arial" w:eastAsia="Arial" w:hAnsi="Arial" w:cs="Arial"/>
                <w:sz w:val="24"/>
                <w:szCs w:val="24"/>
              </w:rPr>
            </w:pPr>
          </w:p>
        </w:tc>
        <w:tc>
          <w:tcPr>
            <w:tcW w:w="1072" w:type="dxa"/>
          </w:tcPr>
          <w:p w14:paraId="46647844" w14:textId="34D653B5" w:rsidR="744F794B" w:rsidRDefault="744F794B" w:rsidP="238CA98D">
            <w:pPr>
              <w:rPr>
                <w:rFonts w:ascii="Arial" w:eastAsia="Arial" w:hAnsi="Arial" w:cs="Arial"/>
                <w:sz w:val="24"/>
                <w:szCs w:val="24"/>
              </w:rPr>
            </w:pPr>
          </w:p>
        </w:tc>
        <w:tc>
          <w:tcPr>
            <w:tcW w:w="1072" w:type="dxa"/>
          </w:tcPr>
          <w:p w14:paraId="7EA7438D" w14:textId="607A66FD" w:rsidR="744F794B" w:rsidRDefault="744F794B" w:rsidP="238CA98D">
            <w:pPr>
              <w:rPr>
                <w:rFonts w:ascii="Arial" w:eastAsia="Arial" w:hAnsi="Arial" w:cs="Arial"/>
                <w:sz w:val="24"/>
                <w:szCs w:val="24"/>
              </w:rPr>
            </w:pPr>
          </w:p>
        </w:tc>
      </w:tr>
      <w:tr w:rsidR="744F794B" w14:paraId="1ABFFE80" w14:textId="77777777" w:rsidTr="238CA98D">
        <w:tc>
          <w:tcPr>
            <w:tcW w:w="3765" w:type="dxa"/>
          </w:tcPr>
          <w:p w14:paraId="4FCAB301" w14:textId="5E48915E" w:rsidR="30490F2C" w:rsidRDefault="0AE51A6E" w:rsidP="238CA98D">
            <w:pPr>
              <w:rPr>
                <w:rFonts w:ascii="Arial" w:eastAsia="Arial" w:hAnsi="Arial" w:cs="Arial"/>
                <w:sz w:val="24"/>
                <w:szCs w:val="24"/>
              </w:rPr>
            </w:pPr>
            <w:r w:rsidRPr="238CA98D">
              <w:rPr>
                <w:rFonts w:ascii="Arial" w:eastAsia="Arial" w:hAnsi="Arial" w:cs="Arial"/>
                <w:sz w:val="24"/>
                <w:szCs w:val="24"/>
              </w:rPr>
              <w:t xml:space="preserve">I think that there is </w:t>
            </w:r>
            <w:r w:rsidR="04C76567" w:rsidRPr="238CA98D">
              <w:rPr>
                <w:rFonts w:ascii="Arial" w:eastAsia="Arial" w:hAnsi="Arial" w:cs="Arial"/>
                <w:sz w:val="24"/>
                <w:szCs w:val="24"/>
              </w:rPr>
              <w:t>to</w:t>
            </w:r>
            <w:r w:rsidR="145E6EF2" w:rsidRPr="238CA98D">
              <w:rPr>
                <w:rFonts w:ascii="Arial" w:eastAsia="Arial" w:hAnsi="Arial" w:cs="Arial"/>
                <w:sz w:val="24"/>
                <w:szCs w:val="24"/>
              </w:rPr>
              <w:t>o</w:t>
            </w:r>
            <w:r w:rsidR="04C76567" w:rsidRPr="238CA98D">
              <w:rPr>
                <w:rFonts w:ascii="Arial" w:eastAsia="Arial" w:hAnsi="Arial" w:cs="Arial"/>
                <w:sz w:val="24"/>
                <w:szCs w:val="24"/>
              </w:rPr>
              <w:t xml:space="preserve"> much inconsistency in E-Datix</w:t>
            </w:r>
          </w:p>
        </w:tc>
        <w:tc>
          <w:tcPr>
            <w:tcW w:w="1155" w:type="dxa"/>
          </w:tcPr>
          <w:p w14:paraId="5BFBFCA5" w14:textId="1A0046EC" w:rsidR="744F794B" w:rsidRDefault="744F794B" w:rsidP="238CA98D">
            <w:pPr>
              <w:rPr>
                <w:rFonts w:ascii="Arial" w:eastAsia="Arial" w:hAnsi="Arial" w:cs="Arial"/>
                <w:sz w:val="24"/>
                <w:szCs w:val="24"/>
              </w:rPr>
            </w:pPr>
          </w:p>
        </w:tc>
        <w:tc>
          <w:tcPr>
            <w:tcW w:w="990" w:type="dxa"/>
          </w:tcPr>
          <w:p w14:paraId="7B74E7D9" w14:textId="680988DA" w:rsidR="744F794B" w:rsidRDefault="744F794B" w:rsidP="238CA98D">
            <w:pPr>
              <w:rPr>
                <w:rFonts w:ascii="Arial" w:eastAsia="Arial" w:hAnsi="Arial" w:cs="Arial"/>
                <w:sz w:val="24"/>
                <w:szCs w:val="24"/>
              </w:rPr>
            </w:pPr>
          </w:p>
        </w:tc>
        <w:tc>
          <w:tcPr>
            <w:tcW w:w="1072" w:type="dxa"/>
          </w:tcPr>
          <w:p w14:paraId="034FE9B2" w14:textId="76CD4662" w:rsidR="744F794B" w:rsidRDefault="744F794B" w:rsidP="238CA98D">
            <w:pPr>
              <w:rPr>
                <w:rFonts w:ascii="Arial" w:eastAsia="Arial" w:hAnsi="Arial" w:cs="Arial"/>
                <w:sz w:val="24"/>
                <w:szCs w:val="24"/>
              </w:rPr>
            </w:pPr>
          </w:p>
        </w:tc>
        <w:tc>
          <w:tcPr>
            <w:tcW w:w="1072" w:type="dxa"/>
          </w:tcPr>
          <w:p w14:paraId="0C994926" w14:textId="3FE104F8" w:rsidR="744F794B" w:rsidRDefault="744F794B" w:rsidP="238CA98D">
            <w:pPr>
              <w:rPr>
                <w:rFonts w:ascii="Arial" w:eastAsia="Arial" w:hAnsi="Arial" w:cs="Arial"/>
                <w:sz w:val="24"/>
                <w:szCs w:val="24"/>
              </w:rPr>
            </w:pPr>
          </w:p>
        </w:tc>
        <w:tc>
          <w:tcPr>
            <w:tcW w:w="1072" w:type="dxa"/>
          </w:tcPr>
          <w:p w14:paraId="7CF9BEE6" w14:textId="694C18B4" w:rsidR="744F794B" w:rsidRDefault="744F794B" w:rsidP="238CA98D">
            <w:pPr>
              <w:rPr>
                <w:rFonts w:ascii="Arial" w:eastAsia="Arial" w:hAnsi="Arial" w:cs="Arial"/>
                <w:sz w:val="24"/>
                <w:szCs w:val="24"/>
              </w:rPr>
            </w:pPr>
          </w:p>
        </w:tc>
      </w:tr>
      <w:tr w:rsidR="744F794B" w14:paraId="41566520" w14:textId="77777777" w:rsidTr="238CA98D">
        <w:tc>
          <w:tcPr>
            <w:tcW w:w="3765" w:type="dxa"/>
          </w:tcPr>
          <w:p w14:paraId="75127DA1" w14:textId="34CD078F" w:rsidR="1121D1D1" w:rsidRDefault="04C76567" w:rsidP="238CA98D">
            <w:pPr>
              <w:rPr>
                <w:rFonts w:ascii="Arial" w:eastAsia="Arial" w:hAnsi="Arial" w:cs="Arial"/>
                <w:sz w:val="24"/>
                <w:szCs w:val="24"/>
              </w:rPr>
            </w:pPr>
            <w:r w:rsidRPr="238CA98D">
              <w:rPr>
                <w:rFonts w:ascii="Arial" w:eastAsia="Arial" w:hAnsi="Arial" w:cs="Arial"/>
                <w:sz w:val="24"/>
                <w:szCs w:val="24"/>
              </w:rPr>
              <w:t>I learnt to use E-Datix very quickly</w:t>
            </w:r>
          </w:p>
        </w:tc>
        <w:tc>
          <w:tcPr>
            <w:tcW w:w="1155" w:type="dxa"/>
          </w:tcPr>
          <w:p w14:paraId="6B1EBD60" w14:textId="7DC7A9A6" w:rsidR="744F794B" w:rsidRDefault="744F794B" w:rsidP="238CA98D">
            <w:pPr>
              <w:rPr>
                <w:rFonts w:ascii="Arial" w:eastAsia="Arial" w:hAnsi="Arial" w:cs="Arial"/>
                <w:sz w:val="24"/>
                <w:szCs w:val="24"/>
              </w:rPr>
            </w:pPr>
          </w:p>
        </w:tc>
        <w:tc>
          <w:tcPr>
            <w:tcW w:w="990" w:type="dxa"/>
          </w:tcPr>
          <w:p w14:paraId="3806AA65" w14:textId="1F3C84BC" w:rsidR="744F794B" w:rsidRDefault="744F794B" w:rsidP="238CA98D">
            <w:pPr>
              <w:rPr>
                <w:rFonts w:ascii="Arial" w:eastAsia="Arial" w:hAnsi="Arial" w:cs="Arial"/>
                <w:sz w:val="24"/>
                <w:szCs w:val="24"/>
              </w:rPr>
            </w:pPr>
          </w:p>
        </w:tc>
        <w:tc>
          <w:tcPr>
            <w:tcW w:w="1072" w:type="dxa"/>
          </w:tcPr>
          <w:p w14:paraId="6456607E" w14:textId="72CF3E08" w:rsidR="744F794B" w:rsidRDefault="744F794B" w:rsidP="238CA98D">
            <w:pPr>
              <w:rPr>
                <w:rFonts w:ascii="Arial" w:eastAsia="Arial" w:hAnsi="Arial" w:cs="Arial"/>
                <w:sz w:val="24"/>
                <w:szCs w:val="24"/>
              </w:rPr>
            </w:pPr>
          </w:p>
        </w:tc>
        <w:tc>
          <w:tcPr>
            <w:tcW w:w="1072" w:type="dxa"/>
          </w:tcPr>
          <w:p w14:paraId="067D97FB" w14:textId="6E9FB5EA" w:rsidR="744F794B" w:rsidRDefault="744F794B" w:rsidP="238CA98D">
            <w:pPr>
              <w:rPr>
                <w:rFonts w:ascii="Arial" w:eastAsia="Arial" w:hAnsi="Arial" w:cs="Arial"/>
                <w:sz w:val="24"/>
                <w:szCs w:val="24"/>
              </w:rPr>
            </w:pPr>
          </w:p>
        </w:tc>
        <w:tc>
          <w:tcPr>
            <w:tcW w:w="1072" w:type="dxa"/>
          </w:tcPr>
          <w:p w14:paraId="487C9CA3" w14:textId="3730A53B" w:rsidR="744F794B" w:rsidRDefault="744F794B" w:rsidP="238CA98D">
            <w:pPr>
              <w:rPr>
                <w:rFonts w:ascii="Arial" w:eastAsia="Arial" w:hAnsi="Arial" w:cs="Arial"/>
                <w:sz w:val="24"/>
                <w:szCs w:val="24"/>
              </w:rPr>
            </w:pPr>
          </w:p>
        </w:tc>
      </w:tr>
      <w:tr w:rsidR="744F794B" w14:paraId="3F3E127E" w14:textId="77777777" w:rsidTr="238CA98D">
        <w:tc>
          <w:tcPr>
            <w:tcW w:w="3765" w:type="dxa"/>
          </w:tcPr>
          <w:p w14:paraId="18D02DA2" w14:textId="16C1D61D" w:rsidR="1121D1D1" w:rsidRDefault="04C76567" w:rsidP="238CA98D">
            <w:pPr>
              <w:rPr>
                <w:rFonts w:ascii="Arial" w:eastAsia="Arial" w:hAnsi="Arial" w:cs="Arial"/>
                <w:sz w:val="24"/>
                <w:szCs w:val="24"/>
              </w:rPr>
            </w:pPr>
            <w:r w:rsidRPr="238CA98D">
              <w:rPr>
                <w:rFonts w:ascii="Arial" w:eastAsia="Arial" w:hAnsi="Arial" w:cs="Arial"/>
                <w:sz w:val="24"/>
                <w:szCs w:val="24"/>
              </w:rPr>
              <w:t>I find E-Datix very awkward to use</w:t>
            </w:r>
          </w:p>
        </w:tc>
        <w:tc>
          <w:tcPr>
            <w:tcW w:w="1155" w:type="dxa"/>
          </w:tcPr>
          <w:p w14:paraId="4DC583D1" w14:textId="1C1682EB" w:rsidR="744F794B" w:rsidRDefault="744F794B" w:rsidP="238CA98D">
            <w:pPr>
              <w:rPr>
                <w:rFonts w:ascii="Arial" w:eastAsia="Arial" w:hAnsi="Arial" w:cs="Arial"/>
                <w:sz w:val="24"/>
                <w:szCs w:val="24"/>
              </w:rPr>
            </w:pPr>
          </w:p>
        </w:tc>
        <w:tc>
          <w:tcPr>
            <w:tcW w:w="990" w:type="dxa"/>
          </w:tcPr>
          <w:p w14:paraId="420F695F" w14:textId="16ACA526" w:rsidR="744F794B" w:rsidRDefault="744F794B" w:rsidP="238CA98D">
            <w:pPr>
              <w:rPr>
                <w:rFonts w:ascii="Arial" w:eastAsia="Arial" w:hAnsi="Arial" w:cs="Arial"/>
                <w:sz w:val="24"/>
                <w:szCs w:val="24"/>
              </w:rPr>
            </w:pPr>
          </w:p>
        </w:tc>
        <w:tc>
          <w:tcPr>
            <w:tcW w:w="1072" w:type="dxa"/>
          </w:tcPr>
          <w:p w14:paraId="37EFD30E" w14:textId="14B7CDE5" w:rsidR="744F794B" w:rsidRDefault="744F794B" w:rsidP="238CA98D">
            <w:pPr>
              <w:rPr>
                <w:rFonts w:ascii="Arial" w:eastAsia="Arial" w:hAnsi="Arial" w:cs="Arial"/>
                <w:sz w:val="24"/>
                <w:szCs w:val="24"/>
              </w:rPr>
            </w:pPr>
          </w:p>
        </w:tc>
        <w:tc>
          <w:tcPr>
            <w:tcW w:w="1072" w:type="dxa"/>
          </w:tcPr>
          <w:p w14:paraId="1C5A2FE3" w14:textId="14FE0E53" w:rsidR="744F794B" w:rsidRDefault="744F794B" w:rsidP="238CA98D">
            <w:pPr>
              <w:rPr>
                <w:rFonts w:ascii="Arial" w:eastAsia="Arial" w:hAnsi="Arial" w:cs="Arial"/>
                <w:sz w:val="24"/>
                <w:szCs w:val="24"/>
              </w:rPr>
            </w:pPr>
          </w:p>
        </w:tc>
        <w:tc>
          <w:tcPr>
            <w:tcW w:w="1072" w:type="dxa"/>
          </w:tcPr>
          <w:p w14:paraId="649E20D5" w14:textId="751E175B" w:rsidR="744F794B" w:rsidRDefault="744F794B" w:rsidP="238CA98D">
            <w:pPr>
              <w:rPr>
                <w:rFonts w:ascii="Arial" w:eastAsia="Arial" w:hAnsi="Arial" w:cs="Arial"/>
                <w:sz w:val="24"/>
                <w:szCs w:val="24"/>
              </w:rPr>
            </w:pPr>
          </w:p>
        </w:tc>
      </w:tr>
      <w:tr w:rsidR="744F794B" w14:paraId="61019586" w14:textId="77777777" w:rsidTr="238CA98D">
        <w:tc>
          <w:tcPr>
            <w:tcW w:w="3765" w:type="dxa"/>
          </w:tcPr>
          <w:p w14:paraId="7838947F" w14:textId="0C9E7056" w:rsidR="1121D1D1" w:rsidRDefault="04C76567" w:rsidP="238CA98D">
            <w:pPr>
              <w:rPr>
                <w:rFonts w:ascii="Arial" w:eastAsia="Arial" w:hAnsi="Arial" w:cs="Arial"/>
                <w:sz w:val="24"/>
                <w:szCs w:val="24"/>
              </w:rPr>
            </w:pPr>
            <w:r w:rsidRPr="238CA98D">
              <w:rPr>
                <w:rFonts w:ascii="Arial" w:eastAsia="Arial" w:hAnsi="Arial" w:cs="Arial"/>
                <w:sz w:val="24"/>
                <w:szCs w:val="24"/>
              </w:rPr>
              <w:t>I feel very confident using E-Datix</w:t>
            </w:r>
          </w:p>
        </w:tc>
        <w:tc>
          <w:tcPr>
            <w:tcW w:w="1155" w:type="dxa"/>
          </w:tcPr>
          <w:p w14:paraId="18C07425" w14:textId="1D3191FF" w:rsidR="744F794B" w:rsidRDefault="744F794B" w:rsidP="238CA98D">
            <w:pPr>
              <w:rPr>
                <w:rFonts w:ascii="Arial" w:eastAsia="Arial" w:hAnsi="Arial" w:cs="Arial"/>
                <w:sz w:val="24"/>
                <w:szCs w:val="24"/>
              </w:rPr>
            </w:pPr>
          </w:p>
        </w:tc>
        <w:tc>
          <w:tcPr>
            <w:tcW w:w="990" w:type="dxa"/>
          </w:tcPr>
          <w:p w14:paraId="79E7ACCC" w14:textId="065A4861" w:rsidR="744F794B" w:rsidRDefault="744F794B" w:rsidP="238CA98D">
            <w:pPr>
              <w:rPr>
                <w:rFonts w:ascii="Arial" w:eastAsia="Arial" w:hAnsi="Arial" w:cs="Arial"/>
                <w:sz w:val="24"/>
                <w:szCs w:val="24"/>
              </w:rPr>
            </w:pPr>
          </w:p>
        </w:tc>
        <w:tc>
          <w:tcPr>
            <w:tcW w:w="1072" w:type="dxa"/>
          </w:tcPr>
          <w:p w14:paraId="23D4FF98" w14:textId="6B700711" w:rsidR="744F794B" w:rsidRDefault="744F794B" w:rsidP="238CA98D">
            <w:pPr>
              <w:rPr>
                <w:rFonts w:ascii="Arial" w:eastAsia="Arial" w:hAnsi="Arial" w:cs="Arial"/>
                <w:sz w:val="24"/>
                <w:szCs w:val="24"/>
              </w:rPr>
            </w:pPr>
          </w:p>
        </w:tc>
        <w:tc>
          <w:tcPr>
            <w:tcW w:w="1072" w:type="dxa"/>
          </w:tcPr>
          <w:p w14:paraId="18D0D635" w14:textId="6F67BE3C" w:rsidR="744F794B" w:rsidRDefault="744F794B" w:rsidP="238CA98D">
            <w:pPr>
              <w:rPr>
                <w:rFonts w:ascii="Arial" w:eastAsia="Arial" w:hAnsi="Arial" w:cs="Arial"/>
                <w:sz w:val="24"/>
                <w:szCs w:val="24"/>
              </w:rPr>
            </w:pPr>
          </w:p>
        </w:tc>
        <w:tc>
          <w:tcPr>
            <w:tcW w:w="1072" w:type="dxa"/>
          </w:tcPr>
          <w:p w14:paraId="035F14B5" w14:textId="1E681732" w:rsidR="744F794B" w:rsidRDefault="744F794B" w:rsidP="238CA98D">
            <w:pPr>
              <w:rPr>
                <w:rFonts w:ascii="Arial" w:eastAsia="Arial" w:hAnsi="Arial" w:cs="Arial"/>
                <w:sz w:val="24"/>
                <w:szCs w:val="24"/>
              </w:rPr>
            </w:pPr>
          </w:p>
        </w:tc>
      </w:tr>
      <w:tr w:rsidR="744F794B" w14:paraId="7400E23D" w14:textId="77777777" w:rsidTr="238CA98D">
        <w:tc>
          <w:tcPr>
            <w:tcW w:w="3765" w:type="dxa"/>
          </w:tcPr>
          <w:p w14:paraId="5F0FCEEB" w14:textId="53791D73" w:rsidR="1121D1D1" w:rsidRDefault="1FE117A9" w:rsidP="238CA98D">
            <w:pPr>
              <w:rPr>
                <w:rFonts w:ascii="Arial" w:eastAsia="Arial" w:hAnsi="Arial" w:cs="Arial"/>
                <w:sz w:val="24"/>
                <w:szCs w:val="24"/>
              </w:rPr>
            </w:pPr>
            <w:r w:rsidRPr="238CA98D">
              <w:rPr>
                <w:rFonts w:ascii="Arial" w:eastAsia="Arial" w:hAnsi="Arial" w:cs="Arial"/>
                <w:sz w:val="24"/>
                <w:szCs w:val="24"/>
              </w:rPr>
              <w:t>I needed to learn a lot of things before I could get going with E-Datix</w:t>
            </w:r>
          </w:p>
        </w:tc>
        <w:tc>
          <w:tcPr>
            <w:tcW w:w="1155" w:type="dxa"/>
          </w:tcPr>
          <w:p w14:paraId="0EC5B7AE" w14:textId="7163CD57" w:rsidR="744F794B" w:rsidRDefault="744F794B" w:rsidP="238CA98D">
            <w:pPr>
              <w:rPr>
                <w:rFonts w:ascii="Arial" w:eastAsia="Arial" w:hAnsi="Arial" w:cs="Arial"/>
                <w:sz w:val="24"/>
                <w:szCs w:val="24"/>
              </w:rPr>
            </w:pPr>
          </w:p>
        </w:tc>
        <w:tc>
          <w:tcPr>
            <w:tcW w:w="990" w:type="dxa"/>
          </w:tcPr>
          <w:p w14:paraId="418AD8CB" w14:textId="718C9E18" w:rsidR="744F794B" w:rsidRDefault="744F794B" w:rsidP="238CA98D">
            <w:pPr>
              <w:rPr>
                <w:rFonts w:ascii="Arial" w:eastAsia="Arial" w:hAnsi="Arial" w:cs="Arial"/>
                <w:sz w:val="24"/>
                <w:szCs w:val="24"/>
              </w:rPr>
            </w:pPr>
          </w:p>
        </w:tc>
        <w:tc>
          <w:tcPr>
            <w:tcW w:w="1072" w:type="dxa"/>
          </w:tcPr>
          <w:p w14:paraId="449C31E7" w14:textId="0515B4AB" w:rsidR="744F794B" w:rsidRDefault="744F794B" w:rsidP="238CA98D">
            <w:pPr>
              <w:rPr>
                <w:rFonts w:ascii="Arial" w:eastAsia="Arial" w:hAnsi="Arial" w:cs="Arial"/>
                <w:sz w:val="24"/>
                <w:szCs w:val="24"/>
              </w:rPr>
            </w:pPr>
          </w:p>
        </w:tc>
        <w:tc>
          <w:tcPr>
            <w:tcW w:w="1072" w:type="dxa"/>
          </w:tcPr>
          <w:p w14:paraId="36ECBACE" w14:textId="72F7AE6E" w:rsidR="744F794B" w:rsidRDefault="744F794B" w:rsidP="238CA98D">
            <w:pPr>
              <w:rPr>
                <w:rFonts w:ascii="Arial" w:eastAsia="Arial" w:hAnsi="Arial" w:cs="Arial"/>
                <w:sz w:val="24"/>
                <w:szCs w:val="24"/>
              </w:rPr>
            </w:pPr>
          </w:p>
        </w:tc>
        <w:tc>
          <w:tcPr>
            <w:tcW w:w="1072" w:type="dxa"/>
          </w:tcPr>
          <w:p w14:paraId="6D498293" w14:textId="4B257EEF" w:rsidR="744F794B" w:rsidRDefault="744F794B" w:rsidP="238CA98D">
            <w:pPr>
              <w:rPr>
                <w:rFonts w:ascii="Arial" w:eastAsia="Arial" w:hAnsi="Arial" w:cs="Arial"/>
                <w:sz w:val="24"/>
                <w:szCs w:val="24"/>
              </w:rPr>
            </w:pPr>
          </w:p>
        </w:tc>
      </w:tr>
      <w:tr w:rsidR="744F794B" w14:paraId="2572FECC" w14:textId="77777777" w:rsidTr="238CA98D">
        <w:tc>
          <w:tcPr>
            <w:tcW w:w="9126" w:type="dxa"/>
            <w:gridSpan w:val="6"/>
          </w:tcPr>
          <w:p w14:paraId="5B285E7F" w14:textId="304D349D" w:rsidR="1BB51C05" w:rsidRDefault="60672E85" w:rsidP="238CA98D">
            <w:pPr>
              <w:jc w:val="right"/>
              <w:rPr>
                <w:rFonts w:ascii="Arial" w:eastAsia="Arial" w:hAnsi="Arial" w:cs="Arial"/>
                <w:i/>
                <w:iCs/>
                <w:sz w:val="24"/>
                <w:szCs w:val="24"/>
              </w:rPr>
            </w:pPr>
            <w:r w:rsidRPr="238CA98D">
              <w:rPr>
                <w:rFonts w:ascii="Arial" w:eastAsia="Arial" w:hAnsi="Arial" w:cs="Arial"/>
                <w:i/>
                <w:iCs/>
                <w:sz w:val="24"/>
                <w:szCs w:val="24"/>
              </w:rPr>
              <w:t>Adapted from Brooke (1996)</w:t>
            </w:r>
          </w:p>
        </w:tc>
      </w:tr>
    </w:tbl>
    <w:p w14:paraId="54896321" w14:textId="1FA92D61" w:rsidR="744F794B" w:rsidRDefault="744F794B" w:rsidP="238CA98D">
      <w:pPr>
        <w:rPr>
          <w:rFonts w:ascii="Arial" w:eastAsia="Arial" w:hAnsi="Arial" w:cs="Arial"/>
          <w:sz w:val="24"/>
          <w:szCs w:val="24"/>
        </w:rPr>
      </w:pPr>
    </w:p>
    <w:p w14:paraId="6927AB90" w14:textId="3421B0EF" w:rsidR="744F794B" w:rsidRDefault="5699E102" w:rsidP="238CA98D">
      <w:pPr>
        <w:rPr>
          <w:rFonts w:ascii="Arial" w:eastAsia="Arial" w:hAnsi="Arial" w:cs="Arial"/>
          <w:sz w:val="24"/>
          <w:szCs w:val="24"/>
        </w:rPr>
      </w:pPr>
      <w:r w:rsidRPr="238CA98D">
        <w:rPr>
          <w:rFonts w:ascii="Arial" w:eastAsia="Arial" w:hAnsi="Arial" w:cs="Arial"/>
          <w:sz w:val="24"/>
          <w:szCs w:val="24"/>
        </w:rPr>
        <w:t xml:space="preserve">In addition to the 9 statements used to establish the SUS, respondents were asked how they </w:t>
      </w:r>
      <w:r w:rsidR="153EC634" w:rsidRPr="238CA98D">
        <w:rPr>
          <w:rFonts w:ascii="Arial" w:eastAsia="Arial" w:hAnsi="Arial" w:cs="Arial"/>
          <w:sz w:val="24"/>
          <w:szCs w:val="24"/>
        </w:rPr>
        <w:t xml:space="preserve">primarily used the system to </w:t>
      </w:r>
      <w:r w:rsidR="2A2C9C9B" w:rsidRPr="238CA98D">
        <w:rPr>
          <w:rFonts w:ascii="Arial" w:eastAsia="Arial" w:hAnsi="Arial" w:cs="Arial"/>
          <w:sz w:val="24"/>
          <w:szCs w:val="24"/>
        </w:rPr>
        <w:t xml:space="preserve">identify which of the 3 major user groups they belonged to. </w:t>
      </w:r>
      <w:r w:rsidR="3CDC2DA5" w:rsidRPr="238CA98D">
        <w:rPr>
          <w:rFonts w:ascii="Arial" w:eastAsia="Arial" w:hAnsi="Arial" w:cs="Arial"/>
          <w:sz w:val="24"/>
          <w:szCs w:val="24"/>
        </w:rPr>
        <w:t xml:space="preserve">Responses were collected anonymously using Microsoft Forms. Participant information was provided within the introduction to the survey explaining how their responses would be stored and analysed. </w:t>
      </w:r>
    </w:p>
    <w:p w14:paraId="401B6A60" w14:textId="0ED6E539" w:rsidR="23748E3B" w:rsidRDefault="23748E3B" w:rsidP="238CA98D">
      <w:pPr>
        <w:rPr>
          <w:rFonts w:ascii="Arial" w:eastAsia="Arial" w:hAnsi="Arial" w:cs="Arial"/>
          <w:sz w:val="24"/>
          <w:szCs w:val="24"/>
        </w:rPr>
      </w:pPr>
    </w:p>
    <w:p w14:paraId="026AFAF1" w14:textId="1C31145C" w:rsidR="23748E3B" w:rsidRDefault="23748E3B" w:rsidP="238CA98D">
      <w:pPr>
        <w:rPr>
          <w:rFonts w:ascii="Arial" w:eastAsia="Arial" w:hAnsi="Arial" w:cs="Arial"/>
          <w:b/>
          <w:bCs/>
          <w:sz w:val="24"/>
          <w:szCs w:val="24"/>
        </w:rPr>
      </w:pPr>
      <w:r w:rsidRPr="238CA98D">
        <w:rPr>
          <w:rFonts w:ascii="Arial" w:eastAsia="Arial" w:hAnsi="Arial" w:cs="Arial"/>
          <w:b/>
          <w:bCs/>
          <w:sz w:val="28"/>
          <w:szCs w:val="28"/>
        </w:rPr>
        <w:t>Results</w:t>
      </w:r>
      <w:r>
        <w:br/>
      </w:r>
      <w:r>
        <w:br/>
      </w:r>
      <w:r w:rsidRPr="238CA98D">
        <w:rPr>
          <w:rFonts w:ascii="Arial" w:eastAsia="Arial" w:hAnsi="Arial" w:cs="Arial"/>
          <w:b/>
          <w:bCs/>
          <w:i/>
          <w:iCs/>
          <w:sz w:val="24"/>
          <w:szCs w:val="24"/>
        </w:rPr>
        <w:t>Task</w:t>
      </w:r>
    </w:p>
    <w:p w14:paraId="18B9013B" w14:textId="24AC8E83"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Patient safety incident reporting rates were analysed for the period April 2020 – March 2021, which were the most recently published full-year data. These data are shown in Table 2. </w:t>
      </w:r>
      <w:r>
        <w:br/>
      </w:r>
    </w:p>
    <w:tbl>
      <w:tblPr>
        <w:tblStyle w:val="TableGrid"/>
        <w:tblW w:w="0" w:type="auto"/>
        <w:tblLayout w:type="fixed"/>
        <w:tblLook w:val="06A0" w:firstRow="1" w:lastRow="0" w:firstColumn="1" w:lastColumn="0" w:noHBand="1" w:noVBand="1"/>
      </w:tblPr>
      <w:tblGrid>
        <w:gridCol w:w="2254"/>
        <w:gridCol w:w="2254"/>
        <w:gridCol w:w="2254"/>
        <w:gridCol w:w="2254"/>
      </w:tblGrid>
      <w:tr w:rsidR="23748E3B" w14:paraId="208B497C" w14:textId="77777777" w:rsidTr="238CA98D">
        <w:tc>
          <w:tcPr>
            <w:tcW w:w="9016" w:type="dxa"/>
            <w:gridSpan w:val="4"/>
            <w:vAlign w:val="center"/>
          </w:tcPr>
          <w:p w14:paraId="6E29C4ED" w14:textId="2A1574C1" w:rsidR="23748E3B" w:rsidRDefault="23748E3B" w:rsidP="238CA98D">
            <w:pPr>
              <w:rPr>
                <w:rFonts w:ascii="Arial" w:eastAsia="Arial" w:hAnsi="Arial" w:cs="Arial"/>
                <w:sz w:val="24"/>
                <w:szCs w:val="24"/>
              </w:rPr>
            </w:pPr>
            <w:r w:rsidRPr="238CA98D">
              <w:rPr>
                <w:rFonts w:ascii="Arial" w:eastAsia="Arial" w:hAnsi="Arial" w:cs="Arial"/>
                <w:b/>
                <w:bCs/>
                <w:sz w:val="24"/>
                <w:szCs w:val="24"/>
              </w:rPr>
              <w:t>Table 2 – NHS Wales patient safety incident reporting data</w:t>
            </w:r>
          </w:p>
        </w:tc>
      </w:tr>
      <w:tr w:rsidR="23748E3B" w14:paraId="7016D63B" w14:textId="77777777" w:rsidTr="238CA98D">
        <w:tc>
          <w:tcPr>
            <w:tcW w:w="2254" w:type="dxa"/>
          </w:tcPr>
          <w:p w14:paraId="674A32C2" w14:textId="7C9540C0" w:rsidR="23748E3B" w:rsidRDefault="23748E3B" w:rsidP="238CA98D">
            <w:pPr>
              <w:rPr>
                <w:rFonts w:ascii="Arial" w:eastAsia="Arial" w:hAnsi="Arial" w:cs="Arial"/>
                <w:sz w:val="24"/>
                <w:szCs w:val="24"/>
              </w:rPr>
            </w:pPr>
            <w:r w:rsidRPr="238CA98D">
              <w:rPr>
                <w:rFonts w:ascii="Arial" w:eastAsia="Arial" w:hAnsi="Arial" w:cs="Arial"/>
                <w:sz w:val="24"/>
                <w:szCs w:val="24"/>
              </w:rPr>
              <w:t>Organisation</w:t>
            </w:r>
          </w:p>
        </w:tc>
        <w:tc>
          <w:tcPr>
            <w:tcW w:w="2254" w:type="dxa"/>
          </w:tcPr>
          <w:p w14:paraId="41255D3E" w14:textId="746FAA01" w:rsidR="23748E3B" w:rsidRDefault="23748E3B" w:rsidP="238CA98D">
            <w:pPr>
              <w:rPr>
                <w:rFonts w:ascii="Arial" w:eastAsia="Arial" w:hAnsi="Arial" w:cs="Arial"/>
                <w:sz w:val="24"/>
                <w:szCs w:val="24"/>
              </w:rPr>
            </w:pPr>
            <w:r w:rsidRPr="238CA98D">
              <w:rPr>
                <w:rFonts w:ascii="Arial" w:eastAsia="Arial" w:hAnsi="Arial" w:cs="Arial"/>
                <w:sz w:val="24"/>
                <w:szCs w:val="24"/>
              </w:rPr>
              <w:t>Number of incidents occurring</w:t>
            </w:r>
          </w:p>
        </w:tc>
        <w:tc>
          <w:tcPr>
            <w:tcW w:w="2254" w:type="dxa"/>
          </w:tcPr>
          <w:p w14:paraId="0D642AC7" w14:textId="0A66B2D0" w:rsidR="23748E3B" w:rsidRDefault="23748E3B" w:rsidP="238CA98D">
            <w:pPr>
              <w:rPr>
                <w:rFonts w:ascii="Arial" w:eastAsia="Arial" w:hAnsi="Arial" w:cs="Arial"/>
                <w:sz w:val="24"/>
                <w:szCs w:val="24"/>
              </w:rPr>
            </w:pPr>
            <w:r w:rsidRPr="238CA98D">
              <w:rPr>
                <w:rFonts w:ascii="Arial" w:eastAsia="Arial" w:hAnsi="Arial" w:cs="Arial"/>
                <w:sz w:val="24"/>
                <w:szCs w:val="24"/>
              </w:rPr>
              <w:t>Population</w:t>
            </w:r>
          </w:p>
        </w:tc>
        <w:tc>
          <w:tcPr>
            <w:tcW w:w="2254" w:type="dxa"/>
          </w:tcPr>
          <w:p w14:paraId="37CF311A" w14:textId="7F9AA7AC" w:rsidR="23748E3B" w:rsidRDefault="23748E3B" w:rsidP="238CA98D">
            <w:pPr>
              <w:rPr>
                <w:rFonts w:ascii="Arial" w:eastAsia="Arial" w:hAnsi="Arial" w:cs="Arial"/>
                <w:sz w:val="24"/>
                <w:szCs w:val="24"/>
              </w:rPr>
            </w:pPr>
            <w:r w:rsidRPr="238CA98D">
              <w:rPr>
                <w:rFonts w:ascii="Arial" w:eastAsia="Arial" w:hAnsi="Arial" w:cs="Arial"/>
                <w:sz w:val="24"/>
                <w:szCs w:val="24"/>
              </w:rPr>
              <w:t>Rate per 10,000 population</w:t>
            </w:r>
          </w:p>
        </w:tc>
      </w:tr>
      <w:tr w:rsidR="23748E3B" w14:paraId="4C584193" w14:textId="77777777" w:rsidTr="238CA98D">
        <w:tc>
          <w:tcPr>
            <w:tcW w:w="2254" w:type="dxa"/>
          </w:tcPr>
          <w:p w14:paraId="00412985" w14:textId="11400572" w:rsidR="23748E3B" w:rsidRDefault="23748E3B" w:rsidP="238CA98D">
            <w:pPr>
              <w:rPr>
                <w:rFonts w:ascii="Arial" w:eastAsia="Arial" w:hAnsi="Arial" w:cs="Arial"/>
                <w:sz w:val="24"/>
                <w:szCs w:val="24"/>
              </w:rPr>
            </w:pPr>
            <w:r w:rsidRPr="238CA98D">
              <w:rPr>
                <w:rFonts w:ascii="Arial" w:eastAsia="Arial" w:hAnsi="Arial" w:cs="Arial"/>
                <w:sz w:val="24"/>
                <w:szCs w:val="24"/>
              </w:rPr>
              <w:t>Aneurin Bevan University Local Health Board</w:t>
            </w:r>
          </w:p>
        </w:tc>
        <w:tc>
          <w:tcPr>
            <w:tcW w:w="2254" w:type="dxa"/>
          </w:tcPr>
          <w:p w14:paraId="4C3D7A82" w14:textId="56F5315F" w:rsidR="23748E3B" w:rsidRDefault="23748E3B" w:rsidP="238CA98D">
            <w:pPr>
              <w:rPr>
                <w:rFonts w:ascii="Arial" w:eastAsia="Arial" w:hAnsi="Arial" w:cs="Arial"/>
                <w:sz w:val="24"/>
                <w:szCs w:val="24"/>
              </w:rPr>
            </w:pPr>
            <w:r w:rsidRPr="238CA98D">
              <w:rPr>
                <w:rFonts w:ascii="Arial" w:eastAsia="Arial" w:hAnsi="Arial" w:cs="Arial"/>
                <w:sz w:val="24"/>
                <w:szCs w:val="24"/>
              </w:rPr>
              <w:t>17,131</w:t>
            </w:r>
          </w:p>
        </w:tc>
        <w:tc>
          <w:tcPr>
            <w:tcW w:w="2254" w:type="dxa"/>
          </w:tcPr>
          <w:p w14:paraId="27E557D7" w14:textId="542025A3" w:rsidR="23748E3B" w:rsidRDefault="23748E3B" w:rsidP="238CA98D">
            <w:pPr>
              <w:rPr>
                <w:rFonts w:ascii="Arial" w:eastAsia="Arial" w:hAnsi="Arial" w:cs="Arial"/>
                <w:sz w:val="24"/>
                <w:szCs w:val="24"/>
              </w:rPr>
            </w:pPr>
            <w:r w:rsidRPr="238CA98D">
              <w:rPr>
                <w:rFonts w:ascii="Arial" w:eastAsia="Arial" w:hAnsi="Arial" w:cs="Arial"/>
                <w:sz w:val="24"/>
                <w:szCs w:val="24"/>
              </w:rPr>
              <w:t>598,194</w:t>
            </w:r>
          </w:p>
        </w:tc>
        <w:tc>
          <w:tcPr>
            <w:tcW w:w="2254" w:type="dxa"/>
          </w:tcPr>
          <w:p w14:paraId="605ABA84" w14:textId="1D309849" w:rsidR="23748E3B" w:rsidRDefault="23748E3B" w:rsidP="238CA98D">
            <w:pPr>
              <w:rPr>
                <w:rFonts w:ascii="Arial" w:eastAsia="Arial" w:hAnsi="Arial" w:cs="Arial"/>
                <w:sz w:val="24"/>
                <w:szCs w:val="24"/>
              </w:rPr>
            </w:pPr>
            <w:r w:rsidRPr="238CA98D">
              <w:rPr>
                <w:rFonts w:ascii="Arial" w:eastAsia="Arial" w:hAnsi="Arial" w:cs="Arial"/>
                <w:sz w:val="24"/>
                <w:szCs w:val="24"/>
              </w:rPr>
              <w:t>286.4</w:t>
            </w:r>
          </w:p>
        </w:tc>
      </w:tr>
      <w:tr w:rsidR="23748E3B" w14:paraId="05D37874" w14:textId="77777777" w:rsidTr="238CA98D">
        <w:tc>
          <w:tcPr>
            <w:tcW w:w="2254" w:type="dxa"/>
          </w:tcPr>
          <w:p w14:paraId="071EA3DA" w14:textId="1EC77BCD" w:rsidR="23748E3B" w:rsidRDefault="23748E3B" w:rsidP="238CA98D">
            <w:pPr>
              <w:rPr>
                <w:rFonts w:ascii="Arial" w:eastAsia="Arial" w:hAnsi="Arial" w:cs="Arial"/>
                <w:sz w:val="24"/>
                <w:szCs w:val="24"/>
              </w:rPr>
            </w:pPr>
            <w:r w:rsidRPr="238CA98D">
              <w:rPr>
                <w:rFonts w:ascii="Arial" w:eastAsia="Arial" w:hAnsi="Arial" w:cs="Arial"/>
                <w:sz w:val="24"/>
                <w:szCs w:val="24"/>
              </w:rPr>
              <w:lastRenderedPageBreak/>
              <w:t>Betsi Cadwaladr University Local Health Board</w:t>
            </w:r>
          </w:p>
        </w:tc>
        <w:tc>
          <w:tcPr>
            <w:tcW w:w="2254" w:type="dxa"/>
          </w:tcPr>
          <w:p w14:paraId="3FCE553E" w14:textId="27505CF7" w:rsidR="23748E3B" w:rsidRDefault="23748E3B" w:rsidP="238CA98D">
            <w:pPr>
              <w:rPr>
                <w:rFonts w:ascii="Arial" w:eastAsia="Arial" w:hAnsi="Arial" w:cs="Arial"/>
                <w:sz w:val="24"/>
                <w:szCs w:val="24"/>
              </w:rPr>
            </w:pPr>
            <w:r w:rsidRPr="238CA98D">
              <w:rPr>
                <w:rFonts w:ascii="Arial" w:eastAsia="Arial" w:hAnsi="Arial" w:cs="Arial"/>
                <w:sz w:val="24"/>
                <w:szCs w:val="24"/>
              </w:rPr>
              <w:t>24,326</w:t>
            </w:r>
          </w:p>
        </w:tc>
        <w:tc>
          <w:tcPr>
            <w:tcW w:w="2254" w:type="dxa"/>
          </w:tcPr>
          <w:p w14:paraId="35D38A1A" w14:textId="49642688" w:rsidR="23748E3B" w:rsidRDefault="23748E3B" w:rsidP="238CA98D">
            <w:pPr>
              <w:rPr>
                <w:rFonts w:ascii="Arial" w:eastAsia="Arial" w:hAnsi="Arial" w:cs="Arial"/>
                <w:sz w:val="24"/>
                <w:szCs w:val="24"/>
              </w:rPr>
            </w:pPr>
            <w:r w:rsidRPr="238CA98D">
              <w:rPr>
                <w:rFonts w:ascii="Arial" w:eastAsia="Arial" w:hAnsi="Arial" w:cs="Arial"/>
                <w:sz w:val="24"/>
                <w:szCs w:val="24"/>
              </w:rPr>
              <w:t>703,361</w:t>
            </w:r>
          </w:p>
        </w:tc>
        <w:tc>
          <w:tcPr>
            <w:tcW w:w="2254" w:type="dxa"/>
          </w:tcPr>
          <w:p w14:paraId="0B0B4787" w14:textId="21FEA7B9" w:rsidR="23748E3B" w:rsidRDefault="23748E3B" w:rsidP="238CA98D">
            <w:pPr>
              <w:rPr>
                <w:rFonts w:ascii="Arial" w:eastAsia="Arial" w:hAnsi="Arial" w:cs="Arial"/>
                <w:sz w:val="24"/>
                <w:szCs w:val="24"/>
              </w:rPr>
            </w:pPr>
            <w:r w:rsidRPr="238CA98D">
              <w:rPr>
                <w:rFonts w:ascii="Arial" w:eastAsia="Arial" w:hAnsi="Arial" w:cs="Arial"/>
                <w:sz w:val="24"/>
                <w:szCs w:val="24"/>
              </w:rPr>
              <w:t>345.9</w:t>
            </w:r>
          </w:p>
        </w:tc>
      </w:tr>
      <w:tr w:rsidR="23748E3B" w14:paraId="4D6EB40A" w14:textId="77777777" w:rsidTr="238CA98D">
        <w:tc>
          <w:tcPr>
            <w:tcW w:w="2254" w:type="dxa"/>
          </w:tcPr>
          <w:p w14:paraId="2D8E334F" w14:textId="6E449365" w:rsidR="23748E3B" w:rsidRDefault="23748E3B" w:rsidP="238CA98D">
            <w:pPr>
              <w:rPr>
                <w:rFonts w:ascii="Arial" w:eastAsia="Arial" w:hAnsi="Arial" w:cs="Arial"/>
                <w:sz w:val="24"/>
                <w:szCs w:val="24"/>
              </w:rPr>
            </w:pPr>
            <w:r w:rsidRPr="238CA98D">
              <w:rPr>
                <w:rFonts w:ascii="Arial" w:eastAsia="Arial" w:hAnsi="Arial" w:cs="Arial"/>
                <w:sz w:val="24"/>
                <w:szCs w:val="24"/>
              </w:rPr>
              <w:t>Cardiff and Vale University Local Health Board*</w:t>
            </w:r>
          </w:p>
        </w:tc>
        <w:tc>
          <w:tcPr>
            <w:tcW w:w="2254" w:type="dxa"/>
          </w:tcPr>
          <w:p w14:paraId="7EBDE6CD" w14:textId="7B369142" w:rsidR="23748E3B" w:rsidRDefault="23748E3B" w:rsidP="238CA98D">
            <w:pPr>
              <w:rPr>
                <w:rFonts w:ascii="Arial" w:eastAsia="Arial" w:hAnsi="Arial" w:cs="Arial"/>
                <w:sz w:val="24"/>
                <w:szCs w:val="24"/>
              </w:rPr>
            </w:pPr>
            <w:r w:rsidRPr="238CA98D">
              <w:rPr>
                <w:rFonts w:ascii="Arial" w:eastAsia="Arial" w:hAnsi="Arial" w:cs="Arial"/>
                <w:sz w:val="24"/>
                <w:szCs w:val="24"/>
              </w:rPr>
              <w:t>16,554</w:t>
            </w:r>
          </w:p>
        </w:tc>
        <w:tc>
          <w:tcPr>
            <w:tcW w:w="2254" w:type="dxa"/>
          </w:tcPr>
          <w:p w14:paraId="41B0BB25" w14:textId="2F547946" w:rsidR="23748E3B" w:rsidRDefault="23748E3B" w:rsidP="238CA98D">
            <w:pPr>
              <w:rPr>
                <w:rFonts w:ascii="Arial" w:eastAsia="Arial" w:hAnsi="Arial" w:cs="Arial"/>
                <w:sz w:val="24"/>
                <w:szCs w:val="24"/>
              </w:rPr>
            </w:pPr>
            <w:r w:rsidRPr="238CA98D">
              <w:rPr>
                <w:rFonts w:ascii="Arial" w:eastAsia="Arial" w:hAnsi="Arial" w:cs="Arial"/>
                <w:sz w:val="24"/>
                <w:szCs w:val="24"/>
              </w:rPr>
              <w:t>504,497</w:t>
            </w:r>
          </w:p>
        </w:tc>
        <w:tc>
          <w:tcPr>
            <w:tcW w:w="2254" w:type="dxa"/>
          </w:tcPr>
          <w:p w14:paraId="3F84728F" w14:textId="3F8E10AD" w:rsidR="23748E3B" w:rsidRDefault="23748E3B" w:rsidP="238CA98D">
            <w:pPr>
              <w:rPr>
                <w:rFonts w:ascii="Arial" w:eastAsia="Arial" w:hAnsi="Arial" w:cs="Arial"/>
                <w:sz w:val="24"/>
                <w:szCs w:val="24"/>
              </w:rPr>
            </w:pPr>
            <w:r w:rsidRPr="238CA98D">
              <w:rPr>
                <w:rFonts w:ascii="Arial" w:eastAsia="Arial" w:hAnsi="Arial" w:cs="Arial"/>
                <w:sz w:val="24"/>
                <w:szCs w:val="24"/>
              </w:rPr>
              <w:t>328.1</w:t>
            </w:r>
          </w:p>
        </w:tc>
      </w:tr>
      <w:tr w:rsidR="23748E3B" w14:paraId="1977ABA4" w14:textId="77777777" w:rsidTr="238CA98D">
        <w:tc>
          <w:tcPr>
            <w:tcW w:w="2254" w:type="dxa"/>
          </w:tcPr>
          <w:p w14:paraId="3D4BBE05" w14:textId="17E73202"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Cwm </w:t>
            </w:r>
            <w:proofErr w:type="spellStart"/>
            <w:r w:rsidRPr="238CA98D">
              <w:rPr>
                <w:rFonts w:ascii="Arial" w:eastAsia="Arial" w:hAnsi="Arial" w:cs="Arial"/>
                <w:sz w:val="24"/>
                <w:szCs w:val="24"/>
              </w:rPr>
              <w:t>Taf</w:t>
            </w:r>
            <w:proofErr w:type="spellEnd"/>
            <w:r w:rsidRPr="238CA98D">
              <w:rPr>
                <w:rFonts w:ascii="Arial" w:eastAsia="Arial" w:hAnsi="Arial" w:cs="Arial"/>
                <w:sz w:val="24"/>
                <w:szCs w:val="24"/>
              </w:rPr>
              <w:t xml:space="preserve"> Morgannwg University Local Health Board</w:t>
            </w:r>
          </w:p>
        </w:tc>
        <w:tc>
          <w:tcPr>
            <w:tcW w:w="2254" w:type="dxa"/>
          </w:tcPr>
          <w:p w14:paraId="700CC31A" w14:textId="0E3C7A98" w:rsidR="23748E3B" w:rsidRDefault="23748E3B" w:rsidP="238CA98D">
            <w:pPr>
              <w:rPr>
                <w:rFonts w:ascii="Arial" w:eastAsia="Arial" w:hAnsi="Arial" w:cs="Arial"/>
                <w:sz w:val="24"/>
                <w:szCs w:val="24"/>
              </w:rPr>
            </w:pPr>
            <w:r w:rsidRPr="238CA98D">
              <w:rPr>
                <w:rFonts w:ascii="Arial" w:eastAsia="Arial" w:hAnsi="Arial" w:cs="Arial"/>
                <w:sz w:val="24"/>
                <w:szCs w:val="24"/>
              </w:rPr>
              <w:t>13,620</w:t>
            </w:r>
          </w:p>
        </w:tc>
        <w:tc>
          <w:tcPr>
            <w:tcW w:w="2254" w:type="dxa"/>
          </w:tcPr>
          <w:p w14:paraId="6C346F43" w14:textId="75E27EAB" w:rsidR="23748E3B" w:rsidRDefault="23748E3B" w:rsidP="238CA98D">
            <w:pPr>
              <w:rPr>
                <w:rFonts w:ascii="Arial" w:eastAsia="Arial" w:hAnsi="Arial" w:cs="Arial"/>
                <w:sz w:val="24"/>
                <w:szCs w:val="24"/>
              </w:rPr>
            </w:pPr>
            <w:r w:rsidRPr="238CA98D">
              <w:rPr>
                <w:rFonts w:ascii="Arial" w:eastAsia="Arial" w:hAnsi="Arial" w:cs="Arial"/>
                <w:sz w:val="24"/>
                <w:szCs w:val="24"/>
              </w:rPr>
              <w:t>449,836</w:t>
            </w:r>
          </w:p>
        </w:tc>
        <w:tc>
          <w:tcPr>
            <w:tcW w:w="2254" w:type="dxa"/>
          </w:tcPr>
          <w:p w14:paraId="502EFC35" w14:textId="680D37EA" w:rsidR="23748E3B" w:rsidRDefault="23748E3B" w:rsidP="238CA98D">
            <w:pPr>
              <w:rPr>
                <w:rFonts w:ascii="Arial" w:eastAsia="Arial" w:hAnsi="Arial" w:cs="Arial"/>
                <w:sz w:val="24"/>
                <w:szCs w:val="24"/>
              </w:rPr>
            </w:pPr>
            <w:r w:rsidRPr="238CA98D">
              <w:rPr>
                <w:rFonts w:ascii="Arial" w:eastAsia="Arial" w:hAnsi="Arial" w:cs="Arial"/>
                <w:sz w:val="24"/>
                <w:szCs w:val="24"/>
              </w:rPr>
              <w:t>302.8</w:t>
            </w:r>
          </w:p>
        </w:tc>
      </w:tr>
      <w:tr w:rsidR="23748E3B" w14:paraId="7148A24A" w14:textId="77777777" w:rsidTr="238CA98D">
        <w:tc>
          <w:tcPr>
            <w:tcW w:w="2254" w:type="dxa"/>
          </w:tcPr>
          <w:p w14:paraId="19C9340C" w14:textId="31AC9543" w:rsidR="23748E3B" w:rsidRDefault="23748E3B" w:rsidP="238CA98D">
            <w:pPr>
              <w:rPr>
                <w:rFonts w:ascii="Arial" w:eastAsia="Arial" w:hAnsi="Arial" w:cs="Arial"/>
                <w:sz w:val="24"/>
                <w:szCs w:val="24"/>
              </w:rPr>
            </w:pPr>
            <w:r w:rsidRPr="238CA98D">
              <w:rPr>
                <w:rFonts w:ascii="Arial" w:eastAsia="Arial" w:hAnsi="Arial" w:cs="Arial"/>
                <w:sz w:val="24"/>
                <w:szCs w:val="24"/>
              </w:rPr>
              <w:t xml:space="preserve">Hywel </w:t>
            </w:r>
            <w:proofErr w:type="spellStart"/>
            <w:r w:rsidRPr="238CA98D">
              <w:rPr>
                <w:rFonts w:ascii="Arial" w:eastAsia="Arial" w:hAnsi="Arial" w:cs="Arial"/>
                <w:sz w:val="24"/>
                <w:szCs w:val="24"/>
              </w:rPr>
              <w:t>Dda</w:t>
            </w:r>
            <w:proofErr w:type="spellEnd"/>
            <w:r w:rsidRPr="238CA98D">
              <w:rPr>
                <w:rFonts w:ascii="Arial" w:eastAsia="Arial" w:hAnsi="Arial" w:cs="Arial"/>
                <w:sz w:val="24"/>
                <w:szCs w:val="24"/>
              </w:rPr>
              <w:t xml:space="preserve"> University Local Health Board</w:t>
            </w:r>
          </w:p>
        </w:tc>
        <w:tc>
          <w:tcPr>
            <w:tcW w:w="2254" w:type="dxa"/>
          </w:tcPr>
          <w:p w14:paraId="0E94A9F7" w14:textId="1B324C4B" w:rsidR="23748E3B" w:rsidRDefault="23748E3B" w:rsidP="238CA98D">
            <w:pPr>
              <w:rPr>
                <w:rFonts w:ascii="Arial" w:eastAsia="Arial" w:hAnsi="Arial" w:cs="Arial"/>
                <w:sz w:val="24"/>
                <w:szCs w:val="24"/>
              </w:rPr>
            </w:pPr>
            <w:r w:rsidRPr="238CA98D">
              <w:rPr>
                <w:rFonts w:ascii="Arial" w:eastAsia="Arial" w:hAnsi="Arial" w:cs="Arial"/>
                <w:sz w:val="24"/>
                <w:szCs w:val="24"/>
              </w:rPr>
              <w:t>8,070</w:t>
            </w:r>
          </w:p>
        </w:tc>
        <w:tc>
          <w:tcPr>
            <w:tcW w:w="2254" w:type="dxa"/>
          </w:tcPr>
          <w:p w14:paraId="2399496A" w14:textId="4D07F32B" w:rsidR="23748E3B" w:rsidRDefault="23748E3B" w:rsidP="238CA98D">
            <w:pPr>
              <w:rPr>
                <w:rFonts w:ascii="Arial" w:eastAsia="Arial" w:hAnsi="Arial" w:cs="Arial"/>
                <w:sz w:val="24"/>
                <w:szCs w:val="24"/>
              </w:rPr>
            </w:pPr>
            <w:r w:rsidRPr="238CA98D">
              <w:rPr>
                <w:rFonts w:ascii="Arial" w:eastAsia="Arial" w:hAnsi="Arial" w:cs="Arial"/>
                <w:sz w:val="24"/>
                <w:szCs w:val="24"/>
              </w:rPr>
              <w:t>389,719</w:t>
            </w:r>
          </w:p>
        </w:tc>
        <w:tc>
          <w:tcPr>
            <w:tcW w:w="2254" w:type="dxa"/>
          </w:tcPr>
          <w:p w14:paraId="7CDCC8ED" w14:textId="23895100" w:rsidR="23748E3B" w:rsidRDefault="23748E3B" w:rsidP="238CA98D">
            <w:pPr>
              <w:rPr>
                <w:rFonts w:ascii="Arial" w:eastAsia="Arial" w:hAnsi="Arial" w:cs="Arial"/>
                <w:sz w:val="24"/>
                <w:szCs w:val="24"/>
              </w:rPr>
            </w:pPr>
            <w:r w:rsidRPr="238CA98D">
              <w:rPr>
                <w:rFonts w:ascii="Arial" w:eastAsia="Arial" w:hAnsi="Arial" w:cs="Arial"/>
                <w:sz w:val="24"/>
                <w:szCs w:val="24"/>
              </w:rPr>
              <w:t>207.1</w:t>
            </w:r>
          </w:p>
        </w:tc>
      </w:tr>
      <w:tr w:rsidR="23748E3B" w14:paraId="59FE2763" w14:textId="77777777" w:rsidTr="238CA98D">
        <w:tc>
          <w:tcPr>
            <w:tcW w:w="2254" w:type="dxa"/>
          </w:tcPr>
          <w:p w14:paraId="24B9EC14" w14:textId="704D1584" w:rsidR="23748E3B" w:rsidRDefault="23748E3B" w:rsidP="238CA98D">
            <w:pPr>
              <w:rPr>
                <w:rFonts w:ascii="Arial" w:eastAsia="Arial" w:hAnsi="Arial" w:cs="Arial"/>
                <w:sz w:val="24"/>
                <w:szCs w:val="24"/>
              </w:rPr>
            </w:pPr>
            <w:r w:rsidRPr="238CA98D">
              <w:rPr>
                <w:rFonts w:ascii="Arial" w:eastAsia="Arial" w:hAnsi="Arial" w:cs="Arial"/>
                <w:sz w:val="24"/>
                <w:szCs w:val="24"/>
              </w:rPr>
              <w:t>Powys Teaching Local Health Board</w:t>
            </w:r>
          </w:p>
        </w:tc>
        <w:tc>
          <w:tcPr>
            <w:tcW w:w="2254" w:type="dxa"/>
          </w:tcPr>
          <w:p w14:paraId="59B446BD" w14:textId="51851057" w:rsidR="23748E3B" w:rsidRDefault="23748E3B" w:rsidP="238CA98D">
            <w:pPr>
              <w:rPr>
                <w:rFonts w:ascii="Arial" w:eastAsia="Arial" w:hAnsi="Arial" w:cs="Arial"/>
                <w:sz w:val="24"/>
                <w:szCs w:val="24"/>
              </w:rPr>
            </w:pPr>
            <w:r w:rsidRPr="238CA98D">
              <w:rPr>
                <w:rFonts w:ascii="Arial" w:eastAsia="Arial" w:hAnsi="Arial" w:cs="Arial"/>
                <w:sz w:val="24"/>
                <w:szCs w:val="24"/>
              </w:rPr>
              <w:t>1,825</w:t>
            </w:r>
          </w:p>
        </w:tc>
        <w:tc>
          <w:tcPr>
            <w:tcW w:w="2254" w:type="dxa"/>
          </w:tcPr>
          <w:p w14:paraId="7B3E290C" w14:textId="3EE6BBD7" w:rsidR="23748E3B" w:rsidRDefault="23748E3B" w:rsidP="238CA98D">
            <w:pPr>
              <w:rPr>
                <w:rFonts w:ascii="Arial" w:eastAsia="Arial" w:hAnsi="Arial" w:cs="Arial"/>
                <w:sz w:val="24"/>
                <w:szCs w:val="24"/>
              </w:rPr>
            </w:pPr>
            <w:r w:rsidRPr="238CA98D">
              <w:rPr>
                <w:rFonts w:ascii="Arial" w:eastAsia="Arial" w:hAnsi="Arial" w:cs="Arial"/>
                <w:sz w:val="24"/>
                <w:szCs w:val="24"/>
              </w:rPr>
              <w:t>133,030</w:t>
            </w:r>
          </w:p>
        </w:tc>
        <w:tc>
          <w:tcPr>
            <w:tcW w:w="2254" w:type="dxa"/>
          </w:tcPr>
          <w:p w14:paraId="3FAC1A92" w14:textId="3AD8AB0E" w:rsidR="23748E3B" w:rsidRDefault="23748E3B" w:rsidP="238CA98D">
            <w:pPr>
              <w:rPr>
                <w:rFonts w:ascii="Arial" w:eastAsia="Arial" w:hAnsi="Arial" w:cs="Arial"/>
                <w:sz w:val="24"/>
                <w:szCs w:val="24"/>
              </w:rPr>
            </w:pPr>
            <w:r w:rsidRPr="238CA98D">
              <w:rPr>
                <w:rFonts w:ascii="Arial" w:eastAsia="Arial" w:hAnsi="Arial" w:cs="Arial"/>
                <w:sz w:val="24"/>
                <w:szCs w:val="24"/>
              </w:rPr>
              <w:t>137.2</w:t>
            </w:r>
          </w:p>
        </w:tc>
      </w:tr>
      <w:tr w:rsidR="23748E3B" w14:paraId="5FE0C1EE" w14:textId="77777777" w:rsidTr="238CA98D">
        <w:tc>
          <w:tcPr>
            <w:tcW w:w="2254" w:type="dxa"/>
          </w:tcPr>
          <w:p w14:paraId="26C1FC09" w14:textId="6747518C" w:rsidR="23748E3B" w:rsidRDefault="23748E3B" w:rsidP="238CA98D">
            <w:pPr>
              <w:rPr>
                <w:rFonts w:ascii="Arial" w:eastAsia="Arial" w:hAnsi="Arial" w:cs="Arial"/>
                <w:sz w:val="24"/>
                <w:szCs w:val="24"/>
              </w:rPr>
            </w:pPr>
            <w:r w:rsidRPr="238CA98D">
              <w:rPr>
                <w:rFonts w:ascii="Arial" w:eastAsia="Arial" w:hAnsi="Arial" w:cs="Arial"/>
                <w:sz w:val="24"/>
                <w:szCs w:val="24"/>
              </w:rPr>
              <w:t>Swansea Bay University Local Health Board</w:t>
            </w:r>
          </w:p>
        </w:tc>
        <w:tc>
          <w:tcPr>
            <w:tcW w:w="2254" w:type="dxa"/>
          </w:tcPr>
          <w:p w14:paraId="5BC3270C" w14:textId="1498EB7B" w:rsidR="23748E3B" w:rsidRDefault="23748E3B" w:rsidP="238CA98D">
            <w:pPr>
              <w:rPr>
                <w:rFonts w:ascii="Arial" w:eastAsia="Arial" w:hAnsi="Arial" w:cs="Arial"/>
                <w:sz w:val="24"/>
                <w:szCs w:val="24"/>
              </w:rPr>
            </w:pPr>
            <w:r w:rsidRPr="238CA98D">
              <w:rPr>
                <w:rFonts w:ascii="Arial" w:eastAsia="Arial" w:hAnsi="Arial" w:cs="Arial"/>
                <w:sz w:val="24"/>
                <w:szCs w:val="24"/>
              </w:rPr>
              <w:t>11,923</w:t>
            </w:r>
          </w:p>
        </w:tc>
        <w:tc>
          <w:tcPr>
            <w:tcW w:w="2254" w:type="dxa"/>
          </w:tcPr>
          <w:p w14:paraId="27923BB5" w14:textId="0E95D2E3" w:rsidR="23748E3B" w:rsidRDefault="23748E3B" w:rsidP="238CA98D">
            <w:pPr>
              <w:rPr>
                <w:rFonts w:ascii="Arial" w:eastAsia="Arial" w:hAnsi="Arial" w:cs="Arial"/>
                <w:sz w:val="24"/>
                <w:szCs w:val="24"/>
              </w:rPr>
            </w:pPr>
            <w:r w:rsidRPr="238CA98D">
              <w:rPr>
                <w:rFonts w:ascii="Arial" w:eastAsia="Arial" w:hAnsi="Arial" w:cs="Arial"/>
                <w:sz w:val="24"/>
                <w:szCs w:val="24"/>
              </w:rPr>
              <w:t>390,949</w:t>
            </w:r>
          </w:p>
        </w:tc>
        <w:tc>
          <w:tcPr>
            <w:tcW w:w="2254" w:type="dxa"/>
          </w:tcPr>
          <w:p w14:paraId="3E7D16A7" w14:textId="39D48A10" w:rsidR="23748E3B" w:rsidRDefault="23748E3B" w:rsidP="238CA98D">
            <w:pPr>
              <w:rPr>
                <w:rFonts w:ascii="Arial" w:eastAsia="Arial" w:hAnsi="Arial" w:cs="Arial"/>
                <w:sz w:val="24"/>
                <w:szCs w:val="24"/>
              </w:rPr>
            </w:pPr>
            <w:r w:rsidRPr="238CA98D">
              <w:rPr>
                <w:rFonts w:ascii="Arial" w:eastAsia="Arial" w:hAnsi="Arial" w:cs="Arial"/>
                <w:sz w:val="24"/>
                <w:szCs w:val="24"/>
              </w:rPr>
              <w:t>305.0</w:t>
            </w:r>
          </w:p>
        </w:tc>
      </w:tr>
      <w:tr w:rsidR="23748E3B" w14:paraId="3177F1FC" w14:textId="77777777" w:rsidTr="238CA98D">
        <w:trPr>
          <w:trHeight w:val="345"/>
        </w:trPr>
        <w:tc>
          <w:tcPr>
            <w:tcW w:w="9016" w:type="dxa"/>
            <w:gridSpan w:val="4"/>
            <w:vAlign w:val="center"/>
          </w:tcPr>
          <w:p w14:paraId="13D146B6" w14:textId="1A118620" w:rsidR="23748E3B" w:rsidRDefault="23748E3B" w:rsidP="238CA98D">
            <w:pPr>
              <w:jc w:val="right"/>
              <w:rPr>
                <w:rFonts w:ascii="Arial" w:eastAsia="Arial" w:hAnsi="Arial" w:cs="Arial"/>
                <w:sz w:val="24"/>
                <w:szCs w:val="24"/>
              </w:rPr>
            </w:pPr>
            <w:r w:rsidRPr="238CA98D">
              <w:rPr>
                <w:rFonts w:ascii="Arial" w:eastAsia="Arial" w:hAnsi="Arial" w:cs="Arial"/>
                <w:sz w:val="24"/>
                <w:szCs w:val="24"/>
              </w:rPr>
              <w:t>Adapted from Welsh Government, 2021</w:t>
            </w:r>
            <w:r>
              <w:br/>
            </w:r>
            <w:r>
              <w:br/>
            </w:r>
            <w:bookmarkStart w:id="2" w:name="_Int_gfk338AP"/>
            <w:r w:rsidRPr="238CA98D">
              <w:rPr>
                <w:rFonts w:ascii="Arial" w:eastAsia="Arial" w:hAnsi="Arial" w:cs="Arial"/>
                <w:sz w:val="24"/>
                <w:szCs w:val="24"/>
              </w:rPr>
              <w:t>*Cardiff and Vale University Health Board is the operational name of Cardiff and Vale University Local Health Board</w:t>
            </w:r>
            <w:bookmarkEnd w:id="2"/>
          </w:p>
        </w:tc>
      </w:tr>
    </w:tbl>
    <w:p w14:paraId="3088B0E8" w14:textId="4BAB4F87" w:rsidR="238CA98D" w:rsidRDefault="238CA98D" w:rsidP="238CA98D">
      <w:pPr>
        <w:rPr>
          <w:rFonts w:ascii="Arial" w:eastAsia="Arial" w:hAnsi="Arial" w:cs="Arial"/>
          <w:sz w:val="24"/>
          <w:szCs w:val="24"/>
        </w:rPr>
      </w:pPr>
      <w:r>
        <w:br/>
      </w:r>
      <w:r w:rsidR="23748E3B" w:rsidRPr="238CA98D">
        <w:rPr>
          <w:rFonts w:ascii="Arial" w:eastAsia="Arial" w:hAnsi="Arial" w:cs="Arial"/>
          <w:sz w:val="24"/>
          <w:szCs w:val="24"/>
        </w:rPr>
        <w:t>Comparing Cardiff and Vale UHB to other Health Boards in Wales shows an above average incident reporting rate per 10,000 population. The mean incident reporting rate is 273.2 per 10,000 population, although it can be argued that this is artificially reduced by the inclusion of Powys Teaching Local Health Board, which does not have any district general hospitals and complex care for the Powys population is provided by either other Health Boards in Wales or neighbouring English NHS Trusts. Excluding Powys, the mean rate is 295.9 which remains lower that the rate in Cardiff and Vale UHB. There is no adjustment within the reported data for healthcare activity, therefore the reporting rate per 10,000 population could be affected by the proportion of the population that requires contact with healthcare services, and therefore are potentially at risk of a patient safety incident.</w:t>
      </w:r>
    </w:p>
    <w:p w14:paraId="0D6DEDAC" w14:textId="56635DB1" w:rsidR="238CA98D" w:rsidRDefault="238CA98D" w:rsidP="238CA98D">
      <w:pPr>
        <w:rPr>
          <w:rFonts w:ascii="Arial" w:eastAsia="Arial" w:hAnsi="Arial" w:cs="Arial"/>
          <w:sz w:val="24"/>
          <w:szCs w:val="24"/>
        </w:rPr>
      </w:pPr>
    </w:p>
    <w:p w14:paraId="19E0BDBA" w14:textId="75DCA57D" w:rsidR="238CA98D" w:rsidRDefault="238CA98D" w:rsidP="238CA98D">
      <w:pPr>
        <w:rPr>
          <w:rFonts w:ascii="Arial" w:eastAsia="Arial" w:hAnsi="Arial" w:cs="Arial"/>
          <w:b/>
          <w:bCs/>
          <w:i/>
          <w:iCs/>
          <w:sz w:val="24"/>
          <w:szCs w:val="24"/>
        </w:rPr>
      </w:pPr>
      <w:r w:rsidRPr="238CA98D">
        <w:rPr>
          <w:rFonts w:ascii="Arial" w:eastAsia="Arial" w:hAnsi="Arial" w:cs="Arial"/>
          <w:b/>
          <w:bCs/>
          <w:i/>
          <w:iCs/>
          <w:sz w:val="24"/>
          <w:szCs w:val="24"/>
        </w:rPr>
        <w:t>Individual</w:t>
      </w:r>
    </w:p>
    <w:p w14:paraId="315B432F" w14:textId="147AB717" w:rsidR="15208AD6" w:rsidRDefault="23748E3B" w:rsidP="238CA98D">
      <w:pPr>
        <w:rPr>
          <w:sz w:val="24"/>
          <w:szCs w:val="24"/>
        </w:rPr>
      </w:pPr>
      <w:r w:rsidRPr="26E87E42">
        <w:rPr>
          <w:rFonts w:ascii="Arial" w:eastAsia="Arial" w:hAnsi="Arial" w:cs="Arial"/>
          <w:sz w:val="24"/>
          <w:szCs w:val="24"/>
        </w:rPr>
        <w:t xml:space="preserve">Minutes of the Health Board’s Quality, Safety and Patient Experience Committee were accessed to review the discussion on the results of the safety culture survey which was carried out (Cardiff and Vale, 2021a). 998 staff started the survey, but an unspecified number did not go on to complete the whole survey. No quantitative results were included in the meeting papers or minutes, however the broad themes from the survey identified were a lack of feedback to incident reporters following incidents, the need for improvement in the ‘just culture,’ workload and time for training, communication between departments and near-miss reporting. </w:t>
      </w:r>
      <w:r w:rsidR="238CA98D" w:rsidRPr="26E87E42">
        <w:rPr>
          <w:rFonts w:ascii="Arial" w:eastAsia="Arial" w:hAnsi="Arial" w:cs="Arial"/>
          <w:sz w:val="24"/>
          <w:szCs w:val="24"/>
        </w:rPr>
        <w:t xml:space="preserve">To better </w:t>
      </w:r>
      <w:r w:rsidR="238CA98D" w:rsidRPr="26E87E42">
        <w:rPr>
          <w:rFonts w:ascii="Arial" w:eastAsia="Arial" w:hAnsi="Arial" w:cs="Arial"/>
          <w:sz w:val="24"/>
          <w:szCs w:val="24"/>
        </w:rPr>
        <w:lastRenderedPageBreak/>
        <w:t>understand the aspects of the survey relating to incident reporting, the original data were obtained.</w:t>
      </w:r>
    </w:p>
    <w:p w14:paraId="34ED9655" w14:textId="4B209420" w:rsidR="15208AD6" w:rsidRDefault="15208AD6" w:rsidP="238CA98D">
      <w:pPr>
        <w:rPr>
          <w:sz w:val="24"/>
          <w:szCs w:val="24"/>
        </w:rPr>
      </w:pPr>
    </w:p>
    <w:p w14:paraId="1BAA6686" w14:textId="252BEA8B" w:rsidR="15208AD6" w:rsidRDefault="238CA98D" w:rsidP="238CA98D">
      <w:pPr>
        <w:rPr>
          <w:rFonts w:ascii="Arial" w:eastAsia="Arial" w:hAnsi="Arial" w:cs="Arial"/>
          <w:sz w:val="24"/>
          <w:szCs w:val="24"/>
        </w:rPr>
      </w:pPr>
      <w:r w:rsidRPr="238CA98D">
        <w:rPr>
          <w:rFonts w:ascii="Arial" w:eastAsia="Arial" w:hAnsi="Arial" w:cs="Arial"/>
          <w:b/>
          <w:bCs/>
          <w:i/>
          <w:iCs/>
          <w:sz w:val="24"/>
          <w:szCs w:val="24"/>
        </w:rPr>
        <w:t>Technology</w:t>
      </w:r>
    </w:p>
    <w:p w14:paraId="38801B6D" w14:textId="7BE44192" w:rsidR="15208AD6" w:rsidRDefault="23748E3B" w:rsidP="238CA98D">
      <w:pPr>
        <w:rPr>
          <w:rFonts w:ascii="Arial" w:eastAsia="Arial" w:hAnsi="Arial" w:cs="Arial"/>
          <w:sz w:val="24"/>
          <w:szCs w:val="24"/>
        </w:rPr>
      </w:pPr>
      <w:r w:rsidRPr="238CA98D">
        <w:rPr>
          <w:rFonts w:ascii="Arial" w:eastAsia="Arial" w:hAnsi="Arial" w:cs="Arial"/>
          <w:sz w:val="24"/>
          <w:szCs w:val="24"/>
        </w:rPr>
        <w:t xml:space="preserve">The SUS survey was completed by 13 respondents. 4 respondents identified their primary role as corporate users and 9 as incident managers within the Datix system. </w:t>
      </w:r>
      <w:r w:rsidR="15208AD6" w:rsidRPr="238CA98D">
        <w:rPr>
          <w:rFonts w:ascii="Arial" w:eastAsia="Arial" w:hAnsi="Arial" w:cs="Arial"/>
          <w:sz w:val="24"/>
          <w:szCs w:val="24"/>
        </w:rPr>
        <w:t>No respondents identified their primary role as incident reporters.</w:t>
      </w:r>
    </w:p>
    <w:p w14:paraId="08DC19C7" w14:textId="78F88747" w:rsidR="15208AD6" w:rsidRDefault="15208AD6" w:rsidP="238CA98D">
      <w:pPr>
        <w:rPr>
          <w:rFonts w:ascii="Arial" w:eastAsia="Arial" w:hAnsi="Arial" w:cs="Arial"/>
          <w:sz w:val="24"/>
          <w:szCs w:val="24"/>
        </w:rPr>
      </w:pPr>
      <w:r w:rsidRPr="238CA98D">
        <w:rPr>
          <w:rFonts w:ascii="Arial" w:eastAsia="Arial" w:hAnsi="Arial" w:cs="Arial"/>
          <w:sz w:val="24"/>
          <w:szCs w:val="24"/>
        </w:rPr>
        <w:t>The mean SUS was 55.13, with a range of 19.44 - 86.11. The median SUS was 58.33. The difference in SUS between the corporate users and incident managers was not significant (p = 0.34).</w:t>
      </w:r>
    </w:p>
    <w:p w14:paraId="7EECE600" w14:textId="5135815B" w:rsidR="23748E3B" w:rsidRDefault="23748E3B" w:rsidP="238CA98D">
      <w:pPr>
        <w:rPr>
          <w:rFonts w:ascii="Arial" w:eastAsia="Arial" w:hAnsi="Arial" w:cs="Arial"/>
          <w:sz w:val="24"/>
          <w:szCs w:val="24"/>
        </w:rPr>
      </w:pPr>
    </w:p>
    <w:p w14:paraId="066292D8" w14:textId="231D0EF2" w:rsidR="23748E3B" w:rsidRDefault="23748E3B" w:rsidP="238CA98D">
      <w:pPr>
        <w:rPr>
          <w:rFonts w:ascii="Arial" w:eastAsia="Arial" w:hAnsi="Arial" w:cs="Arial"/>
          <w:sz w:val="28"/>
          <w:szCs w:val="28"/>
        </w:rPr>
      </w:pPr>
      <w:r w:rsidRPr="238CA98D">
        <w:rPr>
          <w:rFonts w:ascii="Arial" w:eastAsia="Arial" w:hAnsi="Arial" w:cs="Arial"/>
          <w:b/>
          <w:bCs/>
          <w:sz w:val="28"/>
          <w:szCs w:val="28"/>
        </w:rPr>
        <w:t>Discussion</w:t>
      </w:r>
    </w:p>
    <w:p w14:paraId="3258E987" w14:textId="5A9C7ED2" w:rsidR="238CA98D" w:rsidRDefault="238CA98D" w:rsidP="238CA98D">
      <w:pPr>
        <w:rPr>
          <w:rFonts w:ascii="Arial" w:eastAsia="Arial" w:hAnsi="Arial" w:cs="Arial"/>
          <w:sz w:val="24"/>
          <w:szCs w:val="24"/>
        </w:rPr>
      </w:pPr>
      <w:r w:rsidRPr="238CA98D">
        <w:rPr>
          <w:rFonts w:ascii="Arial" w:eastAsia="Arial" w:hAnsi="Arial" w:cs="Arial"/>
          <w:sz w:val="24"/>
          <w:szCs w:val="24"/>
        </w:rPr>
        <w:t>All healthcare organisations aim to provide care that is as safe and as seamless as possible, but inevitably things go wrong. Organisations must have systems in place to capture, analyse and learn from these incidents. Reviewing the implementation of these systems provides valuable information on aspects which can be improved in current or future implementations.</w:t>
      </w:r>
    </w:p>
    <w:p w14:paraId="32AEFF03" w14:textId="4E182A93" w:rsidR="15208AD6" w:rsidRDefault="15208AD6" w:rsidP="238CA98D">
      <w:pPr>
        <w:rPr>
          <w:rFonts w:ascii="Arial" w:eastAsia="Arial" w:hAnsi="Arial" w:cs="Arial"/>
          <w:b/>
          <w:bCs/>
          <w:sz w:val="24"/>
          <w:szCs w:val="24"/>
        </w:rPr>
      </w:pPr>
      <w:r w:rsidRPr="26E87E42">
        <w:rPr>
          <w:rFonts w:ascii="Arial" w:eastAsia="Arial" w:hAnsi="Arial" w:cs="Arial"/>
          <w:sz w:val="24"/>
          <w:szCs w:val="24"/>
        </w:rPr>
        <w:t xml:space="preserve">The level of review and analysis of the E-Datix incident reporting system was limited by the time available. This paper focused primarily on existing data, although a SUS was obtained from a questionnaire of a small number of users. In order to gain a deeper understanding of the E-Datix system, much more time would be needed to collect data from a wider group of users and to consider their familiarity with the system. </w:t>
      </w:r>
    </w:p>
    <w:p w14:paraId="02C22A49" w14:textId="0FF26BCC" w:rsidR="15208AD6" w:rsidRDefault="15208AD6" w:rsidP="238CA98D">
      <w:pPr>
        <w:rPr>
          <w:rFonts w:ascii="Arial" w:eastAsia="Arial" w:hAnsi="Arial" w:cs="Arial"/>
          <w:sz w:val="24"/>
          <w:szCs w:val="24"/>
        </w:rPr>
      </w:pPr>
      <w:r w:rsidRPr="238CA98D">
        <w:rPr>
          <w:rFonts w:ascii="Arial" w:eastAsia="Arial" w:hAnsi="Arial" w:cs="Arial"/>
          <w:sz w:val="24"/>
          <w:szCs w:val="24"/>
        </w:rPr>
        <w:t xml:space="preserve">As the current E-Datix system has been in use within the Health Board for more than 7 years, direct comparison with the previous paper-based system is difficult. A truer assessment of the E-Datix system would have been gained if structured user feedback, such as with the SUS, was obtained alongside the system’s introduction in 2015. This approach was demonstrated by </w:t>
      </w:r>
      <w:proofErr w:type="spellStart"/>
      <w:r w:rsidRPr="238CA98D">
        <w:rPr>
          <w:rFonts w:ascii="Arial" w:eastAsia="Arial" w:hAnsi="Arial" w:cs="Arial"/>
          <w:sz w:val="24"/>
          <w:szCs w:val="24"/>
        </w:rPr>
        <w:t>Ammenwerth</w:t>
      </w:r>
      <w:proofErr w:type="spellEnd"/>
      <w:r w:rsidRPr="238CA98D">
        <w:rPr>
          <w:rFonts w:ascii="Arial" w:eastAsia="Arial" w:hAnsi="Arial" w:cs="Arial"/>
          <w:sz w:val="24"/>
          <w:szCs w:val="24"/>
        </w:rPr>
        <w:t xml:space="preserve">, </w:t>
      </w:r>
      <w:proofErr w:type="spellStart"/>
      <w:r w:rsidRPr="238CA98D">
        <w:rPr>
          <w:rFonts w:ascii="Arial" w:eastAsia="Arial" w:hAnsi="Arial" w:cs="Arial"/>
          <w:sz w:val="24"/>
          <w:szCs w:val="24"/>
        </w:rPr>
        <w:t>Iller</w:t>
      </w:r>
      <w:proofErr w:type="spellEnd"/>
      <w:r w:rsidRPr="238CA98D">
        <w:rPr>
          <w:rFonts w:ascii="Arial" w:eastAsia="Arial" w:hAnsi="Arial" w:cs="Arial"/>
          <w:sz w:val="24"/>
          <w:szCs w:val="24"/>
        </w:rPr>
        <w:t xml:space="preserve"> and Mahler (2006), where the evaluations reanalysed by the authors spanned several years.</w:t>
      </w:r>
    </w:p>
    <w:p w14:paraId="4FA00126" w14:textId="46C2898B" w:rsidR="15208AD6" w:rsidRDefault="15208AD6" w:rsidP="238CA98D">
      <w:pPr>
        <w:rPr>
          <w:rFonts w:ascii="Arial" w:eastAsia="Arial" w:hAnsi="Arial" w:cs="Arial"/>
          <w:b/>
          <w:bCs/>
          <w:i/>
          <w:iCs/>
          <w:sz w:val="24"/>
          <w:szCs w:val="24"/>
        </w:rPr>
      </w:pPr>
      <w:r>
        <w:br/>
      </w:r>
      <w:r w:rsidRPr="238CA98D">
        <w:rPr>
          <w:rFonts w:ascii="Arial" w:eastAsia="Arial" w:hAnsi="Arial" w:cs="Arial"/>
          <w:b/>
          <w:bCs/>
          <w:i/>
          <w:iCs/>
          <w:sz w:val="24"/>
          <w:szCs w:val="24"/>
        </w:rPr>
        <w:t>Fit between individuals and task</w:t>
      </w:r>
      <w:r>
        <w:br/>
      </w:r>
      <w:r>
        <w:br/>
      </w:r>
      <w:r w:rsidRPr="238CA98D">
        <w:rPr>
          <w:rFonts w:ascii="Arial" w:eastAsia="Arial" w:hAnsi="Arial" w:cs="Arial"/>
          <w:sz w:val="24"/>
          <w:szCs w:val="24"/>
        </w:rPr>
        <w:t>Staff members’ interaction with the task of incident reporting is complex and influenced by many internal and external factors. Most recently the COVID-19 pandemic has been identified as a cause of reduced reporting, even when the reduction in admissions has been considered. (</w:t>
      </w:r>
      <w:proofErr w:type="spellStart"/>
      <w:r w:rsidRPr="238CA98D">
        <w:rPr>
          <w:rFonts w:ascii="Arial" w:eastAsia="Arial" w:hAnsi="Arial" w:cs="Arial"/>
          <w:sz w:val="24"/>
          <w:szCs w:val="24"/>
        </w:rPr>
        <w:t>Pauletti</w:t>
      </w:r>
      <w:proofErr w:type="spellEnd"/>
      <w:r w:rsidRPr="238CA98D">
        <w:rPr>
          <w:rFonts w:ascii="Arial" w:eastAsia="Arial" w:hAnsi="Arial" w:cs="Arial"/>
          <w:sz w:val="24"/>
          <w:szCs w:val="24"/>
        </w:rPr>
        <w:t xml:space="preserve"> </w:t>
      </w:r>
      <w:r w:rsidRPr="238CA98D">
        <w:rPr>
          <w:rFonts w:ascii="Arial" w:eastAsia="Arial" w:hAnsi="Arial" w:cs="Arial"/>
          <w:i/>
          <w:iCs/>
          <w:sz w:val="24"/>
          <w:szCs w:val="24"/>
        </w:rPr>
        <w:t>et al.</w:t>
      </w:r>
      <w:r w:rsidRPr="238CA98D">
        <w:rPr>
          <w:rFonts w:ascii="Arial" w:eastAsia="Arial" w:hAnsi="Arial" w:cs="Arial"/>
          <w:sz w:val="24"/>
          <w:szCs w:val="24"/>
        </w:rPr>
        <w:t xml:space="preserve"> 2021). </w:t>
      </w:r>
    </w:p>
    <w:p w14:paraId="5F721ABD" w14:textId="3C2B98CE" w:rsidR="15208AD6" w:rsidRDefault="15208AD6" w:rsidP="238CA98D">
      <w:pPr>
        <w:rPr>
          <w:rFonts w:ascii="Arial" w:eastAsia="Arial" w:hAnsi="Arial" w:cs="Arial"/>
          <w:sz w:val="24"/>
          <w:szCs w:val="24"/>
        </w:rPr>
      </w:pPr>
      <w:r w:rsidRPr="238CA98D">
        <w:rPr>
          <w:rFonts w:ascii="Arial" w:eastAsia="Arial" w:hAnsi="Arial" w:cs="Arial"/>
          <w:sz w:val="24"/>
          <w:szCs w:val="24"/>
        </w:rPr>
        <w:t xml:space="preserve">It is known from literature that there is variation in attitudes towards incident reporting between differing staff groups. While some of this variation can be explained by the differences in the nature of the services provided to patients by </w:t>
      </w:r>
      <w:proofErr w:type="gramStart"/>
      <w:r w:rsidRPr="238CA98D">
        <w:rPr>
          <w:rFonts w:ascii="Arial" w:eastAsia="Arial" w:hAnsi="Arial" w:cs="Arial"/>
          <w:sz w:val="24"/>
          <w:szCs w:val="24"/>
        </w:rPr>
        <w:t xml:space="preserve">particular </w:t>
      </w:r>
      <w:r w:rsidRPr="238CA98D">
        <w:rPr>
          <w:rFonts w:ascii="Arial" w:eastAsia="Arial" w:hAnsi="Arial" w:cs="Arial"/>
          <w:sz w:val="24"/>
          <w:szCs w:val="24"/>
        </w:rPr>
        <w:lastRenderedPageBreak/>
        <w:t>specialities</w:t>
      </w:r>
      <w:proofErr w:type="gramEnd"/>
      <w:r w:rsidRPr="238CA98D">
        <w:rPr>
          <w:rFonts w:ascii="Arial" w:eastAsia="Arial" w:hAnsi="Arial" w:cs="Arial"/>
          <w:sz w:val="24"/>
          <w:szCs w:val="24"/>
        </w:rPr>
        <w:t xml:space="preserve">, there are underlying cultural differences that are much harder to alleviate (Archer </w:t>
      </w:r>
      <w:r w:rsidRPr="238CA98D">
        <w:rPr>
          <w:rFonts w:ascii="Arial" w:eastAsia="Arial" w:hAnsi="Arial" w:cs="Arial"/>
          <w:i/>
          <w:iCs/>
          <w:sz w:val="24"/>
          <w:szCs w:val="24"/>
        </w:rPr>
        <w:t>et al.</w:t>
      </w:r>
      <w:r w:rsidRPr="238CA98D">
        <w:rPr>
          <w:rFonts w:ascii="Arial" w:eastAsia="Arial" w:hAnsi="Arial" w:cs="Arial"/>
          <w:sz w:val="24"/>
          <w:szCs w:val="24"/>
        </w:rPr>
        <w:t xml:space="preserve"> 2020; </w:t>
      </w:r>
      <w:proofErr w:type="spellStart"/>
      <w:r w:rsidRPr="238CA98D">
        <w:rPr>
          <w:rFonts w:ascii="Arial" w:eastAsia="Arial" w:hAnsi="Arial" w:cs="Arial"/>
          <w:sz w:val="24"/>
          <w:szCs w:val="24"/>
        </w:rPr>
        <w:t>Sarvadikar</w:t>
      </w:r>
      <w:proofErr w:type="spellEnd"/>
      <w:r w:rsidRPr="238CA98D">
        <w:rPr>
          <w:rFonts w:ascii="Arial" w:eastAsia="Arial" w:hAnsi="Arial" w:cs="Arial"/>
          <w:sz w:val="24"/>
          <w:szCs w:val="24"/>
        </w:rPr>
        <w:t>, Prescott and Williams, 2010).</w:t>
      </w:r>
    </w:p>
    <w:p w14:paraId="3F793B24" w14:textId="65948A94" w:rsidR="15208AD6" w:rsidRDefault="15208AD6" w:rsidP="238CA98D">
      <w:pPr>
        <w:rPr>
          <w:rFonts w:ascii="Arial" w:eastAsia="Arial" w:hAnsi="Arial" w:cs="Arial"/>
          <w:sz w:val="24"/>
          <w:szCs w:val="24"/>
        </w:rPr>
      </w:pPr>
      <w:r w:rsidRPr="238CA98D">
        <w:rPr>
          <w:rFonts w:ascii="Arial" w:eastAsia="Arial" w:hAnsi="Arial" w:cs="Arial"/>
          <w:sz w:val="24"/>
          <w:szCs w:val="24"/>
        </w:rPr>
        <w:t xml:space="preserve">Although partially a task-technology and individual-technology factor, time is often cited as a barrier to incident reporting (Archer </w:t>
      </w:r>
      <w:r w:rsidRPr="238CA98D">
        <w:rPr>
          <w:rFonts w:ascii="Arial" w:eastAsia="Arial" w:hAnsi="Arial" w:cs="Arial"/>
          <w:i/>
          <w:iCs/>
          <w:sz w:val="24"/>
          <w:szCs w:val="24"/>
        </w:rPr>
        <w:t>et al.</w:t>
      </w:r>
      <w:r w:rsidRPr="238CA98D">
        <w:rPr>
          <w:rFonts w:ascii="Arial" w:eastAsia="Arial" w:hAnsi="Arial" w:cs="Arial"/>
          <w:sz w:val="24"/>
          <w:szCs w:val="24"/>
        </w:rPr>
        <w:t xml:space="preserve"> 2020). While the time taken to complete the incident reporting form affects this, the staff member’s overall workload has a significant impact on incident reporting. This is especially important during periods of high activity and acuity within a healthcare setting as above optimal workload is known to be associated with patient safety incidents and mortality (</w:t>
      </w:r>
      <w:proofErr w:type="spellStart"/>
      <w:r w:rsidRPr="238CA98D">
        <w:rPr>
          <w:rFonts w:ascii="Arial" w:eastAsia="Arial" w:hAnsi="Arial" w:cs="Arial"/>
          <w:sz w:val="24"/>
          <w:szCs w:val="24"/>
        </w:rPr>
        <w:t>Fagerström</w:t>
      </w:r>
      <w:proofErr w:type="spellEnd"/>
      <w:r w:rsidRPr="238CA98D">
        <w:rPr>
          <w:rFonts w:ascii="Arial" w:eastAsia="Arial" w:hAnsi="Arial" w:cs="Arial"/>
          <w:sz w:val="24"/>
          <w:szCs w:val="24"/>
        </w:rPr>
        <w:t xml:space="preserve">, </w:t>
      </w:r>
      <w:proofErr w:type="spellStart"/>
      <w:r w:rsidRPr="238CA98D">
        <w:rPr>
          <w:rFonts w:ascii="Arial" w:eastAsia="Arial" w:hAnsi="Arial" w:cs="Arial"/>
          <w:sz w:val="24"/>
          <w:szCs w:val="24"/>
        </w:rPr>
        <w:t>Kinnunen</w:t>
      </w:r>
      <w:proofErr w:type="spellEnd"/>
      <w:r w:rsidRPr="238CA98D">
        <w:rPr>
          <w:rFonts w:ascii="Arial" w:eastAsia="Arial" w:hAnsi="Arial" w:cs="Arial"/>
          <w:sz w:val="24"/>
          <w:szCs w:val="24"/>
        </w:rPr>
        <w:t xml:space="preserve"> and </w:t>
      </w:r>
      <w:proofErr w:type="spellStart"/>
      <w:r w:rsidRPr="238CA98D">
        <w:rPr>
          <w:rFonts w:ascii="Arial" w:eastAsia="Arial" w:hAnsi="Arial" w:cs="Arial"/>
          <w:sz w:val="24"/>
          <w:szCs w:val="24"/>
        </w:rPr>
        <w:t>Saarela</w:t>
      </w:r>
      <w:proofErr w:type="spellEnd"/>
      <w:r w:rsidRPr="238CA98D">
        <w:rPr>
          <w:rFonts w:ascii="Arial" w:eastAsia="Arial" w:hAnsi="Arial" w:cs="Arial"/>
          <w:sz w:val="24"/>
          <w:szCs w:val="24"/>
        </w:rPr>
        <w:t>, 2017).</w:t>
      </w:r>
    </w:p>
    <w:p w14:paraId="22AEB344" w14:textId="3EF72E08" w:rsidR="238CA98D" w:rsidRDefault="238CA98D" w:rsidP="238CA98D">
      <w:pPr>
        <w:rPr>
          <w:rFonts w:ascii="Arial" w:eastAsia="Arial" w:hAnsi="Arial" w:cs="Arial"/>
          <w:sz w:val="24"/>
          <w:szCs w:val="24"/>
        </w:rPr>
      </w:pPr>
      <w:r w:rsidRPr="238CA98D">
        <w:rPr>
          <w:rFonts w:ascii="Arial" w:eastAsia="Arial" w:hAnsi="Arial" w:cs="Arial"/>
          <w:sz w:val="24"/>
          <w:szCs w:val="24"/>
        </w:rPr>
        <w:t>The results of the safety culture survey highlighted some of the individual factors affecting incident reporting. Question 19 asked whether the respondents agreed with the statement “Staff feel like their mistakes are held against them” (Cardiff and Vale UHB, 2021b). Of the 648 respondents completing the question, 24% (n=157) agreed and 12% (n=78) strongly agreed with the statement. This view is likely to dissuade open and honest incident reporting.</w:t>
      </w:r>
    </w:p>
    <w:p w14:paraId="603360E6" w14:textId="19DB8152" w:rsidR="15208AD6" w:rsidRDefault="15208AD6" w:rsidP="238CA98D">
      <w:pPr>
        <w:rPr>
          <w:rFonts w:ascii="Arial" w:eastAsia="Arial" w:hAnsi="Arial" w:cs="Arial"/>
          <w:sz w:val="24"/>
          <w:szCs w:val="24"/>
        </w:rPr>
      </w:pPr>
      <w:r w:rsidRPr="238CA98D">
        <w:rPr>
          <w:rFonts w:ascii="Arial" w:eastAsia="Arial" w:hAnsi="Arial" w:cs="Arial"/>
          <w:sz w:val="24"/>
          <w:szCs w:val="24"/>
        </w:rPr>
        <w:t>While prone to many influencing factors, voluntary incident reporting by staff is the most effective way to capture and learn from incidents. It is known that this approach is imperfect, however with appropriate processes for review and learning in place, incident reporting can contribute to addressing the large and complicated issue of safety in healthcare (Vincent, 2007).</w:t>
      </w:r>
      <w:r>
        <w:br/>
      </w:r>
      <w:r>
        <w:br/>
      </w:r>
      <w:r w:rsidRPr="238CA98D">
        <w:rPr>
          <w:rFonts w:ascii="Arial" w:eastAsia="Arial" w:hAnsi="Arial" w:cs="Arial"/>
          <w:sz w:val="24"/>
          <w:szCs w:val="24"/>
        </w:rPr>
        <w:t>Educating healthcare staff on the importance of incident reporting is key to achieving the desired improvements in safety. As well as encouraging staff to appropriately use the incident reporting system, education can help reduce staff concerns about being blamed for errors. Interventions such as the use of a trigger tool to set out types of incidents that are expected to be reported can increase reporting rates. This was demonstrated within Cardiff and Vale UHB by the neonatology department which successfully implemented a trigger tool and saw a significant and sustained increase in the department’s incident reporting rate.</w:t>
      </w:r>
    </w:p>
    <w:p w14:paraId="27A0C073" w14:textId="36AA2869" w:rsidR="15208AD6" w:rsidRDefault="15208AD6" w:rsidP="238CA98D">
      <w:pPr>
        <w:rPr>
          <w:rFonts w:ascii="Arial" w:eastAsia="Arial" w:hAnsi="Arial" w:cs="Arial"/>
          <w:b/>
          <w:bCs/>
          <w:sz w:val="24"/>
          <w:szCs w:val="24"/>
        </w:rPr>
      </w:pPr>
    </w:p>
    <w:p w14:paraId="46017EE0" w14:textId="71F97D35" w:rsidR="15208AD6" w:rsidRDefault="15208AD6" w:rsidP="238CA98D">
      <w:pPr>
        <w:rPr>
          <w:rFonts w:ascii="Arial" w:eastAsia="Arial" w:hAnsi="Arial" w:cs="Arial"/>
          <w:sz w:val="24"/>
          <w:szCs w:val="24"/>
        </w:rPr>
      </w:pPr>
      <w:r w:rsidRPr="238CA98D">
        <w:rPr>
          <w:rFonts w:ascii="Arial" w:eastAsia="Arial" w:hAnsi="Arial" w:cs="Arial"/>
          <w:b/>
          <w:bCs/>
          <w:i/>
          <w:iCs/>
          <w:sz w:val="24"/>
          <w:szCs w:val="24"/>
        </w:rPr>
        <w:t>Fit between individuals and technology</w:t>
      </w:r>
      <w:r>
        <w:br/>
      </w:r>
      <w:r>
        <w:br/>
      </w:r>
      <w:r w:rsidR="238CA98D" w:rsidRPr="238CA98D">
        <w:rPr>
          <w:rFonts w:ascii="Arial" w:eastAsia="Arial" w:hAnsi="Arial" w:cs="Arial"/>
          <w:sz w:val="24"/>
          <w:szCs w:val="24"/>
        </w:rPr>
        <w:t xml:space="preserve">Individual’s own confidence with technology varies widely and this can impact IT implementations such as E-Datix where </w:t>
      </w:r>
      <w:proofErr w:type="gramStart"/>
      <w:r w:rsidR="238CA98D" w:rsidRPr="238CA98D">
        <w:rPr>
          <w:rFonts w:ascii="Arial" w:eastAsia="Arial" w:hAnsi="Arial" w:cs="Arial"/>
          <w:sz w:val="24"/>
          <w:szCs w:val="24"/>
        </w:rPr>
        <w:t>a large number of</w:t>
      </w:r>
      <w:proofErr w:type="gramEnd"/>
      <w:r w:rsidR="238CA98D" w:rsidRPr="238CA98D">
        <w:rPr>
          <w:rFonts w:ascii="Arial" w:eastAsia="Arial" w:hAnsi="Arial" w:cs="Arial"/>
          <w:sz w:val="24"/>
          <w:szCs w:val="24"/>
        </w:rPr>
        <w:t xml:space="preserve"> potential users exist. With the Health Board’s E-Datix system having more potential users than the population of Carmarthen, it is expected that this will include users with little to no IT skills (Cardiff and Vale University Health Board, 2022; Carmarthenshire Council, 2013).</w:t>
      </w:r>
    </w:p>
    <w:p w14:paraId="21EF30E4" w14:textId="51684031" w:rsidR="15208AD6" w:rsidRDefault="238CA98D" w:rsidP="238CA98D">
      <w:pPr>
        <w:rPr>
          <w:rFonts w:ascii="Arial" w:eastAsia="Arial" w:hAnsi="Arial" w:cs="Arial"/>
          <w:sz w:val="24"/>
          <w:szCs w:val="24"/>
        </w:rPr>
      </w:pPr>
      <w:r w:rsidRPr="238CA98D">
        <w:rPr>
          <w:rFonts w:ascii="Arial" w:eastAsia="Arial" w:hAnsi="Arial" w:cs="Arial"/>
          <w:sz w:val="24"/>
          <w:szCs w:val="24"/>
        </w:rPr>
        <w:t xml:space="preserve">Using a web-based design, the E-Datix system captures incident report information without the need to download or install any specific software. This allows the system to be accessed widely within the organisation and is not dependent on the specifications of individual computers. </w:t>
      </w:r>
    </w:p>
    <w:p w14:paraId="34090E7C" w14:textId="116F7ED2" w:rsidR="15208AD6" w:rsidRDefault="238CA98D" w:rsidP="238CA98D">
      <w:pPr>
        <w:rPr>
          <w:rFonts w:ascii="Arial" w:eastAsia="Arial" w:hAnsi="Arial" w:cs="Arial"/>
          <w:sz w:val="24"/>
          <w:szCs w:val="24"/>
        </w:rPr>
      </w:pPr>
      <w:r w:rsidRPr="238CA98D">
        <w:rPr>
          <w:rFonts w:ascii="Arial" w:eastAsia="Arial" w:hAnsi="Arial" w:cs="Arial"/>
          <w:sz w:val="24"/>
          <w:szCs w:val="24"/>
        </w:rPr>
        <w:t xml:space="preserve">Perceived usefulness is frequently highlighted as a key factor in successful IT adoption in healthcare (Gagnon </w:t>
      </w:r>
      <w:r w:rsidRPr="238CA98D">
        <w:rPr>
          <w:rFonts w:ascii="Arial" w:eastAsia="Arial" w:hAnsi="Arial" w:cs="Arial"/>
          <w:i/>
          <w:iCs/>
          <w:sz w:val="24"/>
          <w:szCs w:val="24"/>
        </w:rPr>
        <w:t>et al.</w:t>
      </w:r>
      <w:r w:rsidRPr="238CA98D">
        <w:rPr>
          <w:rFonts w:ascii="Arial" w:eastAsia="Arial" w:hAnsi="Arial" w:cs="Arial"/>
          <w:sz w:val="24"/>
          <w:szCs w:val="24"/>
        </w:rPr>
        <w:t xml:space="preserve"> 2010). This is closely related to aspects of the </w:t>
      </w:r>
      <w:r w:rsidRPr="238CA98D">
        <w:rPr>
          <w:rFonts w:ascii="Arial" w:eastAsia="Arial" w:hAnsi="Arial" w:cs="Arial"/>
          <w:sz w:val="24"/>
          <w:szCs w:val="24"/>
        </w:rPr>
        <w:lastRenderedPageBreak/>
        <w:t>individual – task fit, such as education and communication with staff. An IT system can be well designed and efficient in achieving a task but without users understanding the benefits, adoption of the system is often limited.</w:t>
      </w:r>
    </w:p>
    <w:p w14:paraId="6048CF5D" w14:textId="4697A58E" w:rsidR="15208AD6" w:rsidRDefault="15208AD6" w:rsidP="238CA98D">
      <w:pPr>
        <w:rPr>
          <w:rFonts w:ascii="Arial" w:eastAsia="Arial" w:hAnsi="Arial" w:cs="Arial"/>
          <w:sz w:val="24"/>
          <w:szCs w:val="24"/>
        </w:rPr>
      </w:pPr>
      <w:r w:rsidRPr="238CA98D">
        <w:rPr>
          <w:rFonts w:ascii="Arial" w:eastAsia="Arial" w:hAnsi="Arial" w:cs="Arial"/>
          <w:sz w:val="24"/>
          <w:szCs w:val="24"/>
        </w:rPr>
        <w:t>The mean SUS of 55.13 is low when compared to other frequently used non-healthcare systems, such as Microsoft Word (76.2), Google search (93.4) or Amazon (81.8) (</w:t>
      </w:r>
      <w:proofErr w:type="spellStart"/>
      <w:r w:rsidRPr="238CA98D">
        <w:rPr>
          <w:rFonts w:ascii="Arial" w:eastAsia="Arial" w:hAnsi="Arial" w:cs="Arial"/>
          <w:sz w:val="24"/>
          <w:szCs w:val="24"/>
        </w:rPr>
        <w:t>Kortum</w:t>
      </w:r>
      <w:proofErr w:type="spellEnd"/>
      <w:r w:rsidRPr="238CA98D">
        <w:rPr>
          <w:rFonts w:ascii="Arial" w:eastAsia="Arial" w:hAnsi="Arial" w:cs="Arial"/>
          <w:sz w:val="24"/>
          <w:szCs w:val="24"/>
        </w:rPr>
        <w:t xml:space="preserve"> and Bangor, 2013). This score is potentially influenced by the small number of respondents to the survey and the skew towards incident managers and corporate users. This score is however </w:t>
      </w:r>
      <w:proofErr w:type="gramStart"/>
      <w:r w:rsidRPr="238CA98D">
        <w:rPr>
          <w:rFonts w:ascii="Arial" w:eastAsia="Arial" w:hAnsi="Arial" w:cs="Arial"/>
          <w:sz w:val="24"/>
          <w:szCs w:val="24"/>
        </w:rPr>
        <w:t>similar to</w:t>
      </w:r>
      <w:proofErr w:type="gramEnd"/>
      <w:r w:rsidRPr="238CA98D">
        <w:rPr>
          <w:rFonts w:ascii="Arial" w:eastAsia="Arial" w:hAnsi="Arial" w:cs="Arial"/>
          <w:sz w:val="24"/>
          <w:szCs w:val="24"/>
        </w:rPr>
        <w:t xml:space="preserve"> the average SUS of a range of electronic health record systems used in emergency departments, which was 53 (Bloom </w:t>
      </w:r>
      <w:r w:rsidRPr="238CA98D">
        <w:rPr>
          <w:rFonts w:ascii="Arial" w:eastAsia="Arial" w:hAnsi="Arial" w:cs="Arial"/>
          <w:i/>
          <w:iCs/>
          <w:sz w:val="24"/>
          <w:szCs w:val="24"/>
        </w:rPr>
        <w:t>et al.</w:t>
      </w:r>
      <w:r w:rsidRPr="238CA98D">
        <w:rPr>
          <w:rFonts w:ascii="Arial" w:eastAsia="Arial" w:hAnsi="Arial" w:cs="Arial"/>
          <w:sz w:val="24"/>
          <w:szCs w:val="24"/>
        </w:rPr>
        <w:t xml:space="preserve"> 2021).</w:t>
      </w:r>
    </w:p>
    <w:p w14:paraId="3F4AC815" w14:textId="45675EF6" w:rsidR="15208AD6" w:rsidRDefault="238CA98D" w:rsidP="238CA98D">
      <w:pPr>
        <w:rPr>
          <w:rFonts w:ascii="Arial" w:eastAsia="Arial" w:hAnsi="Arial" w:cs="Arial"/>
          <w:sz w:val="24"/>
          <w:szCs w:val="24"/>
        </w:rPr>
      </w:pPr>
      <w:r w:rsidRPr="238CA98D">
        <w:rPr>
          <w:rFonts w:ascii="Arial" w:eastAsia="Arial" w:hAnsi="Arial" w:cs="Arial"/>
          <w:sz w:val="24"/>
          <w:szCs w:val="24"/>
        </w:rPr>
        <w:t xml:space="preserve">A SUS of 55.3 </w:t>
      </w:r>
      <w:proofErr w:type="gramStart"/>
      <w:r w:rsidRPr="238CA98D">
        <w:rPr>
          <w:rFonts w:ascii="Arial" w:eastAsia="Arial" w:hAnsi="Arial" w:cs="Arial"/>
          <w:sz w:val="24"/>
          <w:szCs w:val="24"/>
        </w:rPr>
        <w:t>is considered to be</w:t>
      </w:r>
      <w:proofErr w:type="gramEnd"/>
      <w:r w:rsidRPr="238CA98D">
        <w:rPr>
          <w:rFonts w:ascii="Arial" w:eastAsia="Arial" w:hAnsi="Arial" w:cs="Arial"/>
          <w:sz w:val="24"/>
          <w:szCs w:val="24"/>
        </w:rPr>
        <w:t xml:space="preserve"> within the marginal-low acceptability range and ‘OK’ on an adjective rating scale, demonstrating a room for improvement in usability (Bangor, </w:t>
      </w:r>
      <w:proofErr w:type="spellStart"/>
      <w:r w:rsidRPr="238CA98D">
        <w:rPr>
          <w:rFonts w:ascii="Arial" w:eastAsia="Arial" w:hAnsi="Arial" w:cs="Arial"/>
          <w:sz w:val="24"/>
          <w:szCs w:val="24"/>
        </w:rPr>
        <w:t>Kortum</w:t>
      </w:r>
      <w:proofErr w:type="spellEnd"/>
      <w:r w:rsidRPr="238CA98D">
        <w:rPr>
          <w:rFonts w:ascii="Arial" w:eastAsia="Arial" w:hAnsi="Arial" w:cs="Arial"/>
          <w:sz w:val="24"/>
          <w:szCs w:val="24"/>
        </w:rPr>
        <w:t xml:space="preserve"> and Miller, 2009).</w:t>
      </w:r>
    </w:p>
    <w:p w14:paraId="3A575A7D" w14:textId="5DACDF70" w:rsidR="15208AD6" w:rsidRDefault="238CA98D" w:rsidP="238CA98D">
      <w:pPr>
        <w:rPr>
          <w:rFonts w:ascii="Arial" w:eastAsia="Arial" w:hAnsi="Arial" w:cs="Arial"/>
          <w:sz w:val="24"/>
          <w:szCs w:val="24"/>
        </w:rPr>
      </w:pPr>
      <w:r w:rsidRPr="238CA98D">
        <w:rPr>
          <w:rFonts w:ascii="Arial" w:eastAsia="Arial" w:hAnsi="Arial" w:cs="Arial"/>
          <w:sz w:val="24"/>
          <w:szCs w:val="24"/>
        </w:rPr>
        <w:t>A true assessment of usability for an incident reporting system is difficult as different users have differing primary tasks and interact with the system in varying ways. For example, an incident reporter wants to be able to report an incident as quickly as possible, filling out the minimum amount of information. This is sometimes in opposition to an incident manager requires sufficient incident detail to enable investigation and management of the incident.</w:t>
      </w:r>
    </w:p>
    <w:p w14:paraId="29BDE99A" w14:textId="24C3A59F" w:rsidR="15208AD6" w:rsidRDefault="238CA98D" w:rsidP="238CA98D">
      <w:pPr>
        <w:rPr>
          <w:rFonts w:ascii="Arial" w:eastAsia="Arial" w:hAnsi="Arial" w:cs="Arial"/>
          <w:sz w:val="24"/>
          <w:szCs w:val="24"/>
          <w:highlight w:val="magenta"/>
        </w:rPr>
      </w:pPr>
      <w:r w:rsidRPr="238CA98D">
        <w:rPr>
          <w:rFonts w:ascii="Arial" w:eastAsia="Arial" w:hAnsi="Arial" w:cs="Arial"/>
          <w:sz w:val="24"/>
          <w:szCs w:val="24"/>
        </w:rPr>
        <w:t xml:space="preserve">Care must be taken when attempting to improve usability of this type of system as intervening to reduce the amount of information collected on the reporting form to improve speed and usability for reporters would reduce usability for the incident managers. Providing optimum usability is likely to be a compromise between the needs of the differing user roles. </w:t>
      </w:r>
      <w:r w:rsidR="15208AD6">
        <w:br/>
      </w:r>
    </w:p>
    <w:p w14:paraId="51EA6442" w14:textId="11F97EB2" w:rsidR="15208AD6" w:rsidRDefault="15208AD6" w:rsidP="238CA98D">
      <w:pPr>
        <w:rPr>
          <w:rFonts w:ascii="Arial" w:eastAsia="Arial" w:hAnsi="Arial" w:cs="Arial"/>
          <w:b/>
          <w:bCs/>
          <w:i/>
          <w:iCs/>
          <w:sz w:val="24"/>
          <w:szCs w:val="24"/>
        </w:rPr>
      </w:pPr>
      <w:r w:rsidRPr="238CA98D">
        <w:rPr>
          <w:rFonts w:ascii="Arial" w:eastAsia="Arial" w:hAnsi="Arial" w:cs="Arial"/>
          <w:b/>
          <w:bCs/>
          <w:i/>
          <w:iCs/>
          <w:sz w:val="24"/>
          <w:szCs w:val="24"/>
        </w:rPr>
        <w:t>Fit between task and technology</w:t>
      </w:r>
    </w:p>
    <w:p w14:paraId="17F378AF" w14:textId="31163ABC" w:rsidR="15208AD6" w:rsidRDefault="238CA98D" w:rsidP="238CA98D">
      <w:pPr>
        <w:rPr>
          <w:rFonts w:ascii="Arial" w:eastAsia="Arial" w:hAnsi="Arial" w:cs="Arial"/>
          <w:sz w:val="24"/>
          <w:szCs w:val="24"/>
        </w:rPr>
      </w:pPr>
      <w:r w:rsidRPr="238CA98D">
        <w:rPr>
          <w:rFonts w:ascii="Arial" w:eastAsia="Arial" w:hAnsi="Arial" w:cs="Arial"/>
          <w:sz w:val="24"/>
          <w:szCs w:val="24"/>
        </w:rPr>
        <w:t xml:space="preserve">While the incident reporting rates shown in Table 2 indicate a good overall task-technology fit, this varies between specialities within the organisation. </w:t>
      </w:r>
    </w:p>
    <w:p w14:paraId="1987DDB0" w14:textId="6B081535" w:rsidR="15208AD6" w:rsidRDefault="238CA98D" w:rsidP="238CA98D">
      <w:pPr>
        <w:rPr>
          <w:rFonts w:ascii="Arial" w:eastAsia="Arial" w:hAnsi="Arial" w:cs="Arial"/>
          <w:sz w:val="24"/>
          <w:szCs w:val="24"/>
        </w:rPr>
      </w:pPr>
      <w:r w:rsidRPr="238CA98D">
        <w:rPr>
          <w:rFonts w:ascii="Arial" w:eastAsia="Arial" w:hAnsi="Arial" w:cs="Arial"/>
          <w:sz w:val="24"/>
          <w:szCs w:val="24"/>
        </w:rPr>
        <w:t>Informal discussions with the Health Board’s Datix Helpdesk team identified areas where the task-technology fit could be improved, based on common requests for help from staff using the system or interventions required by the team. This included difficulty in finding suitable ‘incident type’ codes for some incidents, incorrectly recorded information, or incident descriptions without sufficient detail to allow investigation.</w:t>
      </w:r>
    </w:p>
    <w:p w14:paraId="62CCFCA2" w14:textId="429C4C97" w:rsidR="15208AD6" w:rsidRDefault="238CA98D" w:rsidP="238CA98D">
      <w:pPr>
        <w:rPr>
          <w:rFonts w:ascii="Arial" w:eastAsia="Arial" w:hAnsi="Arial" w:cs="Arial"/>
          <w:sz w:val="24"/>
          <w:szCs w:val="24"/>
        </w:rPr>
      </w:pPr>
      <w:r w:rsidRPr="238CA98D">
        <w:rPr>
          <w:rFonts w:ascii="Arial" w:eastAsia="Arial" w:hAnsi="Arial" w:cs="Arial"/>
          <w:sz w:val="24"/>
          <w:szCs w:val="24"/>
        </w:rPr>
        <w:t xml:space="preserve">Staff state that availability of computers on which to complete an incident form can sometimes be difficult. Network access has been noted as an issue, particularly with staff undertaking home visits in the Western Vale area due to the lack of mobile data coverage. </w:t>
      </w:r>
    </w:p>
    <w:p w14:paraId="71AA862A" w14:textId="2B4B3BD0" w:rsidR="15208AD6" w:rsidRDefault="238CA98D" w:rsidP="238CA98D">
      <w:pPr>
        <w:rPr>
          <w:rFonts w:ascii="Arial" w:eastAsia="Arial" w:hAnsi="Arial" w:cs="Arial"/>
          <w:sz w:val="24"/>
          <w:szCs w:val="24"/>
        </w:rPr>
      </w:pPr>
      <w:r w:rsidRPr="238CA98D">
        <w:rPr>
          <w:rFonts w:ascii="Arial" w:eastAsia="Arial" w:hAnsi="Arial" w:cs="Arial"/>
          <w:sz w:val="24"/>
          <w:szCs w:val="24"/>
        </w:rPr>
        <w:t>E-Datix is not integrated with the Health Board’s patient management system or electronic staff record, so these details must be manually entered each time an incident form is submitted.</w:t>
      </w:r>
      <w:r w:rsidR="15208AD6">
        <w:br/>
      </w:r>
      <w:r w:rsidR="15208AD6">
        <w:br/>
      </w:r>
      <w:r w:rsidRPr="238CA98D">
        <w:rPr>
          <w:rFonts w:ascii="Arial" w:eastAsia="Arial" w:hAnsi="Arial" w:cs="Arial"/>
          <w:sz w:val="24"/>
          <w:szCs w:val="24"/>
        </w:rPr>
        <w:lastRenderedPageBreak/>
        <w:t>In many cases information regarding a patient safety incident may already exist in other systems and is then duplicated in E-Datix by a member of staff. For example, if a patient fall occurs there will be documentation regarding this in the medical record which is not linked to the incident reporting system.</w:t>
      </w:r>
    </w:p>
    <w:p w14:paraId="41F30DE5" w14:textId="78293CD3" w:rsidR="15208AD6" w:rsidRDefault="15208AD6" w:rsidP="238CA98D">
      <w:pPr>
        <w:rPr>
          <w:rFonts w:ascii="Arial" w:eastAsia="Arial" w:hAnsi="Arial" w:cs="Arial"/>
          <w:sz w:val="24"/>
          <w:szCs w:val="24"/>
        </w:rPr>
      </w:pPr>
    </w:p>
    <w:p w14:paraId="7EC805F2" w14:textId="6F9B9C56" w:rsidR="15208AD6" w:rsidRDefault="238CA98D" w:rsidP="238CA98D">
      <w:pPr>
        <w:rPr>
          <w:rFonts w:ascii="Arial" w:eastAsia="Arial" w:hAnsi="Arial" w:cs="Arial"/>
          <w:sz w:val="24"/>
          <w:szCs w:val="24"/>
        </w:rPr>
      </w:pPr>
      <w:r w:rsidRPr="238CA98D">
        <w:rPr>
          <w:rFonts w:ascii="Arial" w:eastAsia="Arial" w:hAnsi="Arial" w:cs="Arial"/>
          <w:b/>
          <w:bCs/>
          <w:i/>
          <w:iCs/>
          <w:sz w:val="24"/>
          <w:szCs w:val="24"/>
        </w:rPr>
        <w:t>Interventions to improve fit</w:t>
      </w:r>
      <w:r w:rsidR="15208AD6">
        <w:br/>
      </w:r>
      <w:r w:rsidR="15208AD6">
        <w:br/>
      </w:r>
      <w:r w:rsidRPr="238CA98D">
        <w:rPr>
          <w:rFonts w:ascii="Arial" w:eastAsia="Arial" w:hAnsi="Arial" w:cs="Arial"/>
          <w:sz w:val="24"/>
          <w:szCs w:val="24"/>
        </w:rPr>
        <w:t>Using the FITT framework to consider the fit between individual, technology, and task highlights areas for intervention where the fit could be improved. A table of potential intervention areas identified during the application of the FITT framework are set out in Table 3.</w:t>
      </w:r>
    </w:p>
    <w:tbl>
      <w:tblPr>
        <w:tblStyle w:val="TableGrid"/>
        <w:tblW w:w="0" w:type="auto"/>
        <w:tblLook w:val="06A0" w:firstRow="1" w:lastRow="0" w:firstColumn="1" w:lastColumn="0" w:noHBand="1" w:noVBand="1"/>
      </w:tblPr>
      <w:tblGrid>
        <w:gridCol w:w="2588"/>
        <w:gridCol w:w="2087"/>
        <w:gridCol w:w="4341"/>
      </w:tblGrid>
      <w:tr w:rsidR="238CA98D" w14:paraId="63EA2BF3" w14:textId="77777777" w:rsidTr="238CA98D">
        <w:tc>
          <w:tcPr>
            <w:tcW w:w="9098" w:type="dxa"/>
            <w:gridSpan w:val="3"/>
            <w:vAlign w:val="center"/>
          </w:tcPr>
          <w:p w14:paraId="0EC0779C" w14:textId="3AEE1CB8" w:rsidR="23748E3B" w:rsidRDefault="23748E3B" w:rsidP="238CA98D">
            <w:pPr>
              <w:rPr>
                <w:rFonts w:ascii="Arial" w:eastAsia="Arial" w:hAnsi="Arial" w:cs="Arial"/>
                <w:sz w:val="24"/>
                <w:szCs w:val="24"/>
              </w:rPr>
            </w:pPr>
            <w:r w:rsidRPr="238CA98D">
              <w:rPr>
                <w:rFonts w:ascii="Arial" w:eastAsia="Arial" w:hAnsi="Arial" w:cs="Arial"/>
                <w:b/>
                <w:bCs/>
                <w:sz w:val="24"/>
                <w:szCs w:val="24"/>
              </w:rPr>
              <w:t>Table 3 – Potential interventions</w:t>
            </w:r>
          </w:p>
        </w:tc>
      </w:tr>
      <w:tr w:rsidR="238CA98D" w14:paraId="1C792F15" w14:textId="77777777" w:rsidTr="238CA98D">
        <w:trPr>
          <w:trHeight w:val="540"/>
        </w:trPr>
        <w:tc>
          <w:tcPr>
            <w:tcW w:w="2610" w:type="dxa"/>
          </w:tcPr>
          <w:p w14:paraId="6CF74175" w14:textId="77051DEF" w:rsidR="238CA98D" w:rsidRDefault="238CA98D" w:rsidP="238CA98D">
            <w:pPr>
              <w:spacing w:line="259" w:lineRule="auto"/>
              <w:rPr>
                <w:rFonts w:ascii="Arial" w:eastAsia="Arial" w:hAnsi="Arial" w:cs="Arial"/>
                <w:b/>
                <w:bCs/>
                <w:sz w:val="24"/>
                <w:szCs w:val="24"/>
              </w:rPr>
            </w:pPr>
            <w:r w:rsidRPr="238CA98D">
              <w:rPr>
                <w:rFonts w:ascii="Arial" w:eastAsia="Arial" w:hAnsi="Arial" w:cs="Arial"/>
                <w:b/>
                <w:bCs/>
                <w:sz w:val="24"/>
                <w:szCs w:val="24"/>
              </w:rPr>
              <w:t>FITT framework area</w:t>
            </w:r>
          </w:p>
        </w:tc>
        <w:tc>
          <w:tcPr>
            <w:tcW w:w="2100" w:type="dxa"/>
          </w:tcPr>
          <w:p w14:paraId="21C34374" w14:textId="5A46A229" w:rsidR="238CA98D" w:rsidRDefault="238CA98D" w:rsidP="238CA98D">
            <w:pPr>
              <w:rPr>
                <w:rFonts w:ascii="Arial" w:eastAsia="Arial" w:hAnsi="Arial" w:cs="Arial"/>
                <w:b/>
                <w:bCs/>
                <w:sz w:val="24"/>
                <w:szCs w:val="24"/>
              </w:rPr>
            </w:pPr>
            <w:r w:rsidRPr="238CA98D">
              <w:rPr>
                <w:rFonts w:ascii="Arial" w:eastAsia="Arial" w:hAnsi="Arial" w:cs="Arial"/>
                <w:b/>
                <w:bCs/>
                <w:sz w:val="24"/>
                <w:szCs w:val="24"/>
              </w:rPr>
              <w:t>Identified issue(s)</w:t>
            </w:r>
          </w:p>
        </w:tc>
        <w:tc>
          <w:tcPr>
            <w:tcW w:w="4388" w:type="dxa"/>
          </w:tcPr>
          <w:p w14:paraId="1BCD8A66" w14:textId="737921ED" w:rsidR="238CA98D" w:rsidRDefault="238CA98D" w:rsidP="238CA98D">
            <w:pPr>
              <w:spacing w:line="259" w:lineRule="auto"/>
              <w:rPr>
                <w:rFonts w:ascii="Arial" w:eastAsia="Arial" w:hAnsi="Arial" w:cs="Arial"/>
                <w:b/>
                <w:bCs/>
                <w:sz w:val="24"/>
                <w:szCs w:val="24"/>
              </w:rPr>
            </w:pPr>
            <w:r w:rsidRPr="238CA98D">
              <w:rPr>
                <w:rFonts w:ascii="Arial" w:eastAsia="Arial" w:hAnsi="Arial" w:cs="Arial"/>
                <w:b/>
                <w:bCs/>
                <w:sz w:val="24"/>
                <w:szCs w:val="24"/>
              </w:rPr>
              <w:t>Potential intervention(s)</w:t>
            </w:r>
          </w:p>
        </w:tc>
      </w:tr>
      <w:tr w:rsidR="238CA98D" w14:paraId="147EB2C5" w14:textId="77777777" w:rsidTr="238CA98D">
        <w:tc>
          <w:tcPr>
            <w:tcW w:w="2610" w:type="dxa"/>
          </w:tcPr>
          <w:p w14:paraId="23B569C1" w14:textId="72A55345" w:rsidR="238CA98D" w:rsidRDefault="238CA98D" w:rsidP="238CA98D">
            <w:pPr>
              <w:rPr>
                <w:rFonts w:ascii="Arial" w:eastAsia="Arial" w:hAnsi="Arial" w:cs="Arial"/>
                <w:sz w:val="24"/>
                <w:szCs w:val="24"/>
              </w:rPr>
            </w:pPr>
            <w:r w:rsidRPr="238CA98D">
              <w:rPr>
                <w:rFonts w:ascii="Arial" w:eastAsia="Arial" w:hAnsi="Arial" w:cs="Arial"/>
                <w:sz w:val="24"/>
                <w:szCs w:val="24"/>
              </w:rPr>
              <w:t>Individual-task fit</w:t>
            </w:r>
          </w:p>
        </w:tc>
        <w:tc>
          <w:tcPr>
            <w:tcW w:w="2100" w:type="dxa"/>
          </w:tcPr>
          <w:p w14:paraId="07C11167" w14:textId="0F0286B0" w:rsidR="238CA98D" w:rsidRDefault="238CA98D" w:rsidP="238CA98D">
            <w:pPr>
              <w:rPr>
                <w:rFonts w:ascii="Arial" w:eastAsia="Arial" w:hAnsi="Arial" w:cs="Arial"/>
                <w:sz w:val="24"/>
                <w:szCs w:val="24"/>
              </w:rPr>
            </w:pPr>
            <w:r w:rsidRPr="238CA98D">
              <w:rPr>
                <w:rFonts w:ascii="Arial" w:eastAsia="Arial" w:hAnsi="Arial" w:cs="Arial"/>
                <w:sz w:val="24"/>
                <w:szCs w:val="24"/>
              </w:rPr>
              <w:t>Confusion on which incidents should be reporting</w:t>
            </w:r>
          </w:p>
        </w:tc>
        <w:tc>
          <w:tcPr>
            <w:tcW w:w="4388" w:type="dxa"/>
          </w:tcPr>
          <w:p w14:paraId="1F72453F" w14:textId="10C5933F" w:rsidR="238CA98D" w:rsidRDefault="238CA98D" w:rsidP="238CA98D">
            <w:pPr>
              <w:rPr>
                <w:rFonts w:ascii="Arial" w:eastAsia="Arial" w:hAnsi="Arial" w:cs="Arial"/>
                <w:sz w:val="24"/>
                <w:szCs w:val="24"/>
              </w:rPr>
            </w:pPr>
            <w:r w:rsidRPr="238CA98D">
              <w:rPr>
                <w:rFonts w:ascii="Arial" w:eastAsia="Arial" w:hAnsi="Arial" w:cs="Arial"/>
                <w:sz w:val="24"/>
                <w:szCs w:val="24"/>
              </w:rPr>
              <w:t>Expanding the use of trigger lists from Maternity and Neonatal to other areas.</w:t>
            </w:r>
          </w:p>
        </w:tc>
      </w:tr>
      <w:tr w:rsidR="238CA98D" w14:paraId="167C1EB4" w14:textId="77777777" w:rsidTr="238CA98D">
        <w:tc>
          <w:tcPr>
            <w:tcW w:w="2610" w:type="dxa"/>
          </w:tcPr>
          <w:p w14:paraId="4BB674B7" w14:textId="596F810D" w:rsidR="238CA98D" w:rsidRDefault="238CA98D" w:rsidP="238CA98D">
            <w:pPr>
              <w:rPr>
                <w:rFonts w:ascii="Arial" w:eastAsia="Arial" w:hAnsi="Arial" w:cs="Arial"/>
                <w:sz w:val="24"/>
                <w:szCs w:val="24"/>
              </w:rPr>
            </w:pPr>
            <w:r w:rsidRPr="238CA98D">
              <w:rPr>
                <w:rFonts w:ascii="Arial" w:eastAsia="Arial" w:hAnsi="Arial" w:cs="Arial"/>
                <w:sz w:val="24"/>
                <w:szCs w:val="24"/>
              </w:rPr>
              <w:t>Individual-task fit</w:t>
            </w:r>
          </w:p>
        </w:tc>
        <w:tc>
          <w:tcPr>
            <w:tcW w:w="2100" w:type="dxa"/>
          </w:tcPr>
          <w:p w14:paraId="70063D02" w14:textId="09F98E5C" w:rsidR="238CA98D" w:rsidRDefault="238CA98D" w:rsidP="238CA98D">
            <w:pPr>
              <w:rPr>
                <w:rFonts w:ascii="Arial" w:eastAsia="Arial" w:hAnsi="Arial" w:cs="Arial"/>
                <w:sz w:val="24"/>
                <w:szCs w:val="24"/>
              </w:rPr>
            </w:pPr>
            <w:r w:rsidRPr="238CA98D">
              <w:rPr>
                <w:rFonts w:ascii="Arial" w:eastAsia="Arial" w:hAnsi="Arial" w:cs="Arial"/>
                <w:sz w:val="24"/>
                <w:szCs w:val="24"/>
              </w:rPr>
              <w:t>Staff reluctance to report incidents</w:t>
            </w:r>
          </w:p>
        </w:tc>
        <w:tc>
          <w:tcPr>
            <w:tcW w:w="4388" w:type="dxa"/>
          </w:tcPr>
          <w:p w14:paraId="0E9EAE25" w14:textId="32C67BB1" w:rsidR="238CA98D" w:rsidRDefault="238CA98D" w:rsidP="238CA98D">
            <w:pPr>
              <w:rPr>
                <w:rFonts w:ascii="Arial" w:eastAsia="Arial" w:hAnsi="Arial" w:cs="Arial"/>
                <w:sz w:val="24"/>
                <w:szCs w:val="24"/>
              </w:rPr>
            </w:pPr>
            <w:r w:rsidRPr="238CA98D">
              <w:rPr>
                <w:rFonts w:ascii="Arial" w:eastAsia="Arial" w:hAnsi="Arial" w:cs="Arial"/>
                <w:sz w:val="24"/>
                <w:szCs w:val="24"/>
              </w:rPr>
              <w:t xml:space="preserve">Education on the reasons for reporting incidents and reassurance that staff are not blamed for incidents. </w:t>
            </w:r>
          </w:p>
        </w:tc>
      </w:tr>
      <w:tr w:rsidR="238CA98D" w14:paraId="73195CDE" w14:textId="77777777" w:rsidTr="238CA98D">
        <w:tc>
          <w:tcPr>
            <w:tcW w:w="2610" w:type="dxa"/>
          </w:tcPr>
          <w:p w14:paraId="38375671" w14:textId="5799CDCB" w:rsidR="238CA98D" w:rsidRDefault="238CA98D" w:rsidP="238CA98D">
            <w:pPr>
              <w:rPr>
                <w:rFonts w:ascii="Arial" w:eastAsia="Arial" w:hAnsi="Arial" w:cs="Arial"/>
                <w:sz w:val="24"/>
                <w:szCs w:val="24"/>
              </w:rPr>
            </w:pPr>
            <w:r w:rsidRPr="238CA98D">
              <w:rPr>
                <w:rFonts w:ascii="Arial" w:eastAsia="Arial" w:hAnsi="Arial" w:cs="Arial"/>
                <w:sz w:val="24"/>
                <w:szCs w:val="24"/>
              </w:rPr>
              <w:t>Individual-technology fit</w:t>
            </w:r>
          </w:p>
        </w:tc>
        <w:tc>
          <w:tcPr>
            <w:tcW w:w="2100" w:type="dxa"/>
          </w:tcPr>
          <w:p w14:paraId="1FCC6FB0" w14:textId="0DA1C0ED" w:rsidR="238CA98D" w:rsidRDefault="238CA98D" w:rsidP="238CA98D">
            <w:pPr>
              <w:rPr>
                <w:rFonts w:ascii="Arial" w:eastAsia="Arial" w:hAnsi="Arial" w:cs="Arial"/>
                <w:sz w:val="24"/>
                <w:szCs w:val="24"/>
              </w:rPr>
            </w:pPr>
            <w:r w:rsidRPr="238CA98D">
              <w:rPr>
                <w:rFonts w:ascii="Arial" w:eastAsia="Arial" w:hAnsi="Arial" w:cs="Arial"/>
                <w:sz w:val="24"/>
                <w:szCs w:val="24"/>
              </w:rPr>
              <w:t xml:space="preserve">Poor usability </w:t>
            </w:r>
          </w:p>
        </w:tc>
        <w:tc>
          <w:tcPr>
            <w:tcW w:w="4388" w:type="dxa"/>
          </w:tcPr>
          <w:p w14:paraId="124A2CD1" w14:textId="088A11B8" w:rsidR="238CA98D" w:rsidRDefault="238CA98D" w:rsidP="238CA98D">
            <w:pPr>
              <w:rPr>
                <w:rFonts w:ascii="Arial" w:eastAsia="Arial" w:hAnsi="Arial" w:cs="Arial"/>
                <w:sz w:val="24"/>
                <w:szCs w:val="24"/>
              </w:rPr>
            </w:pPr>
            <w:r w:rsidRPr="238CA98D">
              <w:rPr>
                <w:rFonts w:ascii="Arial" w:eastAsia="Arial" w:hAnsi="Arial" w:cs="Arial"/>
                <w:sz w:val="24"/>
                <w:szCs w:val="24"/>
              </w:rPr>
              <w:t xml:space="preserve">Expand user involvement in testing and development of system improvements. </w:t>
            </w:r>
          </w:p>
        </w:tc>
      </w:tr>
      <w:tr w:rsidR="238CA98D" w14:paraId="328465BF" w14:textId="77777777" w:rsidTr="238CA98D">
        <w:tc>
          <w:tcPr>
            <w:tcW w:w="2610" w:type="dxa"/>
          </w:tcPr>
          <w:p w14:paraId="529D9380" w14:textId="5582E8BA" w:rsidR="238CA98D" w:rsidRDefault="238CA98D" w:rsidP="238CA98D">
            <w:pPr>
              <w:rPr>
                <w:rFonts w:ascii="Arial" w:eastAsia="Arial" w:hAnsi="Arial" w:cs="Arial"/>
                <w:sz w:val="24"/>
                <w:szCs w:val="24"/>
              </w:rPr>
            </w:pPr>
            <w:r w:rsidRPr="238CA98D">
              <w:rPr>
                <w:rFonts w:ascii="Arial" w:eastAsia="Arial" w:hAnsi="Arial" w:cs="Arial"/>
                <w:sz w:val="24"/>
                <w:szCs w:val="24"/>
              </w:rPr>
              <w:t>Task-technology fit</w:t>
            </w:r>
          </w:p>
        </w:tc>
        <w:tc>
          <w:tcPr>
            <w:tcW w:w="2100" w:type="dxa"/>
          </w:tcPr>
          <w:p w14:paraId="03F6F17D" w14:textId="7E668E28" w:rsidR="238CA98D" w:rsidRDefault="238CA98D" w:rsidP="238CA98D">
            <w:pPr>
              <w:rPr>
                <w:rFonts w:ascii="Arial" w:eastAsia="Arial" w:hAnsi="Arial" w:cs="Arial"/>
                <w:sz w:val="24"/>
                <w:szCs w:val="24"/>
              </w:rPr>
            </w:pPr>
            <w:r w:rsidRPr="238CA98D">
              <w:rPr>
                <w:rFonts w:ascii="Arial" w:eastAsia="Arial" w:hAnsi="Arial" w:cs="Arial"/>
                <w:sz w:val="24"/>
                <w:szCs w:val="24"/>
              </w:rPr>
              <w:t>Lack of integration, causing repetition of data entry</w:t>
            </w:r>
          </w:p>
        </w:tc>
        <w:tc>
          <w:tcPr>
            <w:tcW w:w="4388" w:type="dxa"/>
          </w:tcPr>
          <w:p w14:paraId="0973803D" w14:textId="69C11E86" w:rsidR="238CA98D" w:rsidRDefault="238CA98D" w:rsidP="238CA98D">
            <w:pPr>
              <w:rPr>
                <w:rFonts w:ascii="Arial" w:eastAsia="Arial" w:hAnsi="Arial" w:cs="Arial"/>
                <w:sz w:val="24"/>
                <w:szCs w:val="24"/>
              </w:rPr>
            </w:pPr>
            <w:r w:rsidRPr="238CA98D">
              <w:rPr>
                <w:rFonts w:ascii="Arial" w:eastAsia="Arial" w:hAnsi="Arial" w:cs="Arial"/>
                <w:sz w:val="24"/>
                <w:szCs w:val="24"/>
              </w:rPr>
              <w:t>Integrate the incident reporting system with the Health Board’s patient management and electronic staff record systems.</w:t>
            </w:r>
          </w:p>
        </w:tc>
      </w:tr>
      <w:tr w:rsidR="238CA98D" w14:paraId="54F81F37" w14:textId="77777777" w:rsidTr="238CA98D">
        <w:tc>
          <w:tcPr>
            <w:tcW w:w="2610" w:type="dxa"/>
          </w:tcPr>
          <w:p w14:paraId="4FA491B6" w14:textId="1D132113" w:rsidR="238CA98D" w:rsidRDefault="238CA98D" w:rsidP="238CA98D">
            <w:pPr>
              <w:rPr>
                <w:rFonts w:ascii="Arial" w:eastAsia="Arial" w:hAnsi="Arial" w:cs="Arial"/>
                <w:sz w:val="24"/>
                <w:szCs w:val="24"/>
              </w:rPr>
            </w:pPr>
            <w:r w:rsidRPr="238CA98D">
              <w:rPr>
                <w:rFonts w:ascii="Arial" w:eastAsia="Arial" w:hAnsi="Arial" w:cs="Arial"/>
                <w:sz w:val="24"/>
                <w:szCs w:val="24"/>
              </w:rPr>
              <w:t>Task-technology fit</w:t>
            </w:r>
          </w:p>
        </w:tc>
        <w:tc>
          <w:tcPr>
            <w:tcW w:w="2100" w:type="dxa"/>
          </w:tcPr>
          <w:p w14:paraId="0700DF6F" w14:textId="76F95CD1" w:rsidR="238CA98D" w:rsidRDefault="238CA98D" w:rsidP="238CA98D">
            <w:pPr>
              <w:rPr>
                <w:rFonts w:ascii="Arial" w:eastAsia="Arial" w:hAnsi="Arial" w:cs="Arial"/>
                <w:sz w:val="24"/>
                <w:szCs w:val="24"/>
              </w:rPr>
            </w:pPr>
            <w:r w:rsidRPr="238CA98D">
              <w:rPr>
                <w:rFonts w:ascii="Arial" w:eastAsia="Arial" w:hAnsi="Arial" w:cs="Arial"/>
                <w:sz w:val="24"/>
                <w:szCs w:val="24"/>
              </w:rPr>
              <w:t>Availability of computers with access to the Health Board network</w:t>
            </w:r>
          </w:p>
        </w:tc>
        <w:tc>
          <w:tcPr>
            <w:tcW w:w="4388" w:type="dxa"/>
          </w:tcPr>
          <w:p w14:paraId="25DBF121" w14:textId="38A2FB45" w:rsidR="238CA98D" w:rsidRDefault="238CA98D" w:rsidP="238CA98D">
            <w:pPr>
              <w:rPr>
                <w:rFonts w:ascii="Arial" w:eastAsia="Arial" w:hAnsi="Arial" w:cs="Arial"/>
                <w:sz w:val="24"/>
                <w:szCs w:val="24"/>
              </w:rPr>
            </w:pPr>
            <w:r w:rsidRPr="238CA98D">
              <w:rPr>
                <w:rFonts w:ascii="Arial" w:eastAsia="Arial" w:hAnsi="Arial" w:cs="Arial"/>
                <w:sz w:val="24"/>
                <w:szCs w:val="24"/>
              </w:rPr>
              <w:t xml:space="preserve">Consider options to allow secure access to the incident reporting system from a wider range of devices, such as </w:t>
            </w:r>
            <w:proofErr w:type="gramStart"/>
            <w:r w:rsidRPr="238CA98D">
              <w:rPr>
                <w:rFonts w:ascii="Arial" w:eastAsia="Arial" w:hAnsi="Arial" w:cs="Arial"/>
                <w:sz w:val="24"/>
                <w:szCs w:val="24"/>
              </w:rPr>
              <w:t>through the use of</w:t>
            </w:r>
            <w:proofErr w:type="gramEnd"/>
            <w:r w:rsidRPr="238CA98D">
              <w:rPr>
                <w:rFonts w:ascii="Arial" w:eastAsia="Arial" w:hAnsi="Arial" w:cs="Arial"/>
                <w:sz w:val="24"/>
                <w:szCs w:val="24"/>
              </w:rPr>
              <w:t xml:space="preserve"> an app proxy. </w:t>
            </w:r>
          </w:p>
        </w:tc>
      </w:tr>
    </w:tbl>
    <w:p w14:paraId="73C45AEB" w14:textId="00426AF7" w:rsidR="15208AD6" w:rsidRDefault="00A84ABA" w:rsidP="238CA98D">
      <w:pPr>
        <w:rPr>
          <w:rFonts w:ascii="Arial" w:eastAsia="Arial" w:hAnsi="Arial" w:cs="Arial"/>
          <w:sz w:val="24"/>
          <w:szCs w:val="24"/>
          <w:highlight w:val="yellow"/>
        </w:rPr>
      </w:pPr>
      <w:r>
        <w:rPr>
          <w:rFonts w:ascii="Arial" w:eastAsia="Arial" w:hAnsi="Arial" w:cs="Arial"/>
          <w:sz w:val="24"/>
          <w:szCs w:val="24"/>
        </w:rPr>
        <w:br/>
      </w:r>
      <w:r w:rsidR="15208AD6" w:rsidRPr="26E87E42">
        <w:rPr>
          <w:rFonts w:ascii="Arial" w:eastAsia="Arial" w:hAnsi="Arial" w:cs="Arial"/>
          <w:sz w:val="24"/>
          <w:szCs w:val="24"/>
        </w:rPr>
        <w:t>The advantages of an electronic system for incident reporting are clear, such as instantaneous alerting of serious incidents to senior staff and corporate teams. Many of those advantages are simply impossible for a paper-based system. However, it must be remembered that a system is not necessarily better purely because of its electronic format. Advantages of paper-based systems must be maintained, such as accessibility and speed of recording information.</w:t>
      </w:r>
    </w:p>
    <w:p w14:paraId="7ADA85D4" w14:textId="22ACD122" w:rsidR="15208AD6" w:rsidRDefault="15208AD6" w:rsidP="238CA98D">
      <w:pPr>
        <w:rPr>
          <w:rFonts w:ascii="Arial" w:eastAsia="Arial" w:hAnsi="Arial" w:cs="Arial"/>
          <w:sz w:val="24"/>
          <w:szCs w:val="24"/>
          <w:highlight w:val="yellow"/>
        </w:rPr>
      </w:pPr>
      <w:r w:rsidRPr="238CA98D">
        <w:rPr>
          <w:rFonts w:ascii="Arial" w:eastAsia="Arial" w:hAnsi="Arial" w:cs="Arial"/>
          <w:sz w:val="24"/>
          <w:szCs w:val="24"/>
        </w:rPr>
        <w:t xml:space="preserve">The relatively low SUS highlights the need to focus on usability of incident reporting systems so that the overall aim of improving the safety of the care provided to patients is achieved. As outlined by the FITT framework, the technology is only one part of a system and the individual and the task are integral to achieving the overall aim. </w:t>
      </w:r>
      <w:r>
        <w:br/>
      </w:r>
      <w:r>
        <w:lastRenderedPageBreak/>
        <w:br/>
      </w:r>
      <w:r w:rsidRPr="238CA98D">
        <w:rPr>
          <w:rFonts w:ascii="Arial" w:eastAsia="Arial" w:hAnsi="Arial" w:cs="Arial"/>
          <w:sz w:val="24"/>
          <w:szCs w:val="24"/>
        </w:rPr>
        <w:t>The task of incident reporting is ultimately straightforward but requires a background understanding of patient safety to maximise engagement with the process. Electronic incident reporting can allow a faster response to emerging patient safety issues.</w:t>
      </w:r>
    </w:p>
    <w:p w14:paraId="704D55A5" w14:textId="24830A7D" w:rsidR="5E78AB9B" w:rsidRDefault="5E78AB9B" w:rsidP="238CA98D">
      <w:pPr>
        <w:rPr>
          <w:rFonts w:ascii="Arial" w:eastAsia="Arial" w:hAnsi="Arial" w:cs="Arial"/>
          <w:sz w:val="24"/>
          <w:szCs w:val="24"/>
        </w:rPr>
      </w:pPr>
      <w:r w:rsidRPr="238CA98D">
        <w:rPr>
          <w:rFonts w:ascii="Arial" w:eastAsia="Arial" w:hAnsi="Arial" w:cs="Arial"/>
          <w:sz w:val="24"/>
          <w:szCs w:val="24"/>
        </w:rPr>
        <w:t xml:space="preserve">The increasing digitisation of care records allows a level of automation to be applied to detection of patient safety incidents, which has been shown to perform better than traditional incident reporting, even with the use of trigger tools. Lee et al (2015) demonstrated this in the context of medication errors. These types of incidents are easy for an algorithm to detect when both prescribing and administration of medication is recorded electronically, as the intended and given doses, medications and routes can be simply compared. </w:t>
      </w:r>
    </w:p>
    <w:p w14:paraId="0299A1D7" w14:textId="74141908" w:rsidR="5E78AB9B" w:rsidRDefault="5E78AB9B" w:rsidP="238CA98D">
      <w:pPr>
        <w:rPr>
          <w:rFonts w:ascii="Arial" w:eastAsia="Arial" w:hAnsi="Arial" w:cs="Arial"/>
          <w:sz w:val="24"/>
          <w:szCs w:val="24"/>
        </w:rPr>
      </w:pPr>
      <w:r w:rsidRPr="238CA98D">
        <w:rPr>
          <w:rFonts w:ascii="Arial" w:eastAsia="Arial" w:hAnsi="Arial" w:cs="Arial"/>
          <w:sz w:val="24"/>
          <w:szCs w:val="24"/>
        </w:rPr>
        <w:t>It is likely that automated detection of other incident types would be more difficult. For example, an incorrectly performed surgery may not become apparent until the patient re-attends later. Automated review of the patient’s medical notes covering the admission for surgery may not identify the surgical error.</w:t>
      </w:r>
    </w:p>
    <w:p w14:paraId="23D15002" w14:textId="089CE60F" w:rsidR="5E78AB9B" w:rsidRDefault="5E78AB9B" w:rsidP="238CA98D">
      <w:pPr>
        <w:rPr>
          <w:rFonts w:ascii="Arial" w:eastAsia="Arial" w:hAnsi="Arial" w:cs="Arial"/>
          <w:sz w:val="24"/>
          <w:szCs w:val="24"/>
        </w:rPr>
      </w:pPr>
      <w:r w:rsidRPr="238CA98D">
        <w:rPr>
          <w:rFonts w:ascii="Arial" w:eastAsia="Arial" w:hAnsi="Arial" w:cs="Arial"/>
          <w:sz w:val="24"/>
          <w:szCs w:val="24"/>
        </w:rPr>
        <w:t>As healthcare services become more digitally enabled, this gives rise to the possibility of more automation of patient safety incident detection. While this has been shown to be technically possible, there is currently limited evidence of healthcare staff’s perception of being ‘watched’ by algorithms designed to detect mistakes. Careful consideration of the implications of automated incident detection must take place, and the focus must remain on improving patient safety rather than any move towards looking at individuals error rates.</w:t>
      </w:r>
    </w:p>
    <w:p w14:paraId="079FAF53" w14:textId="6D170812" w:rsidR="5E78AB9B" w:rsidRDefault="5E78AB9B" w:rsidP="238CA98D">
      <w:pPr>
        <w:rPr>
          <w:rFonts w:ascii="Arial" w:eastAsia="Arial" w:hAnsi="Arial" w:cs="Arial"/>
          <w:sz w:val="24"/>
          <w:szCs w:val="24"/>
        </w:rPr>
      </w:pPr>
      <w:r w:rsidRPr="26E87E42">
        <w:rPr>
          <w:rFonts w:ascii="Arial" w:eastAsia="Arial" w:hAnsi="Arial" w:cs="Arial"/>
          <w:sz w:val="24"/>
          <w:szCs w:val="24"/>
        </w:rPr>
        <w:t>Greater automation of detection will likely improve incident data quality, and in turn allow a more meaningful analysis of themes, trends, and causative factors.</w:t>
      </w:r>
    </w:p>
    <w:p w14:paraId="12B8945A" w14:textId="3A166BBA" w:rsidR="5E78AB9B" w:rsidRDefault="5E78AB9B" w:rsidP="238CA98D">
      <w:pPr>
        <w:rPr>
          <w:rFonts w:ascii="Arial" w:eastAsia="Arial" w:hAnsi="Arial" w:cs="Arial"/>
          <w:sz w:val="24"/>
          <w:szCs w:val="24"/>
        </w:rPr>
      </w:pPr>
      <w:r w:rsidRPr="238CA98D">
        <w:rPr>
          <w:rFonts w:ascii="Arial" w:eastAsia="Arial" w:hAnsi="Arial" w:cs="Arial"/>
          <w:sz w:val="24"/>
          <w:szCs w:val="24"/>
        </w:rPr>
        <w:t xml:space="preserve">It is easy to overemphasise the role of incident reporting in patient safety. It is a useful tool, but is often limited to recording </w:t>
      </w:r>
      <w:r w:rsidRPr="238CA98D">
        <w:rPr>
          <w:rFonts w:ascii="Arial" w:eastAsia="Arial" w:hAnsi="Arial" w:cs="Arial"/>
          <w:i/>
          <w:iCs/>
          <w:sz w:val="24"/>
          <w:szCs w:val="24"/>
        </w:rPr>
        <w:t xml:space="preserve">what </w:t>
      </w:r>
      <w:r w:rsidRPr="238CA98D">
        <w:rPr>
          <w:rFonts w:ascii="Arial" w:eastAsia="Arial" w:hAnsi="Arial" w:cs="Arial"/>
          <w:sz w:val="24"/>
          <w:szCs w:val="24"/>
        </w:rPr>
        <w:t xml:space="preserve">happened, rather than </w:t>
      </w:r>
      <w:r w:rsidRPr="238CA98D">
        <w:rPr>
          <w:rFonts w:ascii="Arial" w:eastAsia="Arial" w:hAnsi="Arial" w:cs="Arial"/>
          <w:i/>
          <w:iCs/>
          <w:sz w:val="24"/>
          <w:szCs w:val="24"/>
        </w:rPr>
        <w:t xml:space="preserve">why </w:t>
      </w:r>
      <w:r w:rsidRPr="238CA98D">
        <w:rPr>
          <w:rFonts w:ascii="Arial" w:eastAsia="Arial" w:hAnsi="Arial" w:cs="Arial"/>
          <w:sz w:val="24"/>
          <w:szCs w:val="24"/>
        </w:rPr>
        <w:t>an incident happened. Much more knowledge can be gained from combining incident data with other sources, such as staffing levels or admission rates. Incident reporting systems can be designed to include questions which help determine incident causes, such as the Yorkshire contributory factors framework (Lawton et al, 2012).</w:t>
      </w:r>
    </w:p>
    <w:p w14:paraId="532D4E04" w14:textId="7CC78812" w:rsidR="5E78AB9B" w:rsidRDefault="5E78AB9B" w:rsidP="238CA98D">
      <w:pPr>
        <w:rPr>
          <w:rFonts w:ascii="Arial" w:eastAsia="Arial" w:hAnsi="Arial" w:cs="Arial"/>
          <w:sz w:val="24"/>
          <w:szCs w:val="24"/>
        </w:rPr>
      </w:pPr>
      <w:r w:rsidRPr="238CA98D">
        <w:rPr>
          <w:rFonts w:ascii="Arial" w:eastAsia="Arial" w:hAnsi="Arial" w:cs="Arial"/>
          <w:sz w:val="24"/>
          <w:szCs w:val="24"/>
        </w:rPr>
        <w:t xml:space="preserve">While an electronic system for incident reporting has clear advantages over paper forms, the system must be carefully designed to ensure that these advantages are not outweighed by increased complexity, reduced access to easy reporting and poor usability. </w:t>
      </w:r>
    </w:p>
    <w:p w14:paraId="15D1F856" w14:textId="7D61B71B" w:rsidR="5E78AB9B" w:rsidRDefault="5E78AB9B" w:rsidP="238CA98D">
      <w:pPr>
        <w:rPr>
          <w:rFonts w:ascii="Arial" w:eastAsia="Arial" w:hAnsi="Arial" w:cs="Arial"/>
          <w:sz w:val="24"/>
          <w:szCs w:val="24"/>
        </w:rPr>
      </w:pPr>
      <w:r w:rsidRPr="238CA98D">
        <w:rPr>
          <w:rFonts w:ascii="Arial" w:eastAsia="Arial" w:hAnsi="Arial" w:cs="Arial"/>
          <w:sz w:val="24"/>
          <w:szCs w:val="24"/>
        </w:rPr>
        <w:t>Many of these challenges are again occurring at a national level with the introduction of a ‘Once for Wales’ concerns management system which incorporates incident reporting. While there are technical challenges, as can be expected with any IT implementation, almost equal difficulty is found in standardising organisational processes for incident reporting and management across all Health Boards and Trusts in Wales, where the individual-task fit varies greatly between, and within organisations.</w:t>
      </w:r>
    </w:p>
    <w:p w14:paraId="7900C5C8" w14:textId="72551841" w:rsidR="238CA98D" w:rsidRDefault="238CA98D" w:rsidP="26E87E42">
      <w:pPr>
        <w:rPr>
          <w:rFonts w:ascii="Arial" w:eastAsia="Arial" w:hAnsi="Arial" w:cs="Arial"/>
          <w:sz w:val="24"/>
          <w:szCs w:val="24"/>
        </w:rPr>
      </w:pPr>
      <w:r w:rsidRPr="26E87E42">
        <w:rPr>
          <w:rFonts w:ascii="Arial" w:eastAsia="Arial" w:hAnsi="Arial" w:cs="Arial"/>
          <w:sz w:val="24"/>
          <w:szCs w:val="24"/>
        </w:rPr>
        <w:lastRenderedPageBreak/>
        <w:t>Patient safety is at the heart of any incident reporting system, and it is imperative that this remains the focus. Those working in the NHS have a duty to the public to provide care that is as safe as possible. While it is inevitable that things will go wrong, especially in an industry as large and complex as healthcare, organisations must have systems in place to record, understand and ultimately learn from these incidents to improve safety for future patients. Electronic incident reporting brings advantages over paper-based methods, but care must be taken to ensure that the design of these systems do not introduce additional barriers to reporting and learning.</w:t>
      </w:r>
      <w:r>
        <w:br/>
      </w:r>
      <w:r>
        <w:br/>
      </w:r>
      <w:r w:rsidRPr="26E87E42">
        <w:rPr>
          <w:rFonts w:ascii="Arial" w:eastAsia="Arial" w:hAnsi="Arial" w:cs="Arial"/>
          <w:sz w:val="24"/>
          <w:szCs w:val="24"/>
        </w:rPr>
        <w:t>The FITT framework clearly demonstrates that focussing on the technology alone is likely to contribute to implementation failure and the equally crucial factors of individual and task should not be forgotten.</w:t>
      </w:r>
      <w:r>
        <w:br/>
      </w:r>
      <w:r>
        <w:br/>
      </w:r>
      <w:r w:rsidRPr="26E87E42">
        <w:rPr>
          <w:rFonts w:ascii="Arial" w:eastAsia="Arial" w:hAnsi="Arial" w:cs="Arial"/>
          <w:sz w:val="24"/>
          <w:szCs w:val="24"/>
        </w:rPr>
        <w:t>The E-Datix product used in Cardiff and Vale UHB provides a reasonable incident reporting system to the Health Board, which has been adapted and improved by the responsible team over its lifetime. The all-Wales move to a newer version of RL Datix’s incident reporting system presents opportunities for improved comparability of data, understanding of contributory incident factors and data-linkage with other healthcare IT systems. Those involved in the all-Wales project must retain a focus on the patient at the heart of the system and ensure the best fit between the task, the individual, and the technology to achieve the desired outcome of supporting safe and seamless care.</w:t>
      </w:r>
    </w:p>
    <w:p w14:paraId="10115628" w14:textId="0F0E3563" w:rsidR="238CA98D" w:rsidRDefault="238CA98D" w:rsidP="238CA98D">
      <w:pPr>
        <w:rPr>
          <w:rFonts w:ascii="Arial" w:eastAsia="Arial" w:hAnsi="Arial" w:cs="Arial"/>
          <w:sz w:val="24"/>
          <w:szCs w:val="24"/>
        </w:rPr>
      </w:pPr>
    </w:p>
    <w:p w14:paraId="2F22DE86" w14:textId="67BF8E6E" w:rsidR="00A84ABA" w:rsidRDefault="00A84ABA" w:rsidP="238CA98D">
      <w:pPr>
        <w:rPr>
          <w:rFonts w:ascii="Arial" w:eastAsia="Arial" w:hAnsi="Arial" w:cs="Arial"/>
          <w:sz w:val="24"/>
          <w:szCs w:val="24"/>
        </w:rPr>
      </w:pPr>
    </w:p>
    <w:p w14:paraId="3AC7F684" w14:textId="2448F6A7" w:rsidR="00A84ABA" w:rsidRDefault="00A84ABA" w:rsidP="238CA98D">
      <w:pPr>
        <w:rPr>
          <w:rFonts w:ascii="Arial" w:eastAsia="Arial" w:hAnsi="Arial" w:cs="Arial"/>
          <w:sz w:val="24"/>
          <w:szCs w:val="24"/>
        </w:rPr>
      </w:pPr>
    </w:p>
    <w:p w14:paraId="1E2B3033" w14:textId="79E4CB99" w:rsidR="00A84ABA" w:rsidRDefault="00A84ABA" w:rsidP="238CA98D">
      <w:pPr>
        <w:rPr>
          <w:rFonts w:ascii="Arial" w:eastAsia="Arial" w:hAnsi="Arial" w:cs="Arial"/>
          <w:sz w:val="24"/>
          <w:szCs w:val="24"/>
        </w:rPr>
      </w:pPr>
    </w:p>
    <w:p w14:paraId="596399D4" w14:textId="5D112D8F" w:rsidR="00A84ABA" w:rsidRDefault="00A84ABA" w:rsidP="238CA98D">
      <w:pPr>
        <w:rPr>
          <w:rFonts w:ascii="Arial" w:eastAsia="Arial" w:hAnsi="Arial" w:cs="Arial"/>
          <w:sz w:val="24"/>
          <w:szCs w:val="24"/>
        </w:rPr>
      </w:pPr>
    </w:p>
    <w:p w14:paraId="770DB517" w14:textId="63E93401" w:rsidR="00A84ABA" w:rsidRDefault="00A84ABA" w:rsidP="238CA98D">
      <w:pPr>
        <w:rPr>
          <w:rFonts w:ascii="Arial" w:eastAsia="Arial" w:hAnsi="Arial" w:cs="Arial"/>
          <w:sz w:val="24"/>
          <w:szCs w:val="24"/>
        </w:rPr>
      </w:pPr>
    </w:p>
    <w:p w14:paraId="047D05ED" w14:textId="4B58F65E" w:rsidR="00A84ABA" w:rsidRDefault="00A84ABA" w:rsidP="238CA98D">
      <w:pPr>
        <w:rPr>
          <w:rFonts w:ascii="Arial" w:eastAsia="Arial" w:hAnsi="Arial" w:cs="Arial"/>
          <w:sz w:val="24"/>
          <w:szCs w:val="24"/>
        </w:rPr>
      </w:pPr>
    </w:p>
    <w:p w14:paraId="2EF04080" w14:textId="51E74BDC" w:rsidR="00A84ABA" w:rsidRDefault="00A84ABA" w:rsidP="238CA98D">
      <w:pPr>
        <w:rPr>
          <w:rFonts w:ascii="Arial" w:eastAsia="Arial" w:hAnsi="Arial" w:cs="Arial"/>
          <w:sz w:val="24"/>
          <w:szCs w:val="24"/>
        </w:rPr>
      </w:pPr>
    </w:p>
    <w:p w14:paraId="31561D33" w14:textId="4FAB050B" w:rsidR="00A84ABA" w:rsidRDefault="00A84ABA" w:rsidP="238CA98D">
      <w:pPr>
        <w:rPr>
          <w:rFonts w:ascii="Arial" w:eastAsia="Arial" w:hAnsi="Arial" w:cs="Arial"/>
          <w:sz w:val="24"/>
          <w:szCs w:val="24"/>
        </w:rPr>
      </w:pPr>
    </w:p>
    <w:p w14:paraId="6EED56D4" w14:textId="2228E912" w:rsidR="00A84ABA" w:rsidRDefault="00A84ABA" w:rsidP="238CA98D">
      <w:pPr>
        <w:rPr>
          <w:rFonts w:ascii="Arial" w:eastAsia="Arial" w:hAnsi="Arial" w:cs="Arial"/>
          <w:sz w:val="24"/>
          <w:szCs w:val="24"/>
        </w:rPr>
      </w:pPr>
    </w:p>
    <w:p w14:paraId="16821A4E" w14:textId="1837CFBF" w:rsidR="00A84ABA" w:rsidRDefault="00A84ABA" w:rsidP="238CA98D">
      <w:pPr>
        <w:rPr>
          <w:rFonts w:ascii="Arial" w:eastAsia="Arial" w:hAnsi="Arial" w:cs="Arial"/>
          <w:sz w:val="24"/>
          <w:szCs w:val="24"/>
        </w:rPr>
      </w:pPr>
    </w:p>
    <w:p w14:paraId="302988B6" w14:textId="446E7C0B" w:rsidR="00A84ABA" w:rsidRDefault="00A84ABA" w:rsidP="238CA98D">
      <w:pPr>
        <w:rPr>
          <w:rFonts w:ascii="Arial" w:eastAsia="Arial" w:hAnsi="Arial" w:cs="Arial"/>
          <w:sz w:val="24"/>
          <w:szCs w:val="24"/>
        </w:rPr>
      </w:pPr>
    </w:p>
    <w:p w14:paraId="5D99883D" w14:textId="660C689F" w:rsidR="00A84ABA" w:rsidRDefault="00A84ABA" w:rsidP="238CA98D">
      <w:pPr>
        <w:rPr>
          <w:rFonts w:ascii="Arial" w:eastAsia="Arial" w:hAnsi="Arial" w:cs="Arial"/>
          <w:sz w:val="24"/>
          <w:szCs w:val="24"/>
        </w:rPr>
      </w:pPr>
    </w:p>
    <w:p w14:paraId="05167B26" w14:textId="4A7F1D0C" w:rsidR="00A84ABA" w:rsidRDefault="00A84ABA" w:rsidP="238CA98D">
      <w:pPr>
        <w:rPr>
          <w:rFonts w:ascii="Arial" w:eastAsia="Arial" w:hAnsi="Arial" w:cs="Arial"/>
          <w:sz w:val="24"/>
          <w:szCs w:val="24"/>
        </w:rPr>
      </w:pPr>
    </w:p>
    <w:p w14:paraId="098A30B3" w14:textId="77777777" w:rsidR="00A84ABA" w:rsidRDefault="00A84ABA" w:rsidP="238CA98D">
      <w:pPr>
        <w:rPr>
          <w:rFonts w:ascii="Arial" w:eastAsia="Arial" w:hAnsi="Arial" w:cs="Arial"/>
          <w:sz w:val="24"/>
          <w:szCs w:val="24"/>
        </w:rPr>
      </w:pPr>
    </w:p>
    <w:p w14:paraId="72A7A473" w14:textId="796E1D8E" w:rsidR="238CA98D" w:rsidRDefault="238CA98D" w:rsidP="238CA98D">
      <w:pPr>
        <w:rPr>
          <w:rFonts w:ascii="Arial" w:eastAsia="Arial" w:hAnsi="Arial" w:cs="Arial"/>
          <w:sz w:val="24"/>
          <w:szCs w:val="24"/>
        </w:rPr>
      </w:pPr>
      <w:r w:rsidRPr="238CA98D">
        <w:rPr>
          <w:rFonts w:ascii="Arial" w:eastAsia="Arial" w:hAnsi="Arial" w:cs="Arial"/>
          <w:b/>
          <w:bCs/>
          <w:sz w:val="28"/>
          <w:szCs w:val="28"/>
        </w:rPr>
        <w:lastRenderedPageBreak/>
        <w:t>References</w:t>
      </w:r>
    </w:p>
    <w:p w14:paraId="767F68F7" w14:textId="46BF8C61" w:rsidR="238CA98D" w:rsidRDefault="238CA98D" w:rsidP="26E87E42">
      <w:pPr>
        <w:rPr>
          <w:rFonts w:ascii="Arial" w:eastAsia="Arial" w:hAnsi="Arial" w:cs="Arial"/>
          <w:color w:val="000000" w:themeColor="text1"/>
          <w:sz w:val="24"/>
          <w:szCs w:val="24"/>
          <w:lang w:val="en-US"/>
        </w:rPr>
      </w:pPr>
      <w:proofErr w:type="spellStart"/>
      <w:r w:rsidRPr="26E87E42">
        <w:rPr>
          <w:rFonts w:ascii="Arial" w:eastAsia="Arial" w:hAnsi="Arial" w:cs="Arial"/>
          <w:color w:val="000000" w:themeColor="text1"/>
          <w:sz w:val="24"/>
          <w:szCs w:val="24"/>
          <w:lang w:val="en-US"/>
        </w:rPr>
        <w:t>AlGhannam</w:t>
      </w:r>
      <w:proofErr w:type="spellEnd"/>
      <w:r w:rsidRPr="26E87E42">
        <w:rPr>
          <w:rFonts w:ascii="Arial" w:eastAsia="Arial" w:hAnsi="Arial" w:cs="Arial"/>
          <w:color w:val="000000" w:themeColor="text1"/>
          <w:sz w:val="24"/>
          <w:szCs w:val="24"/>
          <w:lang w:val="en-US"/>
        </w:rPr>
        <w:t xml:space="preserve">, B.A. </w:t>
      </w:r>
      <w:r w:rsidRPr="26E87E42">
        <w:rPr>
          <w:rFonts w:ascii="Arial" w:eastAsia="Arial" w:hAnsi="Arial" w:cs="Arial"/>
          <w:i/>
          <w:iCs/>
          <w:color w:val="000000" w:themeColor="text1"/>
          <w:sz w:val="24"/>
          <w:szCs w:val="24"/>
          <w:lang w:val="en-US"/>
        </w:rPr>
        <w:t xml:space="preserve">et al. </w:t>
      </w:r>
      <w:r w:rsidRPr="26E87E42">
        <w:rPr>
          <w:rFonts w:ascii="Arial" w:eastAsia="Arial" w:hAnsi="Arial" w:cs="Arial"/>
          <w:color w:val="000000" w:themeColor="text1"/>
          <w:sz w:val="24"/>
          <w:szCs w:val="24"/>
          <w:lang w:val="en-US"/>
        </w:rPr>
        <w:t xml:space="preserve">(2018) ‘Towards a standard Arabic system usability scale: Psychometric evaluation using communication disorder app’, </w:t>
      </w:r>
      <w:r w:rsidRPr="26E87E42">
        <w:rPr>
          <w:rFonts w:ascii="Arial" w:eastAsia="Arial" w:hAnsi="Arial" w:cs="Arial"/>
          <w:i/>
          <w:iCs/>
          <w:color w:val="000000" w:themeColor="text1"/>
          <w:sz w:val="24"/>
          <w:szCs w:val="24"/>
          <w:lang w:val="en-US"/>
        </w:rPr>
        <w:t xml:space="preserve">International Journal of Human-Computer Interaction, </w:t>
      </w:r>
      <w:r w:rsidRPr="26E87E42">
        <w:rPr>
          <w:rFonts w:ascii="Arial" w:eastAsia="Arial" w:hAnsi="Arial" w:cs="Arial"/>
          <w:color w:val="000000" w:themeColor="text1"/>
          <w:sz w:val="24"/>
          <w:szCs w:val="24"/>
          <w:lang w:val="en-US"/>
        </w:rPr>
        <w:t>34(9), pp. 799-804. DOI: 10.1080/10447318.2017.1388099</w:t>
      </w:r>
    </w:p>
    <w:p w14:paraId="7F4E5304" w14:textId="6C3B2B95"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Ammenwerth</w:t>
      </w:r>
      <w:proofErr w:type="spellEnd"/>
      <w:r w:rsidRPr="238CA98D">
        <w:rPr>
          <w:rFonts w:ascii="Arial" w:eastAsia="Arial" w:hAnsi="Arial" w:cs="Arial"/>
          <w:color w:val="000000" w:themeColor="text1"/>
          <w:sz w:val="24"/>
          <w:szCs w:val="24"/>
          <w:lang w:val="en-US"/>
        </w:rPr>
        <w:t xml:space="preserve">, E., </w:t>
      </w:r>
      <w:proofErr w:type="spellStart"/>
      <w:r w:rsidRPr="238CA98D">
        <w:rPr>
          <w:rFonts w:ascii="Arial" w:eastAsia="Arial" w:hAnsi="Arial" w:cs="Arial"/>
          <w:color w:val="000000" w:themeColor="text1"/>
          <w:sz w:val="24"/>
          <w:szCs w:val="24"/>
          <w:lang w:val="en-US"/>
        </w:rPr>
        <w:t>Iller</w:t>
      </w:r>
      <w:proofErr w:type="spellEnd"/>
      <w:r w:rsidRPr="238CA98D">
        <w:rPr>
          <w:rFonts w:ascii="Arial" w:eastAsia="Arial" w:hAnsi="Arial" w:cs="Arial"/>
          <w:color w:val="000000" w:themeColor="text1"/>
          <w:sz w:val="24"/>
          <w:szCs w:val="24"/>
          <w:lang w:val="en-US"/>
        </w:rPr>
        <w:t xml:space="preserve">, C. and Mahler, C. (2006) ‘IT-adoption and the interaction of task, technology and individuals: a fit framework and a case study’, </w:t>
      </w:r>
      <w:r w:rsidRPr="238CA98D">
        <w:rPr>
          <w:rFonts w:ascii="Arial" w:eastAsia="Arial" w:hAnsi="Arial" w:cs="Arial"/>
          <w:i/>
          <w:iCs/>
          <w:color w:val="000000" w:themeColor="text1"/>
          <w:sz w:val="24"/>
          <w:szCs w:val="24"/>
          <w:lang w:val="en-US"/>
        </w:rPr>
        <w:t xml:space="preserve">BMC Medical Information and Decision Making, </w:t>
      </w:r>
      <w:r w:rsidRPr="238CA98D">
        <w:rPr>
          <w:rFonts w:ascii="Arial" w:eastAsia="Arial" w:hAnsi="Arial" w:cs="Arial"/>
          <w:color w:val="000000" w:themeColor="text1"/>
          <w:sz w:val="24"/>
          <w:szCs w:val="24"/>
          <w:lang w:val="en-US"/>
        </w:rPr>
        <w:t>6(1), p. 3. DOI: 10.1186/1472-6947-6-3</w:t>
      </w:r>
    </w:p>
    <w:p w14:paraId="237F12D8" w14:textId="6AF290B0"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Archer, S. </w:t>
      </w:r>
      <w:r w:rsidRPr="238CA98D">
        <w:rPr>
          <w:rFonts w:ascii="Arial" w:eastAsia="Arial" w:hAnsi="Arial" w:cs="Arial"/>
          <w:i/>
          <w:iCs/>
          <w:color w:val="000000" w:themeColor="text1"/>
          <w:sz w:val="24"/>
          <w:szCs w:val="24"/>
          <w:lang w:val="en-US"/>
        </w:rPr>
        <w:t xml:space="preserve">et al. </w:t>
      </w:r>
      <w:r w:rsidRPr="238CA98D">
        <w:rPr>
          <w:rFonts w:ascii="Arial" w:eastAsia="Arial" w:hAnsi="Arial" w:cs="Arial"/>
          <w:color w:val="000000" w:themeColor="text1"/>
          <w:sz w:val="24"/>
          <w:szCs w:val="24"/>
          <w:lang w:val="en-US"/>
        </w:rPr>
        <w:t xml:space="preserve">(2020) ‘Barriers and facilitators to incident reporting in mental healthcare settings: A qualitative study’, </w:t>
      </w:r>
      <w:r w:rsidRPr="238CA98D">
        <w:rPr>
          <w:rFonts w:ascii="Arial" w:eastAsia="Arial" w:hAnsi="Arial" w:cs="Arial"/>
          <w:i/>
          <w:iCs/>
          <w:color w:val="000000" w:themeColor="text1"/>
          <w:sz w:val="24"/>
          <w:szCs w:val="24"/>
          <w:lang w:val="en-US"/>
        </w:rPr>
        <w:t xml:space="preserve">Journal of Psychiatric and Mental Health Nursing, </w:t>
      </w:r>
      <w:r w:rsidRPr="238CA98D">
        <w:rPr>
          <w:rFonts w:ascii="Arial" w:eastAsia="Arial" w:hAnsi="Arial" w:cs="Arial"/>
          <w:color w:val="000000" w:themeColor="text1"/>
          <w:sz w:val="24"/>
          <w:szCs w:val="24"/>
          <w:lang w:val="en-US"/>
        </w:rPr>
        <w:t>27(3), pp. 211-223. DOI: 10.1111/jpm.12570</w:t>
      </w:r>
    </w:p>
    <w:p w14:paraId="2CD8A258" w14:textId="0ED32478"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Bangor, A., </w:t>
      </w:r>
      <w:proofErr w:type="spellStart"/>
      <w:r w:rsidRPr="238CA98D">
        <w:rPr>
          <w:rFonts w:ascii="Arial" w:eastAsia="Arial" w:hAnsi="Arial" w:cs="Arial"/>
          <w:color w:val="000000" w:themeColor="text1"/>
          <w:sz w:val="24"/>
          <w:szCs w:val="24"/>
          <w:lang w:val="en-US"/>
        </w:rPr>
        <w:t>Kortum</w:t>
      </w:r>
      <w:proofErr w:type="spellEnd"/>
      <w:r w:rsidRPr="238CA98D">
        <w:rPr>
          <w:rFonts w:ascii="Arial" w:eastAsia="Arial" w:hAnsi="Arial" w:cs="Arial"/>
          <w:color w:val="000000" w:themeColor="text1"/>
          <w:sz w:val="24"/>
          <w:szCs w:val="24"/>
          <w:lang w:val="en-US"/>
        </w:rPr>
        <w:t xml:space="preserve">, P.T. and Miller, J.T. (2008) ‘An empirical evaluation of the System Usability Scale’, </w:t>
      </w:r>
      <w:r w:rsidRPr="238CA98D">
        <w:rPr>
          <w:rFonts w:ascii="Arial" w:eastAsia="Arial" w:hAnsi="Arial" w:cs="Arial"/>
          <w:i/>
          <w:iCs/>
          <w:color w:val="000000" w:themeColor="text1"/>
          <w:sz w:val="24"/>
          <w:szCs w:val="24"/>
          <w:lang w:val="en-US"/>
        </w:rPr>
        <w:t xml:space="preserve">International Journal of Human-Computer Interaction, </w:t>
      </w:r>
      <w:r w:rsidRPr="238CA98D">
        <w:rPr>
          <w:rFonts w:ascii="Arial" w:eastAsia="Arial" w:hAnsi="Arial" w:cs="Arial"/>
          <w:color w:val="000000" w:themeColor="text1"/>
          <w:sz w:val="24"/>
          <w:szCs w:val="24"/>
          <w:lang w:val="en-US"/>
        </w:rPr>
        <w:t>24(6), pp. 574-594. DOI: 10.1080/10447310802205776</w:t>
      </w:r>
    </w:p>
    <w:p w14:paraId="17D5574B" w14:textId="1D79D810"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Birkeli</w:t>
      </w:r>
      <w:proofErr w:type="spellEnd"/>
      <w:r w:rsidRPr="238CA98D">
        <w:rPr>
          <w:rFonts w:ascii="Arial" w:eastAsia="Arial" w:hAnsi="Arial" w:cs="Arial"/>
          <w:color w:val="000000" w:themeColor="text1"/>
          <w:sz w:val="24"/>
          <w:szCs w:val="24"/>
          <w:lang w:val="en-US"/>
        </w:rPr>
        <w:t xml:space="preserve">, G.H., Jacobsen, H.K. and </w:t>
      </w:r>
      <w:proofErr w:type="spellStart"/>
      <w:r w:rsidRPr="238CA98D">
        <w:rPr>
          <w:rFonts w:ascii="Arial" w:eastAsia="Arial" w:hAnsi="Arial" w:cs="Arial"/>
          <w:color w:val="000000" w:themeColor="text1"/>
          <w:sz w:val="24"/>
          <w:szCs w:val="24"/>
          <w:lang w:val="en-US"/>
        </w:rPr>
        <w:t>Ballangrud</w:t>
      </w:r>
      <w:proofErr w:type="spellEnd"/>
      <w:r w:rsidRPr="238CA98D">
        <w:rPr>
          <w:rFonts w:ascii="Arial" w:eastAsia="Arial" w:hAnsi="Arial" w:cs="Arial"/>
          <w:color w:val="000000" w:themeColor="text1"/>
          <w:sz w:val="24"/>
          <w:szCs w:val="24"/>
          <w:lang w:val="en-US"/>
        </w:rPr>
        <w:t xml:space="preserve">, R. (2021) ‘Nurses’ experience of the incident reporting culture before and after implementing the Green Cross method: A quality improvement project’, </w:t>
      </w:r>
      <w:r w:rsidRPr="238CA98D">
        <w:rPr>
          <w:rFonts w:ascii="Arial" w:eastAsia="Arial" w:hAnsi="Arial" w:cs="Arial"/>
          <w:i/>
          <w:iCs/>
          <w:color w:val="000000" w:themeColor="text1"/>
          <w:sz w:val="24"/>
          <w:szCs w:val="24"/>
          <w:lang w:val="en-US"/>
        </w:rPr>
        <w:t>Intensive and Critical Care Nursing,</w:t>
      </w:r>
      <w:r w:rsidRPr="238CA98D">
        <w:rPr>
          <w:rFonts w:ascii="Arial" w:eastAsia="Arial" w:hAnsi="Arial" w:cs="Arial"/>
          <w:color w:val="000000" w:themeColor="text1"/>
          <w:sz w:val="24"/>
          <w:szCs w:val="24"/>
          <w:lang w:val="en-US"/>
        </w:rPr>
        <w:t xml:space="preserve"> 69, p. 103166. DOI: 10.1016/j.iccn.2021.103166</w:t>
      </w:r>
    </w:p>
    <w:p w14:paraId="6D67E3BF" w14:textId="2450D5D7"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Black Country Partnership NHS Foundation Trust (2019) </w:t>
      </w:r>
      <w:r w:rsidRPr="238CA98D">
        <w:rPr>
          <w:rFonts w:ascii="Arial" w:eastAsia="Arial" w:hAnsi="Arial" w:cs="Arial"/>
          <w:i/>
          <w:iCs/>
          <w:color w:val="000000" w:themeColor="text1"/>
          <w:sz w:val="24"/>
          <w:szCs w:val="24"/>
          <w:lang w:val="en-US"/>
        </w:rPr>
        <w:t xml:space="preserve">Reporting an incident. </w:t>
      </w:r>
      <w:r w:rsidRPr="238CA98D">
        <w:rPr>
          <w:rFonts w:ascii="Arial" w:eastAsia="Arial" w:hAnsi="Arial" w:cs="Arial"/>
          <w:color w:val="000000" w:themeColor="text1"/>
          <w:sz w:val="24"/>
          <w:szCs w:val="24"/>
          <w:lang w:val="en-US"/>
        </w:rPr>
        <w:t xml:space="preserve">Available at: </w:t>
      </w:r>
      <w:hyperlink r:id="rId6">
        <w:r w:rsidRPr="238CA98D">
          <w:rPr>
            <w:rStyle w:val="Hyperlink"/>
            <w:rFonts w:ascii="Arial" w:eastAsia="Arial" w:hAnsi="Arial" w:cs="Arial"/>
            <w:sz w:val="24"/>
            <w:szCs w:val="24"/>
            <w:lang w:val="en-US"/>
          </w:rPr>
          <w:t>https://www.bcpft.nhs.uk/about-us/our-policies-and-procedures/i/858-incident-reporting-sop-1-reporting-an-incident/file?tmpl=component</w:t>
        </w:r>
      </w:hyperlink>
      <w:r w:rsidRPr="238CA98D">
        <w:rPr>
          <w:rFonts w:ascii="Arial" w:eastAsia="Arial" w:hAnsi="Arial" w:cs="Arial"/>
          <w:color w:val="000000" w:themeColor="text1"/>
          <w:sz w:val="24"/>
          <w:szCs w:val="24"/>
          <w:lang w:val="en-US"/>
        </w:rPr>
        <w:t xml:space="preserve"> (Accessed: 2 March 2022)</w:t>
      </w:r>
    </w:p>
    <w:p w14:paraId="2E04816C" w14:textId="613E7E79"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Bloom, B.M. </w:t>
      </w:r>
      <w:r w:rsidRPr="238CA98D">
        <w:rPr>
          <w:rFonts w:ascii="Arial" w:eastAsia="Arial" w:hAnsi="Arial" w:cs="Arial"/>
          <w:i/>
          <w:iCs/>
          <w:color w:val="000000" w:themeColor="text1"/>
          <w:sz w:val="24"/>
          <w:szCs w:val="24"/>
          <w:lang w:val="en-US"/>
        </w:rPr>
        <w:t xml:space="preserve">et al. </w:t>
      </w:r>
      <w:r w:rsidRPr="238CA98D">
        <w:rPr>
          <w:rFonts w:ascii="Arial" w:eastAsia="Arial" w:hAnsi="Arial" w:cs="Arial"/>
          <w:color w:val="000000" w:themeColor="text1"/>
          <w:sz w:val="24"/>
          <w:szCs w:val="24"/>
          <w:lang w:val="en-US"/>
        </w:rPr>
        <w:t xml:space="preserve">(2021) ‘Usability of electronic health record systems in UK EDs’, </w:t>
      </w:r>
      <w:r w:rsidRPr="238CA98D">
        <w:rPr>
          <w:rFonts w:ascii="Arial" w:eastAsia="Arial" w:hAnsi="Arial" w:cs="Arial"/>
          <w:i/>
          <w:iCs/>
          <w:color w:val="000000" w:themeColor="text1"/>
          <w:sz w:val="24"/>
          <w:szCs w:val="24"/>
          <w:lang w:val="en-US"/>
        </w:rPr>
        <w:t xml:space="preserve">Emergency Medicine Journal, </w:t>
      </w:r>
      <w:r w:rsidRPr="238CA98D">
        <w:rPr>
          <w:rFonts w:ascii="Arial" w:eastAsia="Arial" w:hAnsi="Arial" w:cs="Arial"/>
          <w:color w:val="000000" w:themeColor="text1"/>
          <w:sz w:val="24"/>
          <w:szCs w:val="24"/>
          <w:lang w:val="en-US"/>
        </w:rPr>
        <w:t>38(6), pp. 410-415. DOI: 10.1136/emermed-2020-210401</w:t>
      </w:r>
    </w:p>
    <w:p w14:paraId="4B9894A6" w14:textId="2E4451F6"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Brooke, J. (1996) </w:t>
      </w:r>
      <w:r w:rsidRPr="238CA98D">
        <w:rPr>
          <w:rFonts w:ascii="Arial" w:eastAsia="Arial" w:hAnsi="Arial" w:cs="Arial"/>
          <w:i/>
          <w:iCs/>
          <w:color w:val="000000" w:themeColor="text1"/>
          <w:sz w:val="24"/>
          <w:szCs w:val="24"/>
          <w:lang w:val="en-US"/>
        </w:rPr>
        <w:t xml:space="preserve">SUS – A quick and dirty usability scale. </w:t>
      </w:r>
      <w:r w:rsidRPr="238CA98D">
        <w:rPr>
          <w:rFonts w:ascii="Arial" w:eastAsia="Arial" w:hAnsi="Arial" w:cs="Arial"/>
          <w:color w:val="000000" w:themeColor="text1"/>
          <w:sz w:val="24"/>
          <w:szCs w:val="24"/>
          <w:lang w:val="en-US"/>
        </w:rPr>
        <w:t xml:space="preserve">Available at: </w:t>
      </w:r>
      <w:hyperlink r:id="rId7">
        <w:r w:rsidRPr="238CA98D">
          <w:rPr>
            <w:rStyle w:val="Hyperlink"/>
            <w:rFonts w:ascii="Arial" w:eastAsia="Arial" w:hAnsi="Arial" w:cs="Arial"/>
            <w:sz w:val="24"/>
            <w:szCs w:val="24"/>
            <w:lang w:val="en-US"/>
          </w:rPr>
          <w:t>https://www.researchgate.net/publication/228593520_SUS_A_quick_and_dirty_usability_scale/link/5f24381392851cd302cbaf25/download</w:t>
        </w:r>
      </w:hyperlink>
      <w:r w:rsidRPr="238CA98D">
        <w:rPr>
          <w:rFonts w:ascii="Arial" w:eastAsia="Arial" w:hAnsi="Arial" w:cs="Arial"/>
          <w:color w:val="000000" w:themeColor="text1"/>
          <w:sz w:val="24"/>
          <w:szCs w:val="24"/>
          <w:lang w:val="en-US"/>
        </w:rPr>
        <w:t xml:space="preserve"> (Accessed: 28 February 2022).</w:t>
      </w:r>
    </w:p>
    <w:p w14:paraId="15DF39CC" w14:textId="01CF7461"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Cardiff and Vale University Health Board (2018) </w:t>
      </w:r>
      <w:r w:rsidRPr="238CA98D">
        <w:rPr>
          <w:rFonts w:ascii="Arial" w:eastAsia="Arial" w:hAnsi="Arial" w:cs="Arial"/>
          <w:i/>
          <w:iCs/>
          <w:color w:val="000000" w:themeColor="text1"/>
          <w:sz w:val="24"/>
          <w:szCs w:val="24"/>
          <w:lang w:val="en-US"/>
        </w:rPr>
        <w:t xml:space="preserve">Incident, Hazard and Near Miss Reporting Procedure. </w:t>
      </w:r>
      <w:r w:rsidRPr="238CA98D">
        <w:rPr>
          <w:rFonts w:ascii="Arial" w:eastAsia="Arial" w:hAnsi="Arial" w:cs="Arial"/>
          <w:color w:val="000000" w:themeColor="text1"/>
          <w:sz w:val="24"/>
          <w:szCs w:val="24"/>
          <w:lang w:val="en-US"/>
        </w:rPr>
        <w:t xml:space="preserve">Available at: </w:t>
      </w:r>
      <w:hyperlink r:id="rId8">
        <w:r w:rsidRPr="238CA98D">
          <w:rPr>
            <w:rStyle w:val="Hyperlink"/>
            <w:rFonts w:ascii="Arial" w:eastAsia="Arial" w:hAnsi="Arial" w:cs="Arial"/>
            <w:sz w:val="24"/>
            <w:szCs w:val="24"/>
            <w:lang w:val="en-US"/>
          </w:rPr>
          <w:t>https://cavuhb.nhs.wales/files/policies-procedures-and-guidelines/patient-safety-and-quality/i-j-patient-safety/2-5-2c-incident-reporting-procedure-sept-2018-pdf/</w:t>
        </w:r>
      </w:hyperlink>
      <w:r w:rsidRPr="238CA98D">
        <w:rPr>
          <w:rFonts w:ascii="Arial" w:eastAsia="Arial" w:hAnsi="Arial" w:cs="Arial"/>
          <w:color w:val="000000" w:themeColor="text1"/>
          <w:sz w:val="24"/>
          <w:szCs w:val="24"/>
          <w:lang w:val="en-US"/>
        </w:rPr>
        <w:t xml:space="preserve"> (Accessed: 2 February 2022).</w:t>
      </w:r>
    </w:p>
    <w:p w14:paraId="6AFDB3EA" w14:textId="206CC6A6"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Cardiff and Vale University Health Board (2021a) </w:t>
      </w:r>
      <w:r w:rsidRPr="238CA98D">
        <w:rPr>
          <w:rFonts w:ascii="Arial" w:eastAsia="Arial" w:hAnsi="Arial" w:cs="Arial"/>
          <w:i/>
          <w:iCs/>
          <w:color w:val="000000" w:themeColor="text1"/>
          <w:sz w:val="24"/>
          <w:szCs w:val="24"/>
          <w:lang w:val="en-US"/>
        </w:rPr>
        <w:t xml:space="preserve">Quality, Safety &amp; Experience Committee. </w:t>
      </w:r>
      <w:r w:rsidRPr="238CA98D">
        <w:rPr>
          <w:rFonts w:ascii="Arial" w:eastAsia="Arial" w:hAnsi="Arial" w:cs="Arial"/>
          <w:color w:val="000000" w:themeColor="text1"/>
          <w:sz w:val="24"/>
          <w:szCs w:val="24"/>
          <w:lang w:val="en-US"/>
        </w:rPr>
        <w:t xml:space="preserve">Available at: </w:t>
      </w:r>
      <w:hyperlink r:id="rId9">
        <w:r w:rsidRPr="238CA98D">
          <w:rPr>
            <w:rStyle w:val="Hyperlink"/>
            <w:rFonts w:ascii="Arial" w:eastAsia="Arial" w:hAnsi="Arial" w:cs="Arial"/>
            <w:sz w:val="24"/>
            <w:szCs w:val="24"/>
            <w:lang w:val="en-US"/>
          </w:rPr>
          <w:t>https://cavuhb.nhs.wales/files/board-and-committees/quality-safety-and-patient-experience-committee-2021-22/2021-09-15-final-qse-papers-v2-pdf/</w:t>
        </w:r>
      </w:hyperlink>
      <w:r w:rsidRPr="238CA98D">
        <w:rPr>
          <w:rFonts w:ascii="Arial" w:eastAsia="Arial" w:hAnsi="Arial" w:cs="Arial"/>
          <w:color w:val="000000" w:themeColor="text1"/>
          <w:sz w:val="24"/>
          <w:szCs w:val="24"/>
          <w:lang w:val="en-US"/>
        </w:rPr>
        <w:t xml:space="preserve"> (Accessed: 7 March 2022).</w:t>
      </w:r>
    </w:p>
    <w:p w14:paraId="0239115F" w14:textId="7A111B20"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Cardiff and Vale University Health Board (2021b) </w:t>
      </w:r>
      <w:r w:rsidRPr="238CA98D">
        <w:rPr>
          <w:rFonts w:ascii="Arial" w:eastAsia="Arial" w:hAnsi="Arial" w:cs="Arial"/>
          <w:i/>
          <w:iCs/>
          <w:color w:val="000000" w:themeColor="text1"/>
          <w:sz w:val="24"/>
          <w:szCs w:val="24"/>
          <w:lang w:val="en-US"/>
        </w:rPr>
        <w:t xml:space="preserve">Safety Culture Survey. </w:t>
      </w:r>
      <w:r w:rsidRPr="238CA98D">
        <w:rPr>
          <w:rFonts w:ascii="Arial" w:eastAsia="Arial" w:hAnsi="Arial" w:cs="Arial"/>
          <w:color w:val="000000" w:themeColor="text1"/>
          <w:sz w:val="24"/>
          <w:szCs w:val="24"/>
          <w:lang w:val="en-US"/>
        </w:rPr>
        <w:t>Internal Cardiff and Vale University Health Board report. Unpublished.</w:t>
      </w:r>
    </w:p>
    <w:p w14:paraId="2730590F" w14:textId="498208D6"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lastRenderedPageBreak/>
        <w:t xml:space="preserve">Cardiff and Vale University Health Board (2022) </w:t>
      </w:r>
      <w:r w:rsidRPr="238CA98D">
        <w:rPr>
          <w:rFonts w:ascii="Arial" w:eastAsia="Arial" w:hAnsi="Arial" w:cs="Arial"/>
          <w:i/>
          <w:iCs/>
          <w:color w:val="000000" w:themeColor="text1"/>
          <w:sz w:val="24"/>
          <w:szCs w:val="24"/>
          <w:lang w:val="en-US"/>
        </w:rPr>
        <w:t xml:space="preserve">Our Health Board structure. </w:t>
      </w:r>
      <w:r w:rsidRPr="238CA98D">
        <w:rPr>
          <w:rFonts w:ascii="Arial" w:eastAsia="Arial" w:hAnsi="Arial" w:cs="Arial"/>
          <w:color w:val="000000" w:themeColor="text1"/>
          <w:sz w:val="24"/>
          <w:szCs w:val="24"/>
          <w:lang w:val="en-US"/>
        </w:rPr>
        <w:t xml:space="preserve">Available at: </w:t>
      </w:r>
      <w:hyperlink r:id="rId10">
        <w:r w:rsidRPr="238CA98D">
          <w:rPr>
            <w:rStyle w:val="Hyperlink"/>
            <w:rFonts w:ascii="Arial" w:eastAsia="Arial" w:hAnsi="Arial" w:cs="Arial"/>
            <w:sz w:val="24"/>
            <w:szCs w:val="24"/>
            <w:lang w:val="en-US"/>
          </w:rPr>
          <w:t>https://cavuhb.nhs.wales/about-us/our-health-board-structure/</w:t>
        </w:r>
      </w:hyperlink>
      <w:r w:rsidRPr="238CA98D">
        <w:rPr>
          <w:rFonts w:ascii="Arial" w:eastAsia="Arial" w:hAnsi="Arial" w:cs="Arial"/>
          <w:color w:val="000000" w:themeColor="text1"/>
          <w:sz w:val="24"/>
          <w:szCs w:val="24"/>
          <w:lang w:val="en-US"/>
        </w:rPr>
        <w:t xml:space="preserve"> (Accessed: 5 March 2022).</w:t>
      </w:r>
    </w:p>
    <w:p w14:paraId="332A5B20" w14:textId="7EBC6899"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Carmarthenshire Council (2013) </w:t>
      </w:r>
      <w:r w:rsidRPr="238CA98D">
        <w:rPr>
          <w:rFonts w:ascii="Arial" w:eastAsia="Arial" w:hAnsi="Arial" w:cs="Arial"/>
          <w:i/>
          <w:iCs/>
          <w:color w:val="000000" w:themeColor="text1"/>
          <w:sz w:val="24"/>
          <w:szCs w:val="24"/>
          <w:lang w:val="en-US"/>
        </w:rPr>
        <w:t xml:space="preserve">Town &amp; Community Councils 2011 Census. </w:t>
      </w:r>
      <w:r w:rsidRPr="238CA98D">
        <w:rPr>
          <w:rFonts w:ascii="Arial" w:eastAsia="Arial" w:hAnsi="Arial" w:cs="Arial"/>
          <w:color w:val="000000" w:themeColor="text1"/>
          <w:sz w:val="24"/>
          <w:szCs w:val="24"/>
          <w:lang w:val="en-US"/>
        </w:rPr>
        <w:t xml:space="preserve">Available at: </w:t>
      </w:r>
      <w:hyperlink r:id="rId11">
        <w:r w:rsidRPr="238CA98D">
          <w:rPr>
            <w:rStyle w:val="Hyperlink"/>
            <w:rFonts w:ascii="Arial" w:eastAsia="Arial" w:hAnsi="Arial" w:cs="Arial"/>
            <w:sz w:val="24"/>
            <w:szCs w:val="24"/>
            <w:lang w:val="en-US"/>
          </w:rPr>
          <w:t>https://cavuhb.nhs.wales/about-us/our-health-board-structure/</w:t>
        </w:r>
      </w:hyperlink>
      <w:r w:rsidRPr="238CA98D">
        <w:rPr>
          <w:rFonts w:ascii="Arial" w:eastAsia="Arial" w:hAnsi="Arial" w:cs="Arial"/>
          <w:color w:val="000000" w:themeColor="text1"/>
          <w:sz w:val="24"/>
          <w:szCs w:val="24"/>
          <w:lang w:val="en-US"/>
        </w:rPr>
        <w:t>. (Accessed: 5 March 2022).</w:t>
      </w:r>
    </w:p>
    <w:p w14:paraId="2DA30569" w14:textId="2F16F6E1"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Christiaans-Dingelhoff</w:t>
      </w:r>
      <w:proofErr w:type="spellEnd"/>
      <w:r w:rsidRPr="238CA98D">
        <w:rPr>
          <w:rFonts w:ascii="Arial" w:eastAsia="Arial" w:hAnsi="Arial" w:cs="Arial"/>
          <w:color w:val="000000" w:themeColor="text1"/>
          <w:sz w:val="24"/>
          <w:szCs w:val="24"/>
          <w:lang w:val="en-US"/>
        </w:rPr>
        <w:t xml:space="preserve">, I. </w:t>
      </w:r>
      <w:r w:rsidRPr="238CA98D">
        <w:rPr>
          <w:rFonts w:ascii="Arial" w:eastAsia="Arial" w:hAnsi="Arial" w:cs="Arial"/>
          <w:i/>
          <w:iCs/>
          <w:color w:val="000000" w:themeColor="text1"/>
          <w:sz w:val="24"/>
          <w:szCs w:val="24"/>
          <w:lang w:val="en-US"/>
        </w:rPr>
        <w:t xml:space="preserve">et al. </w:t>
      </w:r>
      <w:r w:rsidRPr="238CA98D">
        <w:rPr>
          <w:rFonts w:ascii="Arial" w:eastAsia="Arial" w:hAnsi="Arial" w:cs="Arial"/>
          <w:color w:val="000000" w:themeColor="text1"/>
          <w:sz w:val="24"/>
          <w:szCs w:val="24"/>
          <w:lang w:val="en-US"/>
        </w:rPr>
        <w:t xml:space="preserve">(2011) ‘To what extent are adverse events found in patient records reported by patients and healthcare professionals via complains, claims and incident reports?’, </w:t>
      </w:r>
      <w:r w:rsidRPr="238CA98D">
        <w:rPr>
          <w:rFonts w:ascii="Arial" w:eastAsia="Arial" w:hAnsi="Arial" w:cs="Arial"/>
          <w:i/>
          <w:iCs/>
          <w:color w:val="000000" w:themeColor="text1"/>
          <w:sz w:val="24"/>
          <w:szCs w:val="24"/>
          <w:lang w:val="en-US"/>
        </w:rPr>
        <w:t xml:space="preserve">BMC Health Services Research, </w:t>
      </w:r>
      <w:r w:rsidRPr="238CA98D">
        <w:rPr>
          <w:rFonts w:ascii="Arial" w:eastAsia="Arial" w:hAnsi="Arial" w:cs="Arial"/>
          <w:color w:val="000000" w:themeColor="text1"/>
          <w:sz w:val="24"/>
          <w:szCs w:val="24"/>
          <w:lang w:val="en-US"/>
        </w:rPr>
        <w:t>11(1), p. 49. DOI: 10.1186/1472-6963-11-49</w:t>
      </w:r>
    </w:p>
    <w:p w14:paraId="4A21234E" w14:textId="7C0C7F19"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Donaldson, L. </w:t>
      </w:r>
      <w:r w:rsidRPr="238CA98D">
        <w:rPr>
          <w:rFonts w:ascii="Arial" w:eastAsia="Arial" w:hAnsi="Arial" w:cs="Arial"/>
          <w:i/>
          <w:iCs/>
          <w:color w:val="000000" w:themeColor="text1"/>
          <w:sz w:val="24"/>
          <w:szCs w:val="24"/>
          <w:lang w:val="en-US"/>
        </w:rPr>
        <w:t xml:space="preserve">et al </w:t>
      </w:r>
      <w:r w:rsidRPr="238CA98D">
        <w:rPr>
          <w:rFonts w:ascii="Arial" w:eastAsia="Arial" w:hAnsi="Arial" w:cs="Arial"/>
          <w:color w:val="000000" w:themeColor="text1"/>
          <w:sz w:val="24"/>
          <w:szCs w:val="24"/>
          <w:lang w:val="en-US"/>
        </w:rPr>
        <w:t xml:space="preserve">(2021) </w:t>
      </w:r>
      <w:r w:rsidRPr="238CA98D">
        <w:rPr>
          <w:rFonts w:ascii="Arial" w:eastAsia="Arial" w:hAnsi="Arial" w:cs="Arial"/>
          <w:i/>
          <w:iCs/>
          <w:color w:val="000000" w:themeColor="text1"/>
          <w:sz w:val="24"/>
          <w:szCs w:val="24"/>
          <w:lang w:val="en-US"/>
        </w:rPr>
        <w:t xml:space="preserve">Textbook of Patient Safety and Clinical Risk Management. </w:t>
      </w:r>
      <w:r w:rsidRPr="238CA98D">
        <w:rPr>
          <w:rFonts w:ascii="Arial" w:eastAsia="Arial" w:hAnsi="Arial" w:cs="Arial"/>
          <w:color w:val="000000" w:themeColor="text1"/>
          <w:sz w:val="24"/>
          <w:szCs w:val="24"/>
          <w:lang w:val="en-US"/>
        </w:rPr>
        <w:t>Cham, Springer.</w:t>
      </w:r>
    </w:p>
    <w:p w14:paraId="013423CF" w14:textId="645EC875"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Fagerström</w:t>
      </w:r>
      <w:proofErr w:type="spellEnd"/>
      <w:r w:rsidRPr="238CA98D">
        <w:rPr>
          <w:rFonts w:ascii="Arial" w:eastAsia="Arial" w:hAnsi="Arial" w:cs="Arial"/>
          <w:color w:val="000000" w:themeColor="text1"/>
          <w:sz w:val="24"/>
          <w:szCs w:val="24"/>
          <w:lang w:val="en-US"/>
        </w:rPr>
        <w:t xml:space="preserve">, L., </w:t>
      </w:r>
      <w:proofErr w:type="spellStart"/>
      <w:r w:rsidRPr="238CA98D">
        <w:rPr>
          <w:rFonts w:ascii="Arial" w:eastAsia="Arial" w:hAnsi="Arial" w:cs="Arial"/>
          <w:color w:val="000000" w:themeColor="text1"/>
          <w:sz w:val="24"/>
          <w:szCs w:val="24"/>
          <w:lang w:val="en-US"/>
        </w:rPr>
        <w:t>Kinnunen</w:t>
      </w:r>
      <w:proofErr w:type="spellEnd"/>
      <w:r w:rsidRPr="238CA98D">
        <w:rPr>
          <w:rFonts w:ascii="Arial" w:eastAsia="Arial" w:hAnsi="Arial" w:cs="Arial"/>
          <w:color w:val="000000" w:themeColor="text1"/>
          <w:sz w:val="24"/>
          <w:szCs w:val="24"/>
          <w:lang w:val="en-US"/>
        </w:rPr>
        <w:t xml:space="preserve">, M. and </w:t>
      </w:r>
      <w:proofErr w:type="spellStart"/>
      <w:r w:rsidRPr="238CA98D">
        <w:rPr>
          <w:rFonts w:ascii="Arial" w:eastAsia="Arial" w:hAnsi="Arial" w:cs="Arial"/>
          <w:color w:val="000000" w:themeColor="text1"/>
          <w:sz w:val="24"/>
          <w:szCs w:val="24"/>
          <w:lang w:val="en-US"/>
        </w:rPr>
        <w:t>Saarela</w:t>
      </w:r>
      <w:proofErr w:type="spellEnd"/>
      <w:r w:rsidRPr="238CA98D">
        <w:rPr>
          <w:rFonts w:ascii="Arial" w:eastAsia="Arial" w:hAnsi="Arial" w:cs="Arial"/>
          <w:color w:val="000000" w:themeColor="text1"/>
          <w:sz w:val="24"/>
          <w:szCs w:val="24"/>
          <w:lang w:val="en-US"/>
        </w:rPr>
        <w:t xml:space="preserve">, J. (2018) ‘Nursing workload, patient safety incidents and mortality: An observational study from Finland’, </w:t>
      </w:r>
      <w:r w:rsidRPr="238CA98D">
        <w:rPr>
          <w:rFonts w:ascii="Arial" w:eastAsia="Arial" w:hAnsi="Arial" w:cs="Arial"/>
          <w:i/>
          <w:iCs/>
          <w:color w:val="000000" w:themeColor="text1"/>
          <w:sz w:val="24"/>
          <w:szCs w:val="24"/>
          <w:lang w:val="en-US"/>
        </w:rPr>
        <w:t xml:space="preserve">BMJ Open, </w:t>
      </w:r>
      <w:r w:rsidRPr="238CA98D">
        <w:rPr>
          <w:rFonts w:ascii="Arial" w:eastAsia="Arial" w:hAnsi="Arial" w:cs="Arial"/>
          <w:color w:val="000000" w:themeColor="text1"/>
          <w:sz w:val="24"/>
          <w:szCs w:val="24"/>
          <w:lang w:val="en-US"/>
        </w:rPr>
        <w:t>8(4), p. 016367. DOI: 10.1136/bmjopen-2017-016367</w:t>
      </w:r>
    </w:p>
    <w:p w14:paraId="41D17CAA" w14:textId="46F967CB"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Gagnon, M. </w:t>
      </w:r>
      <w:r w:rsidRPr="238CA98D">
        <w:rPr>
          <w:rFonts w:ascii="Arial" w:eastAsia="Arial" w:hAnsi="Arial" w:cs="Arial"/>
          <w:i/>
          <w:iCs/>
          <w:color w:val="000000" w:themeColor="text1"/>
          <w:sz w:val="24"/>
          <w:szCs w:val="24"/>
          <w:lang w:val="en-US"/>
        </w:rPr>
        <w:t xml:space="preserve">et al </w:t>
      </w:r>
      <w:r w:rsidRPr="238CA98D">
        <w:rPr>
          <w:rFonts w:ascii="Arial" w:eastAsia="Arial" w:hAnsi="Arial" w:cs="Arial"/>
          <w:color w:val="000000" w:themeColor="text1"/>
          <w:sz w:val="24"/>
          <w:szCs w:val="24"/>
          <w:lang w:val="en-US"/>
        </w:rPr>
        <w:t xml:space="preserve">(2010) ‘Systematic review of factors influencing the adoption of information and communication technologies by healthcare professionals’, </w:t>
      </w:r>
      <w:r w:rsidRPr="238CA98D">
        <w:rPr>
          <w:rFonts w:ascii="Arial" w:eastAsia="Arial" w:hAnsi="Arial" w:cs="Arial"/>
          <w:i/>
          <w:iCs/>
          <w:color w:val="000000" w:themeColor="text1"/>
          <w:sz w:val="24"/>
          <w:szCs w:val="24"/>
          <w:lang w:val="en-US"/>
        </w:rPr>
        <w:t xml:space="preserve">Journal of Medical Systems, </w:t>
      </w:r>
      <w:r w:rsidRPr="238CA98D">
        <w:rPr>
          <w:rFonts w:ascii="Arial" w:eastAsia="Arial" w:hAnsi="Arial" w:cs="Arial"/>
          <w:color w:val="000000" w:themeColor="text1"/>
          <w:sz w:val="24"/>
          <w:szCs w:val="24"/>
          <w:lang w:val="en-US"/>
        </w:rPr>
        <w:t>36(1), pp. 241-277. DOI: 10.1007/s10916-010-9473-4</w:t>
      </w:r>
    </w:p>
    <w:p w14:paraId="4B328754" w14:textId="76F254FD"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Institute of Medicine (2000) </w:t>
      </w:r>
      <w:r w:rsidRPr="238CA98D">
        <w:rPr>
          <w:rFonts w:ascii="Arial" w:eastAsia="Arial" w:hAnsi="Arial" w:cs="Arial"/>
          <w:i/>
          <w:iCs/>
          <w:color w:val="000000" w:themeColor="text1"/>
          <w:sz w:val="24"/>
          <w:szCs w:val="24"/>
          <w:lang w:val="en-US"/>
        </w:rPr>
        <w:t xml:space="preserve">To Err is Human: Building a Safer Health System. </w:t>
      </w:r>
      <w:r w:rsidRPr="238CA98D">
        <w:rPr>
          <w:rFonts w:ascii="Arial" w:eastAsia="Arial" w:hAnsi="Arial" w:cs="Arial"/>
          <w:color w:val="000000" w:themeColor="text1"/>
          <w:sz w:val="24"/>
          <w:szCs w:val="24"/>
          <w:lang w:val="en-US"/>
        </w:rPr>
        <w:t xml:space="preserve">Washington DC, The National Academies Press. </w:t>
      </w:r>
    </w:p>
    <w:p w14:paraId="28408A7C" w14:textId="45E1F9A2" w:rsidR="238CA98D" w:rsidRDefault="238CA98D" w:rsidP="26E87E42">
      <w:pPr>
        <w:rPr>
          <w:rFonts w:ascii="Arial" w:eastAsia="Arial" w:hAnsi="Arial" w:cs="Arial"/>
          <w:color w:val="000000" w:themeColor="text1"/>
          <w:sz w:val="24"/>
          <w:szCs w:val="24"/>
          <w:lang w:val="en-US"/>
        </w:rPr>
      </w:pPr>
      <w:r w:rsidRPr="26E87E42">
        <w:rPr>
          <w:rFonts w:ascii="Arial" w:eastAsia="Arial" w:hAnsi="Arial" w:cs="Arial"/>
          <w:color w:val="000000" w:themeColor="text1"/>
          <w:sz w:val="24"/>
          <w:szCs w:val="24"/>
          <w:lang w:val="en-US"/>
        </w:rPr>
        <w:t xml:space="preserve">Kingston, M.J. </w:t>
      </w:r>
      <w:r w:rsidRPr="26E87E42">
        <w:rPr>
          <w:rFonts w:ascii="Arial" w:eastAsia="Arial" w:hAnsi="Arial" w:cs="Arial"/>
          <w:i/>
          <w:iCs/>
          <w:color w:val="000000" w:themeColor="text1"/>
          <w:sz w:val="24"/>
          <w:szCs w:val="24"/>
          <w:lang w:val="en-US"/>
        </w:rPr>
        <w:t xml:space="preserve">et al. </w:t>
      </w:r>
      <w:r w:rsidRPr="26E87E42">
        <w:rPr>
          <w:rFonts w:ascii="Arial" w:eastAsia="Arial" w:hAnsi="Arial" w:cs="Arial"/>
          <w:color w:val="000000" w:themeColor="text1"/>
          <w:sz w:val="24"/>
          <w:szCs w:val="24"/>
          <w:lang w:val="en-US"/>
        </w:rPr>
        <w:t xml:space="preserve">(2004) ‘Attitudes of doctors and nurses towards incident reporting: a qualitative analysis’, </w:t>
      </w:r>
      <w:r w:rsidRPr="26E87E42">
        <w:rPr>
          <w:rFonts w:ascii="Arial" w:eastAsia="Arial" w:hAnsi="Arial" w:cs="Arial"/>
          <w:i/>
          <w:iCs/>
          <w:color w:val="000000" w:themeColor="text1"/>
          <w:sz w:val="24"/>
          <w:szCs w:val="24"/>
          <w:lang w:val="en-US"/>
        </w:rPr>
        <w:t xml:space="preserve">Medical Journal of Australia, </w:t>
      </w:r>
      <w:r w:rsidRPr="26E87E42">
        <w:rPr>
          <w:rFonts w:ascii="Arial" w:eastAsia="Arial" w:hAnsi="Arial" w:cs="Arial"/>
          <w:color w:val="000000" w:themeColor="text1"/>
          <w:sz w:val="24"/>
          <w:szCs w:val="24"/>
          <w:lang w:val="en-US"/>
        </w:rPr>
        <w:t>181(1), pp. 36-39. DOI: 10.5694/j.1326-</w:t>
      </w:r>
      <w:bookmarkStart w:id="3" w:name="_Int_4QgFFCo4"/>
      <w:proofErr w:type="gramStart"/>
      <w:r w:rsidRPr="26E87E42">
        <w:rPr>
          <w:rFonts w:ascii="Arial" w:eastAsia="Arial" w:hAnsi="Arial" w:cs="Arial"/>
          <w:color w:val="000000" w:themeColor="text1"/>
          <w:sz w:val="24"/>
          <w:szCs w:val="24"/>
          <w:lang w:val="en-US"/>
        </w:rPr>
        <w:t>5377.2004.tb</w:t>
      </w:r>
      <w:bookmarkEnd w:id="3"/>
      <w:proofErr w:type="gramEnd"/>
      <w:r w:rsidRPr="26E87E42">
        <w:rPr>
          <w:rFonts w:ascii="Arial" w:eastAsia="Arial" w:hAnsi="Arial" w:cs="Arial"/>
          <w:color w:val="000000" w:themeColor="text1"/>
          <w:sz w:val="24"/>
          <w:szCs w:val="24"/>
          <w:lang w:val="en-US"/>
        </w:rPr>
        <w:t>06158.x</w:t>
      </w:r>
    </w:p>
    <w:p w14:paraId="2C7ED9FD" w14:textId="0972A3D5"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Kortum</w:t>
      </w:r>
      <w:proofErr w:type="spellEnd"/>
      <w:r w:rsidRPr="238CA98D">
        <w:rPr>
          <w:rFonts w:ascii="Arial" w:eastAsia="Arial" w:hAnsi="Arial" w:cs="Arial"/>
          <w:color w:val="000000" w:themeColor="text1"/>
          <w:sz w:val="24"/>
          <w:szCs w:val="24"/>
          <w:lang w:val="en-US"/>
        </w:rPr>
        <w:t xml:space="preserve">, P.T. and Bangor, A. (2013) ‘Usability ratings for everyday products measured with the system usability scale’, </w:t>
      </w:r>
      <w:r w:rsidRPr="238CA98D">
        <w:rPr>
          <w:rFonts w:ascii="Arial" w:eastAsia="Arial" w:hAnsi="Arial" w:cs="Arial"/>
          <w:i/>
          <w:iCs/>
          <w:color w:val="000000" w:themeColor="text1"/>
          <w:sz w:val="24"/>
          <w:szCs w:val="24"/>
          <w:lang w:val="en-US"/>
        </w:rPr>
        <w:t xml:space="preserve">International Journal of Human-Computer Interaction, </w:t>
      </w:r>
      <w:r w:rsidRPr="238CA98D">
        <w:rPr>
          <w:rFonts w:ascii="Arial" w:eastAsia="Arial" w:hAnsi="Arial" w:cs="Arial"/>
          <w:color w:val="000000" w:themeColor="text1"/>
          <w:sz w:val="24"/>
          <w:szCs w:val="24"/>
          <w:lang w:val="en-US"/>
        </w:rPr>
        <w:t>29(2), pp. 67-76. DOI: 10.1080/10447318/2012/681221</w:t>
      </w:r>
    </w:p>
    <w:p w14:paraId="198382E6" w14:textId="7649E3D3"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Lawton, R. </w:t>
      </w:r>
      <w:r w:rsidRPr="238CA98D">
        <w:rPr>
          <w:rFonts w:ascii="Arial" w:eastAsia="Arial" w:hAnsi="Arial" w:cs="Arial"/>
          <w:i/>
          <w:iCs/>
          <w:color w:val="000000" w:themeColor="text1"/>
          <w:sz w:val="24"/>
          <w:szCs w:val="24"/>
          <w:lang w:val="en-US"/>
        </w:rPr>
        <w:t xml:space="preserve">et al. </w:t>
      </w:r>
      <w:r w:rsidRPr="238CA98D">
        <w:rPr>
          <w:rFonts w:ascii="Arial" w:eastAsia="Arial" w:hAnsi="Arial" w:cs="Arial"/>
          <w:color w:val="000000" w:themeColor="text1"/>
          <w:sz w:val="24"/>
          <w:szCs w:val="24"/>
          <w:lang w:val="en-US"/>
        </w:rPr>
        <w:t xml:space="preserve">(2012) ‘Development of an evidence-based framework of factors contributing to patient safety incidents in hospital settings: a systematic review’, </w:t>
      </w:r>
      <w:r w:rsidRPr="238CA98D">
        <w:rPr>
          <w:rFonts w:ascii="Arial" w:eastAsia="Arial" w:hAnsi="Arial" w:cs="Arial"/>
          <w:i/>
          <w:iCs/>
          <w:color w:val="000000" w:themeColor="text1"/>
          <w:sz w:val="24"/>
          <w:szCs w:val="24"/>
          <w:lang w:val="en-US"/>
        </w:rPr>
        <w:t xml:space="preserve">BMJ Quality &amp; Safety, </w:t>
      </w:r>
      <w:r w:rsidRPr="238CA98D">
        <w:rPr>
          <w:rFonts w:ascii="Arial" w:eastAsia="Arial" w:hAnsi="Arial" w:cs="Arial"/>
          <w:color w:val="000000" w:themeColor="text1"/>
          <w:sz w:val="24"/>
          <w:szCs w:val="24"/>
          <w:lang w:val="en-US"/>
        </w:rPr>
        <w:t>21(5), pp. 369-380. DOI: 10.1136/bmjqs-2011-000443</w:t>
      </w:r>
    </w:p>
    <w:p w14:paraId="70341089" w14:textId="73789D7D"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Leape</w:t>
      </w:r>
      <w:proofErr w:type="spellEnd"/>
      <w:r w:rsidRPr="238CA98D">
        <w:rPr>
          <w:rFonts w:ascii="Arial" w:eastAsia="Arial" w:hAnsi="Arial" w:cs="Arial"/>
          <w:color w:val="000000" w:themeColor="text1"/>
          <w:sz w:val="24"/>
          <w:szCs w:val="24"/>
          <w:lang w:val="en-US"/>
        </w:rPr>
        <w:t xml:space="preserve">, L.L. (2021) ‘Reporting of Adverse Events’, </w:t>
      </w:r>
      <w:r w:rsidRPr="238CA98D">
        <w:rPr>
          <w:rFonts w:ascii="Arial" w:eastAsia="Arial" w:hAnsi="Arial" w:cs="Arial"/>
          <w:i/>
          <w:iCs/>
          <w:color w:val="000000" w:themeColor="text1"/>
          <w:sz w:val="24"/>
          <w:szCs w:val="24"/>
          <w:lang w:val="en-US"/>
        </w:rPr>
        <w:t xml:space="preserve">New England Journal of Medicine, </w:t>
      </w:r>
      <w:r w:rsidRPr="238CA98D">
        <w:rPr>
          <w:rFonts w:ascii="Arial" w:eastAsia="Arial" w:hAnsi="Arial" w:cs="Arial"/>
          <w:color w:val="000000" w:themeColor="text1"/>
          <w:sz w:val="24"/>
          <w:szCs w:val="24"/>
          <w:lang w:val="en-US"/>
        </w:rPr>
        <w:t>347(20), pp. 1633-1638. DOI: 10.1056/NEJMNEJMhpr001493</w:t>
      </w:r>
    </w:p>
    <w:p w14:paraId="19B23E46" w14:textId="328AF415"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Lewis, J.R. (2018) ‘The system usability scale: Past, present, and future’, </w:t>
      </w:r>
      <w:r w:rsidRPr="238CA98D">
        <w:rPr>
          <w:rFonts w:ascii="Arial" w:eastAsia="Arial" w:hAnsi="Arial" w:cs="Arial"/>
          <w:i/>
          <w:iCs/>
          <w:color w:val="000000" w:themeColor="text1"/>
          <w:sz w:val="24"/>
          <w:szCs w:val="24"/>
          <w:lang w:val="en-US"/>
        </w:rPr>
        <w:t xml:space="preserve">International Journal of Human-Computer Interaction, </w:t>
      </w:r>
      <w:r w:rsidRPr="238CA98D">
        <w:rPr>
          <w:rFonts w:ascii="Arial" w:eastAsia="Arial" w:hAnsi="Arial" w:cs="Arial"/>
          <w:color w:val="000000" w:themeColor="text1"/>
          <w:sz w:val="24"/>
          <w:szCs w:val="24"/>
          <w:lang w:val="en-US"/>
        </w:rPr>
        <w:t>34(7), pp. 577-590, DOI: 10.1080/10447318/2018/1455307</w:t>
      </w:r>
    </w:p>
    <w:p w14:paraId="59DF7A7F" w14:textId="226ECE97"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Lewis, J.R. and </w:t>
      </w:r>
      <w:proofErr w:type="spellStart"/>
      <w:r w:rsidRPr="238CA98D">
        <w:rPr>
          <w:rFonts w:ascii="Arial" w:eastAsia="Arial" w:hAnsi="Arial" w:cs="Arial"/>
          <w:color w:val="000000" w:themeColor="text1"/>
          <w:sz w:val="24"/>
          <w:szCs w:val="24"/>
          <w:lang w:val="en-US"/>
        </w:rPr>
        <w:t>Sauro</w:t>
      </w:r>
      <w:proofErr w:type="spellEnd"/>
      <w:r w:rsidRPr="238CA98D">
        <w:rPr>
          <w:rFonts w:ascii="Arial" w:eastAsia="Arial" w:hAnsi="Arial" w:cs="Arial"/>
          <w:color w:val="000000" w:themeColor="text1"/>
          <w:sz w:val="24"/>
          <w:szCs w:val="24"/>
          <w:lang w:val="en-US"/>
        </w:rPr>
        <w:t xml:space="preserve">, J. (2017) ‘Can I leave this one out? The effect of dropping an item from the SUS’, </w:t>
      </w:r>
      <w:r w:rsidRPr="238CA98D">
        <w:rPr>
          <w:rFonts w:ascii="Arial" w:eastAsia="Arial" w:hAnsi="Arial" w:cs="Arial"/>
          <w:i/>
          <w:iCs/>
          <w:color w:val="000000" w:themeColor="text1"/>
          <w:sz w:val="24"/>
          <w:szCs w:val="24"/>
          <w:lang w:val="en-US"/>
        </w:rPr>
        <w:t xml:space="preserve">Journal of Usability Studies, </w:t>
      </w:r>
      <w:r w:rsidRPr="238CA98D">
        <w:rPr>
          <w:rFonts w:ascii="Arial" w:eastAsia="Arial" w:hAnsi="Arial" w:cs="Arial"/>
          <w:color w:val="000000" w:themeColor="text1"/>
          <w:sz w:val="24"/>
          <w:szCs w:val="24"/>
          <w:lang w:val="en-US"/>
        </w:rPr>
        <w:t xml:space="preserve">13(1), pp. 38 – 46. Available at: </w:t>
      </w:r>
      <w:hyperlink r:id="rId12">
        <w:r w:rsidRPr="238CA98D">
          <w:rPr>
            <w:rStyle w:val="Hyperlink"/>
            <w:rFonts w:ascii="Arial" w:eastAsia="Arial" w:hAnsi="Arial" w:cs="Arial"/>
            <w:sz w:val="24"/>
            <w:szCs w:val="24"/>
            <w:lang w:val="en-US"/>
          </w:rPr>
          <w:t>https://www.researchgate.net/publication/228593520_SUS_A_quick_and_dirty_usability_scale/link/5f24381392851cd302cbaf25/download</w:t>
        </w:r>
      </w:hyperlink>
      <w:r w:rsidRPr="238CA98D">
        <w:rPr>
          <w:rFonts w:ascii="Arial" w:eastAsia="Arial" w:hAnsi="Arial" w:cs="Arial"/>
          <w:color w:val="000000" w:themeColor="text1"/>
          <w:sz w:val="24"/>
          <w:szCs w:val="24"/>
          <w:lang w:val="en-US"/>
        </w:rPr>
        <w:t xml:space="preserve"> (Accessed: 2 March 2022).</w:t>
      </w:r>
    </w:p>
    <w:p w14:paraId="23A69374" w14:textId="652849A7"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lastRenderedPageBreak/>
        <w:t>Mainey</w:t>
      </w:r>
      <w:proofErr w:type="spellEnd"/>
      <w:r w:rsidRPr="238CA98D">
        <w:rPr>
          <w:rFonts w:ascii="Arial" w:eastAsia="Arial" w:hAnsi="Arial" w:cs="Arial"/>
          <w:color w:val="000000" w:themeColor="text1"/>
          <w:sz w:val="24"/>
          <w:szCs w:val="24"/>
          <w:lang w:val="en-US"/>
        </w:rPr>
        <w:t xml:space="preserve">, C. (2019) </w:t>
      </w:r>
      <w:r w:rsidRPr="238CA98D">
        <w:rPr>
          <w:rFonts w:ascii="Arial" w:eastAsia="Arial" w:hAnsi="Arial" w:cs="Arial"/>
          <w:i/>
          <w:iCs/>
          <w:color w:val="000000" w:themeColor="text1"/>
          <w:sz w:val="24"/>
          <w:szCs w:val="24"/>
          <w:lang w:val="en-US"/>
        </w:rPr>
        <w:t xml:space="preserve">Statistical methods for NHS incident reporting data, </w:t>
      </w:r>
      <w:r w:rsidRPr="238CA98D">
        <w:rPr>
          <w:rFonts w:ascii="Arial" w:eastAsia="Arial" w:hAnsi="Arial" w:cs="Arial"/>
          <w:color w:val="000000" w:themeColor="text1"/>
          <w:sz w:val="24"/>
          <w:szCs w:val="24"/>
          <w:lang w:val="en-US"/>
        </w:rPr>
        <w:t xml:space="preserve">University College London. Available at: </w:t>
      </w:r>
      <w:hyperlink r:id="rId13">
        <w:r w:rsidRPr="238CA98D">
          <w:rPr>
            <w:rStyle w:val="Hyperlink"/>
            <w:rFonts w:ascii="Arial" w:eastAsia="Arial" w:hAnsi="Arial" w:cs="Arial"/>
            <w:sz w:val="24"/>
            <w:szCs w:val="24"/>
            <w:lang w:val="en-US"/>
          </w:rPr>
          <w:t>https://discovery.ucl.ac.uk/id/eprint/10094736/1/ChrisMaineyThesis_final_censored.pdf</w:t>
        </w:r>
      </w:hyperlink>
      <w:r w:rsidRPr="238CA98D">
        <w:rPr>
          <w:rFonts w:ascii="Arial" w:eastAsia="Arial" w:hAnsi="Arial" w:cs="Arial"/>
          <w:color w:val="000000" w:themeColor="text1"/>
          <w:sz w:val="24"/>
          <w:szCs w:val="24"/>
          <w:lang w:val="en-US"/>
        </w:rPr>
        <w:t xml:space="preserve"> (Accessed: 28 February 2022).</w:t>
      </w:r>
    </w:p>
    <w:p w14:paraId="78D9386B" w14:textId="4EDFF4A7"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McRae, C. (2016) ‘The problem with incident reporting’, </w:t>
      </w:r>
      <w:r w:rsidRPr="238CA98D">
        <w:rPr>
          <w:rFonts w:ascii="Arial" w:eastAsia="Arial" w:hAnsi="Arial" w:cs="Arial"/>
          <w:i/>
          <w:iCs/>
          <w:color w:val="000000" w:themeColor="text1"/>
          <w:sz w:val="24"/>
          <w:szCs w:val="24"/>
          <w:lang w:val="en-US"/>
        </w:rPr>
        <w:t xml:space="preserve">BMJ Quality &amp; Safety, </w:t>
      </w:r>
      <w:r w:rsidRPr="238CA98D">
        <w:rPr>
          <w:rFonts w:ascii="Arial" w:eastAsia="Arial" w:hAnsi="Arial" w:cs="Arial"/>
          <w:color w:val="000000" w:themeColor="text1"/>
          <w:sz w:val="24"/>
          <w:szCs w:val="24"/>
          <w:lang w:val="en-US"/>
        </w:rPr>
        <w:t>25(2), pp. 71-75. DOI: 10.1136/bmjqs-2015-004732</w:t>
      </w:r>
    </w:p>
    <w:p w14:paraId="5C4F6B82" w14:textId="3F9D9D09"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National Patient Safety Agency (2004) </w:t>
      </w:r>
      <w:r w:rsidRPr="238CA98D">
        <w:rPr>
          <w:rFonts w:ascii="Arial" w:eastAsia="Arial" w:hAnsi="Arial" w:cs="Arial"/>
          <w:i/>
          <w:iCs/>
          <w:color w:val="000000" w:themeColor="text1"/>
          <w:sz w:val="24"/>
          <w:szCs w:val="24"/>
          <w:lang w:val="en-US"/>
        </w:rPr>
        <w:t xml:space="preserve">Seven Steps to Patient Safety: The full reference guide. </w:t>
      </w:r>
      <w:r w:rsidRPr="238CA98D">
        <w:rPr>
          <w:rFonts w:ascii="Arial" w:eastAsia="Arial" w:hAnsi="Arial" w:cs="Arial"/>
          <w:color w:val="000000" w:themeColor="text1"/>
          <w:sz w:val="24"/>
          <w:szCs w:val="24"/>
          <w:lang w:val="en-US"/>
        </w:rPr>
        <w:t xml:space="preserve">Available at: </w:t>
      </w:r>
      <w:hyperlink r:id="rId14">
        <w:r w:rsidRPr="238CA98D">
          <w:rPr>
            <w:rStyle w:val="Hyperlink"/>
            <w:rFonts w:ascii="Arial" w:eastAsia="Arial" w:hAnsi="Arial" w:cs="Arial"/>
            <w:sz w:val="24"/>
            <w:szCs w:val="24"/>
            <w:lang w:val="en-US"/>
          </w:rPr>
          <w:t>https://webarchive.nationalarchives.gov.uk/ukgwa/20171030125518/http://www.nrls.npsa.nhs.uk/resources/collections/seven-steps-to-patient-safety/?entryid45=59787</w:t>
        </w:r>
      </w:hyperlink>
      <w:r w:rsidRPr="238CA98D">
        <w:rPr>
          <w:rFonts w:ascii="Arial" w:eastAsia="Arial" w:hAnsi="Arial" w:cs="Arial"/>
          <w:color w:val="000000" w:themeColor="text1"/>
          <w:sz w:val="24"/>
          <w:szCs w:val="24"/>
          <w:lang w:val="en-US"/>
        </w:rPr>
        <w:t xml:space="preserve"> (Accessed: 26 January 2022).</w:t>
      </w:r>
    </w:p>
    <w:p w14:paraId="06C6D0CE" w14:textId="45000CE9"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NHS England (2021) </w:t>
      </w:r>
      <w:r w:rsidRPr="238CA98D">
        <w:rPr>
          <w:rFonts w:ascii="Arial" w:eastAsia="Arial" w:hAnsi="Arial" w:cs="Arial"/>
          <w:i/>
          <w:iCs/>
          <w:color w:val="000000" w:themeColor="text1"/>
          <w:sz w:val="24"/>
          <w:szCs w:val="24"/>
          <w:lang w:val="en-US"/>
        </w:rPr>
        <w:t xml:space="preserve">Learn from Patient Safety Events. </w:t>
      </w:r>
      <w:r w:rsidRPr="238CA98D">
        <w:rPr>
          <w:rFonts w:ascii="Arial" w:eastAsia="Arial" w:hAnsi="Arial" w:cs="Arial"/>
          <w:color w:val="000000" w:themeColor="text1"/>
          <w:sz w:val="24"/>
          <w:szCs w:val="24"/>
          <w:lang w:val="en-US"/>
        </w:rPr>
        <w:t xml:space="preserve">Available at: </w:t>
      </w:r>
      <w:hyperlink r:id="rId15">
        <w:r w:rsidRPr="238CA98D">
          <w:rPr>
            <w:rStyle w:val="Hyperlink"/>
            <w:rFonts w:ascii="Arial" w:eastAsia="Arial" w:hAnsi="Arial" w:cs="Arial"/>
            <w:sz w:val="24"/>
            <w:szCs w:val="24"/>
            <w:lang w:val="en-US"/>
          </w:rPr>
          <w:t>https://www.england.nhs.uk/patient-safety/learn-from-patient-safety-events-service/</w:t>
        </w:r>
      </w:hyperlink>
      <w:r w:rsidRPr="238CA98D">
        <w:rPr>
          <w:rFonts w:ascii="Arial" w:eastAsia="Arial" w:hAnsi="Arial" w:cs="Arial"/>
          <w:color w:val="000000" w:themeColor="text1"/>
          <w:sz w:val="24"/>
          <w:szCs w:val="24"/>
          <w:lang w:val="en-US"/>
        </w:rPr>
        <w:t xml:space="preserve"> (Accessed: 7 March 2022).</w:t>
      </w:r>
    </w:p>
    <w:p w14:paraId="5BBFC714" w14:textId="5FA9396D" w:rsidR="238CA98D" w:rsidRDefault="238CA98D" w:rsidP="26E87E42">
      <w:pPr>
        <w:rPr>
          <w:rFonts w:ascii="Arial" w:eastAsia="Arial" w:hAnsi="Arial" w:cs="Arial"/>
          <w:color w:val="000000" w:themeColor="text1"/>
          <w:sz w:val="24"/>
          <w:szCs w:val="24"/>
          <w:lang w:val="en-US"/>
        </w:rPr>
      </w:pPr>
      <w:proofErr w:type="spellStart"/>
      <w:r w:rsidRPr="26E87E42">
        <w:rPr>
          <w:rFonts w:ascii="Arial" w:eastAsia="Arial" w:hAnsi="Arial" w:cs="Arial"/>
          <w:color w:val="000000" w:themeColor="text1"/>
          <w:sz w:val="24"/>
          <w:szCs w:val="24"/>
          <w:lang w:val="en-US"/>
        </w:rPr>
        <w:t>Pauletti</w:t>
      </w:r>
      <w:proofErr w:type="spellEnd"/>
      <w:r w:rsidRPr="26E87E42">
        <w:rPr>
          <w:rFonts w:ascii="Arial" w:eastAsia="Arial" w:hAnsi="Arial" w:cs="Arial"/>
          <w:color w:val="000000" w:themeColor="text1"/>
          <w:sz w:val="24"/>
          <w:szCs w:val="24"/>
          <w:lang w:val="en-US"/>
        </w:rPr>
        <w:t xml:space="preserve">, G. </w:t>
      </w:r>
      <w:r w:rsidRPr="26E87E42">
        <w:rPr>
          <w:rFonts w:ascii="Arial" w:eastAsia="Arial" w:hAnsi="Arial" w:cs="Arial"/>
          <w:i/>
          <w:iCs/>
          <w:color w:val="000000" w:themeColor="text1"/>
          <w:sz w:val="24"/>
          <w:szCs w:val="24"/>
          <w:lang w:val="en-US"/>
        </w:rPr>
        <w:t xml:space="preserve">et al. </w:t>
      </w:r>
      <w:r w:rsidRPr="26E87E42">
        <w:rPr>
          <w:rFonts w:ascii="Arial" w:eastAsia="Arial" w:hAnsi="Arial" w:cs="Arial"/>
          <w:color w:val="000000" w:themeColor="text1"/>
          <w:sz w:val="24"/>
          <w:szCs w:val="24"/>
          <w:lang w:val="en-US"/>
        </w:rPr>
        <w:t xml:space="preserve">(2021) ‘Incident reporting reduction during the Covid-19 pandemic in a tertiary Italian hospital. A retrospective analysis’, </w:t>
      </w:r>
      <w:bookmarkStart w:id="4" w:name="_Int_QUhOsPOf"/>
      <w:proofErr w:type="gramStart"/>
      <w:r w:rsidRPr="26E87E42">
        <w:rPr>
          <w:rFonts w:ascii="Arial" w:eastAsia="Arial" w:hAnsi="Arial" w:cs="Arial"/>
          <w:i/>
          <w:iCs/>
          <w:color w:val="000000" w:themeColor="text1"/>
          <w:sz w:val="24"/>
          <w:szCs w:val="24"/>
          <w:lang w:val="en-US"/>
        </w:rPr>
        <w:t>International</w:t>
      </w:r>
      <w:bookmarkEnd w:id="4"/>
      <w:proofErr w:type="gramEnd"/>
      <w:r w:rsidRPr="26E87E42">
        <w:rPr>
          <w:rFonts w:ascii="Arial" w:eastAsia="Arial" w:hAnsi="Arial" w:cs="Arial"/>
          <w:i/>
          <w:iCs/>
          <w:color w:val="000000" w:themeColor="text1"/>
          <w:sz w:val="24"/>
          <w:szCs w:val="24"/>
          <w:lang w:val="en-US"/>
        </w:rPr>
        <w:t xml:space="preserve"> journal for quality in health care. </w:t>
      </w:r>
      <w:r w:rsidRPr="26E87E42">
        <w:rPr>
          <w:rFonts w:ascii="Arial" w:eastAsia="Arial" w:hAnsi="Arial" w:cs="Arial"/>
          <w:color w:val="000000" w:themeColor="text1"/>
          <w:sz w:val="24"/>
          <w:szCs w:val="24"/>
          <w:lang w:val="en-US"/>
        </w:rPr>
        <w:t>DOI: 10.1093/</w:t>
      </w:r>
      <w:proofErr w:type="spellStart"/>
      <w:r w:rsidRPr="26E87E42">
        <w:rPr>
          <w:rFonts w:ascii="Arial" w:eastAsia="Arial" w:hAnsi="Arial" w:cs="Arial"/>
          <w:color w:val="000000" w:themeColor="text1"/>
          <w:sz w:val="24"/>
          <w:szCs w:val="24"/>
          <w:lang w:val="en-US"/>
        </w:rPr>
        <w:t>intqhc</w:t>
      </w:r>
      <w:proofErr w:type="spellEnd"/>
      <w:r w:rsidRPr="26E87E42">
        <w:rPr>
          <w:rFonts w:ascii="Arial" w:eastAsia="Arial" w:hAnsi="Arial" w:cs="Arial"/>
          <w:color w:val="000000" w:themeColor="text1"/>
          <w:sz w:val="24"/>
          <w:szCs w:val="24"/>
          <w:lang w:val="en-US"/>
        </w:rPr>
        <w:t>/mzab161</w:t>
      </w:r>
    </w:p>
    <w:p w14:paraId="18AAACDF" w14:textId="37CA2A90"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Sarvadikar</w:t>
      </w:r>
      <w:proofErr w:type="spellEnd"/>
      <w:r w:rsidRPr="238CA98D">
        <w:rPr>
          <w:rFonts w:ascii="Arial" w:eastAsia="Arial" w:hAnsi="Arial" w:cs="Arial"/>
          <w:color w:val="000000" w:themeColor="text1"/>
          <w:sz w:val="24"/>
          <w:szCs w:val="24"/>
          <w:lang w:val="en-US"/>
        </w:rPr>
        <w:t xml:space="preserve">, A., Prescott, G. and Williams, D. (2010) ‘Attitudes to reporting medication error among differing healthcare professionals’, </w:t>
      </w:r>
      <w:r w:rsidRPr="238CA98D">
        <w:rPr>
          <w:rFonts w:ascii="Arial" w:eastAsia="Arial" w:hAnsi="Arial" w:cs="Arial"/>
          <w:i/>
          <w:iCs/>
          <w:color w:val="000000" w:themeColor="text1"/>
          <w:sz w:val="24"/>
          <w:szCs w:val="24"/>
          <w:lang w:val="en-US"/>
        </w:rPr>
        <w:t xml:space="preserve">European Journal of Clinical Pharmacology, </w:t>
      </w:r>
      <w:r w:rsidRPr="238CA98D">
        <w:rPr>
          <w:rFonts w:ascii="Arial" w:eastAsia="Arial" w:hAnsi="Arial" w:cs="Arial"/>
          <w:color w:val="000000" w:themeColor="text1"/>
          <w:sz w:val="24"/>
          <w:szCs w:val="24"/>
          <w:lang w:val="en-US"/>
        </w:rPr>
        <w:t>66(8), pp. 843-853. DOI: 10.1007/s00228-010-0838-x</w:t>
      </w:r>
    </w:p>
    <w:p w14:paraId="72B99518" w14:textId="3362F487"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Sherman, H. </w:t>
      </w:r>
      <w:r w:rsidRPr="238CA98D">
        <w:rPr>
          <w:rFonts w:ascii="Arial" w:eastAsia="Arial" w:hAnsi="Arial" w:cs="Arial"/>
          <w:i/>
          <w:iCs/>
          <w:color w:val="000000" w:themeColor="text1"/>
          <w:sz w:val="24"/>
          <w:szCs w:val="24"/>
          <w:lang w:val="en-US"/>
        </w:rPr>
        <w:t xml:space="preserve">et al. </w:t>
      </w:r>
      <w:r w:rsidRPr="238CA98D">
        <w:rPr>
          <w:rFonts w:ascii="Arial" w:eastAsia="Arial" w:hAnsi="Arial" w:cs="Arial"/>
          <w:color w:val="000000" w:themeColor="text1"/>
          <w:sz w:val="24"/>
          <w:szCs w:val="24"/>
          <w:lang w:val="en-US"/>
        </w:rPr>
        <w:t xml:space="preserve">(2009) ‘Towards an International Classification for Patient Safety: the conceptual framework’, </w:t>
      </w:r>
      <w:r w:rsidRPr="238CA98D">
        <w:rPr>
          <w:rFonts w:ascii="Arial" w:eastAsia="Arial" w:hAnsi="Arial" w:cs="Arial"/>
          <w:i/>
          <w:iCs/>
          <w:color w:val="000000" w:themeColor="text1"/>
          <w:sz w:val="24"/>
          <w:szCs w:val="24"/>
          <w:lang w:val="en-US"/>
        </w:rPr>
        <w:t xml:space="preserve">International journal for quality in health care, </w:t>
      </w:r>
      <w:r w:rsidRPr="238CA98D">
        <w:rPr>
          <w:rFonts w:ascii="Arial" w:eastAsia="Arial" w:hAnsi="Arial" w:cs="Arial"/>
          <w:color w:val="000000" w:themeColor="text1"/>
          <w:sz w:val="24"/>
          <w:szCs w:val="24"/>
          <w:lang w:val="en-US"/>
        </w:rPr>
        <w:t>21(1), pp. 2-8. DOI: 10.1093/</w:t>
      </w:r>
      <w:proofErr w:type="spellStart"/>
      <w:r w:rsidRPr="238CA98D">
        <w:rPr>
          <w:rFonts w:ascii="Arial" w:eastAsia="Arial" w:hAnsi="Arial" w:cs="Arial"/>
          <w:color w:val="000000" w:themeColor="text1"/>
          <w:sz w:val="24"/>
          <w:szCs w:val="24"/>
          <w:lang w:val="en-US"/>
        </w:rPr>
        <w:t>intqhc</w:t>
      </w:r>
      <w:proofErr w:type="spellEnd"/>
      <w:r w:rsidRPr="238CA98D">
        <w:rPr>
          <w:rFonts w:ascii="Arial" w:eastAsia="Arial" w:hAnsi="Arial" w:cs="Arial"/>
          <w:color w:val="000000" w:themeColor="text1"/>
          <w:sz w:val="24"/>
          <w:szCs w:val="24"/>
          <w:lang w:val="en-US"/>
        </w:rPr>
        <w:t>/mzn054</w:t>
      </w:r>
    </w:p>
    <w:p w14:paraId="2129F32F" w14:textId="3DED95A5"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i/>
          <w:iCs/>
          <w:color w:val="000000" w:themeColor="text1"/>
          <w:sz w:val="24"/>
          <w:szCs w:val="24"/>
          <w:lang w:val="en-US"/>
        </w:rPr>
        <w:t xml:space="preserve">The National Health Service (Concerns, Complaints and Redress Arrangements) (Wales) Regulations 2011 </w:t>
      </w:r>
      <w:r w:rsidRPr="238CA98D">
        <w:rPr>
          <w:rFonts w:ascii="Arial" w:eastAsia="Arial" w:hAnsi="Arial" w:cs="Arial"/>
          <w:color w:val="000000" w:themeColor="text1"/>
          <w:sz w:val="24"/>
          <w:szCs w:val="24"/>
          <w:lang w:val="en-US"/>
        </w:rPr>
        <w:t xml:space="preserve">(SI 2011/ 704 (W.108)) Available at: </w:t>
      </w:r>
      <w:hyperlink r:id="rId16">
        <w:r w:rsidRPr="238CA98D">
          <w:rPr>
            <w:rStyle w:val="Hyperlink"/>
            <w:rFonts w:ascii="Arial" w:eastAsia="Arial" w:hAnsi="Arial" w:cs="Arial"/>
            <w:sz w:val="24"/>
            <w:szCs w:val="24"/>
            <w:lang w:val="en-US"/>
          </w:rPr>
          <w:t>https://www.legislation.gov.uk/wsi/2011/704/made</w:t>
        </w:r>
      </w:hyperlink>
      <w:r w:rsidRPr="238CA98D">
        <w:rPr>
          <w:rFonts w:ascii="Arial" w:eastAsia="Arial" w:hAnsi="Arial" w:cs="Arial"/>
          <w:color w:val="000000" w:themeColor="text1"/>
          <w:sz w:val="24"/>
          <w:szCs w:val="24"/>
          <w:lang w:val="en-US"/>
        </w:rPr>
        <w:t xml:space="preserve"> (Accessed 7 March 2022).</w:t>
      </w:r>
    </w:p>
    <w:p w14:paraId="73EBD7D3" w14:textId="73452D2F"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Vincent, C. (2007), ‘Incident reporting and patient safety’, </w:t>
      </w:r>
      <w:r w:rsidRPr="238CA98D">
        <w:rPr>
          <w:rFonts w:ascii="Arial" w:eastAsia="Arial" w:hAnsi="Arial" w:cs="Arial"/>
          <w:i/>
          <w:iCs/>
          <w:color w:val="000000" w:themeColor="text1"/>
          <w:sz w:val="24"/>
          <w:szCs w:val="24"/>
          <w:lang w:val="en-US"/>
        </w:rPr>
        <w:t xml:space="preserve">The BMJ, </w:t>
      </w:r>
      <w:r w:rsidRPr="238CA98D">
        <w:rPr>
          <w:rFonts w:ascii="Arial" w:eastAsia="Arial" w:hAnsi="Arial" w:cs="Arial"/>
          <w:color w:val="000000" w:themeColor="text1"/>
          <w:sz w:val="24"/>
          <w:szCs w:val="24"/>
          <w:lang w:val="en-US"/>
        </w:rPr>
        <w:t>334(7584), p. 51. DOI: 10.1136/bmj.39071.441609.80</w:t>
      </w:r>
    </w:p>
    <w:p w14:paraId="415DEAAD" w14:textId="64D9830B"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Warwickshire North Clinical Commissioning Group (2020) </w:t>
      </w:r>
      <w:r w:rsidRPr="238CA98D">
        <w:rPr>
          <w:rFonts w:ascii="Arial" w:eastAsia="Arial" w:hAnsi="Arial" w:cs="Arial"/>
          <w:i/>
          <w:iCs/>
          <w:color w:val="000000" w:themeColor="text1"/>
          <w:sz w:val="24"/>
          <w:szCs w:val="24"/>
          <w:lang w:val="en-US"/>
        </w:rPr>
        <w:t xml:space="preserve">Datix Reporting Quick User Guide. </w:t>
      </w:r>
      <w:r w:rsidRPr="238CA98D">
        <w:rPr>
          <w:rFonts w:ascii="Arial" w:eastAsia="Arial" w:hAnsi="Arial" w:cs="Arial"/>
          <w:color w:val="000000" w:themeColor="text1"/>
          <w:sz w:val="24"/>
          <w:szCs w:val="24"/>
          <w:lang w:val="en-US"/>
        </w:rPr>
        <w:t xml:space="preserve">Available at: </w:t>
      </w:r>
      <w:hyperlink r:id="rId17">
        <w:r w:rsidRPr="238CA98D">
          <w:rPr>
            <w:rStyle w:val="Hyperlink"/>
            <w:rFonts w:ascii="Arial" w:eastAsia="Arial" w:hAnsi="Arial" w:cs="Arial"/>
            <w:sz w:val="24"/>
            <w:szCs w:val="24"/>
            <w:lang w:val="en-US"/>
          </w:rPr>
          <w:t>https://www.warwickshirenorthccg.nhs.uk/mf.ashx?ID=25ff745e-8855-44cc-bd64-f1fdabf3fe7c</w:t>
        </w:r>
      </w:hyperlink>
      <w:r w:rsidRPr="238CA98D">
        <w:rPr>
          <w:rFonts w:ascii="Arial" w:eastAsia="Arial" w:hAnsi="Arial" w:cs="Arial"/>
          <w:color w:val="000000" w:themeColor="text1"/>
          <w:sz w:val="24"/>
          <w:szCs w:val="24"/>
          <w:lang w:val="en-US"/>
        </w:rPr>
        <w:t xml:space="preserve"> (Accessed 2 March 2022).</w:t>
      </w:r>
    </w:p>
    <w:p w14:paraId="35FAF63D" w14:textId="69084476"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t xml:space="preserve">Welsh Government (2021) </w:t>
      </w:r>
      <w:r w:rsidRPr="238CA98D">
        <w:rPr>
          <w:rFonts w:ascii="Arial" w:eastAsia="Arial" w:hAnsi="Arial" w:cs="Arial"/>
          <w:i/>
          <w:iCs/>
          <w:color w:val="000000" w:themeColor="text1"/>
          <w:sz w:val="24"/>
          <w:szCs w:val="24"/>
          <w:lang w:val="en-US"/>
        </w:rPr>
        <w:t xml:space="preserve">Patient safety (incidents based on when the incident occurred by local health board/trust): April 2020 to March 2021. </w:t>
      </w:r>
      <w:r w:rsidRPr="238CA98D">
        <w:rPr>
          <w:rFonts w:ascii="Arial" w:eastAsia="Arial" w:hAnsi="Arial" w:cs="Arial"/>
          <w:color w:val="000000" w:themeColor="text1"/>
          <w:sz w:val="24"/>
          <w:szCs w:val="24"/>
          <w:lang w:val="en-US"/>
        </w:rPr>
        <w:t xml:space="preserve">Available at: </w:t>
      </w:r>
      <w:hyperlink r:id="rId18">
        <w:r w:rsidRPr="238CA98D">
          <w:rPr>
            <w:rStyle w:val="Hyperlink"/>
            <w:rFonts w:ascii="Arial" w:eastAsia="Arial" w:hAnsi="Arial" w:cs="Arial"/>
            <w:sz w:val="24"/>
            <w:szCs w:val="24"/>
            <w:lang w:val="en-US"/>
          </w:rPr>
          <w:t>https://gov.wales/patient-safety-incidents-based-when-incident-occurred-local-health-boardtrust-april-2020-march-2021</w:t>
        </w:r>
      </w:hyperlink>
      <w:r w:rsidRPr="238CA98D">
        <w:rPr>
          <w:rFonts w:ascii="Arial" w:eastAsia="Arial" w:hAnsi="Arial" w:cs="Arial"/>
          <w:color w:val="000000" w:themeColor="text1"/>
          <w:sz w:val="24"/>
          <w:szCs w:val="24"/>
          <w:lang w:val="en-US"/>
        </w:rPr>
        <w:t xml:space="preserve"> (Accessed: 2 March 2022).</w:t>
      </w:r>
    </w:p>
    <w:p w14:paraId="7F07019E" w14:textId="3A48E108" w:rsidR="238CA98D" w:rsidRDefault="238CA98D" w:rsidP="238CA98D">
      <w:pPr>
        <w:rPr>
          <w:rFonts w:ascii="Arial" w:eastAsia="Arial" w:hAnsi="Arial" w:cs="Arial"/>
          <w:color w:val="000000" w:themeColor="text1"/>
          <w:sz w:val="24"/>
          <w:szCs w:val="24"/>
          <w:lang w:val="en-US"/>
        </w:rPr>
      </w:pPr>
      <w:proofErr w:type="spellStart"/>
      <w:r w:rsidRPr="238CA98D">
        <w:rPr>
          <w:rFonts w:ascii="Arial" w:eastAsia="Arial" w:hAnsi="Arial" w:cs="Arial"/>
          <w:color w:val="000000" w:themeColor="text1"/>
          <w:sz w:val="24"/>
          <w:szCs w:val="24"/>
          <w:lang w:val="en-US"/>
        </w:rPr>
        <w:t>Wiele</w:t>
      </w:r>
      <w:proofErr w:type="spellEnd"/>
      <w:r w:rsidRPr="238CA98D">
        <w:rPr>
          <w:rFonts w:ascii="Arial" w:eastAsia="Arial" w:hAnsi="Arial" w:cs="Arial"/>
          <w:color w:val="000000" w:themeColor="text1"/>
          <w:sz w:val="24"/>
          <w:szCs w:val="24"/>
          <w:lang w:val="en-US"/>
        </w:rPr>
        <w:t xml:space="preserve">, P. and </w:t>
      </w:r>
      <w:proofErr w:type="spellStart"/>
      <w:r w:rsidRPr="238CA98D">
        <w:rPr>
          <w:rFonts w:ascii="Arial" w:eastAsia="Arial" w:hAnsi="Arial" w:cs="Arial"/>
          <w:color w:val="000000" w:themeColor="text1"/>
          <w:sz w:val="24"/>
          <w:szCs w:val="24"/>
          <w:lang w:val="en-US"/>
        </w:rPr>
        <w:t>Eantanen</w:t>
      </w:r>
      <w:proofErr w:type="spellEnd"/>
      <w:r w:rsidRPr="238CA98D">
        <w:rPr>
          <w:rFonts w:ascii="Arial" w:eastAsia="Arial" w:hAnsi="Arial" w:cs="Arial"/>
          <w:color w:val="000000" w:themeColor="text1"/>
          <w:sz w:val="24"/>
          <w:szCs w:val="24"/>
          <w:lang w:val="en-US"/>
        </w:rPr>
        <w:t xml:space="preserve">, E. (2015) ‘Usability of incident reporting systems: Preliminary results of a case study’, </w:t>
      </w:r>
      <w:r w:rsidRPr="238CA98D">
        <w:rPr>
          <w:rFonts w:ascii="Arial" w:eastAsia="Arial" w:hAnsi="Arial" w:cs="Arial"/>
          <w:i/>
          <w:iCs/>
          <w:color w:val="000000" w:themeColor="text1"/>
          <w:sz w:val="24"/>
          <w:szCs w:val="24"/>
          <w:lang w:val="en-US"/>
        </w:rPr>
        <w:t xml:space="preserve">Proceedings of the International Symposium of Human Factors and Ergonomics in Healthcare, </w:t>
      </w:r>
      <w:r w:rsidRPr="238CA98D">
        <w:rPr>
          <w:rFonts w:ascii="Arial" w:eastAsia="Arial" w:hAnsi="Arial" w:cs="Arial"/>
          <w:color w:val="000000" w:themeColor="text1"/>
          <w:sz w:val="24"/>
          <w:szCs w:val="24"/>
          <w:lang w:val="en-US"/>
        </w:rPr>
        <w:t>4(1), pp. 168-173. DOI: 10.1177/2327857915041031</w:t>
      </w:r>
    </w:p>
    <w:p w14:paraId="40264231" w14:textId="612FF582" w:rsidR="238CA98D" w:rsidRDefault="238CA98D" w:rsidP="238CA98D">
      <w:pPr>
        <w:rPr>
          <w:rFonts w:ascii="Arial" w:eastAsia="Arial" w:hAnsi="Arial" w:cs="Arial"/>
          <w:color w:val="000000" w:themeColor="text1"/>
          <w:sz w:val="24"/>
          <w:szCs w:val="24"/>
          <w:lang w:val="en-US"/>
        </w:rPr>
      </w:pPr>
      <w:r w:rsidRPr="238CA98D">
        <w:rPr>
          <w:rFonts w:ascii="Arial" w:eastAsia="Arial" w:hAnsi="Arial" w:cs="Arial"/>
          <w:color w:val="000000" w:themeColor="text1"/>
          <w:sz w:val="24"/>
          <w:szCs w:val="24"/>
          <w:lang w:val="en-US"/>
        </w:rPr>
        <w:lastRenderedPageBreak/>
        <w:t xml:space="preserve">World Health Organization (2019) </w:t>
      </w:r>
      <w:r w:rsidRPr="238CA98D">
        <w:rPr>
          <w:rFonts w:ascii="Arial" w:eastAsia="Arial" w:hAnsi="Arial" w:cs="Arial"/>
          <w:i/>
          <w:iCs/>
          <w:color w:val="000000" w:themeColor="text1"/>
          <w:sz w:val="24"/>
          <w:szCs w:val="24"/>
          <w:lang w:val="en-US"/>
        </w:rPr>
        <w:t xml:space="preserve">Patient Safety </w:t>
      </w:r>
      <w:proofErr w:type="spellStart"/>
      <w:r w:rsidRPr="238CA98D">
        <w:rPr>
          <w:rFonts w:ascii="Arial" w:eastAsia="Arial" w:hAnsi="Arial" w:cs="Arial"/>
          <w:i/>
          <w:iCs/>
          <w:color w:val="000000" w:themeColor="text1"/>
          <w:sz w:val="24"/>
          <w:szCs w:val="24"/>
          <w:lang w:val="en-US"/>
        </w:rPr>
        <w:t>Factfile</w:t>
      </w:r>
      <w:proofErr w:type="spellEnd"/>
      <w:r w:rsidRPr="238CA98D">
        <w:rPr>
          <w:rFonts w:ascii="Arial" w:eastAsia="Arial" w:hAnsi="Arial" w:cs="Arial"/>
          <w:i/>
          <w:iCs/>
          <w:color w:val="000000" w:themeColor="text1"/>
          <w:sz w:val="24"/>
          <w:szCs w:val="24"/>
          <w:lang w:val="en-US"/>
        </w:rPr>
        <w:t xml:space="preserve">. </w:t>
      </w:r>
      <w:r w:rsidRPr="238CA98D">
        <w:rPr>
          <w:rFonts w:ascii="Arial" w:eastAsia="Arial" w:hAnsi="Arial" w:cs="Arial"/>
          <w:color w:val="000000" w:themeColor="text1"/>
          <w:sz w:val="24"/>
          <w:szCs w:val="24"/>
          <w:lang w:val="en-US"/>
        </w:rPr>
        <w:t xml:space="preserve">Available at: </w:t>
      </w:r>
      <w:hyperlink r:id="rId19">
        <w:r w:rsidRPr="238CA98D">
          <w:rPr>
            <w:rStyle w:val="Hyperlink"/>
            <w:rFonts w:ascii="Arial" w:eastAsia="Arial" w:hAnsi="Arial" w:cs="Arial"/>
            <w:sz w:val="24"/>
            <w:szCs w:val="24"/>
            <w:lang w:val="en-US"/>
          </w:rPr>
          <w:t>https://www.who.int/features/factfiles/patient_safety/patient-safety-fact-file.pdf?ua=1</w:t>
        </w:r>
      </w:hyperlink>
      <w:r w:rsidRPr="238CA98D">
        <w:rPr>
          <w:rFonts w:ascii="Arial" w:eastAsia="Arial" w:hAnsi="Arial" w:cs="Arial"/>
          <w:color w:val="000000" w:themeColor="text1"/>
          <w:sz w:val="24"/>
          <w:szCs w:val="24"/>
          <w:lang w:val="en-US"/>
        </w:rPr>
        <w:t xml:space="preserve"> (Accessed: 26 January 2022).</w:t>
      </w:r>
    </w:p>
    <w:sectPr w:rsidR="238CA98D">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6B011" w14:textId="77777777" w:rsidR="009927C8" w:rsidRDefault="009927C8">
      <w:pPr>
        <w:spacing w:after="0" w:line="240" w:lineRule="auto"/>
      </w:pPr>
      <w:r>
        <w:separator/>
      </w:r>
    </w:p>
  </w:endnote>
  <w:endnote w:type="continuationSeparator" w:id="0">
    <w:p w14:paraId="15346A04" w14:textId="77777777" w:rsidR="009927C8" w:rsidRDefault="00992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8CA98D" w14:paraId="5DB49C9A" w14:textId="77777777" w:rsidTr="238CA98D">
      <w:tc>
        <w:tcPr>
          <w:tcW w:w="3005" w:type="dxa"/>
        </w:tcPr>
        <w:p w14:paraId="476BEBC0" w14:textId="0D4AAC30" w:rsidR="238CA98D" w:rsidRDefault="238CA98D" w:rsidP="238CA98D">
          <w:pPr>
            <w:pStyle w:val="Header"/>
            <w:ind w:left="-115"/>
          </w:pPr>
        </w:p>
      </w:tc>
      <w:tc>
        <w:tcPr>
          <w:tcW w:w="3005" w:type="dxa"/>
        </w:tcPr>
        <w:p w14:paraId="144529F2" w14:textId="75EDDD3C" w:rsidR="238CA98D" w:rsidRDefault="238CA98D" w:rsidP="238CA98D">
          <w:pPr>
            <w:pStyle w:val="Header"/>
            <w:jc w:val="center"/>
          </w:pPr>
          <w:r>
            <w:fldChar w:fldCharType="begin"/>
          </w:r>
          <w:r>
            <w:instrText>PAGE</w:instrText>
          </w:r>
          <w:r w:rsidR="009927C8">
            <w:fldChar w:fldCharType="separate"/>
          </w:r>
          <w:r w:rsidR="00A84ABA">
            <w:rPr>
              <w:noProof/>
            </w:rPr>
            <w:t>1</w:t>
          </w:r>
          <w:r>
            <w:fldChar w:fldCharType="end"/>
          </w:r>
        </w:p>
      </w:tc>
      <w:tc>
        <w:tcPr>
          <w:tcW w:w="3005" w:type="dxa"/>
        </w:tcPr>
        <w:p w14:paraId="47D2AF44" w14:textId="52C769C2" w:rsidR="238CA98D" w:rsidRDefault="238CA98D" w:rsidP="238CA98D">
          <w:pPr>
            <w:pStyle w:val="Header"/>
            <w:ind w:right="-115"/>
            <w:jc w:val="right"/>
          </w:pPr>
        </w:p>
      </w:tc>
    </w:tr>
  </w:tbl>
  <w:p w14:paraId="66F8BE97" w14:textId="3B650147" w:rsidR="238CA98D" w:rsidRDefault="238CA98D" w:rsidP="238CA9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04C0D" w14:textId="77777777" w:rsidR="009927C8" w:rsidRDefault="009927C8">
      <w:pPr>
        <w:spacing w:after="0" w:line="240" w:lineRule="auto"/>
      </w:pPr>
      <w:r>
        <w:separator/>
      </w:r>
    </w:p>
  </w:footnote>
  <w:footnote w:type="continuationSeparator" w:id="0">
    <w:p w14:paraId="783AA215" w14:textId="77777777" w:rsidR="009927C8" w:rsidRDefault="00992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38CA98D" w14:paraId="246FC2F8" w14:textId="77777777" w:rsidTr="238CA98D">
      <w:tc>
        <w:tcPr>
          <w:tcW w:w="3005" w:type="dxa"/>
        </w:tcPr>
        <w:p w14:paraId="358B1AF2" w14:textId="12E13906" w:rsidR="238CA98D" w:rsidRDefault="238CA98D" w:rsidP="238CA98D">
          <w:pPr>
            <w:pStyle w:val="Header"/>
            <w:ind w:left="-115"/>
          </w:pPr>
        </w:p>
      </w:tc>
      <w:tc>
        <w:tcPr>
          <w:tcW w:w="3005" w:type="dxa"/>
        </w:tcPr>
        <w:p w14:paraId="129C4FDD" w14:textId="4DB4FC63" w:rsidR="238CA98D" w:rsidRDefault="238CA98D" w:rsidP="238CA98D">
          <w:pPr>
            <w:pStyle w:val="Header"/>
            <w:jc w:val="center"/>
          </w:pPr>
        </w:p>
      </w:tc>
      <w:tc>
        <w:tcPr>
          <w:tcW w:w="3005" w:type="dxa"/>
        </w:tcPr>
        <w:p w14:paraId="05FDC0BD" w14:textId="1F18AF19" w:rsidR="238CA98D" w:rsidRDefault="238CA98D" w:rsidP="238CA98D">
          <w:pPr>
            <w:pStyle w:val="Header"/>
            <w:ind w:right="-115"/>
            <w:jc w:val="right"/>
          </w:pPr>
        </w:p>
      </w:tc>
    </w:tr>
  </w:tbl>
  <w:p w14:paraId="671542A6" w14:textId="6A68F24C" w:rsidR="238CA98D" w:rsidRDefault="238CA98D" w:rsidP="238CA98D">
    <w:pPr>
      <w:pStyle w:val="Header"/>
    </w:pPr>
  </w:p>
</w:hdr>
</file>

<file path=word/intelligence2.xml><?xml version="1.0" encoding="utf-8"?>
<int2:intelligence xmlns:int2="http://schemas.microsoft.com/office/intelligence/2020/intelligence" xmlns:oel="http://schemas.microsoft.com/office/2019/extlst">
  <int2:observations>
    <int2:textHash int2:hashCode="WQPnMWNhRYxALW" int2:id="SvtM8txN">
      <int2:state int2:value="Rejected" int2:type="AugLoop_Text_Critique"/>
    </int2:textHash>
    <int2:textHash int2:hashCode="sobnLa3ltKTi4j" int2:id="XxAcUhXh">
      <int2:state int2:value="Rejected" int2:type="AugLoop_Text_Critique"/>
    </int2:textHash>
    <int2:textHash int2:hashCode="+hy8M85sF9u9T4" int2:id="cAnnzp7I">
      <int2:state int2:value="Rejected" int2:type="AugLoop_Text_Critique"/>
    </int2:textHash>
    <int2:textHash int2:hashCode="NkPdJ9i9g1wpGP" int2:id="dFHUMwaZ">
      <int2:state int2:value="Rejected" int2:type="AugLoop_Text_Critique"/>
    </int2:textHash>
    <int2:textHash int2:hashCode="4eMfCA0mijjPL6" int2:id="GVz91KXK">
      <int2:state int2:value="Rejected" int2:type="AugLoop_Text_Critique"/>
    </int2:textHash>
    <int2:textHash int2:hashCode="f/yktZbPasP3q9" int2:id="pEGPlc3j">
      <int2:state int2:value="Rejected" int2:type="AugLoop_Text_Critique"/>
    </int2:textHash>
    <int2:textHash int2:hashCode="SvlOyr1YoajgBj" int2:id="iyH3B1lm">
      <int2:state int2:value="Rejected" int2:type="AugLoop_Text_Critique"/>
    </int2:textHash>
    <int2:textHash int2:hashCode="+xM6ZBVQhlz2Wq" int2:id="uGf71lwA">
      <int2:state int2:value="Rejected" int2:type="AugLoop_Text_Critique"/>
    </int2:textHash>
    <int2:textHash int2:hashCode="ctyw96dKPCarwI" int2:id="GWFPbr69">
      <int2:state int2:value="Rejected" int2:type="AugLoop_Text_Critique"/>
    </int2:textHash>
    <int2:textHash int2:hashCode="pZGmU5Q5PUeaBE" int2:id="mID425qV">
      <int2:state int2:value="Rejected" int2:type="AugLoop_Text_Critique"/>
    </int2:textHash>
    <int2:textHash int2:hashCode="sar3mSXK+m9z5Y" int2:id="ItIqEWU4">
      <int2:state int2:value="Rejected" int2:type="AugLoop_Text_Critique"/>
    </int2:textHash>
    <int2:textHash int2:hashCode="E1+Tt6RJBbZOzq" int2:id="suHVXGhB">
      <int2:state int2:value="Rejected" int2:type="AugLoop_Text_Critique"/>
    </int2:textHash>
    <int2:textHash int2:hashCode="GmQUmLCujJfs5S" int2:id="ZmFKbmFw">
      <int2:state int2:value="Rejected" int2:type="AugLoop_Text_Critique"/>
    </int2:textHash>
    <int2:textHash int2:hashCode="O30PzcGzgilo0B" int2:id="rlLlSVIV">
      <int2:state int2:value="Rejected" int2:type="AugLoop_Text_Critique"/>
    </int2:textHash>
    <int2:textHash int2:hashCode="7AQLsnzog+8R+K" int2:id="6onWrY3t">
      <int2:state int2:value="Rejected" int2:type="AugLoop_Text_Critique"/>
    </int2:textHash>
    <int2:textHash int2:hashCode="57Z04I2gfizIpG" int2:id="jgYpJFBj">
      <int2:state int2:value="Rejected" int2:type="AugLoop_Text_Critique"/>
    </int2:textHash>
    <int2:textHash int2:hashCode="GAUxzhXv/tRXaE" int2:id="HKdkOC50">
      <int2:state int2:value="Rejected" int2:type="AugLoop_Text_Critique"/>
    </int2:textHash>
    <int2:textHash int2:hashCode="HE8mSer8bQ00YS" int2:id="qxQ2o0Qc">
      <int2:state int2:value="Rejected" int2:type="AugLoop_Text_Critique"/>
    </int2:textHash>
    <int2:textHash int2:hashCode="XJ/7Ed+Kq+57Fk" int2:id="CukrRL4s">
      <int2:state int2:value="Rejected" int2:type="AugLoop_Text_Critique"/>
    </int2:textHash>
    <int2:textHash int2:hashCode="/LFRhRuCNK35pk" int2:id="1DXSPXk8">
      <int2:state int2:value="Rejected" int2:type="LegacyProofing"/>
    </int2:textHash>
    <int2:textHash int2:hashCode="jgog9ENK4mkgc7" int2:id="KaTGVC34">
      <int2:state int2:value="Rejected" int2:type="LegacyProofing"/>
    </int2:textHash>
    <int2:textHash int2:hashCode="qE0dJ8MQSxqGBB" int2:id="nPdSYeio">
      <int2:state int2:value="Rejected" int2:type="LegacyProofing"/>
    </int2:textHash>
    <int2:textHash int2:hashCode="sLudvuF84jAVSG" int2:id="iTI60rXn">
      <int2:state int2:value="Rejected" int2:type="LegacyProofing"/>
    </int2:textHash>
    <int2:textHash int2:hashCode="XmY6GrPMA7J8LY" int2:id="3xMUb42G">
      <int2:state int2:value="Rejected" int2:type="LegacyProofing"/>
    </int2:textHash>
    <int2:textHash int2:hashCode="7Js69ksp9YDOFA" int2:id="0IEUoA2P">
      <int2:state int2:value="Rejected" int2:type="LegacyProofing"/>
    </int2:textHash>
    <int2:textHash int2:hashCode="jdGR14sJVYo9PW" int2:id="3giSRijx">
      <int2:state int2:value="Rejected" int2:type="AugLoop_Text_Critique"/>
    </int2:textHash>
    <int2:textHash int2:hashCode="3KKjJeR/dxf+gy" int2:id="q8YtbtJR">
      <int2:state int2:value="Rejected" int2:type="AugLoop_Text_Critique"/>
    </int2:textHash>
    <int2:textHash int2:hashCode="YMoiTdiKOH72rT" int2:id="CzLWDbrR">
      <int2:state int2:value="Rejected" int2:type="LegacyProofing"/>
    </int2:textHash>
    <int2:textHash int2:hashCode="zlwVdksw2X9PV9" int2:id="Bx9iP9SS">
      <int2:state int2:value="Rejected" int2:type="LegacyProofing"/>
    </int2:textHash>
    <int2:textHash int2:hashCode="Po9CivcdQybWPS" int2:id="yQNJbJXj">
      <int2:state int2:value="Rejected" int2:type="LegacyProofing"/>
    </int2:textHash>
    <int2:textHash int2:hashCode="8FPt4NlHm/CNrl" int2:id="dDrDs1zS">
      <int2:state int2:value="Rejected" int2:type="LegacyProofing"/>
    </int2:textHash>
    <int2:textHash int2:hashCode="YFY2oMwKHdM6k0" int2:id="D0l5knif">
      <int2:state int2:value="Rejected" int2:type="LegacyProofing"/>
    </int2:textHash>
    <int2:textHash int2:hashCode="SjyvRad2vWcZJW" int2:id="EYCfPOE1">
      <int2:state int2:value="Rejected" int2:type="LegacyProofing"/>
    </int2:textHash>
    <int2:textHash int2:hashCode="dK6oJtW4nzn2Jn" int2:id="1P6WE2Lc">
      <int2:state int2:value="Rejected" int2:type="AugLoop_Text_Critique"/>
    </int2:textHash>
    <int2:textHash int2:hashCode="e7IAHM2Q+DA9Cx" int2:id="qPXJk7xm">
      <int2:state int2:value="Rejected" int2:type="AugLoop_Text_Critique"/>
    </int2:textHash>
    <int2:textHash int2:hashCode="0lXQ0GySJQ8tJA" int2:id="2Cd0jn5V">
      <int2:state int2:value="Rejected" int2:type="AugLoop_Text_Critique"/>
    </int2:textHash>
    <int2:bookmark int2:bookmarkName="_Int_QUhOsPOf" int2:invalidationBookmarkName="" int2:hashCode="vEQPZFzf9Abu1O" int2:id="C9drFTlI">
      <int2:state int2:value="Rejected" int2:type="LegacyProofing"/>
    </int2:bookmark>
    <int2:bookmark int2:bookmarkName="_Int_4QgFFCo4" int2:invalidationBookmarkName="" int2:hashCode="LsQjsVj0FtvHv9" int2:id="oScuWVGI">
      <int2:state int2:value="Rejected" int2:type="LegacyProofing"/>
    </int2:bookmark>
    <int2:bookmark int2:bookmarkName="_Int_WbI0lRuE" int2:invalidationBookmarkName="" int2:hashCode="X55YArurxx+Sdf" int2:id="TBFXX20O">
      <int2:state int2:value="Rejected" int2:type="LegacyProofing"/>
    </int2:bookmark>
    <int2:bookmark int2:bookmarkName="_Int_Jocsv8Zn" int2:invalidationBookmarkName="" int2:hashCode="P2YFKhB+r5uufK" int2:id="gnBML5a9">
      <int2:state int2:value="Rejected" int2:type="LegacyProofing"/>
    </int2:bookmark>
    <int2:bookmark int2:bookmarkName="_Int_gfk338AP" int2:invalidationBookmarkName="" int2:hashCode="8K0C9bkifylD/w" int2:id="oD9NLKRx">
      <int2:state int2:value="Rejected" int2:type="AugLoop_Similarity_SimilarityAnnotation"/>
    </int2:bookmark>
  </int2:observations>
  <int2:intelligenceSettings/>
  <int2:onDemandWorkflows>
    <int2:onDemandWorkflow int2:type="SimilarityCheck" int2:paragraphVersions="7E0E023F-4515AB1D 5E5787A5-56C3F029 3A42E320-232A5412 7B19F995-625CE2A6 2DD3AC7B-40EF9902 0B1F39FA-44F87611 7AD36C98-316B30D2 45DA7D92-388982F1 6274C1CF-77777777 7E1E07D5-0093EC13 657B6027-449F7B01 7EB52325-12F44D41 16E3EBAF-29069063 7A607FC4-2CA104B6 4F605020-18DE9F58 1EE63FA1-3AE80652 4F1E5765-36C2B984 0FED2F1D-44ECC304 63570604-043868E8 0104DC1A-73B6ECC3 6A466652-6DD37573 30D7619D-1E4B78AE 5223DCC6-61E45225 7C9A5E97-0F39D516 0C545B88-0920765F 0AD3E95C-58CB551A 77DF0835-723D145C 1FD379B6-787E374E 69CAE498-1AA48895 142FC805-6F34F56D 3E6E822E-57AAC390 666A2E18-51BBAE65 44C857A9-19E95E4B 0AC42048-0CAF146A 3310D6C2-4186EF68 169992D9-286F36F6 47C43183-412BD41C 3BEBB721-15757ADC 6BD30842-6259BE18 715827F5-1118285F 5A6B5F1C-0BCBFD39 08A09878-2FDD118C 6D4D09E4-0F9F2E8D 11D54FB1-05E126AE 538C6159-062FC58B 7699B942-49472AFD 6F12133C-40175450 233B2D34-4E02E536 34895B17-7B420A47 7062BC39-5E20448B 6A448408-20F31C72 7DB7331A-23193472 70467584-1F9C4972 03B39B5F-26ACF463 49566255-0A69CBF9 67E4B645-5AEAE0FD 40B8A7BD-445B3A0B 3C66902B-2FBC178F 4CD4D2E4-6E5CB6A2 07EB3D1D-7C576802 0C5B66F3-7F0ABA0A 42C79C80-507326FA 0C1983D8-082ECD8F 3A1EEDB3-2E3CF61D 6DDFE5AF-360B77C7 2D581677-0266E32F 49D17C71-0266E32F 39D4CD3A-0266E32F 526AE247-6A9B098C 027A7E75-2D6AFE9D 1BF7551A-31D54566 048CE3AB-38FBB2B7 4427372C-36577A3F 3461C15A-330BBC1F 15CEF7DC-5D129128 3CA580D7-31D12F33 269B14AC-0266E32F 1DEDC66E-0266E32F 1C901581-0266E32F 7799503D-0266E32F 57623144-0266E32F 3A52D9BB-4126854A 33A20E6F-0266E32F 1F04B7B3-0266E32F 3422A2C4-0266E32F 6DC25DDC-0266E32F 62E4CBE1-0266E32F 5F5EDDA9-14E8D7D9 6C5A5342-0266E32F 43C3BC20-0266E32F 36365D67-0266E32F 62214E1B-0266E32F 6235033D-0266E32F 781CAEBD-66230834 0B3B014E-6BF2F42E 3969270E-3F34CBA3 22165A6B-6D43D2CD 46647844-34D653B5 7EA7438D-607A66FD 4FCAB301-5E48915E 5BFBFCA5-1A0046EC 7B74E7D9-680988DA 034FE9B2-76CD4662 0C994926-3FE104F8 7CF9BEE6-694C18B4 75127DA1-34CD078F 6B1EBD60-7DC7A9A6 3806AA65-1F3C84BC 6456607E-72CF3E08 067D97FB-6E9FB5EA 487C9CA3-3730A53B 18D02DA2-16C1D61D 4DC583D1-1C1682EB 420F695F-16ACA526 37EFD30E-14B7CDE5 1C5A2FE3-14FE0E53 649E20D5-751E175B 7838947F-0C9E7056 18C07425-1D3191FF 79E7ACCC-065A4861 23D4FF98-6B700711 18D0D635-6F67BE3C 035F14B5-1E681732 5F0FCEEB-53791D73 0EC5B7AE-7163CD57 418AD8CB-718C9E18 449C31E7-0515B4AB 36ECBACE-72F7AE6E 6D498293-4B257EEF 5B285E7F-304D349D 4631A2FA-7B613743 54896321-7B180721 3BADBBDC-08A1D8F7 6927AB90-35327F08 401B6A60-0ED6E539 026AFAF1-08094331 18B9013B-24AC8E83 6E29C4ED-2A1574C1 674A32C2-7C9540C0 41255D3E-746FAA01 0D642AC7-0A66B2D0 37CF311A-7F9AA7AC 00412985-11400572 4C3D7A82-56F5315F 27E557D7-542025A3 605ABA84-1D309849 071EA3DA-1EC77BCD 3FCE553E-27505CF7 35D38A1A-49642688 0B0B4787-21FEA7B9 2D8E334F-6E449365 7EBDE6CD-7B369142 41B0BB25-2F547946 3F84728F-3F8E10AD 3D4BBE05-17E73202 700CC31A-0E3C7A98 6C346F43-75E27EAB 502EFC35-680D37EA 19C9340C-31AC9543 0E94A9F7-1B324C4B 2399496A-4D07F32B 7CDCC8ED-23895100 24B9EC14-704D1584 59B446BD-51851057 7B3E290C-3EE6BBD7 3FAC1A92-3AD8AB0E 26C1FC09-6747518C 5BC3270C-1498EB7B 27923BB5-0E95D2E3 3E7D16A7-39D48A10 13D146B6-1A118620 56E70489-6DE3DCE0 73871B3C-5FFC2322 1B44FE1A-18D2D4E3 34BC0C79-64804A06 315B432F-5B67D0D0 34ED9655-4B209420 57C33019-46D833BA 38801B6D-57F66021 31CC1990-3AD3B26A 74890101-2B40C61F 7EECE600-5135815B 066292D8-231D0EF2 32AEFF03-0EECBE43 02C22A49-09C74EE7 4FA00126-065B588B 5F721ABD-3310E929 3F793B24-78EDF0C8 46DC70B2-6C125697 603360E6-54374082 0ECA0D04-6E21946D 27A0C073-01A8296A 0F26B567-79AB3978 788E3668-7825ADA4 3A5787A5-5E12ED9F 46017EE0-593E317D 76412EEF-44915064 1005FAD9-7BF1D712 5C334262-6BCF3D08 73C45AEB-6D7840B5 7ADA85D4-141A8AA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7EB98"/>
    <w:rsid w:val="00022EDC"/>
    <w:rsid w:val="00094FE1"/>
    <w:rsid w:val="001100FD"/>
    <w:rsid w:val="0012787E"/>
    <w:rsid w:val="0014477F"/>
    <w:rsid w:val="002C51CE"/>
    <w:rsid w:val="002F641C"/>
    <w:rsid w:val="003129C6"/>
    <w:rsid w:val="003143E9"/>
    <w:rsid w:val="003344EB"/>
    <w:rsid w:val="00381142"/>
    <w:rsid w:val="00437F5C"/>
    <w:rsid w:val="0045974F"/>
    <w:rsid w:val="004E5BEA"/>
    <w:rsid w:val="00515FA6"/>
    <w:rsid w:val="00584AF0"/>
    <w:rsid w:val="006150C7"/>
    <w:rsid w:val="0079429A"/>
    <w:rsid w:val="00812A4E"/>
    <w:rsid w:val="00832FE7"/>
    <w:rsid w:val="008F25F8"/>
    <w:rsid w:val="009927C8"/>
    <w:rsid w:val="00A84ABA"/>
    <w:rsid w:val="00AA5696"/>
    <w:rsid w:val="00B74507"/>
    <w:rsid w:val="00B92712"/>
    <w:rsid w:val="00BB9455"/>
    <w:rsid w:val="00BC1005"/>
    <w:rsid w:val="00BC43C3"/>
    <w:rsid w:val="00C0025F"/>
    <w:rsid w:val="00C377FA"/>
    <w:rsid w:val="00C45090"/>
    <w:rsid w:val="00C4669E"/>
    <w:rsid w:val="00C76FB1"/>
    <w:rsid w:val="00CD4A57"/>
    <w:rsid w:val="00D96720"/>
    <w:rsid w:val="00DA4157"/>
    <w:rsid w:val="00DE380E"/>
    <w:rsid w:val="00E16CF8"/>
    <w:rsid w:val="00E276D1"/>
    <w:rsid w:val="00ED75CE"/>
    <w:rsid w:val="00EE5F51"/>
    <w:rsid w:val="00F11C19"/>
    <w:rsid w:val="010D34B2"/>
    <w:rsid w:val="012B93F2"/>
    <w:rsid w:val="018CCB6F"/>
    <w:rsid w:val="0194A0C6"/>
    <w:rsid w:val="01E167B0"/>
    <w:rsid w:val="01F1057D"/>
    <w:rsid w:val="02062D63"/>
    <w:rsid w:val="0242AAEA"/>
    <w:rsid w:val="0298B155"/>
    <w:rsid w:val="02CF50B4"/>
    <w:rsid w:val="0360841E"/>
    <w:rsid w:val="0364DE09"/>
    <w:rsid w:val="038BE1F9"/>
    <w:rsid w:val="03B77580"/>
    <w:rsid w:val="03D37EC9"/>
    <w:rsid w:val="03DE7B4B"/>
    <w:rsid w:val="03FB24E2"/>
    <w:rsid w:val="042F7221"/>
    <w:rsid w:val="04667C8F"/>
    <w:rsid w:val="04914F02"/>
    <w:rsid w:val="04A34021"/>
    <w:rsid w:val="04AF99F2"/>
    <w:rsid w:val="04C76567"/>
    <w:rsid w:val="04E9A030"/>
    <w:rsid w:val="05167783"/>
    <w:rsid w:val="053DCE25"/>
    <w:rsid w:val="0558CAAF"/>
    <w:rsid w:val="055BB4B7"/>
    <w:rsid w:val="057A4BAC"/>
    <w:rsid w:val="058F77FA"/>
    <w:rsid w:val="058FB8CD"/>
    <w:rsid w:val="05A9743D"/>
    <w:rsid w:val="05D35B7A"/>
    <w:rsid w:val="05FF03F0"/>
    <w:rsid w:val="0606F176"/>
    <w:rsid w:val="0615625B"/>
    <w:rsid w:val="062413C8"/>
    <w:rsid w:val="06267A1F"/>
    <w:rsid w:val="062B1060"/>
    <w:rsid w:val="0669A00E"/>
    <w:rsid w:val="067B6A0A"/>
    <w:rsid w:val="069D2C95"/>
    <w:rsid w:val="06B1E4A0"/>
    <w:rsid w:val="07411D34"/>
    <w:rsid w:val="077F90AE"/>
    <w:rsid w:val="07928D31"/>
    <w:rsid w:val="079AD451"/>
    <w:rsid w:val="07A10B84"/>
    <w:rsid w:val="07B4932E"/>
    <w:rsid w:val="07CDE30A"/>
    <w:rsid w:val="07F57F40"/>
    <w:rsid w:val="084A3261"/>
    <w:rsid w:val="089384DA"/>
    <w:rsid w:val="08B86EBD"/>
    <w:rsid w:val="08EFCFE6"/>
    <w:rsid w:val="092E5D92"/>
    <w:rsid w:val="09AC3B23"/>
    <w:rsid w:val="09D83C86"/>
    <w:rsid w:val="0A311552"/>
    <w:rsid w:val="0A6F7440"/>
    <w:rsid w:val="0AA1D594"/>
    <w:rsid w:val="0AB94DDB"/>
    <w:rsid w:val="0AD27513"/>
    <w:rsid w:val="0AD653F6"/>
    <w:rsid w:val="0AE51A6E"/>
    <w:rsid w:val="0AF693FD"/>
    <w:rsid w:val="0AFEE8E2"/>
    <w:rsid w:val="0B071C61"/>
    <w:rsid w:val="0B20AEBE"/>
    <w:rsid w:val="0B3FC4BB"/>
    <w:rsid w:val="0B4489DD"/>
    <w:rsid w:val="0B50B7C0"/>
    <w:rsid w:val="0BD3AEF4"/>
    <w:rsid w:val="0BD633E9"/>
    <w:rsid w:val="0C3156DE"/>
    <w:rsid w:val="0C7632FA"/>
    <w:rsid w:val="0CC6A004"/>
    <w:rsid w:val="0CD1B0F2"/>
    <w:rsid w:val="0CDF40F3"/>
    <w:rsid w:val="0CF209EF"/>
    <w:rsid w:val="0CF4B215"/>
    <w:rsid w:val="0D0E0C4B"/>
    <w:rsid w:val="0D5968CD"/>
    <w:rsid w:val="0D9023DA"/>
    <w:rsid w:val="0D9C0063"/>
    <w:rsid w:val="0E0A15D5"/>
    <w:rsid w:val="0E353D47"/>
    <w:rsid w:val="0E362245"/>
    <w:rsid w:val="0E567C38"/>
    <w:rsid w:val="0E908276"/>
    <w:rsid w:val="0E9F6D48"/>
    <w:rsid w:val="0EBD59C9"/>
    <w:rsid w:val="0ECF92AD"/>
    <w:rsid w:val="0EE4B06B"/>
    <w:rsid w:val="0EF5392E"/>
    <w:rsid w:val="0F673837"/>
    <w:rsid w:val="0F7D893E"/>
    <w:rsid w:val="0FBEA8F4"/>
    <w:rsid w:val="0FE2E6B8"/>
    <w:rsid w:val="0FF24C99"/>
    <w:rsid w:val="101BD471"/>
    <w:rsid w:val="10259566"/>
    <w:rsid w:val="102C52D7"/>
    <w:rsid w:val="1075086F"/>
    <w:rsid w:val="1091098F"/>
    <w:rsid w:val="1094FC29"/>
    <w:rsid w:val="109A03EE"/>
    <w:rsid w:val="10BC7E6E"/>
    <w:rsid w:val="10E59087"/>
    <w:rsid w:val="11030898"/>
    <w:rsid w:val="1121D1D1"/>
    <w:rsid w:val="1149A41D"/>
    <w:rsid w:val="115A3571"/>
    <w:rsid w:val="118E1CFA"/>
    <w:rsid w:val="11C60A37"/>
    <w:rsid w:val="11F4FA8B"/>
    <w:rsid w:val="11FF7900"/>
    <w:rsid w:val="12584ECF"/>
    <w:rsid w:val="12734731"/>
    <w:rsid w:val="127D89CF"/>
    <w:rsid w:val="12B19030"/>
    <w:rsid w:val="12C7B06A"/>
    <w:rsid w:val="1343F82C"/>
    <w:rsid w:val="13ACA931"/>
    <w:rsid w:val="13C00F14"/>
    <w:rsid w:val="140F1792"/>
    <w:rsid w:val="1421AB94"/>
    <w:rsid w:val="1448B7DA"/>
    <w:rsid w:val="14564A33"/>
    <w:rsid w:val="145E6EF2"/>
    <w:rsid w:val="1480DF40"/>
    <w:rsid w:val="148144DF"/>
    <w:rsid w:val="14862C24"/>
    <w:rsid w:val="1491D633"/>
    <w:rsid w:val="14934398"/>
    <w:rsid w:val="14A8E491"/>
    <w:rsid w:val="14ADB8AE"/>
    <w:rsid w:val="14C89E3B"/>
    <w:rsid w:val="15058FA4"/>
    <w:rsid w:val="15208AD6"/>
    <w:rsid w:val="152C9B4D"/>
    <w:rsid w:val="1532C186"/>
    <w:rsid w:val="153EC634"/>
    <w:rsid w:val="15487992"/>
    <w:rsid w:val="157A7AE6"/>
    <w:rsid w:val="15A8EBDE"/>
    <w:rsid w:val="15AAE7F3"/>
    <w:rsid w:val="15B901AA"/>
    <w:rsid w:val="15D00382"/>
    <w:rsid w:val="15E0BBBA"/>
    <w:rsid w:val="16159903"/>
    <w:rsid w:val="1615EB9C"/>
    <w:rsid w:val="161D1540"/>
    <w:rsid w:val="1641342A"/>
    <w:rsid w:val="16618E1D"/>
    <w:rsid w:val="1679BF58"/>
    <w:rsid w:val="16999F8A"/>
    <w:rsid w:val="16CC5E5E"/>
    <w:rsid w:val="1746B854"/>
    <w:rsid w:val="1750FAF2"/>
    <w:rsid w:val="178D3D2B"/>
    <w:rsid w:val="17C3DC2E"/>
    <w:rsid w:val="189B8E94"/>
    <w:rsid w:val="18C76443"/>
    <w:rsid w:val="193A91D0"/>
    <w:rsid w:val="19545063"/>
    <w:rsid w:val="19578386"/>
    <w:rsid w:val="1979FA14"/>
    <w:rsid w:val="1987F408"/>
    <w:rsid w:val="19969A89"/>
    <w:rsid w:val="19992EDF"/>
    <w:rsid w:val="1A4C3C28"/>
    <w:rsid w:val="1ACAB0C9"/>
    <w:rsid w:val="1B1CFA32"/>
    <w:rsid w:val="1B5334FB"/>
    <w:rsid w:val="1B697C56"/>
    <w:rsid w:val="1BB51C05"/>
    <w:rsid w:val="1BCA0A36"/>
    <w:rsid w:val="1BE7525D"/>
    <w:rsid w:val="1C246C15"/>
    <w:rsid w:val="1C3AA162"/>
    <w:rsid w:val="1C767767"/>
    <w:rsid w:val="1C852D20"/>
    <w:rsid w:val="1CB3CCF3"/>
    <w:rsid w:val="1CB8CA93"/>
    <w:rsid w:val="1CBBE3FC"/>
    <w:rsid w:val="1CD3B020"/>
    <w:rsid w:val="1D054CB7"/>
    <w:rsid w:val="1D5F03D4"/>
    <w:rsid w:val="1D7B7531"/>
    <w:rsid w:val="1D8322BE"/>
    <w:rsid w:val="1DCBD0C2"/>
    <w:rsid w:val="1DDB1567"/>
    <w:rsid w:val="1DDEF06D"/>
    <w:rsid w:val="1E0ECD49"/>
    <w:rsid w:val="1E282725"/>
    <w:rsid w:val="1E4411C4"/>
    <w:rsid w:val="1EBD601A"/>
    <w:rsid w:val="1F6BCFB4"/>
    <w:rsid w:val="1F76E5C8"/>
    <w:rsid w:val="1FA71E88"/>
    <w:rsid w:val="1FE117A9"/>
    <w:rsid w:val="2016255D"/>
    <w:rsid w:val="205508CB"/>
    <w:rsid w:val="2088D963"/>
    <w:rsid w:val="2131472D"/>
    <w:rsid w:val="21563534"/>
    <w:rsid w:val="215FC7E7"/>
    <w:rsid w:val="2193147B"/>
    <w:rsid w:val="21A6D8E6"/>
    <w:rsid w:val="21D55E58"/>
    <w:rsid w:val="2220CF28"/>
    <w:rsid w:val="223A627D"/>
    <w:rsid w:val="224BE98B"/>
    <w:rsid w:val="225E8167"/>
    <w:rsid w:val="228B428D"/>
    <w:rsid w:val="2345102D"/>
    <w:rsid w:val="23632FBD"/>
    <w:rsid w:val="23748E3B"/>
    <w:rsid w:val="237C7BC1"/>
    <w:rsid w:val="23824D14"/>
    <w:rsid w:val="238CA98D"/>
    <w:rsid w:val="23C5FE38"/>
    <w:rsid w:val="247A8FAB"/>
    <w:rsid w:val="248E4FB4"/>
    <w:rsid w:val="24D7D464"/>
    <w:rsid w:val="24E99680"/>
    <w:rsid w:val="24F1B755"/>
    <w:rsid w:val="25432229"/>
    <w:rsid w:val="255C4A86"/>
    <w:rsid w:val="257C1044"/>
    <w:rsid w:val="25A65E27"/>
    <w:rsid w:val="25B00E9C"/>
    <w:rsid w:val="25B16F15"/>
    <w:rsid w:val="25D433F4"/>
    <w:rsid w:val="25E2399B"/>
    <w:rsid w:val="25FECD0A"/>
    <w:rsid w:val="2635BD06"/>
    <w:rsid w:val="26482C20"/>
    <w:rsid w:val="26544954"/>
    <w:rsid w:val="26948C4E"/>
    <w:rsid w:val="26AF49A2"/>
    <w:rsid w:val="26B41C83"/>
    <w:rsid w:val="26B4CEB0"/>
    <w:rsid w:val="26B64A23"/>
    <w:rsid w:val="26E87E42"/>
    <w:rsid w:val="27334BE7"/>
    <w:rsid w:val="273A8D68"/>
    <w:rsid w:val="27443FAE"/>
    <w:rsid w:val="275E40AA"/>
    <w:rsid w:val="27B2306D"/>
    <w:rsid w:val="27D221F8"/>
    <w:rsid w:val="27D50853"/>
    <w:rsid w:val="27D69152"/>
    <w:rsid w:val="27E53EE5"/>
    <w:rsid w:val="27FE96A3"/>
    <w:rsid w:val="287AC2EB"/>
    <w:rsid w:val="28A9A401"/>
    <w:rsid w:val="28C43AE9"/>
    <w:rsid w:val="28D02CF8"/>
    <w:rsid w:val="291FBF2F"/>
    <w:rsid w:val="292111F0"/>
    <w:rsid w:val="29366DCC"/>
    <w:rsid w:val="2951148B"/>
    <w:rsid w:val="296AD9CC"/>
    <w:rsid w:val="296D5DC8"/>
    <w:rsid w:val="299161C8"/>
    <w:rsid w:val="299E17D2"/>
    <w:rsid w:val="29AADABF"/>
    <w:rsid w:val="29FE34F7"/>
    <w:rsid w:val="2A16934C"/>
    <w:rsid w:val="2A1D2B54"/>
    <w:rsid w:val="2A2C9C9B"/>
    <w:rsid w:val="2A3D86DC"/>
    <w:rsid w:val="2A5871D0"/>
    <w:rsid w:val="2A597C5B"/>
    <w:rsid w:val="2A735089"/>
    <w:rsid w:val="2ADAB365"/>
    <w:rsid w:val="2B1CDFA7"/>
    <w:rsid w:val="2B6D1B61"/>
    <w:rsid w:val="2B7D312D"/>
    <w:rsid w:val="2B82BAC5"/>
    <w:rsid w:val="2BB0AA6D"/>
    <w:rsid w:val="2BEC3B50"/>
    <w:rsid w:val="2BFBDBAB"/>
    <w:rsid w:val="2C22B55D"/>
    <w:rsid w:val="2C434E80"/>
    <w:rsid w:val="2C5D5656"/>
    <w:rsid w:val="2C5DAADD"/>
    <w:rsid w:val="2C6E47C4"/>
    <w:rsid w:val="2C8121EC"/>
    <w:rsid w:val="2C9BA19A"/>
    <w:rsid w:val="2D235E07"/>
    <w:rsid w:val="2D4D06C9"/>
    <w:rsid w:val="2D5EF9DB"/>
    <w:rsid w:val="2D78709E"/>
    <w:rsid w:val="2D97AC0C"/>
    <w:rsid w:val="2DA192AF"/>
    <w:rsid w:val="2DBC5FC7"/>
    <w:rsid w:val="2DCE140B"/>
    <w:rsid w:val="2DF97B3E"/>
    <w:rsid w:val="2E658E4D"/>
    <w:rsid w:val="2E8418F1"/>
    <w:rsid w:val="2EB625D5"/>
    <w:rsid w:val="2EC355D2"/>
    <w:rsid w:val="2EEA046F"/>
    <w:rsid w:val="2F187FE6"/>
    <w:rsid w:val="2F23DC12"/>
    <w:rsid w:val="2F28E168"/>
    <w:rsid w:val="2F463A28"/>
    <w:rsid w:val="2F5B3B20"/>
    <w:rsid w:val="2F7918BD"/>
    <w:rsid w:val="2FDA6599"/>
    <w:rsid w:val="2FDD6450"/>
    <w:rsid w:val="3019AEC6"/>
    <w:rsid w:val="302B8F11"/>
    <w:rsid w:val="30490F2C"/>
    <w:rsid w:val="3063EDE5"/>
    <w:rsid w:val="30969A9D"/>
    <w:rsid w:val="30C4B1C9"/>
    <w:rsid w:val="3105B4CD"/>
    <w:rsid w:val="311AE2AC"/>
    <w:rsid w:val="311DC3DF"/>
    <w:rsid w:val="3130C779"/>
    <w:rsid w:val="31311C00"/>
    <w:rsid w:val="313FCCA9"/>
    <w:rsid w:val="31564DBA"/>
    <w:rsid w:val="31600C54"/>
    <w:rsid w:val="3188F422"/>
    <w:rsid w:val="31FAF694"/>
    <w:rsid w:val="324C6EA1"/>
    <w:rsid w:val="326FAD8C"/>
    <w:rsid w:val="32B99440"/>
    <w:rsid w:val="32C97C3A"/>
    <w:rsid w:val="32FC6995"/>
    <w:rsid w:val="33150512"/>
    <w:rsid w:val="33929F8B"/>
    <w:rsid w:val="33DEA23A"/>
    <w:rsid w:val="33E73644"/>
    <w:rsid w:val="33F74D35"/>
    <w:rsid w:val="3438BD0B"/>
    <w:rsid w:val="343D558F"/>
    <w:rsid w:val="345564A1"/>
    <w:rsid w:val="3472C349"/>
    <w:rsid w:val="349839F6"/>
    <w:rsid w:val="34FAD54A"/>
    <w:rsid w:val="3527EB98"/>
    <w:rsid w:val="356AE706"/>
    <w:rsid w:val="358E4E51"/>
    <w:rsid w:val="358EECF7"/>
    <w:rsid w:val="35931D96"/>
    <w:rsid w:val="35AFAB13"/>
    <w:rsid w:val="35DAD7BC"/>
    <w:rsid w:val="35F13502"/>
    <w:rsid w:val="36048D23"/>
    <w:rsid w:val="360E93AA"/>
    <w:rsid w:val="36337D77"/>
    <w:rsid w:val="363DFBEC"/>
    <w:rsid w:val="366701BE"/>
    <w:rsid w:val="36B46B74"/>
    <w:rsid w:val="36C62B48"/>
    <w:rsid w:val="36CA404D"/>
    <w:rsid w:val="36E1CA2B"/>
    <w:rsid w:val="3739EAC1"/>
    <w:rsid w:val="373DB647"/>
    <w:rsid w:val="375384A2"/>
    <w:rsid w:val="37573570"/>
    <w:rsid w:val="378D0563"/>
    <w:rsid w:val="37B44C01"/>
    <w:rsid w:val="37C22039"/>
    <w:rsid w:val="37D6D81A"/>
    <w:rsid w:val="37DB93C1"/>
    <w:rsid w:val="37F6A59F"/>
    <w:rsid w:val="37FED2D6"/>
    <w:rsid w:val="38020DD1"/>
    <w:rsid w:val="38307D1B"/>
    <w:rsid w:val="3857DD1C"/>
    <w:rsid w:val="38A9E86E"/>
    <w:rsid w:val="38CABE58"/>
    <w:rsid w:val="38F305D1"/>
    <w:rsid w:val="39010289"/>
    <w:rsid w:val="3928D5C4"/>
    <w:rsid w:val="39A60AEB"/>
    <w:rsid w:val="39B74DF1"/>
    <w:rsid w:val="39B8B5E7"/>
    <w:rsid w:val="39E2D684"/>
    <w:rsid w:val="3A272C2C"/>
    <w:rsid w:val="3A27877B"/>
    <w:rsid w:val="3A4A1132"/>
    <w:rsid w:val="3A5B328D"/>
    <w:rsid w:val="3A82D0F2"/>
    <w:rsid w:val="3A8ED632"/>
    <w:rsid w:val="3AC32FA1"/>
    <w:rsid w:val="3AC6368F"/>
    <w:rsid w:val="3B036ADA"/>
    <w:rsid w:val="3B14EBD5"/>
    <w:rsid w:val="3B548648"/>
    <w:rsid w:val="3B7F0A29"/>
    <w:rsid w:val="3BC2FC8D"/>
    <w:rsid w:val="3BE804EA"/>
    <w:rsid w:val="3BF70F87"/>
    <w:rsid w:val="3C1154CC"/>
    <w:rsid w:val="3CD23990"/>
    <w:rsid w:val="3CDC2DA5"/>
    <w:rsid w:val="3D203D28"/>
    <w:rsid w:val="3D22702D"/>
    <w:rsid w:val="3D5ECCEE"/>
    <w:rsid w:val="3D7A11B6"/>
    <w:rsid w:val="3D81B1F4"/>
    <w:rsid w:val="3DABB7C8"/>
    <w:rsid w:val="3DAD252D"/>
    <w:rsid w:val="3DB9A077"/>
    <w:rsid w:val="3DC2C626"/>
    <w:rsid w:val="3DFAD063"/>
    <w:rsid w:val="3E052754"/>
    <w:rsid w:val="3E2F997F"/>
    <w:rsid w:val="3EF46A90"/>
    <w:rsid w:val="3F350837"/>
    <w:rsid w:val="3F362625"/>
    <w:rsid w:val="3F39FFDC"/>
    <w:rsid w:val="3F47CC0D"/>
    <w:rsid w:val="3F5E9687"/>
    <w:rsid w:val="3F788134"/>
    <w:rsid w:val="3F813726"/>
    <w:rsid w:val="3F819468"/>
    <w:rsid w:val="3FA0F7B5"/>
    <w:rsid w:val="3FAEB87F"/>
    <w:rsid w:val="3FB4F9FC"/>
    <w:rsid w:val="3FCD7D49"/>
    <w:rsid w:val="3FCE091D"/>
    <w:rsid w:val="3FDAC2CF"/>
    <w:rsid w:val="3FE8737C"/>
    <w:rsid w:val="402CF90F"/>
    <w:rsid w:val="4072B1DE"/>
    <w:rsid w:val="408111D4"/>
    <w:rsid w:val="409A3A31"/>
    <w:rsid w:val="40B1146F"/>
    <w:rsid w:val="40D8A125"/>
    <w:rsid w:val="41197187"/>
    <w:rsid w:val="411C4D71"/>
    <w:rsid w:val="4169D97E"/>
    <w:rsid w:val="416DE89F"/>
    <w:rsid w:val="4183F466"/>
    <w:rsid w:val="41C8AE32"/>
    <w:rsid w:val="4251BE99"/>
    <w:rsid w:val="42B81DD2"/>
    <w:rsid w:val="430D06BC"/>
    <w:rsid w:val="4430AB71"/>
    <w:rsid w:val="4435B878"/>
    <w:rsid w:val="4453EE33"/>
    <w:rsid w:val="448AE9E9"/>
    <w:rsid w:val="449AEC5D"/>
    <w:rsid w:val="45039DFF"/>
    <w:rsid w:val="45462301"/>
    <w:rsid w:val="45895F5B"/>
    <w:rsid w:val="45D188D9"/>
    <w:rsid w:val="45EAB136"/>
    <w:rsid w:val="4626BA4A"/>
    <w:rsid w:val="464A0453"/>
    <w:rsid w:val="469BBAAE"/>
    <w:rsid w:val="46DA1E0B"/>
    <w:rsid w:val="46F05358"/>
    <w:rsid w:val="4705AF34"/>
    <w:rsid w:val="473D6434"/>
    <w:rsid w:val="48378B0F"/>
    <w:rsid w:val="4890C75D"/>
    <w:rsid w:val="48C1001D"/>
    <w:rsid w:val="4904BA41"/>
    <w:rsid w:val="49111721"/>
    <w:rsid w:val="4940FA35"/>
    <w:rsid w:val="49762D65"/>
    <w:rsid w:val="498B8BD5"/>
    <w:rsid w:val="49B08750"/>
    <w:rsid w:val="49CDC9DC"/>
    <w:rsid w:val="4A2A31BE"/>
    <w:rsid w:val="4A5CD07E"/>
    <w:rsid w:val="4A83BB0B"/>
    <w:rsid w:val="4A968C44"/>
    <w:rsid w:val="4AC32FB7"/>
    <w:rsid w:val="4AC3A239"/>
    <w:rsid w:val="4ADCCA96"/>
    <w:rsid w:val="4AED8420"/>
    <w:rsid w:val="4B661569"/>
    <w:rsid w:val="4B98E324"/>
    <w:rsid w:val="4BD169D3"/>
    <w:rsid w:val="4BF8A0DF"/>
    <w:rsid w:val="4C03176E"/>
    <w:rsid w:val="4C0E5039"/>
    <w:rsid w:val="4C0F76BD"/>
    <w:rsid w:val="4C15143E"/>
    <w:rsid w:val="4C20706A"/>
    <w:rsid w:val="4C43AADC"/>
    <w:rsid w:val="4C6A22CE"/>
    <w:rsid w:val="4D34B385"/>
    <w:rsid w:val="4D954E5B"/>
    <w:rsid w:val="4D9DFBD0"/>
    <w:rsid w:val="4DCE2D06"/>
    <w:rsid w:val="4DFAD079"/>
    <w:rsid w:val="4DFB42FB"/>
    <w:rsid w:val="4E1117D4"/>
    <w:rsid w:val="4E146B58"/>
    <w:rsid w:val="4E262B2C"/>
    <w:rsid w:val="4E2FD8D7"/>
    <w:rsid w:val="4E3FE9BB"/>
    <w:rsid w:val="4E99EAA5"/>
    <w:rsid w:val="4EB73554"/>
    <w:rsid w:val="4F01E66A"/>
    <w:rsid w:val="4F0429D3"/>
    <w:rsid w:val="4F2FDA9C"/>
    <w:rsid w:val="4F36D7FE"/>
    <w:rsid w:val="4F373B42"/>
    <w:rsid w:val="4F3AB830"/>
    <w:rsid w:val="4F81CA9A"/>
    <w:rsid w:val="4F97135C"/>
    <w:rsid w:val="4F9F4876"/>
    <w:rsid w:val="4FFC7169"/>
    <w:rsid w:val="50288C48"/>
    <w:rsid w:val="5071F586"/>
    <w:rsid w:val="513A5EC1"/>
    <w:rsid w:val="513B18D7"/>
    <w:rsid w:val="518F47AB"/>
    <w:rsid w:val="5194A480"/>
    <w:rsid w:val="51AA5D39"/>
    <w:rsid w:val="52409858"/>
    <w:rsid w:val="526AF620"/>
    <w:rsid w:val="52B2EC60"/>
    <w:rsid w:val="530059EA"/>
    <w:rsid w:val="5300CBF9"/>
    <w:rsid w:val="53695CA8"/>
    <w:rsid w:val="53DC68B9"/>
    <w:rsid w:val="53FDC51C"/>
    <w:rsid w:val="5406C681"/>
    <w:rsid w:val="540E2953"/>
    <w:rsid w:val="54202623"/>
    <w:rsid w:val="544EBCC1"/>
    <w:rsid w:val="546B7E56"/>
    <w:rsid w:val="54C6E86D"/>
    <w:rsid w:val="54D97391"/>
    <w:rsid w:val="55052D09"/>
    <w:rsid w:val="5578391A"/>
    <w:rsid w:val="55ACA2FF"/>
    <w:rsid w:val="5623F398"/>
    <w:rsid w:val="5632E323"/>
    <w:rsid w:val="56386CBB"/>
    <w:rsid w:val="5662B8CE"/>
    <w:rsid w:val="567DCE5C"/>
    <w:rsid w:val="568F0933"/>
    <w:rsid w:val="5699E102"/>
    <w:rsid w:val="56D42CA2"/>
    <w:rsid w:val="56D88118"/>
    <w:rsid w:val="56F90076"/>
    <w:rsid w:val="570004B2"/>
    <w:rsid w:val="5714097B"/>
    <w:rsid w:val="573565DE"/>
    <w:rsid w:val="5757C6E5"/>
    <w:rsid w:val="5875B410"/>
    <w:rsid w:val="5894D0D7"/>
    <w:rsid w:val="589BD513"/>
    <w:rsid w:val="58C72B2E"/>
    <w:rsid w:val="58F39746"/>
    <w:rsid w:val="59193D6A"/>
    <w:rsid w:val="59B07C32"/>
    <w:rsid w:val="59C6A9F5"/>
    <w:rsid w:val="59DF28CF"/>
    <w:rsid w:val="59F0AAF7"/>
    <w:rsid w:val="5A79EDE9"/>
    <w:rsid w:val="5ADB3C87"/>
    <w:rsid w:val="5B065446"/>
    <w:rsid w:val="5B07A82C"/>
    <w:rsid w:val="5B7DF947"/>
    <w:rsid w:val="5BACBD77"/>
    <w:rsid w:val="5BCFBE9A"/>
    <w:rsid w:val="5C2B3808"/>
    <w:rsid w:val="5C2BE7F0"/>
    <w:rsid w:val="5C73C88E"/>
    <w:rsid w:val="5C7D13AD"/>
    <w:rsid w:val="5CA49CEE"/>
    <w:rsid w:val="5CB920E8"/>
    <w:rsid w:val="5CE81CF4"/>
    <w:rsid w:val="5D09FB70"/>
    <w:rsid w:val="5D237BEE"/>
    <w:rsid w:val="5D6B8EFB"/>
    <w:rsid w:val="5D76259D"/>
    <w:rsid w:val="5DFE87B1"/>
    <w:rsid w:val="5E0F98EF"/>
    <w:rsid w:val="5E50533C"/>
    <w:rsid w:val="5E65AF18"/>
    <w:rsid w:val="5E78AB9B"/>
    <w:rsid w:val="5E9ADEFA"/>
    <w:rsid w:val="5E9E57FD"/>
    <w:rsid w:val="5EA1A2FF"/>
    <w:rsid w:val="5EA8CE8C"/>
    <w:rsid w:val="5EFEB2B6"/>
    <w:rsid w:val="600EF7E9"/>
    <w:rsid w:val="60672E85"/>
    <w:rsid w:val="608ED7E6"/>
    <w:rsid w:val="609C724C"/>
    <w:rsid w:val="60ED53F3"/>
    <w:rsid w:val="6110E0D4"/>
    <w:rsid w:val="61362873"/>
    <w:rsid w:val="614FD0B2"/>
    <w:rsid w:val="61677C13"/>
    <w:rsid w:val="618CEC29"/>
    <w:rsid w:val="619D4FDA"/>
    <w:rsid w:val="619F509A"/>
    <w:rsid w:val="61D567EC"/>
    <w:rsid w:val="61D943C1"/>
    <w:rsid w:val="6256C6BD"/>
    <w:rsid w:val="627ADDDA"/>
    <w:rsid w:val="62906A42"/>
    <w:rsid w:val="63622B53"/>
    <w:rsid w:val="63A3AAC0"/>
    <w:rsid w:val="63CA5219"/>
    <w:rsid w:val="63DAD07F"/>
    <w:rsid w:val="63FA7A09"/>
    <w:rsid w:val="6416AE3B"/>
    <w:rsid w:val="641BBE82"/>
    <w:rsid w:val="64488196"/>
    <w:rsid w:val="64C48CEB"/>
    <w:rsid w:val="64F821C5"/>
    <w:rsid w:val="650C29BE"/>
    <w:rsid w:val="653C9AA2"/>
    <w:rsid w:val="6551BF4D"/>
    <w:rsid w:val="658B5017"/>
    <w:rsid w:val="65964A6A"/>
    <w:rsid w:val="65EC0715"/>
    <w:rsid w:val="666429B7"/>
    <w:rsid w:val="6678AE83"/>
    <w:rsid w:val="66935542"/>
    <w:rsid w:val="66ACB4E4"/>
    <w:rsid w:val="66D86B03"/>
    <w:rsid w:val="66DC7D3D"/>
    <w:rsid w:val="6711B221"/>
    <w:rsid w:val="672B046E"/>
    <w:rsid w:val="674E4EFD"/>
    <w:rsid w:val="6763DB65"/>
    <w:rsid w:val="67C03691"/>
    <w:rsid w:val="67C7D7D8"/>
    <w:rsid w:val="67E64F61"/>
    <w:rsid w:val="67FF3093"/>
    <w:rsid w:val="681164F1"/>
    <w:rsid w:val="68215F67"/>
    <w:rsid w:val="682C11E6"/>
    <w:rsid w:val="68413032"/>
    <w:rsid w:val="685DDDFA"/>
    <w:rsid w:val="689A5EA5"/>
    <w:rsid w:val="68B38702"/>
    <w:rsid w:val="68CF9FB0"/>
    <w:rsid w:val="68D9FC29"/>
    <w:rsid w:val="68EA1F5E"/>
    <w:rsid w:val="693FB6DE"/>
    <w:rsid w:val="6940710A"/>
    <w:rsid w:val="6973F284"/>
    <w:rsid w:val="699BCA79"/>
    <w:rsid w:val="69AEF49E"/>
    <w:rsid w:val="69B8C47D"/>
    <w:rsid w:val="69C416AB"/>
    <w:rsid w:val="69CB92E8"/>
    <w:rsid w:val="69E455A6"/>
    <w:rsid w:val="69EEFFCB"/>
    <w:rsid w:val="69F806B7"/>
    <w:rsid w:val="6A0ADD8B"/>
    <w:rsid w:val="6A12EC44"/>
    <w:rsid w:val="6A14487D"/>
    <w:rsid w:val="6ABD685F"/>
    <w:rsid w:val="6B3BBAD3"/>
    <w:rsid w:val="6B3D9396"/>
    <w:rsid w:val="6B802607"/>
    <w:rsid w:val="6B830FA2"/>
    <w:rsid w:val="6B93D718"/>
    <w:rsid w:val="6B96F081"/>
    <w:rsid w:val="6BA860FC"/>
    <w:rsid w:val="6BBCAF2F"/>
    <w:rsid w:val="6C08FB1D"/>
    <w:rsid w:val="6C71C158"/>
    <w:rsid w:val="6D10F2FE"/>
    <w:rsid w:val="6D32C0E2"/>
    <w:rsid w:val="6D5CC7C2"/>
    <w:rsid w:val="6D6DD20D"/>
    <w:rsid w:val="6DFAB9D0"/>
    <w:rsid w:val="6E15FA86"/>
    <w:rsid w:val="6EA340F0"/>
    <w:rsid w:val="6EB7C6C9"/>
    <w:rsid w:val="6EBAEEAA"/>
    <w:rsid w:val="6EBD4044"/>
    <w:rsid w:val="6EC322F5"/>
    <w:rsid w:val="6EEB6A6E"/>
    <w:rsid w:val="6F74ABB5"/>
    <w:rsid w:val="6FB61C28"/>
    <w:rsid w:val="6FD2E9BD"/>
    <w:rsid w:val="707DCCB6"/>
    <w:rsid w:val="70822DC8"/>
    <w:rsid w:val="70A154F6"/>
    <w:rsid w:val="70AF5242"/>
    <w:rsid w:val="71325A92"/>
    <w:rsid w:val="7151EC89"/>
    <w:rsid w:val="72063205"/>
    <w:rsid w:val="723A06BA"/>
    <w:rsid w:val="72414330"/>
    <w:rsid w:val="724C3B3E"/>
    <w:rsid w:val="724EC8AF"/>
    <w:rsid w:val="725653FD"/>
    <w:rsid w:val="7279F779"/>
    <w:rsid w:val="728508EA"/>
    <w:rsid w:val="72B13F63"/>
    <w:rsid w:val="72CD4D7C"/>
    <w:rsid w:val="731035C2"/>
    <w:rsid w:val="731A4D5C"/>
    <w:rsid w:val="731FB915"/>
    <w:rsid w:val="738B37EC"/>
    <w:rsid w:val="7393684E"/>
    <w:rsid w:val="73969418"/>
    <w:rsid w:val="73A71C7C"/>
    <w:rsid w:val="73F20EBF"/>
    <w:rsid w:val="73F2245E"/>
    <w:rsid w:val="744F794B"/>
    <w:rsid w:val="7457D501"/>
    <w:rsid w:val="748BDA85"/>
    <w:rsid w:val="74B61DBD"/>
    <w:rsid w:val="74C364EB"/>
    <w:rsid w:val="74E249B4"/>
    <w:rsid w:val="74F86632"/>
    <w:rsid w:val="75128274"/>
    <w:rsid w:val="75418395"/>
    <w:rsid w:val="7572DD2D"/>
    <w:rsid w:val="7578E1AD"/>
    <w:rsid w:val="75866971"/>
    <w:rsid w:val="764961DE"/>
    <w:rsid w:val="7651EE1E"/>
    <w:rsid w:val="76797671"/>
    <w:rsid w:val="767E1F28"/>
    <w:rsid w:val="7683B938"/>
    <w:rsid w:val="770EAD8E"/>
    <w:rsid w:val="772AF969"/>
    <w:rsid w:val="7756E565"/>
    <w:rsid w:val="77A19C16"/>
    <w:rsid w:val="77B797C0"/>
    <w:rsid w:val="7819EF89"/>
    <w:rsid w:val="787A854F"/>
    <w:rsid w:val="78AD7DC6"/>
    <w:rsid w:val="79179840"/>
    <w:rsid w:val="792080E7"/>
    <w:rsid w:val="793D6C77"/>
    <w:rsid w:val="79E43AAE"/>
    <w:rsid w:val="79E4FFB2"/>
    <w:rsid w:val="7A1FAF5D"/>
    <w:rsid w:val="7A35113C"/>
    <w:rsid w:val="7A464E50"/>
    <w:rsid w:val="7A4C52D0"/>
    <w:rsid w:val="7A4CC552"/>
    <w:rsid w:val="7A629A2B"/>
    <w:rsid w:val="7AA6988F"/>
    <w:rsid w:val="7AADD2ED"/>
    <w:rsid w:val="7AB839A2"/>
    <w:rsid w:val="7AB860F6"/>
    <w:rsid w:val="7AC0F5FB"/>
    <w:rsid w:val="7AEF3882"/>
    <w:rsid w:val="7AFCFDAF"/>
    <w:rsid w:val="7B67A7B6"/>
    <w:rsid w:val="7B72262B"/>
    <w:rsid w:val="7B809FA0"/>
    <w:rsid w:val="7BDC8298"/>
    <w:rsid w:val="7BE21EB1"/>
    <w:rsid w:val="7C2551C2"/>
    <w:rsid w:val="7C3A0660"/>
    <w:rsid w:val="7C600F2F"/>
    <w:rsid w:val="7C72B891"/>
    <w:rsid w:val="7CE8B7F5"/>
    <w:rsid w:val="7CF9EDB9"/>
    <w:rsid w:val="7D1F565C"/>
    <w:rsid w:val="7D4DB8C9"/>
    <w:rsid w:val="7D68D02C"/>
    <w:rsid w:val="7D772B98"/>
    <w:rsid w:val="7D83F392"/>
    <w:rsid w:val="7D9A3AED"/>
    <w:rsid w:val="7D9E6257"/>
    <w:rsid w:val="7E349E71"/>
    <w:rsid w:val="7E6EA90C"/>
    <w:rsid w:val="7E77B8CA"/>
    <w:rsid w:val="7EA9C6ED"/>
    <w:rsid w:val="7EB870D5"/>
    <w:rsid w:val="7EF5BACE"/>
    <w:rsid w:val="7EF86419"/>
    <w:rsid w:val="7F1AB289"/>
    <w:rsid w:val="7F203675"/>
    <w:rsid w:val="7F3A32B8"/>
    <w:rsid w:val="7FA3CA64"/>
    <w:rsid w:val="7FF8D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7EB98"/>
  <w15:chartTrackingRefBased/>
  <w15:docId w15:val="{58FEF585-CE10-4902-BEE4-D7BE1ED5A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vuhb.nhs.wales/files/policies-procedures-and-guidelines/patient-safety-and-quality/i-j-patient-safety/2-5-2c-incident-reporting-procedure-sept-2018-pdf/" TargetMode="External"/><Relationship Id="rId13" Type="http://schemas.openxmlformats.org/officeDocument/2006/relationships/hyperlink" Target="https://discovery.ucl.ac.uk/id/eprint/10094736/1/ChrisMaineyThesis_final_censored.pdf" TargetMode="External"/><Relationship Id="rId18" Type="http://schemas.openxmlformats.org/officeDocument/2006/relationships/hyperlink" Target="https://gov.wales/patient-safety-incidents-based-when-incident-occurred-local-health-boardtrust-april-2020-march-2021"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researchgate.net/publication/228593520_SUS_A_quick_and_dirty_usability_scale/link/5f24381392851cd302cbaf25/download" TargetMode="External"/><Relationship Id="rId12" Type="http://schemas.openxmlformats.org/officeDocument/2006/relationships/hyperlink" Target="https://www.researchgate.net/publication/228593520_SUS_A_quick_and_dirty_usability_scale/link/5f24381392851cd302cbaf25/download" TargetMode="External"/><Relationship Id="rId17" Type="http://schemas.openxmlformats.org/officeDocument/2006/relationships/hyperlink" Target="https://www.warwickshirenorthccg.nhs.uk/mf.ashx?ID=25ff745e-8855-44cc-bd64-f1fdabf3fe7c" TargetMode="External"/><Relationship Id="rId2" Type="http://schemas.openxmlformats.org/officeDocument/2006/relationships/settings" Target="settings.xml"/><Relationship Id="rId16" Type="http://schemas.openxmlformats.org/officeDocument/2006/relationships/hyperlink" Target="https://www.legislation.gov.uk/wsi/2011/704/made"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bcpft.nhs.uk/about-us/our-policies-and-procedures/i/858-incident-reporting-sop-1-reporting-an-incident/file?tmpl=component" TargetMode="External"/><Relationship Id="rId11" Type="http://schemas.openxmlformats.org/officeDocument/2006/relationships/hyperlink" Target="https://cavuhb.nhs.wales/about-us/our-health-board-structure/" TargetMode="External"/><Relationship Id="rId24" Type="http://schemas.microsoft.com/office/2020/10/relationships/intelligence" Target="intelligence2.xml"/><Relationship Id="rId5" Type="http://schemas.openxmlformats.org/officeDocument/2006/relationships/endnotes" Target="endnotes.xml"/><Relationship Id="rId15" Type="http://schemas.openxmlformats.org/officeDocument/2006/relationships/hyperlink" Target="https://www.england.nhs.uk/patient-safety/learn-from-patient-safety-events-service/" TargetMode="External"/><Relationship Id="rId23" Type="http://schemas.openxmlformats.org/officeDocument/2006/relationships/theme" Target="theme/theme1.xml"/><Relationship Id="rId10" Type="http://schemas.openxmlformats.org/officeDocument/2006/relationships/hyperlink" Target="https://cavuhb.nhs.wales/about-us/our-health-board-structure/" TargetMode="External"/><Relationship Id="rId19" Type="http://schemas.openxmlformats.org/officeDocument/2006/relationships/hyperlink" Target="https://www.who.int/features/factfiles/patient_safety/patient-safety-fact-file.pdf?ua=1" TargetMode="External"/><Relationship Id="rId4" Type="http://schemas.openxmlformats.org/officeDocument/2006/relationships/footnotes" Target="footnotes.xml"/><Relationship Id="rId9" Type="http://schemas.openxmlformats.org/officeDocument/2006/relationships/hyperlink" Target="https://cavuhb.nhs.wales/files/board-and-committees/quality-safety-and-patient-experience-committee-2021-22/2021-09-15-final-qse-papers-v2-pdf/" TargetMode="External"/><Relationship Id="rId14" Type="http://schemas.openxmlformats.org/officeDocument/2006/relationships/hyperlink" Target="https://webarchive.nationalarchives.gov.uk/ukgwa/20171030125518/http://www.nrls.npsa.nhs.uk/resources/collections/seven-steps-to-patient-safety/?entryid45=5978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6391</Words>
  <Characters>36434</Characters>
  <Application>Microsoft Office Word</Application>
  <DocSecurity>0</DocSecurity>
  <Lines>303</Lines>
  <Paragraphs>85</Paragraphs>
  <ScaleCrop>false</ScaleCrop>
  <Company/>
  <LinksUpToDate>false</LinksUpToDate>
  <CharactersWithSpaces>42740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Mccarthy (2112755)</dc:creator>
  <cp:keywords/>
  <dc:description/>
  <cp:lastModifiedBy>Matt Mccarthy (2112755)</cp:lastModifiedBy>
  <cp:revision>49</cp:revision>
  <dcterms:created xsi:type="dcterms:W3CDTF">2022-01-26T10:51:00Z</dcterms:created>
  <dcterms:modified xsi:type="dcterms:W3CDTF">2022-03-09T19:55:00Z</dcterms:modified>
</cp:coreProperties>
</file>