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FE789C" w14:textId="77777777" w:rsidR="009B7EDC" w:rsidRDefault="009B7EDC" w:rsidP="009B7EDC">
      <w:pPr>
        <w:pStyle w:val="NormalWeb"/>
        <w:spacing w:before="0" w:beforeAutospacing="0" w:after="0" w:afterAutospacing="0"/>
        <w:ind w:left="-180" w:right="-334"/>
      </w:pPr>
      <w:bookmarkStart w:id="0" w:name="_Hlk3622917"/>
      <w:r>
        <w:rPr>
          <w:noProof/>
        </w:rPr>
        <w:drawing>
          <wp:inline distT="0" distB="0" distL="0" distR="0" wp14:anchorId="628CE75B" wp14:editId="52947AC7">
            <wp:extent cx="1906270" cy="638175"/>
            <wp:effectExtent l="19050" t="19050" r="1778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5865D55B" w14:textId="77777777" w:rsidR="009B7EDC" w:rsidRDefault="009B7EDC" w:rsidP="009B7EDC">
      <w:pPr>
        <w:pStyle w:val="NormalWeb"/>
        <w:spacing w:before="0" w:beforeAutospacing="0" w:after="0" w:afterAutospacing="0"/>
        <w:ind w:left="-180" w:right="-334"/>
      </w:pPr>
    </w:p>
    <w:p w14:paraId="55B6F859" w14:textId="77777777" w:rsidR="009B7EDC" w:rsidRDefault="009B7EDC" w:rsidP="009B7EDC">
      <w:pPr>
        <w:pStyle w:val="NormalWeb"/>
        <w:spacing w:before="0" w:beforeAutospacing="0" w:after="0" w:afterAutospacing="0"/>
        <w:ind w:left="-180" w:right="-334"/>
      </w:pPr>
    </w:p>
    <w:p w14:paraId="67624493" w14:textId="77777777" w:rsidR="009B7EDC" w:rsidRDefault="009B7EDC" w:rsidP="009B7EDC">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FED97DD" w14:textId="77777777" w:rsidR="009B7EDC" w:rsidRPr="00230F35" w:rsidRDefault="009B7EDC" w:rsidP="009B7EDC">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8E7D8AC" w14:textId="77777777" w:rsidR="009B7EDC" w:rsidRPr="00230F35" w:rsidRDefault="009B7EDC" w:rsidP="009B7EDC">
      <w:pPr>
        <w:rPr>
          <w:rFonts w:ascii="Arial" w:hAnsi="Arial" w:cs="Arial"/>
          <w:sz w:val="28"/>
          <w:szCs w:val="28"/>
          <w:lang w:val="cy-GB"/>
        </w:rPr>
      </w:pPr>
    </w:p>
    <w:p w14:paraId="116FFABB" w14:textId="77777777" w:rsidR="009B7EDC" w:rsidRDefault="009B7EDC" w:rsidP="009B7EDC">
      <w:pPr>
        <w:pStyle w:val="Heading3"/>
        <w:jc w:val="center"/>
        <w:rPr>
          <w:lang w:val="cy-GB"/>
        </w:rPr>
      </w:pPr>
      <w:r>
        <w:rPr>
          <w:lang w:val="cy-GB"/>
        </w:rPr>
        <w:t>THIS SHEET MUST BE THE FIRST PAGE OF THE ASSIGNMENT YOU ARE SUBMITTING  (DO NOT SEND AS A SEPARATE FILE)</w:t>
      </w:r>
    </w:p>
    <w:p w14:paraId="0FF28CE9" w14:textId="77777777" w:rsidR="009B7EDC" w:rsidRDefault="009B7EDC" w:rsidP="009B7EDC">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9B7EDC" w:rsidRPr="00230F35" w14:paraId="1A07CD22" w14:textId="77777777" w:rsidTr="00F23AFB">
        <w:trPr>
          <w:trHeight w:val="614"/>
        </w:trPr>
        <w:tc>
          <w:tcPr>
            <w:tcW w:w="8856" w:type="dxa"/>
            <w:gridSpan w:val="5"/>
          </w:tcPr>
          <w:p w14:paraId="67148A3A" w14:textId="77777777" w:rsidR="009B7EDC" w:rsidRPr="00230F35" w:rsidRDefault="009B7EDC" w:rsidP="00F23AFB">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9B7EDC" w:rsidRPr="00230F35" w14:paraId="02F3F898" w14:textId="77777777" w:rsidTr="00F23AFB">
        <w:trPr>
          <w:trHeight w:val="718"/>
        </w:trPr>
        <w:tc>
          <w:tcPr>
            <w:tcW w:w="8856" w:type="dxa"/>
            <w:gridSpan w:val="5"/>
          </w:tcPr>
          <w:p w14:paraId="385540B5" w14:textId="77777777" w:rsidR="009B7EDC" w:rsidRDefault="009B7EDC" w:rsidP="00F23AF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Kim Harrer</w:t>
            </w:r>
          </w:p>
          <w:p w14:paraId="39A031CD" w14:textId="77777777" w:rsidR="009B7EDC" w:rsidRPr="00230F35" w:rsidRDefault="009B7EDC" w:rsidP="00F23AFB">
            <w:pPr>
              <w:pStyle w:val="NormalWeb"/>
              <w:spacing w:before="0" w:beforeAutospacing="0" w:after="0" w:afterAutospacing="0"/>
              <w:ind w:right="34"/>
              <w:rPr>
                <w:rFonts w:ascii="Arial" w:hAnsi="Arial" w:cs="Arial"/>
                <w:sz w:val="22"/>
                <w:szCs w:val="22"/>
              </w:rPr>
            </w:pPr>
          </w:p>
          <w:p w14:paraId="51A35B57" w14:textId="77777777" w:rsidR="009B7EDC" w:rsidRPr="00230F35" w:rsidRDefault="009B7EDC" w:rsidP="00F23AF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1814398@student.uwtsd.ac.uk</w:t>
            </w:r>
          </w:p>
        </w:tc>
      </w:tr>
      <w:tr w:rsidR="009B7EDC" w:rsidRPr="00230F35" w14:paraId="2FDF54BE" w14:textId="77777777" w:rsidTr="00F23AFB">
        <w:trPr>
          <w:trHeight w:val="849"/>
        </w:trPr>
        <w:tc>
          <w:tcPr>
            <w:tcW w:w="4788" w:type="dxa"/>
          </w:tcPr>
          <w:p w14:paraId="6494867B" w14:textId="3E3F0A97" w:rsidR="009B7EDC" w:rsidRPr="00230F35" w:rsidRDefault="009B7EDC" w:rsidP="00F23AF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HPCA7018</w:t>
            </w:r>
          </w:p>
          <w:p w14:paraId="30F7FD6B" w14:textId="77777777" w:rsidR="009B7EDC" w:rsidRPr="00230F35" w:rsidRDefault="009B7EDC" w:rsidP="00F23AFB">
            <w:pPr>
              <w:pStyle w:val="NormalWeb"/>
              <w:spacing w:before="0" w:beforeAutospacing="0" w:after="0" w:afterAutospacing="0"/>
              <w:ind w:right="34"/>
              <w:rPr>
                <w:rFonts w:ascii="Arial" w:hAnsi="Arial" w:cs="Arial"/>
                <w:sz w:val="22"/>
                <w:szCs w:val="22"/>
              </w:rPr>
            </w:pPr>
          </w:p>
          <w:p w14:paraId="34C1CF75" w14:textId="7A64CF7B" w:rsidR="009B7EDC" w:rsidRDefault="009B7EDC" w:rsidP="00F23AF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Sky and Psyche</w:t>
            </w:r>
          </w:p>
          <w:p w14:paraId="0A409054" w14:textId="77777777" w:rsidR="009B7EDC" w:rsidRDefault="009B7EDC" w:rsidP="00F23AFB">
            <w:pPr>
              <w:pStyle w:val="NormalWeb"/>
              <w:spacing w:before="0" w:beforeAutospacing="0" w:after="0" w:afterAutospacing="0"/>
              <w:ind w:right="34"/>
              <w:rPr>
                <w:rFonts w:ascii="Arial" w:hAnsi="Arial" w:cs="Arial"/>
                <w:sz w:val="22"/>
                <w:szCs w:val="22"/>
              </w:rPr>
            </w:pPr>
          </w:p>
          <w:p w14:paraId="69ED8B4E" w14:textId="77777777" w:rsidR="009B7EDC" w:rsidRPr="00230F35" w:rsidRDefault="009B7EDC" w:rsidP="00F23AFB">
            <w:pPr>
              <w:pStyle w:val="NormalWeb"/>
              <w:spacing w:before="0" w:beforeAutospacing="0" w:after="0" w:afterAutospacing="0"/>
              <w:ind w:right="34"/>
              <w:rPr>
                <w:rFonts w:ascii="Arial" w:hAnsi="Arial" w:cs="Arial"/>
                <w:sz w:val="22"/>
                <w:szCs w:val="22"/>
              </w:rPr>
            </w:pPr>
          </w:p>
        </w:tc>
        <w:tc>
          <w:tcPr>
            <w:tcW w:w="2266" w:type="dxa"/>
            <w:gridSpan w:val="3"/>
          </w:tcPr>
          <w:p w14:paraId="5906104B" w14:textId="77777777" w:rsidR="009B7EDC" w:rsidRPr="00230F35" w:rsidRDefault="009B7EDC" w:rsidP="00F23AF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1814398</w:t>
            </w:r>
          </w:p>
        </w:tc>
        <w:tc>
          <w:tcPr>
            <w:tcW w:w="1802" w:type="dxa"/>
          </w:tcPr>
          <w:p w14:paraId="58ABE8BB" w14:textId="77777777" w:rsidR="009B7EDC" w:rsidRPr="00230F35" w:rsidRDefault="009B7EDC" w:rsidP="00F23AF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560C45D1" w14:textId="2E4A054A" w:rsidR="009B7EDC" w:rsidRPr="00230F35" w:rsidRDefault="009B7EDC" w:rsidP="00F23AFB">
            <w:pPr>
              <w:pStyle w:val="NormalWeb"/>
              <w:spacing w:before="0" w:beforeAutospacing="0" w:after="0" w:afterAutospacing="0"/>
              <w:ind w:right="34"/>
              <w:rPr>
                <w:rFonts w:ascii="Arial" w:hAnsi="Arial" w:cs="Arial"/>
                <w:sz w:val="22"/>
                <w:szCs w:val="22"/>
              </w:rPr>
            </w:pPr>
            <w:r>
              <w:rPr>
                <w:rFonts w:ascii="Arial" w:hAnsi="Arial" w:cs="Arial"/>
                <w:sz w:val="22"/>
                <w:szCs w:val="22"/>
              </w:rPr>
              <w:t>No</w:t>
            </w:r>
          </w:p>
        </w:tc>
      </w:tr>
      <w:tr w:rsidR="009B7EDC" w:rsidRPr="00230F35" w14:paraId="30B2C885" w14:textId="77777777" w:rsidTr="00F23AFB">
        <w:trPr>
          <w:trHeight w:val="1139"/>
        </w:trPr>
        <w:tc>
          <w:tcPr>
            <w:tcW w:w="8856" w:type="dxa"/>
            <w:gridSpan w:val="5"/>
          </w:tcPr>
          <w:p w14:paraId="25C2D37E" w14:textId="776D7030" w:rsidR="009B7EDC" w:rsidRPr="00230F35" w:rsidRDefault="009B7EDC" w:rsidP="00F23AF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A Critical Comparison of Two Secondary Sources</w:t>
            </w:r>
          </w:p>
          <w:p w14:paraId="3E3853C7" w14:textId="77777777" w:rsidR="009B7EDC" w:rsidRPr="00230F35" w:rsidRDefault="009B7EDC" w:rsidP="00F23AFB">
            <w:pPr>
              <w:pStyle w:val="NormalWeb"/>
              <w:spacing w:before="0" w:beforeAutospacing="0" w:after="0" w:afterAutospacing="0"/>
              <w:ind w:right="34"/>
              <w:rPr>
                <w:rFonts w:ascii="Arial" w:hAnsi="Arial" w:cs="Arial"/>
                <w:sz w:val="22"/>
                <w:szCs w:val="22"/>
              </w:rPr>
            </w:pPr>
          </w:p>
          <w:p w14:paraId="11F2CC51" w14:textId="77777777" w:rsidR="009B7EDC" w:rsidRDefault="009B7EDC" w:rsidP="00F23AFB">
            <w:pPr>
              <w:pStyle w:val="NormalWeb"/>
              <w:spacing w:before="0" w:beforeAutospacing="0" w:after="0" w:afterAutospacing="0"/>
              <w:ind w:right="34"/>
              <w:rPr>
                <w:rFonts w:ascii="Arial" w:hAnsi="Arial" w:cs="Arial"/>
                <w:sz w:val="22"/>
                <w:szCs w:val="22"/>
              </w:rPr>
            </w:pPr>
          </w:p>
          <w:p w14:paraId="2A94FCCB" w14:textId="2956E4FA" w:rsidR="009B7EDC" w:rsidRPr="00230F35" w:rsidRDefault="009B7EDC" w:rsidP="00F23AF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04/12/2020</w:t>
            </w:r>
          </w:p>
        </w:tc>
      </w:tr>
      <w:tr w:rsidR="009B7EDC" w:rsidRPr="00230F35" w14:paraId="4498CCE1" w14:textId="77777777" w:rsidTr="00F23AFB">
        <w:trPr>
          <w:trHeight w:val="978"/>
        </w:trPr>
        <w:tc>
          <w:tcPr>
            <w:tcW w:w="8856" w:type="dxa"/>
            <w:gridSpan w:val="5"/>
            <w:tcBorders>
              <w:bottom w:val="single" w:sz="4" w:space="0" w:color="000000"/>
            </w:tcBorders>
          </w:tcPr>
          <w:p w14:paraId="55C368D0" w14:textId="6DF2BB1F" w:rsidR="009B7EDC" w:rsidRPr="00230F35" w:rsidRDefault="009B7EDC" w:rsidP="00F23AFB">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vertAlign w:val="superscript"/>
              </w:rPr>
              <w:t xml:space="preserve"> </w:t>
            </w:r>
            <w:r w:rsidRPr="00230F35">
              <w:rPr>
                <w:rFonts w:ascii="Arial" w:hAnsi="Arial" w:cs="Arial"/>
              </w:rPr>
              <w:fldChar w:fldCharType="begin">
                <w:ffData>
                  <w:name w:val="Check15"/>
                  <w:enabled/>
                  <w:calcOnExit w:val="0"/>
                  <w:checkBox>
                    <w:sizeAuto/>
                    <w:default w:val="0"/>
                  </w:checkBox>
                </w:ffData>
              </w:fldChar>
            </w:r>
            <w:r w:rsidRPr="00230F35">
              <w:rPr>
                <w:rFonts w:ascii="Arial" w:hAnsi="Arial" w:cs="Arial"/>
              </w:rPr>
              <w:instrText xml:space="preserve"> FORMCHECKBOX </w:instrText>
            </w:r>
            <w:r w:rsidR="00F23AFB">
              <w:rPr>
                <w:rFonts w:ascii="Arial" w:hAnsi="Arial" w:cs="Arial"/>
              </w:rPr>
            </w:r>
            <w:r w:rsidR="00F23AFB">
              <w:rPr>
                <w:rFonts w:ascii="Arial" w:hAnsi="Arial" w:cs="Arial"/>
              </w:rPr>
              <w:fldChar w:fldCharType="separate"/>
            </w:r>
            <w:r w:rsidRPr="00230F35">
              <w:rPr>
                <w:rFonts w:ascii="Arial" w:hAnsi="Arial" w:cs="Arial"/>
              </w:rPr>
              <w:fldChar w:fldCharType="end"/>
            </w:r>
            <w:r>
              <w:rPr>
                <w:rFonts w:ascii="Arial" w:hAnsi="Arial" w:cs="Arial"/>
              </w:rPr>
              <w:t xml:space="preserve">     </w:t>
            </w:r>
            <w:r w:rsidRPr="00230F35">
              <w:rPr>
                <w:rFonts w:ascii="Arial" w:hAnsi="Arial" w:cs="Arial"/>
              </w:rPr>
              <w:t>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00F23AFB">
              <w:rPr>
                <w:rFonts w:ascii="Arial" w:hAnsi="Arial" w:cs="Arial"/>
              </w:rPr>
            </w:r>
            <w:r w:rsidR="00F23AFB">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F23AFB">
              <w:rPr>
                <w:rFonts w:ascii="Arial" w:hAnsi="Arial" w:cs="Arial"/>
              </w:rPr>
            </w:r>
            <w:r w:rsidR="00F23AFB">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Pr>
                <w:rFonts w:ascii="Arial" w:hAnsi="Arial" w:cs="Arial"/>
              </w:rPr>
              <w:fldChar w:fldCharType="begin">
                <w:ffData>
                  <w:name w:val="Check16"/>
                  <w:enabled/>
                  <w:calcOnExit w:val="0"/>
                  <w:checkBox>
                    <w:sizeAuto/>
                    <w:default w:val="1"/>
                  </w:checkBox>
                </w:ffData>
              </w:fldChar>
            </w:r>
            <w:bookmarkStart w:id="3" w:name="Check16"/>
            <w:r>
              <w:rPr>
                <w:rFonts w:ascii="Arial" w:hAnsi="Arial" w:cs="Arial"/>
              </w:rPr>
              <w:instrText xml:space="preserve"> FORMCHECKBOX </w:instrText>
            </w:r>
            <w:r w:rsidR="00F23AFB">
              <w:rPr>
                <w:rFonts w:ascii="Arial" w:hAnsi="Arial" w:cs="Arial"/>
              </w:rPr>
            </w:r>
            <w:r w:rsidR="00F23AFB">
              <w:rPr>
                <w:rFonts w:ascii="Arial" w:hAnsi="Arial" w:cs="Arial"/>
              </w:rPr>
              <w:fldChar w:fldCharType="separate"/>
            </w:r>
            <w:r>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F23AFB">
              <w:rPr>
                <w:rFonts w:ascii="Arial" w:hAnsi="Arial" w:cs="Arial"/>
              </w:rPr>
            </w:r>
            <w:r w:rsidR="00F23AFB">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F23AFB">
              <w:rPr>
                <w:rFonts w:ascii="Arial" w:hAnsi="Arial" w:cs="Arial"/>
              </w:rPr>
            </w:r>
            <w:r w:rsidR="00F23AFB">
              <w:rPr>
                <w:rFonts w:ascii="Arial" w:hAnsi="Arial" w:cs="Arial"/>
              </w:rPr>
              <w:fldChar w:fldCharType="separate"/>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9B7EDC" w:rsidRPr="00230F35" w14:paraId="7294864C" w14:textId="77777777" w:rsidTr="00F23AFB">
        <w:trPr>
          <w:trHeight w:val="978"/>
        </w:trPr>
        <w:tc>
          <w:tcPr>
            <w:tcW w:w="8856" w:type="dxa"/>
            <w:gridSpan w:val="5"/>
            <w:shd w:val="clear" w:color="auto" w:fill="D9D9D9"/>
          </w:tcPr>
          <w:p w14:paraId="34F89AFF" w14:textId="77777777" w:rsidR="009B7EDC" w:rsidRPr="00230F35" w:rsidRDefault="009B7EDC" w:rsidP="00F23AF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405EF883" w14:textId="77777777" w:rsidR="009B7EDC" w:rsidRDefault="009B7EDC" w:rsidP="00F23AF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w:t>
            </w:r>
            <w:r>
              <w:rPr>
                <w:rFonts w:ascii="Arial" w:hAnsi="Arial" w:cs="Arial"/>
                <w:sz w:val="22"/>
                <w:szCs w:val="22"/>
              </w:rPr>
              <w:t>,</w:t>
            </w:r>
          </w:p>
          <w:p w14:paraId="16708532" w14:textId="77777777" w:rsidR="009B7EDC" w:rsidRDefault="009B7EDC" w:rsidP="00F23AFB">
            <w:pPr>
              <w:pStyle w:val="NormalWeb"/>
              <w:spacing w:before="0" w:beforeAutospacing="0" w:after="0" w:afterAutospacing="0"/>
              <w:ind w:right="34"/>
              <w:rPr>
                <w:rFonts w:ascii="Arial" w:hAnsi="Arial" w:cs="Arial"/>
                <w:sz w:val="22"/>
                <w:szCs w:val="22"/>
              </w:rPr>
            </w:pPr>
            <w:r>
              <w:rPr>
                <w:rFonts w:ascii="Arial" w:hAnsi="Arial" w:cs="Arial"/>
                <w:sz w:val="22"/>
                <w:szCs w:val="22"/>
              </w:rPr>
              <w:t>Kimberley M. Harrer</w:t>
            </w:r>
          </w:p>
          <w:p w14:paraId="75B28D34" w14:textId="77777777" w:rsidR="009B7EDC" w:rsidRDefault="009B7EDC" w:rsidP="00F23AFB">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Pr="005979EE">
              <w:rPr>
                <w:rFonts w:ascii="Calibri" w:hAnsi="Calibri" w:cs="Calibri"/>
                <w:b/>
                <w:sz w:val="44"/>
                <w:szCs w:val="44"/>
              </w:rPr>
              <w:t>□</w:t>
            </w:r>
          </w:p>
          <w:p w14:paraId="5DDFED03" w14:textId="77777777" w:rsidR="009B7EDC" w:rsidRPr="00230F35" w:rsidRDefault="009B7EDC" w:rsidP="00F23AFB">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9B7EDC" w:rsidRPr="00230F35" w14:paraId="15EE6717" w14:textId="77777777" w:rsidTr="00F23AFB">
        <w:trPr>
          <w:trHeight w:val="3972"/>
        </w:trPr>
        <w:tc>
          <w:tcPr>
            <w:tcW w:w="8856" w:type="dxa"/>
            <w:gridSpan w:val="5"/>
          </w:tcPr>
          <w:p w14:paraId="46F0F544" w14:textId="77777777" w:rsidR="009B7EDC" w:rsidRDefault="009B7EDC" w:rsidP="00F23AFB">
            <w:pPr>
              <w:rPr>
                <w:rFonts w:ascii="Arial" w:hAnsi="Arial"/>
                <w:b/>
              </w:rPr>
            </w:pPr>
          </w:p>
          <w:p w14:paraId="24FDFBA9" w14:textId="77777777" w:rsidR="009B7EDC" w:rsidRPr="00116CE6" w:rsidRDefault="009B7EDC" w:rsidP="00F23AFB">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9B7EDC" w:rsidRPr="00116CE6" w14:paraId="4C0E4DF3" w14:textId="77777777" w:rsidTr="00F23AFB">
              <w:tc>
                <w:tcPr>
                  <w:tcW w:w="6970" w:type="dxa"/>
                </w:tcPr>
                <w:p w14:paraId="3EAC4096" w14:textId="77777777" w:rsidR="009B7EDC" w:rsidRPr="00116CE6" w:rsidRDefault="009B7EDC" w:rsidP="00F23AFB">
                  <w:pPr>
                    <w:rPr>
                      <w:rFonts w:ascii="Arial" w:hAnsi="Arial"/>
                      <w:sz w:val="20"/>
                      <w:szCs w:val="20"/>
                    </w:rPr>
                  </w:pPr>
                </w:p>
                <w:p w14:paraId="71368B30" w14:textId="77777777" w:rsidR="009B7EDC" w:rsidRPr="00116CE6" w:rsidRDefault="009B7EDC" w:rsidP="00F23AFB">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5486A254" w14:textId="77777777" w:rsidR="009B7EDC" w:rsidRPr="00116CE6" w:rsidRDefault="009B7EDC" w:rsidP="00F23AFB">
                  <w:pPr>
                    <w:rPr>
                      <w:rFonts w:ascii="Arial" w:hAnsi="Arial"/>
                      <w:sz w:val="20"/>
                      <w:szCs w:val="20"/>
                    </w:rPr>
                  </w:pPr>
                </w:p>
              </w:tc>
            </w:tr>
            <w:tr w:rsidR="009B7EDC" w:rsidRPr="00116CE6" w14:paraId="36F201B4" w14:textId="77777777" w:rsidTr="00F23AFB">
              <w:tc>
                <w:tcPr>
                  <w:tcW w:w="6970" w:type="dxa"/>
                </w:tcPr>
                <w:p w14:paraId="5BD15085" w14:textId="77777777" w:rsidR="009B7EDC" w:rsidRPr="00116CE6" w:rsidRDefault="009B7EDC" w:rsidP="00F23AFB">
                  <w:pPr>
                    <w:rPr>
                      <w:rFonts w:ascii="Arial" w:hAnsi="Arial"/>
                      <w:sz w:val="20"/>
                      <w:szCs w:val="20"/>
                    </w:rPr>
                  </w:pPr>
                </w:p>
                <w:p w14:paraId="080AF814" w14:textId="77777777" w:rsidR="009B7EDC" w:rsidRPr="00116CE6" w:rsidRDefault="009B7EDC" w:rsidP="00F23AFB">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7DBD11D" w14:textId="77777777" w:rsidR="009B7EDC" w:rsidRPr="00116CE6" w:rsidRDefault="009B7EDC" w:rsidP="00F23AFB">
                  <w:pPr>
                    <w:rPr>
                      <w:rFonts w:ascii="Arial" w:hAnsi="Arial"/>
                      <w:sz w:val="20"/>
                      <w:szCs w:val="20"/>
                    </w:rPr>
                  </w:pPr>
                </w:p>
              </w:tc>
            </w:tr>
            <w:tr w:rsidR="009B7EDC" w:rsidRPr="00116CE6" w14:paraId="41D545E5" w14:textId="77777777" w:rsidTr="00F23AFB">
              <w:tc>
                <w:tcPr>
                  <w:tcW w:w="6970" w:type="dxa"/>
                </w:tcPr>
                <w:p w14:paraId="7D382AC2" w14:textId="77777777" w:rsidR="009B7EDC" w:rsidRPr="00116CE6" w:rsidRDefault="009B7EDC" w:rsidP="00F23AFB">
                  <w:pPr>
                    <w:rPr>
                      <w:rFonts w:ascii="Arial" w:hAnsi="Arial"/>
                      <w:sz w:val="20"/>
                      <w:szCs w:val="20"/>
                    </w:rPr>
                  </w:pPr>
                </w:p>
                <w:p w14:paraId="6ECD428B" w14:textId="77777777" w:rsidR="009B7EDC" w:rsidRPr="00116CE6" w:rsidRDefault="009B7EDC" w:rsidP="00F23AFB">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37EC841" w14:textId="77777777" w:rsidR="009B7EDC" w:rsidRPr="00116CE6" w:rsidRDefault="009B7EDC" w:rsidP="00F23AFB">
                  <w:pPr>
                    <w:rPr>
                      <w:rFonts w:ascii="Arial" w:hAnsi="Arial"/>
                      <w:sz w:val="20"/>
                      <w:szCs w:val="20"/>
                    </w:rPr>
                  </w:pPr>
                </w:p>
              </w:tc>
            </w:tr>
            <w:tr w:rsidR="009B7EDC" w:rsidRPr="00116CE6" w14:paraId="51935D59" w14:textId="77777777" w:rsidTr="00F23AFB">
              <w:tc>
                <w:tcPr>
                  <w:tcW w:w="6970" w:type="dxa"/>
                </w:tcPr>
                <w:p w14:paraId="2DE74BB1" w14:textId="77777777" w:rsidR="009B7EDC" w:rsidRDefault="009B7EDC" w:rsidP="00F23AFB">
                  <w:pPr>
                    <w:rPr>
                      <w:rFonts w:ascii="Arial" w:hAnsi="Arial"/>
                      <w:sz w:val="20"/>
                      <w:szCs w:val="20"/>
                    </w:rPr>
                  </w:pPr>
                </w:p>
                <w:p w14:paraId="1D4F958D" w14:textId="77777777" w:rsidR="009B7EDC" w:rsidRPr="00022345" w:rsidRDefault="009B7EDC" w:rsidP="00F23AFB">
                  <w:pPr>
                    <w:rPr>
                      <w:rFonts w:ascii="Arial" w:hAnsi="Arial"/>
                      <w:b/>
                      <w:sz w:val="20"/>
                      <w:szCs w:val="20"/>
                    </w:rPr>
                  </w:pPr>
                  <w:r w:rsidRPr="00022345">
                    <w:rPr>
                      <w:rFonts w:ascii="Arial" w:hAnsi="Arial"/>
                      <w:b/>
                      <w:sz w:val="20"/>
                      <w:szCs w:val="20"/>
                    </w:rPr>
                    <w:t>Final Mark</w:t>
                  </w:r>
                </w:p>
                <w:p w14:paraId="11290A4F" w14:textId="77777777" w:rsidR="009B7EDC" w:rsidRPr="00116CE6" w:rsidRDefault="009B7EDC" w:rsidP="00F23AFB">
                  <w:pPr>
                    <w:rPr>
                      <w:rFonts w:ascii="Arial" w:hAnsi="Arial"/>
                      <w:sz w:val="20"/>
                      <w:szCs w:val="20"/>
                    </w:rPr>
                  </w:pPr>
                </w:p>
              </w:tc>
              <w:tc>
                <w:tcPr>
                  <w:tcW w:w="1660" w:type="dxa"/>
                </w:tcPr>
                <w:p w14:paraId="6E7D2222" w14:textId="77777777" w:rsidR="009B7EDC" w:rsidRPr="00116CE6" w:rsidRDefault="009B7EDC" w:rsidP="00F23AFB">
                  <w:pPr>
                    <w:rPr>
                      <w:rFonts w:ascii="Arial" w:hAnsi="Arial"/>
                      <w:sz w:val="20"/>
                      <w:szCs w:val="20"/>
                    </w:rPr>
                  </w:pPr>
                </w:p>
              </w:tc>
            </w:tr>
          </w:tbl>
          <w:p w14:paraId="1D7107DC" w14:textId="77777777" w:rsidR="009B7EDC" w:rsidRDefault="009B7EDC" w:rsidP="00F23AFB">
            <w:pPr>
              <w:pStyle w:val="NormalWeb"/>
              <w:spacing w:before="0" w:beforeAutospacing="0" w:after="0" w:afterAutospacing="0"/>
              <w:ind w:left="142" w:right="34"/>
              <w:rPr>
                <w:rFonts w:ascii="Arial" w:hAnsi="Arial" w:cs="Arial"/>
                <w:b/>
                <w:sz w:val="22"/>
                <w:szCs w:val="22"/>
              </w:rPr>
            </w:pPr>
          </w:p>
          <w:p w14:paraId="14474550" w14:textId="77777777" w:rsidR="009B7EDC" w:rsidRPr="00230F35" w:rsidRDefault="009B7EDC" w:rsidP="00F23AFB">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D3ABEFE" w14:textId="77777777" w:rsidR="009B7EDC" w:rsidRDefault="009B7EDC" w:rsidP="00F23AFB">
            <w:pPr>
              <w:pStyle w:val="NormalWeb"/>
              <w:spacing w:before="0" w:beforeAutospacing="0" w:after="0" w:afterAutospacing="0"/>
              <w:rPr>
                <w:rFonts w:ascii="Arial" w:hAnsi="Arial" w:cs="Arial"/>
                <w:b/>
                <w:sz w:val="22"/>
                <w:szCs w:val="22"/>
              </w:rPr>
            </w:pPr>
          </w:p>
          <w:p w14:paraId="21BDE134" w14:textId="77777777" w:rsidR="009B7EDC" w:rsidRDefault="009B7EDC" w:rsidP="00F23AFB">
            <w:pPr>
              <w:pStyle w:val="NormalWeb"/>
              <w:spacing w:before="0" w:beforeAutospacing="0" w:after="0" w:afterAutospacing="0"/>
              <w:rPr>
                <w:rFonts w:ascii="Arial" w:hAnsi="Arial" w:cs="Arial"/>
                <w:b/>
                <w:sz w:val="22"/>
                <w:szCs w:val="22"/>
              </w:rPr>
            </w:pPr>
          </w:p>
          <w:p w14:paraId="0C7553F2" w14:textId="77777777" w:rsidR="009B7EDC" w:rsidRDefault="009B7EDC" w:rsidP="00F23AFB">
            <w:pPr>
              <w:pStyle w:val="NormalWeb"/>
              <w:spacing w:before="0" w:beforeAutospacing="0" w:after="0" w:afterAutospacing="0"/>
              <w:rPr>
                <w:rFonts w:ascii="Arial" w:hAnsi="Arial" w:cs="Arial"/>
                <w:b/>
                <w:sz w:val="22"/>
                <w:szCs w:val="22"/>
              </w:rPr>
            </w:pPr>
          </w:p>
          <w:p w14:paraId="0C222C68" w14:textId="77777777" w:rsidR="009B7EDC" w:rsidRDefault="009B7EDC" w:rsidP="00F23AFB">
            <w:pPr>
              <w:pStyle w:val="NormalWeb"/>
              <w:spacing w:before="0" w:beforeAutospacing="0" w:after="0" w:afterAutospacing="0"/>
              <w:rPr>
                <w:rFonts w:ascii="Arial" w:hAnsi="Arial" w:cs="Arial"/>
                <w:b/>
                <w:sz w:val="22"/>
                <w:szCs w:val="22"/>
              </w:rPr>
            </w:pPr>
          </w:p>
          <w:p w14:paraId="160E3BD2" w14:textId="77777777" w:rsidR="009B7EDC" w:rsidRDefault="009B7EDC" w:rsidP="00F23AFB">
            <w:pPr>
              <w:pStyle w:val="NormalWeb"/>
              <w:spacing w:before="0" w:beforeAutospacing="0" w:after="0" w:afterAutospacing="0"/>
              <w:rPr>
                <w:rFonts w:ascii="Arial" w:hAnsi="Arial" w:cs="Arial"/>
                <w:b/>
                <w:sz w:val="22"/>
                <w:szCs w:val="22"/>
              </w:rPr>
            </w:pPr>
          </w:p>
          <w:p w14:paraId="3B1996F2" w14:textId="77777777" w:rsidR="009B7EDC" w:rsidRPr="00230F35" w:rsidRDefault="009B7EDC" w:rsidP="00F23AFB">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5FC08978" w14:textId="77777777" w:rsidR="009B7EDC" w:rsidRDefault="009B7EDC" w:rsidP="00F23AFB">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7866AC56" w14:textId="77777777" w:rsidR="009B7EDC" w:rsidRPr="00001C3B" w:rsidRDefault="009B7EDC" w:rsidP="00F23AFB">
            <w:pPr>
              <w:pStyle w:val="NormalWeb"/>
              <w:rPr>
                <w:rFonts w:ascii="Arial" w:hAnsi="Arial" w:cs="Arial"/>
                <w:sz w:val="22"/>
                <w:szCs w:val="22"/>
              </w:rPr>
            </w:pPr>
          </w:p>
        </w:tc>
      </w:tr>
      <w:tr w:rsidR="009B7EDC" w:rsidRPr="00230F35" w14:paraId="400A8766" w14:textId="77777777" w:rsidTr="00F23AFB">
        <w:trPr>
          <w:trHeight w:val="492"/>
        </w:trPr>
        <w:tc>
          <w:tcPr>
            <w:tcW w:w="6768" w:type="dxa"/>
            <w:gridSpan w:val="3"/>
          </w:tcPr>
          <w:p w14:paraId="75F59CF7" w14:textId="77777777" w:rsidR="009B7EDC" w:rsidRPr="00230F35" w:rsidRDefault="009B7EDC" w:rsidP="00F23AFB">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6A93B819" w14:textId="77777777" w:rsidR="009B7EDC" w:rsidRPr="00230F35" w:rsidRDefault="009B7EDC" w:rsidP="00F23AFB">
            <w:pPr>
              <w:pStyle w:val="NormalWeb"/>
              <w:spacing w:after="0"/>
              <w:ind w:left="142" w:right="34"/>
              <w:rPr>
                <w:rFonts w:ascii="Arial" w:hAnsi="Arial" w:cs="Arial"/>
                <w:sz w:val="22"/>
                <w:szCs w:val="22"/>
              </w:rPr>
            </w:pPr>
            <w:r w:rsidRPr="00230F35">
              <w:rPr>
                <w:rFonts w:ascii="Arial" w:hAnsi="Arial" w:cs="Arial"/>
                <w:sz w:val="22"/>
                <w:szCs w:val="22"/>
              </w:rPr>
              <w:t>Date:</w:t>
            </w:r>
          </w:p>
        </w:tc>
      </w:tr>
      <w:tr w:rsidR="009B7EDC" w:rsidRPr="002F467C" w14:paraId="3A3AAE0A" w14:textId="77777777" w:rsidTr="00F23AFB">
        <w:tc>
          <w:tcPr>
            <w:tcW w:w="8856" w:type="dxa"/>
            <w:gridSpan w:val="5"/>
          </w:tcPr>
          <w:p w14:paraId="6EF9389B" w14:textId="77777777" w:rsidR="009B7EDC" w:rsidRPr="00230F35" w:rsidRDefault="009B7EDC" w:rsidP="00F23AFB">
            <w:pPr>
              <w:pStyle w:val="NormalWeb"/>
              <w:spacing w:before="0" w:beforeAutospacing="0" w:after="0" w:afterAutospacing="0"/>
              <w:ind w:right="-334"/>
              <w:rPr>
                <w:rFonts w:ascii="Arial" w:hAnsi="Arial" w:cs="Arial"/>
                <w:bCs/>
                <w:i/>
                <w:sz w:val="22"/>
                <w:szCs w:val="22"/>
              </w:rPr>
            </w:pPr>
          </w:p>
          <w:p w14:paraId="69FD895E" w14:textId="77777777" w:rsidR="009B7EDC" w:rsidRPr="00230F35" w:rsidRDefault="009B7EDC" w:rsidP="00F23AFB">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E8BCD1D" w14:textId="77777777" w:rsidR="009B7EDC" w:rsidRPr="00230F35" w:rsidRDefault="009B7EDC" w:rsidP="00F23AFB">
            <w:pPr>
              <w:pStyle w:val="NormalWeb"/>
              <w:spacing w:before="0" w:beforeAutospacing="0" w:after="0" w:afterAutospacing="0"/>
              <w:ind w:right="-334"/>
              <w:rPr>
                <w:rFonts w:ascii="Arial" w:hAnsi="Arial" w:cs="Arial"/>
                <w:b/>
                <w:bCs/>
                <w:sz w:val="22"/>
                <w:szCs w:val="22"/>
              </w:rPr>
            </w:pPr>
          </w:p>
          <w:p w14:paraId="1448B5F1" w14:textId="77777777" w:rsidR="009B7EDC" w:rsidRPr="00230F35" w:rsidRDefault="009B7EDC" w:rsidP="00F23AF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4478A150" w14:textId="77777777" w:rsidR="009B7EDC" w:rsidRPr="00230F35" w:rsidRDefault="009B7EDC" w:rsidP="00F23AFB">
            <w:pPr>
              <w:pStyle w:val="NormalWeb"/>
              <w:spacing w:before="0" w:beforeAutospacing="0" w:after="0" w:afterAutospacing="0"/>
              <w:ind w:right="-334"/>
              <w:rPr>
                <w:rFonts w:ascii="Arial" w:hAnsi="Arial" w:cs="Arial"/>
                <w:bCs/>
                <w:sz w:val="22"/>
                <w:szCs w:val="22"/>
              </w:rPr>
            </w:pPr>
          </w:p>
          <w:p w14:paraId="62D14DD5" w14:textId="77777777" w:rsidR="009B7EDC" w:rsidRPr="00230F35" w:rsidRDefault="009B7EDC" w:rsidP="00F23AFB">
            <w:pPr>
              <w:pStyle w:val="NormalWeb"/>
              <w:spacing w:before="0" w:beforeAutospacing="0" w:after="0" w:afterAutospacing="0"/>
              <w:ind w:right="-334"/>
              <w:rPr>
                <w:rFonts w:ascii="Arial" w:hAnsi="Arial" w:cs="Arial"/>
                <w:bCs/>
                <w:sz w:val="22"/>
                <w:szCs w:val="22"/>
              </w:rPr>
            </w:pPr>
          </w:p>
          <w:p w14:paraId="12A3C111" w14:textId="77777777" w:rsidR="009B7EDC" w:rsidRPr="00230F35" w:rsidRDefault="009B7EDC" w:rsidP="00F23AFB">
            <w:pPr>
              <w:pStyle w:val="NormalWeb"/>
              <w:spacing w:before="0" w:beforeAutospacing="0" w:after="0" w:afterAutospacing="0"/>
              <w:ind w:right="-334"/>
              <w:rPr>
                <w:rFonts w:ascii="Arial" w:hAnsi="Arial" w:cs="Arial"/>
                <w:bCs/>
                <w:sz w:val="22"/>
                <w:szCs w:val="22"/>
              </w:rPr>
            </w:pPr>
          </w:p>
          <w:p w14:paraId="2F32771A" w14:textId="77777777" w:rsidR="009B7EDC" w:rsidRPr="00230F35" w:rsidRDefault="009B7EDC" w:rsidP="00F23AFB">
            <w:pPr>
              <w:pStyle w:val="NormalWeb"/>
              <w:spacing w:before="0" w:beforeAutospacing="0" w:after="0" w:afterAutospacing="0"/>
              <w:ind w:right="-334"/>
              <w:rPr>
                <w:rFonts w:ascii="Arial" w:hAnsi="Arial" w:cs="Arial"/>
                <w:bCs/>
                <w:sz w:val="22"/>
                <w:szCs w:val="22"/>
              </w:rPr>
            </w:pPr>
          </w:p>
          <w:p w14:paraId="3E0FF6B0" w14:textId="77777777" w:rsidR="009B7EDC" w:rsidRPr="00230F35" w:rsidRDefault="009B7EDC" w:rsidP="00F23AFB">
            <w:pPr>
              <w:pStyle w:val="NormalWeb"/>
              <w:spacing w:before="0" w:beforeAutospacing="0" w:after="0" w:afterAutospacing="0"/>
              <w:ind w:right="-334"/>
              <w:rPr>
                <w:rFonts w:ascii="Arial" w:hAnsi="Arial" w:cs="Arial"/>
                <w:bCs/>
                <w:sz w:val="22"/>
                <w:szCs w:val="22"/>
              </w:rPr>
            </w:pPr>
          </w:p>
          <w:p w14:paraId="05779A67" w14:textId="77777777" w:rsidR="009B7EDC" w:rsidRPr="00230F35" w:rsidRDefault="009B7EDC" w:rsidP="00F23AFB">
            <w:pPr>
              <w:pStyle w:val="NormalWeb"/>
              <w:spacing w:before="0" w:beforeAutospacing="0" w:after="0" w:afterAutospacing="0"/>
              <w:ind w:right="-334"/>
              <w:rPr>
                <w:rFonts w:ascii="Arial" w:hAnsi="Arial" w:cs="Arial"/>
                <w:bCs/>
                <w:sz w:val="22"/>
                <w:szCs w:val="22"/>
              </w:rPr>
            </w:pPr>
          </w:p>
          <w:p w14:paraId="586B1A70" w14:textId="77777777" w:rsidR="009B7EDC" w:rsidRPr="00230F35" w:rsidRDefault="009B7EDC" w:rsidP="00F23AFB">
            <w:pPr>
              <w:pStyle w:val="NormalWeb"/>
              <w:spacing w:before="0" w:beforeAutospacing="0" w:after="0" w:afterAutospacing="0"/>
              <w:ind w:right="-334"/>
              <w:rPr>
                <w:rFonts w:ascii="Arial" w:hAnsi="Arial" w:cs="Arial"/>
                <w:bCs/>
                <w:sz w:val="22"/>
                <w:szCs w:val="22"/>
              </w:rPr>
            </w:pPr>
          </w:p>
          <w:p w14:paraId="1FE21D4C" w14:textId="77777777" w:rsidR="009B7EDC" w:rsidRPr="00230F35" w:rsidRDefault="009B7EDC" w:rsidP="00F23AFB">
            <w:pPr>
              <w:pStyle w:val="NormalWeb"/>
              <w:spacing w:before="0" w:beforeAutospacing="0" w:after="0" w:afterAutospacing="0"/>
              <w:ind w:right="-334"/>
              <w:rPr>
                <w:rFonts w:ascii="Arial" w:hAnsi="Arial" w:cs="Arial"/>
                <w:bCs/>
                <w:sz w:val="22"/>
                <w:szCs w:val="22"/>
              </w:rPr>
            </w:pPr>
          </w:p>
          <w:p w14:paraId="408AA195" w14:textId="77777777" w:rsidR="009B7EDC" w:rsidRDefault="009B7EDC" w:rsidP="00F23AFB">
            <w:pPr>
              <w:pStyle w:val="NormalWeb"/>
              <w:spacing w:before="0" w:beforeAutospacing="0" w:after="0" w:afterAutospacing="0"/>
              <w:ind w:right="-334"/>
              <w:rPr>
                <w:rFonts w:ascii="Arial" w:hAnsi="Arial" w:cs="Arial"/>
                <w:bCs/>
                <w:sz w:val="22"/>
                <w:szCs w:val="22"/>
              </w:rPr>
            </w:pPr>
          </w:p>
          <w:p w14:paraId="2165BB14" w14:textId="77777777" w:rsidR="009B7EDC" w:rsidRPr="00230F35" w:rsidRDefault="009B7EDC" w:rsidP="00F23AFB">
            <w:pPr>
              <w:pStyle w:val="NormalWeb"/>
              <w:spacing w:before="0" w:beforeAutospacing="0" w:after="0" w:afterAutospacing="0"/>
              <w:ind w:right="-334"/>
              <w:rPr>
                <w:rFonts w:ascii="Arial" w:hAnsi="Arial" w:cs="Arial"/>
                <w:bCs/>
                <w:sz w:val="22"/>
                <w:szCs w:val="22"/>
              </w:rPr>
            </w:pPr>
          </w:p>
          <w:p w14:paraId="56C6C1F6" w14:textId="77777777" w:rsidR="009B7EDC" w:rsidRPr="00230F35" w:rsidRDefault="009B7EDC" w:rsidP="00F23AFB">
            <w:pPr>
              <w:pStyle w:val="NormalWeb"/>
              <w:spacing w:before="0" w:beforeAutospacing="0" w:after="0" w:afterAutospacing="0"/>
              <w:ind w:right="-334"/>
              <w:rPr>
                <w:rFonts w:ascii="Arial" w:hAnsi="Arial" w:cs="Arial"/>
                <w:bCs/>
                <w:sz w:val="22"/>
                <w:szCs w:val="22"/>
              </w:rPr>
            </w:pPr>
          </w:p>
          <w:p w14:paraId="220BD016" w14:textId="77777777" w:rsidR="009B7EDC" w:rsidRPr="00230F35" w:rsidRDefault="009B7EDC" w:rsidP="00F23AFB">
            <w:pPr>
              <w:pStyle w:val="NormalWeb"/>
              <w:spacing w:before="0" w:beforeAutospacing="0" w:after="0" w:afterAutospacing="0"/>
              <w:ind w:right="-334"/>
              <w:rPr>
                <w:rFonts w:ascii="Arial" w:hAnsi="Arial" w:cs="Arial"/>
                <w:bCs/>
                <w:sz w:val="22"/>
                <w:szCs w:val="22"/>
              </w:rPr>
            </w:pPr>
          </w:p>
        </w:tc>
      </w:tr>
      <w:tr w:rsidR="009B7EDC" w:rsidRPr="002F467C" w14:paraId="5AEF9BBF" w14:textId="77777777" w:rsidTr="00F23AFB">
        <w:trPr>
          <w:trHeight w:val="720"/>
        </w:trPr>
        <w:tc>
          <w:tcPr>
            <w:tcW w:w="5211" w:type="dxa"/>
            <w:gridSpan w:val="2"/>
          </w:tcPr>
          <w:p w14:paraId="78338B7F" w14:textId="77777777" w:rsidR="009B7EDC" w:rsidRPr="00230F35" w:rsidRDefault="009B7EDC" w:rsidP="00F23AF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6C7B8D7B" w14:textId="77777777" w:rsidR="009B7EDC" w:rsidRPr="00230F35" w:rsidRDefault="009B7EDC" w:rsidP="00F23AF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9B7EDC" w:rsidRPr="002F467C" w14:paraId="500E46CD" w14:textId="77777777" w:rsidTr="00F23AFB">
        <w:trPr>
          <w:trHeight w:val="720"/>
        </w:trPr>
        <w:tc>
          <w:tcPr>
            <w:tcW w:w="8856" w:type="dxa"/>
            <w:gridSpan w:val="5"/>
          </w:tcPr>
          <w:p w14:paraId="3536D62A" w14:textId="77777777" w:rsidR="009B7EDC" w:rsidRPr="00B34964" w:rsidRDefault="009B7EDC" w:rsidP="00F23AFB">
            <w:pPr>
              <w:rPr>
                <w:rFonts w:ascii="Arial" w:hAnsi="Arial" w:cs="Arial"/>
                <w:b/>
              </w:rPr>
            </w:pPr>
            <w:r w:rsidRPr="00B34964">
              <w:rPr>
                <w:rFonts w:ascii="Arial" w:hAnsi="Arial" w:cs="Arial"/>
                <w:b/>
              </w:rPr>
              <w:t>External Examiner’s comments (if relevant)</w:t>
            </w:r>
          </w:p>
          <w:p w14:paraId="13C2D2B1" w14:textId="77777777" w:rsidR="009B7EDC" w:rsidRPr="00230F35" w:rsidRDefault="009B7EDC" w:rsidP="00F23AFB">
            <w:pPr>
              <w:pStyle w:val="NormalWeb"/>
              <w:spacing w:before="0" w:beforeAutospacing="0" w:after="0" w:afterAutospacing="0"/>
              <w:ind w:right="-334"/>
              <w:rPr>
                <w:rFonts w:ascii="Arial" w:hAnsi="Arial" w:cs="Arial"/>
                <w:bCs/>
                <w:sz w:val="22"/>
                <w:szCs w:val="22"/>
              </w:rPr>
            </w:pPr>
          </w:p>
          <w:p w14:paraId="34198414" w14:textId="77777777" w:rsidR="009B7EDC" w:rsidRPr="00230F35" w:rsidRDefault="009B7EDC" w:rsidP="00F23AFB">
            <w:pPr>
              <w:pStyle w:val="NormalWeb"/>
              <w:spacing w:before="0" w:beforeAutospacing="0" w:after="0" w:afterAutospacing="0"/>
              <w:ind w:right="-334"/>
              <w:rPr>
                <w:rFonts w:ascii="Arial" w:hAnsi="Arial" w:cs="Arial"/>
                <w:bCs/>
                <w:sz w:val="22"/>
                <w:szCs w:val="22"/>
              </w:rPr>
            </w:pPr>
          </w:p>
          <w:p w14:paraId="51ECBA72" w14:textId="77777777" w:rsidR="009B7EDC" w:rsidRPr="00230F35" w:rsidRDefault="009B7EDC" w:rsidP="00F23AFB">
            <w:pPr>
              <w:pStyle w:val="NormalWeb"/>
              <w:spacing w:before="0" w:beforeAutospacing="0" w:after="0" w:afterAutospacing="0"/>
              <w:ind w:right="-334"/>
              <w:rPr>
                <w:rFonts w:ascii="Arial" w:hAnsi="Arial" w:cs="Arial"/>
                <w:bCs/>
                <w:sz w:val="22"/>
                <w:szCs w:val="22"/>
              </w:rPr>
            </w:pPr>
          </w:p>
          <w:p w14:paraId="01B996B0" w14:textId="77777777" w:rsidR="009B7EDC" w:rsidRPr="00230F35" w:rsidRDefault="009B7EDC" w:rsidP="00F23AFB">
            <w:pPr>
              <w:pStyle w:val="NormalWeb"/>
              <w:spacing w:before="0" w:beforeAutospacing="0" w:after="0" w:afterAutospacing="0"/>
              <w:ind w:right="-334"/>
              <w:rPr>
                <w:rFonts w:ascii="Arial" w:hAnsi="Arial" w:cs="Arial"/>
                <w:bCs/>
                <w:sz w:val="22"/>
                <w:szCs w:val="22"/>
              </w:rPr>
            </w:pPr>
          </w:p>
          <w:p w14:paraId="47D6874C" w14:textId="77777777" w:rsidR="009B7EDC" w:rsidRPr="00230F35" w:rsidRDefault="009B7EDC" w:rsidP="00F23AFB">
            <w:pPr>
              <w:pStyle w:val="NormalWeb"/>
              <w:spacing w:before="0" w:beforeAutospacing="0" w:after="0" w:afterAutospacing="0"/>
              <w:ind w:right="-334"/>
              <w:rPr>
                <w:rFonts w:ascii="Arial" w:hAnsi="Arial" w:cs="Arial"/>
                <w:bCs/>
                <w:sz w:val="22"/>
                <w:szCs w:val="22"/>
              </w:rPr>
            </w:pPr>
          </w:p>
          <w:p w14:paraId="0C1152A5" w14:textId="77777777" w:rsidR="009B7EDC" w:rsidRPr="00230F35" w:rsidRDefault="009B7EDC" w:rsidP="00F23AFB">
            <w:pPr>
              <w:pStyle w:val="NormalWeb"/>
              <w:spacing w:before="0" w:beforeAutospacing="0" w:after="0" w:afterAutospacing="0"/>
              <w:ind w:right="-334"/>
              <w:rPr>
                <w:rFonts w:ascii="Arial" w:hAnsi="Arial" w:cs="Arial"/>
                <w:bCs/>
                <w:sz w:val="22"/>
                <w:szCs w:val="22"/>
              </w:rPr>
            </w:pPr>
          </w:p>
          <w:p w14:paraId="0F9C3ADE" w14:textId="77777777" w:rsidR="009B7EDC" w:rsidRPr="00230F35" w:rsidRDefault="009B7EDC" w:rsidP="00F23AFB">
            <w:pPr>
              <w:pStyle w:val="NormalWeb"/>
              <w:spacing w:before="0" w:beforeAutospacing="0" w:after="0" w:afterAutospacing="0"/>
              <w:ind w:right="-334"/>
              <w:rPr>
                <w:rFonts w:ascii="Arial" w:hAnsi="Arial" w:cs="Arial"/>
                <w:bCs/>
                <w:sz w:val="22"/>
                <w:szCs w:val="22"/>
              </w:rPr>
            </w:pPr>
          </w:p>
          <w:p w14:paraId="778B0F97" w14:textId="77777777" w:rsidR="009B7EDC" w:rsidRPr="00230F35" w:rsidRDefault="009B7EDC" w:rsidP="00F23AFB">
            <w:pPr>
              <w:pStyle w:val="NormalWeb"/>
              <w:spacing w:before="0" w:beforeAutospacing="0" w:after="0" w:afterAutospacing="0"/>
              <w:ind w:right="-334"/>
              <w:rPr>
                <w:rFonts w:ascii="Arial" w:hAnsi="Arial" w:cs="Arial"/>
                <w:bCs/>
                <w:sz w:val="22"/>
                <w:szCs w:val="22"/>
              </w:rPr>
            </w:pPr>
          </w:p>
          <w:p w14:paraId="2CE215DC" w14:textId="77777777" w:rsidR="009B7EDC" w:rsidRDefault="009B7EDC" w:rsidP="00F23AFB">
            <w:pPr>
              <w:pStyle w:val="NormalWeb"/>
              <w:spacing w:before="0" w:beforeAutospacing="0" w:after="0" w:afterAutospacing="0"/>
              <w:ind w:right="-334"/>
              <w:rPr>
                <w:rFonts w:ascii="Arial" w:hAnsi="Arial" w:cs="Arial"/>
                <w:bCs/>
                <w:sz w:val="22"/>
                <w:szCs w:val="22"/>
              </w:rPr>
            </w:pPr>
          </w:p>
          <w:p w14:paraId="786D5217" w14:textId="77777777" w:rsidR="009B7EDC" w:rsidRPr="00230F35" w:rsidRDefault="009B7EDC" w:rsidP="00F23AFB">
            <w:pPr>
              <w:pStyle w:val="NormalWeb"/>
              <w:spacing w:before="0" w:beforeAutospacing="0" w:after="0" w:afterAutospacing="0"/>
              <w:ind w:right="-334"/>
              <w:rPr>
                <w:rFonts w:ascii="Arial" w:hAnsi="Arial" w:cs="Arial"/>
                <w:bCs/>
                <w:sz w:val="22"/>
                <w:szCs w:val="22"/>
              </w:rPr>
            </w:pPr>
          </w:p>
          <w:p w14:paraId="14F32CE7" w14:textId="77777777" w:rsidR="009B7EDC" w:rsidRPr="00230F35" w:rsidRDefault="009B7EDC" w:rsidP="00F23AFB">
            <w:pPr>
              <w:pStyle w:val="NormalWeb"/>
              <w:spacing w:before="0" w:beforeAutospacing="0" w:after="0" w:afterAutospacing="0"/>
              <w:ind w:right="-334"/>
              <w:rPr>
                <w:rFonts w:ascii="Arial" w:hAnsi="Arial" w:cs="Arial"/>
                <w:bCs/>
                <w:sz w:val="22"/>
                <w:szCs w:val="22"/>
              </w:rPr>
            </w:pPr>
          </w:p>
        </w:tc>
      </w:tr>
      <w:tr w:rsidR="009B7EDC" w:rsidRPr="002F467C" w14:paraId="76EF14BA" w14:textId="77777777" w:rsidTr="00F23AFB">
        <w:trPr>
          <w:trHeight w:val="720"/>
        </w:trPr>
        <w:tc>
          <w:tcPr>
            <w:tcW w:w="5211" w:type="dxa"/>
            <w:gridSpan w:val="2"/>
          </w:tcPr>
          <w:p w14:paraId="4EBEF8BE" w14:textId="77777777" w:rsidR="009B7EDC" w:rsidRPr="00230F35" w:rsidRDefault="009B7EDC" w:rsidP="00F23AFB">
            <w:pPr>
              <w:rPr>
                <w:rFonts w:ascii="Arial" w:hAnsi="Arial" w:cs="Arial"/>
              </w:rPr>
            </w:pPr>
            <w:r w:rsidRPr="00230F35">
              <w:rPr>
                <w:rFonts w:ascii="Arial" w:hAnsi="Arial" w:cs="Arial"/>
              </w:rPr>
              <w:t>External Examiner’s Signature:</w:t>
            </w:r>
          </w:p>
        </w:tc>
        <w:tc>
          <w:tcPr>
            <w:tcW w:w="3645" w:type="dxa"/>
            <w:gridSpan w:val="3"/>
          </w:tcPr>
          <w:p w14:paraId="0F597BCD" w14:textId="77777777" w:rsidR="009B7EDC" w:rsidRPr="00230F35" w:rsidRDefault="009B7EDC" w:rsidP="00F23AFB">
            <w:pPr>
              <w:rPr>
                <w:rFonts w:ascii="Arial" w:hAnsi="Arial" w:cs="Arial"/>
              </w:rPr>
            </w:pPr>
            <w:r w:rsidRPr="00230F35">
              <w:rPr>
                <w:rFonts w:ascii="Arial" w:hAnsi="Arial" w:cs="Arial"/>
              </w:rPr>
              <w:t>Date:</w:t>
            </w:r>
          </w:p>
        </w:tc>
      </w:tr>
    </w:tbl>
    <w:p w14:paraId="4CFB18AF" w14:textId="77777777" w:rsidR="009B7EDC" w:rsidRPr="00D67BF8" w:rsidRDefault="009B7EDC" w:rsidP="009B7EDC">
      <w:pPr>
        <w:pStyle w:val="NormalWeb"/>
        <w:spacing w:before="0" w:beforeAutospacing="0" w:after="0" w:afterAutospacing="0"/>
        <w:ind w:right="-334"/>
        <w:rPr>
          <w:rFonts w:ascii="Trebuchet MS" w:hAnsi="Trebuchet MS" w:cs="Tahoma"/>
          <w:bCs/>
          <w:sz w:val="24"/>
          <w:szCs w:val="24"/>
        </w:rPr>
      </w:pPr>
    </w:p>
    <w:p w14:paraId="57EEC7D1" w14:textId="77777777" w:rsidR="009B7EDC" w:rsidRDefault="009B7EDC" w:rsidP="009B7EDC"/>
    <w:p w14:paraId="7E747962" w14:textId="77777777" w:rsidR="009B7EDC" w:rsidRDefault="009B7EDC" w:rsidP="009B7EDC">
      <w:pPr>
        <w:jc w:val="center"/>
      </w:pPr>
    </w:p>
    <w:p w14:paraId="5561AA59" w14:textId="77777777" w:rsidR="009B7EDC" w:rsidRDefault="009B7EDC" w:rsidP="009B7EDC">
      <w:pPr>
        <w:jc w:val="center"/>
      </w:pPr>
    </w:p>
    <w:p w14:paraId="1ED0FB04" w14:textId="77777777" w:rsidR="009B7EDC" w:rsidRDefault="009B7EDC" w:rsidP="009B7EDC">
      <w:pPr>
        <w:jc w:val="center"/>
      </w:pPr>
    </w:p>
    <w:p w14:paraId="523A8465" w14:textId="77777777" w:rsidR="009B7EDC" w:rsidRDefault="009B7EDC" w:rsidP="009B7EDC">
      <w:pPr>
        <w:jc w:val="center"/>
      </w:pPr>
    </w:p>
    <w:p w14:paraId="29F5FC85" w14:textId="77777777" w:rsidR="009B7EDC" w:rsidRDefault="009B7EDC" w:rsidP="009B7EDC">
      <w:pPr>
        <w:jc w:val="center"/>
      </w:pPr>
    </w:p>
    <w:p w14:paraId="5CE54E62" w14:textId="77777777" w:rsidR="009B7EDC" w:rsidRDefault="009B7EDC" w:rsidP="009B7EDC">
      <w:pPr>
        <w:jc w:val="center"/>
      </w:pPr>
    </w:p>
    <w:p w14:paraId="63FCFE29" w14:textId="77777777" w:rsidR="009B7EDC" w:rsidRDefault="009B7EDC" w:rsidP="009B7EDC">
      <w:pPr>
        <w:jc w:val="center"/>
      </w:pPr>
    </w:p>
    <w:p w14:paraId="7BAF4EB2" w14:textId="77777777" w:rsidR="009B7EDC" w:rsidRDefault="009B7EDC" w:rsidP="009B7EDC">
      <w:pPr>
        <w:jc w:val="center"/>
      </w:pPr>
    </w:p>
    <w:p w14:paraId="0F6B00C6" w14:textId="77777777" w:rsidR="009B7EDC" w:rsidRDefault="009B7EDC" w:rsidP="009B7EDC">
      <w:pPr>
        <w:jc w:val="center"/>
      </w:pPr>
    </w:p>
    <w:p w14:paraId="17095405" w14:textId="77777777" w:rsidR="009B7EDC" w:rsidRDefault="009B7EDC" w:rsidP="009B7EDC">
      <w:pPr>
        <w:jc w:val="center"/>
      </w:pPr>
    </w:p>
    <w:p w14:paraId="5BE8FE1C" w14:textId="77777777" w:rsidR="009B7EDC" w:rsidRDefault="009B7EDC" w:rsidP="009B7EDC">
      <w:pPr>
        <w:jc w:val="center"/>
      </w:pPr>
    </w:p>
    <w:p w14:paraId="14695E27" w14:textId="77777777" w:rsidR="009B7EDC" w:rsidRDefault="009B7EDC" w:rsidP="009B7EDC">
      <w:pPr>
        <w:jc w:val="center"/>
      </w:pPr>
    </w:p>
    <w:p w14:paraId="294DB9D0" w14:textId="77777777" w:rsidR="009B7EDC" w:rsidRDefault="009B7EDC" w:rsidP="009B7EDC">
      <w:pPr>
        <w:jc w:val="center"/>
      </w:pPr>
    </w:p>
    <w:p w14:paraId="25DE2A85" w14:textId="77777777" w:rsidR="009B7EDC" w:rsidRDefault="009B7EDC" w:rsidP="009B7EDC">
      <w:pPr>
        <w:jc w:val="center"/>
      </w:pPr>
    </w:p>
    <w:p w14:paraId="5711EE81" w14:textId="77777777" w:rsidR="009B7EDC" w:rsidRDefault="009B7EDC" w:rsidP="009B7EDC">
      <w:pPr>
        <w:jc w:val="center"/>
      </w:pPr>
    </w:p>
    <w:p w14:paraId="65F7C1EC" w14:textId="77777777" w:rsidR="009B7EDC" w:rsidRDefault="009B7EDC" w:rsidP="009B7EDC">
      <w:pPr>
        <w:jc w:val="center"/>
      </w:pPr>
    </w:p>
    <w:p w14:paraId="6CD76C9F" w14:textId="77777777" w:rsidR="009B7EDC" w:rsidRDefault="009B7EDC" w:rsidP="009B7EDC">
      <w:pPr>
        <w:jc w:val="center"/>
      </w:pPr>
    </w:p>
    <w:p w14:paraId="1F6F1390" w14:textId="77777777" w:rsidR="009B7EDC" w:rsidRDefault="009B7EDC" w:rsidP="009B7EDC">
      <w:pPr>
        <w:jc w:val="center"/>
        <w:sectPr w:rsidR="009B7EDC" w:rsidSect="00A544A8">
          <w:headerReference w:type="default" r:id="rId8"/>
          <w:footerReference w:type="default" r:id="rId9"/>
          <w:headerReference w:type="first" r:id="rId10"/>
          <w:footerReference w:type="first" r:id="rId11"/>
          <w:pgSz w:w="12240" w:h="15840"/>
          <w:pgMar w:top="1440" w:right="1440" w:bottom="1440" w:left="1440" w:header="576" w:footer="720" w:gutter="0"/>
          <w:pgNumType w:start="4"/>
          <w:cols w:space="720"/>
          <w:titlePg/>
          <w:docGrid w:linePitch="360"/>
        </w:sectPr>
      </w:pPr>
    </w:p>
    <w:bookmarkEnd w:id="0"/>
    <w:p w14:paraId="7FD93FC4" w14:textId="7F78EEA4" w:rsidR="00C13E83" w:rsidRDefault="00C13E83" w:rsidP="00C13E83">
      <w:pPr>
        <w:jc w:val="center"/>
      </w:pPr>
      <w:r>
        <w:lastRenderedPageBreak/>
        <w:t xml:space="preserve">A Critical </w:t>
      </w:r>
      <w:r w:rsidR="00F53D6F">
        <w:t>Review of Three Primary Source Documents (Assignment 1)</w:t>
      </w:r>
    </w:p>
    <w:p w14:paraId="4C703AEA" w14:textId="11F867CC" w:rsidR="00C13E83" w:rsidRDefault="00C13E83" w:rsidP="00C13E83">
      <w:pPr>
        <w:jc w:val="center"/>
      </w:pPr>
      <w:r>
        <w:t xml:space="preserve">Word Count: </w:t>
      </w:r>
      <w:r w:rsidR="00726C18">
        <w:t>2,065</w:t>
      </w:r>
    </w:p>
    <w:p w14:paraId="0890EE77" w14:textId="3FAAB8A3" w:rsidR="00C13E83" w:rsidRDefault="00C13E83" w:rsidP="00C032CF">
      <w:pPr>
        <w:ind w:firstLine="720"/>
      </w:pPr>
      <w:r>
        <w:t xml:space="preserve">This essay compares and contrasts the astrological treatment of the </w:t>
      </w:r>
      <w:r w:rsidR="00441445">
        <w:t>s</w:t>
      </w:r>
      <w:r>
        <w:t xml:space="preserve">un in Claudius Ptolemy’s </w:t>
      </w:r>
      <w:proofErr w:type="spellStart"/>
      <w:r w:rsidR="00503D3D">
        <w:rPr>
          <w:i/>
          <w:iCs/>
        </w:rPr>
        <w:t>Centiloquium</w:t>
      </w:r>
      <w:proofErr w:type="spellEnd"/>
      <w:r>
        <w:t xml:space="preserve">, Alan Leo’s </w:t>
      </w:r>
      <w:r w:rsidRPr="00FA6674">
        <w:rPr>
          <w:i/>
          <w:iCs/>
        </w:rPr>
        <w:t>Astrology for All</w:t>
      </w:r>
      <w:r>
        <w:t>, and Liz Greene</w:t>
      </w:r>
      <w:r w:rsidR="00503D3D">
        <w:t xml:space="preserve"> and Howard </w:t>
      </w:r>
      <w:proofErr w:type="spellStart"/>
      <w:r w:rsidR="00503D3D">
        <w:t>Sasportas</w:t>
      </w:r>
      <w:proofErr w:type="spellEnd"/>
      <w:r>
        <w:t xml:space="preserve">’ </w:t>
      </w:r>
      <w:r w:rsidRPr="00FA6674">
        <w:rPr>
          <w:i/>
          <w:iCs/>
        </w:rPr>
        <w:t>The Luminaries</w:t>
      </w:r>
      <w:r>
        <w:t>.</w:t>
      </w:r>
      <w:r w:rsidR="00334120">
        <w:rPr>
          <w:rStyle w:val="FootnoteReference"/>
        </w:rPr>
        <w:footnoteReference w:id="1"/>
      </w:r>
      <w:r>
        <w:t xml:space="preserve">  </w:t>
      </w:r>
      <w:r w:rsidR="000F2059">
        <w:t>It</w:t>
      </w:r>
      <w:r w:rsidR="00726C18">
        <w:t xml:space="preserve">s aim is to accomplish this comparison by </w:t>
      </w:r>
      <w:r w:rsidR="000F2059">
        <w:t>focus</w:t>
      </w:r>
      <w:r w:rsidR="00726C18">
        <w:t>ing</w:t>
      </w:r>
      <w:r w:rsidR="000F2059">
        <w:t xml:space="preserve"> on the themes of </w:t>
      </w:r>
      <w:r w:rsidR="00817805">
        <w:t xml:space="preserve">what the sun signifies, its relationship with the moon, and </w:t>
      </w:r>
      <w:r w:rsidR="00894441">
        <w:t>the meaning, if any, of eclipses in the</w:t>
      </w:r>
      <w:r w:rsidR="00503D3D">
        <w:t xml:space="preserve">ir </w:t>
      </w:r>
      <w:proofErr w:type="spellStart"/>
      <w:r w:rsidR="00503D3D">
        <w:t>astrologies</w:t>
      </w:r>
      <w:proofErr w:type="spellEnd"/>
      <w:r w:rsidR="00817805">
        <w:t>.</w:t>
      </w:r>
    </w:p>
    <w:p w14:paraId="73D93285" w14:textId="168ADDA8" w:rsidR="004D121C" w:rsidRDefault="00C13E83" w:rsidP="00C032CF">
      <w:pPr>
        <w:ind w:firstLine="720"/>
      </w:pPr>
      <w:r>
        <w:t xml:space="preserve">Born in 100 CE in Alexandria, Egypt, </w:t>
      </w:r>
      <w:r w:rsidR="003A18E7">
        <w:t xml:space="preserve">and heavily influenced by Plato and Aristotle, </w:t>
      </w:r>
      <w:r>
        <w:t>Claudius Ptolemy was a seminal astronomer, mathematician, geographer, natural philosopher, and astrologer.  He is known for many important and influential works in these fields, one of the</w:t>
      </w:r>
      <w:r w:rsidR="00F23AFB">
        <w:t xml:space="preserve">m </w:t>
      </w:r>
      <w:r>
        <w:t xml:space="preserve">being his </w:t>
      </w:r>
      <w:proofErr w:type="spellStart"/>
      <w:r w:rsidR="00F23AFB">
        <w:rPr>
          <w:i/>
          <w:iCs/>
        </w:rPr>
        <w:t>Centiloquium</w:t>
      </w:r>
      <w:proofErr w:type="spellEnd"/>
      <w:r w:rsidR="00FA6674">
        <w:t xml:space="preserve"> written in the 2</w:t>
      </w:r>
      <w:r w:rsidR="00FA6674" w:rsidRPr="00FA6674">
        <w:rPr>
          <w:vertAlign w:val="superscript"/>
        </w:rPr>
        <w:t>nd</w:t>
      </w:r>
      <w:r w:rsidR="00FA6674">
        <w:t xml:space="preserve"> century C.E</w:t>
      </w:r>
      <w:r>
        <w:t xml:space="preserve">.  In </w:t>
      </w:r>
      <w:r w:rsidR="00F23AFB">
        <w:t>the</w:t>
      </w:r>
      <w:r>
        <w:t xml:space="preserve"> introduction to </w:t>
      </w:r>
      <w:r w:rsidR="00F23AFB">
        <w:t>her</w:t>
      </w:r>
      <w:r>
        <w:t xml:space="preserve"> </w:t>
      </w:r>
      <w:r w:rsidR="00F23AFB">
        <w:t>transcription</w:t>
      </w:r>
      <w:r>
        <w:t xml:space="preserve"> of the </w:t>
      </w:r>
      <w:proofErr w:type="spellStart"/>
      <w:r w:rsidR="00F23AFB">
        <w:rPr>
          <w:i/>
          <w:iCs/>
        </w:rPr>
        <w:t>Centiloquium</w:t>
      </w:r>
      <w:proofErr w:type="spellEnd"/>
      <w:r>
        <w:t xml:space="preserve">, </w:t>
      </w:r>
      <w:r w:rsidR="00F23AFB">
        <w:t>Deborah Houlding</w:t>
      </w:r>
      <w:r>
        <w:t xml:space="preserve"> says this work “</w:t>
      </w:r>
      <w:r w:rsidR="00F23AFB">
        <w:t>is an important astrological treatise</w:t>
      </w:r>
      <w:r>
        <w:t>”</w:t>
      </w:r>
      <w:r w:rsidR="00F23AFB">
        <w:t xml:space="preserve"> due to its “substantial historical heritage”, </w:t>
      </w:r>
      <w:r w:rsidR="00A37AB3">
        <w:t>the earliest known use of which comes from the 9</w:t>
      </w:r>
      <w:r w:rsidR="00A37AB3" w:rsidRPr="00A37AB3">
        <w:rPr>
          <w:vertAlign w:val="superscript"/>
        </w:rPr>
        <w:t>th</w:t>
      </w:r>
      <w:r w:rsidR="00A37AB3">
        <w:t xml:space="preserve"> century C.E.</w:t>
      </w:r>
      <w:r w:rsidR="008A00FB">
        <w:t xml:space="preserve"> in a commentary from </w:t>
      </w:r>
      <w:r w:rsidR="00503D3D">
        <w:t xml:space="preserve">famed </w:t>
      </w:r>
      <w:r w:rsidR="008A00FB">
        <w:t xml:space="preserve">mathematician </w:t>
      </w:r>
      <w:r w:rsidR="008A00FB" w:rsidRPr="008A00FB">
        <w:t>Ahmed ibn Yusuf al-</w:t>
      </w:r>
      <w:proofErr w:type="spellStart"/>
      <w:r w:rsidR="008A00FB" w:rsidRPr="008A00FB">
        <w:t>Misri</w:t>
      </w:r>
      <w:proofErr w:type="spellEnd"/>
      <w:r w:rsidR="00503D3D">
        <w:t>.</w:t>
      </w:r>
      <w:r w:rsidR="00A37AB3">
        <w:rPr>
          <w:rStyle w:val="FootnoteReference"/>
        </w:rPr>
        <w:footnoteReference w:id="2"/>
      </w:r>
      <w:r w:rsidR="00F23AFB">
        <w:t xml:space="preserve"> </w:t>
      </w:r>
      <w:r>
        <w:t xml:space="preserve"> </w:t>
      </w:r>
      <w:r w:rsidR="008A00FB">
        <w:t xml:space="preserve">Originally written in Greek, the </w:t>
      </w:r>
      <w:proofErr w:type="spellStart"/>
      <w:r w:rsidR="008A00FB" w:rsidRPr="008A00FB">
        <w:rPr>
          <w:i/>
          <w:iCs/>
        </w:rPr>
        <w:t>Centiloquium</w:t>
      </w:r>
      <w:proofErr w:type="spellEnd"/>
      <w:r w:rsidR="008A00FB">
        <w:t xml:space="preserve"> was translated into Latin in the 12</w:t>
      </w:r>
      <w:r w:rsidR="008A00FB" w:rsidRPr="008A00FB">
        <w:rPr>
          <w:vertAlign w:val="superscript"/>
        </w:rPr>
        <w:t>th</w:t>
      </w:r>
      <w:r w:rsidR="008A00FB">
        <w:t xml:space="preserve"> century C.E. and </w:t>
      </w:r>
      <w:r w:rsidR="009010C6">
        <w:t>was</w:t>
      </w:r>
      <w:r w:rsidR="008A00FB">
        <w:t xml:space="preserve"> attached </w:t>
      </w:r>
      <w:r w:rsidR="009010C6">
        <w:t xml:space="preserve">at the back of </w:t>
      </w:r>
      <w:r w:rsidR="00503D3D">
        <w:t>Ptolemy’s</w:t>
      </w:r>
      <w:r w:rsidR="009010C6">
        <w:t xml:space="preserve"> seminal work, </w:t>
      </w:r>
      <w:proofErr w:type="spellStart"/>
      <w:r w:rsidR="009010C6" w:rsidRPr="009010C6">
        <w:rPr>
          <w:i/>
          <w:iCs/>
        </w:rPr>
        <w:t>Tetrabiblos</w:t>
      </w:r>
      <w:proofErr w:type="spellEnd"/>
      <w:r w:rsidR="009010C6">
        <w:t>,</w:t>
      </w:r>
      <w:r w:rsidR="009010C6">
        <w:rPr>
          <w:i/>
          <w:iCs/>
        </w:rPr>
        <w:t xml:space="preserve"> </w:t>
      </w:r>
      <w:r w:rsidR="009010C6">
        <w:t>for circulation.</w:t>
      </w:r>
      <w:r w:rsidR="009010C6">
        <w:rPr>
          <w:rStyle w:val="FootnoteReference"/>
        </w:rPr>
        <w:footnoteReference w:id="3"/>
      </w:r>
      <w:r w:rsidR="009010C6">
        <w:t xml:space="preserve">  </w:t>
      </w:r>
      <w:r w:rsidR="008A00FB">
        <w:t xml:space="preserve"> </w:t>
      </w:r>
      <w:r w:rsidR="00A37AB3">
        <w:t xml:space="preserve">Ptolemy’s influence was massive </w:t>
      </w:r>
      <w:r>
        <w:t>for</w:t>
      </w:r>
      <w:r w:rsidR="00A37AB3">
        <w:t xml:space="preserve"> well</w:t>
      </w:r>
      <w:r>
        <w:t xml:space="preserve"> over a thousand years and </w:t>
      </w:r>
      <w:r w:rsidR="00A37AB3">
        <w:t>he</w:t>
      </w:r>
      <w:r w:rsidR="003A18E7">
        <w:t xml:space="preserve"> himself </w:t>
      </w:r>
      <w:r>
        <w:t>was reverently referred to as “The divine Ptolemy”.</w:t>
      </w:r>
      <w:r w:rsidR="00334120">
        <w:rPr>
          <w:rStyle w:val="FootnoteReference"/>
        </w:rPr>
        <w:footnoteReference w:id="4"/>
      </w:r>
      <w:r>
        <w:t xml:space="preserve">   Although there are parts of this work with simpler language that do not require technical familiarity, </w:t>
      </w:r>
      <w:proofErr w:type="spellStart"/>
      <w:r w:rsidR="00A37AB3">
        <w:rPr>
          <w:i/>
          <w:iCs/>
        </w:rPr>
        <w:t>Centiloquium</w:t>
      </w:r>
      <w:proofErr w:type="spellEnd"/>
      <w:r>
        <w:t xml:space="preserve"> is written mostly for a scholarly, mathematically-minded audience who has advanced knowledge of </w:t>
      </w:r>
      <w:r w:rsidR="003E680D">
        <w:t xml:space="preserve">astronomy, </w:t>
      </w:r>
      <w:r>
        <w:t>astrology</w:t>
      </w:r>
      <w:r w:rsidR="003E680D">
        <w:t>,</w:t>
      </w:r>
      <w:r>
        <w:t xml:space="preserve"> and natural science.  A reader would also need </w:t>
      </w:r>
      <w:r w:rsidR="008A00FB">
        <w:t>a good grasp of</w:t>
      </w:r>
      <w:r>
        <w:t xml:space="preserve"> language as Ptolemy has a tendency toward complex sentence structures</w:t>
      </w:r>
      <w:r w:rsidR="00334120">
        <w:t xml:space="preserve"> and </w:t>
      </w:r>
      <w:r w:rsidR="00DB64D7">
        <w:t xml:space="preserve">verbose </w:t>
      </w:r>
      <w:r w:rsidR="00334120">
        <w:t>explanations.</w:t>
      </w:r>
      <w:r w:rsidR="00334120">
        <w:rPr>
          <w:rStyle w:val="FootnoteReference"/>
        </w:rPr>
        <w:footnoteReference w:id="5"/>
      </w:r>
      <w:r w:rsidR="00334120">
        <w:t xml:space="preserve">  </w:t>
      </w:r>
      <w:r w:rsidR="001A2979">
        <w:t xml:space="preserve">Ptolemy believed that astrology could be used to “perceive the general quality” of someone’s character, and “predict occasional events”, arguing that the sky’s premonitory capacity </w:t>
      </w:r>
      <w:r w:rsidR="00441445">
        <w:t xml:space="preserve">already reliably </w:t>
      </w:r>
      <w:r w:rsidR="001A2979">
        <w:t>allows humans to anticipate other certainties such as weather patterns and seasonal changes.</w:t>
      </w:r>
      <w:r w:rsidR="001A2979">
        <w:rPr>
          <w:rStyle w:val="FootnoteReference"/>
        </w:rPr>
        <w:footnoteReference w:id="6"/>
      </w:r>
      <w:r w:rsidR="00650DC0">
        <w:t xml:space="preserve">  The </w:t>
      </w:r>
      <w:proofErr w:type="spellStart"/>
      <w:r w:rsidR="00A37AB3">
        <w:rPr>
          <w:i/>
          <w:iCs/>
        </w:rPr>
        <w:t>Centiloquium</w:t>
      </w:r>
      <w:proofErr w:type="spellEnd"/>
      <w:r w:rsidR="00650DC0">
        <w:t xml:space="preserve"> </w:t>
      </w:r>
      <w:r w:rsidR="00A37AB3">
        <w:t>showcases 100 of Ptolemy’s foundational beliefs and observations in astrology when using it for divinatory purposes.</w:t>
      </w:r>
    </w:p>
    <w:p w14:paraId="35FD5A78" w14:textId="177DCD27" w:rsidR="00C032CF" w:rsidRDefault="003A18E7" w:rsidP="00442356">
      <w:pPr>
        <w:ind w:firstLine="720"/>
      </w:pPr>
      <w:r>
        <w:t xml:space="preserve">Alan Leo, born in London in 1860 C.E., </w:t>
      </w:r>
      <w:r w:rsidR="00D43270">
        <w:t xml:space="preserve">believed that “astrology could be the salvation of humanity”, and </w:t>
      </w:r>
      <w:r w:rsidR="00B83175">
        <w:t xml:space="preserve">successfully </w:t>
      </w:r>
      <w:r w:rsidR="00D43270">
        <w:t xml:space="preserve">revived interest in the field of astrology in his </w:t>
      </w:r>
      <w:r w:rsidR="00B83175">
        <w:t xml:space="preserve">commercial </w:t>
      </w:r>
      <w:r w:rsidR="00D43270">
        <w:t>efforts to bring it to the greater public.</w:t>
      </w:r>
      <w:r w:rsidR="00D43270">
        <w:rPr>
          <w:rStyle w:val="FootnoteReference"/>
        </w:rPr>
        <w:footnoteReference w:id="7"/>
      </w:r>
      <w:r w:rsidR="00B83175">
        <w:t xml:space="preserve">  Leo was primarily influenced by Theosophy and the Russian astrologer and co-founder of the Theosophist Society, Helena (Madame) Blavatsky (1831 – 1891)</w:t>
      </w:r>
      <w:r w:rsidR="0064245E">
        <w:t xml:space="preserve">, in particular her ideas </w:t>
      </w:r>
      <w:r w:rsidR="00441445">
        <w:t>about</w:t>
      </w:r>
      <w:r w:rsidR="0064245E">
        <w:t xml:space="preserve"> sun-signs</w:t>
      </w:r>
      <w:r w:rsidR="00B83175">
        <w:t>.</w:t>
      </w:r>
      <w:r w:rsidR="0064245E">
        <w:rPr>
          <w:rStyle w:val="FootnoteReference"/>
        </w:rPr>
        <w:footnoteReference w:id="8"/>
      </w:r>
      <w:r w:rsidR="00B83175">
        <w:t xml:space="preserve">  </w:t>
      </w:r>
      <w:r w:rsidR="00442356">
        <w:t>In contrast to Ptolemy, Leo’s</w:t>
      </w:r>
      <w:r w:rsidR="00DA2580">
        <w:t xml:space="preserve"> writing</w:t>
      </w:r>
      <w:r w:rsidR="00442356">
        <w:t xml:space="preserve"> purposefully</w:t>
      </w:r>
      <w:r w:rsidR="00DA2580">
        <w:t xml:space="preserve"> targets a more general audience</w:t>
      </w:r>
      <w:r w:rsidR="00442356">
        <w:t xml:space="preserve">. In the preface to the fourth edition of </w:t>
      </w:r>
      <w:r w:rsidR="00442356" w:rsidRPr="00442356">
        <w:rPr>
          <w:i/>
          <w:iCs/>
        </w:rPr>
        <w:t>Astrology for All</w:t>
      </w:r>
      <w:r w:rsidR="00442356">
        <w:t>, he writes that because of this book</w:t>
      </w:r>
      <w:r w:rsidR="00503D3D">
        <w:t xml:space="preserve"> </w:t>
      </w:r>
      <w:r w:rsidR="00442356">
        <w:t xml:space="preserve">the layperson is </w:t>
      </w:r>
      <w:r w:rsidR="00442356">
        <w:lastRenderedPageBreak/>
        <w:t>now able to “learn a great deal concerning science” that before had been inaccessible to common people due to its complex mathematical content, and that the “success of this work is due to its simplicity of expression”.</w:t>
      </w:r>
      <w:r w:rsidR="00442356">
        <w:rPr>
          <w:rStyle w:val="FootnoteReference"/>
        </w:rPr>
        <w:footnoteReference w:id="9"/>
      </w:r>
      <w:r w:rsidR="00442356">
        <w:t xml:space="preserve">  </w:t>
      </w:r>
      <w:r w:rsidR="00470870">
        <w:t>Leo was concerned with disseminating what he saw as a crucial strategy for mitigating the effects of karma.  He believed that</w:t>
      </w:r>
      <w:r w:rsidR="00DA2D63">
        <w:t xml:space="preserve"> through astrology</w:t>
      </w:r>
      <w:r w:rsidR="00470870">
        <w:t xml:space="preserve"> he could assist those </w:t>
      </w:r>
      <w:r w:rsidR="00DA2D63">
        <w:t xml:space="preserve">being punished with destitution and illness for transgressions in past lives by </w:t>
      </w:r>
      <w:r w:rsidR="00470870">
        <w:t xml:space="preserve">ensuring their next life would be </w:t>
      </w:r>
      <w:r w:rsidR="00DA2D63">
        <w:t>improved</w:t>
      </w:r>
      <w:r w:rsidR="00470870">
        <w:t xml:space="preserve"> </w:t>
      </w:r>
      <w:r w:rsidR="00DA2D63">
        <w:t xml:space="preserve">as a result of their </w:t>
      </w:r>
      <w:r w:rsidR="0064245E">
        <w:t xml:space="preserve">present-life’s </w:t>
      </w:r>
      <w:r w:rsidR="00DA2D63">
        <w:t>spiritual growth.</w:t>
      </w:r>
      <w:r w:rsidR="00DA2D63">
        <w:rPr>
          <w:rStyle w:val="FootnoteReference"/>
        </w:rPr>
        <w:footnoteReference w:id="10"/>
      </w:r>
      <w:r w:rsidR="00DA2D63">
        <w:t xml:space="preserve">  </w:t>
      </w:r>
      <w:r w:rsidR="0064245E">
        <w:t>For Leo, promoting and teaching astrology was not an academic pursuit but a moral one.</w:t>
      </w:r>
    </w:p>
    <w:p w14:paraId="26D311EE" w14:textId="5159FB27" w:rsidR="0064245E" w:rsidRDefault="00483907" w:rsidP="00442356">
      <w:pPr>
        <w:ind w:firstLine="720"/>
      </w:pPr>
      <w:r>
        <w:t xml:space="preserve">Liz Greene is an American-born (1946) psychologist and astrologer who, similarly to Alan Leo, writes in a </w:t>
      </w:r>
      <w:r w:rsidR="008A00FB">
        <w:t>style</w:t>
      </w:r>
      <w:r>
        <w:t xml:space="preserve"> that can be understood by a wider readership than that of Ptolemy.  </w:t>
      </w:r>
      <w:r w:rsidR="000F2059">
        <w:t xml:space="preserve">Also similar to Leo’s teachings is Greene’s sun-centered astrology.  </w:t>
      </w:r>
      <w:r>
        <w:t>As a Jungian analyst, Greene applies depth-psychology to astrology through Carl Jung’s theory of archetypes.</w:t>
      </w:r>
      <w:r w:rsidR="00740CB3">
        <w:t xml:space="preserve">  Because of her background in psychology, Greene’s astrology is growth-oriented rather than deterministic.  In the introduction to </w:t>
      </w:r>
      <w:r w:rsidR="00740CB3" w:rsidRPr="00740CB3">
        <w:rPr>
          <w:i/>
          <w:iCs/>
        </w:rPr>
        <w:t>The Luminaries</w:t>
      </w:r>
      <w:r w:rsidR="00740CB3">
        <w:t xml:space="preserve">, Greene writes “any astrological factor is a process” and an individual </w:t>
      </w:r>
      <w:r w:rsidR="00CA12A7">
        <w:t>“is not static, but moves through life in an unending process of change and development”.</w:t>
      </w:r>
      <w:r w:rsidR="00CA12A7">
        <w:rPr>
          <w:rStyle w:val="FootnoteReference"/>
        </w:rPr>
        <w:footnoteReference w:id="11"/>
      </w:r>
      <w:r w:rsidR="00CA12A7">
        <w:t xml:space="preserve">  </w:t>
      </w:r>
      <w:r w:rsidR="00441445" w:rsidRPr="00441445">
        <w:rPr>
          <w:i/>
          <w:iCs/>
        </w:rPr>
        <w:t>The Luminaries</w:t>
      </w:r>
      <w:r w:rsidR="00441445">
        <w:t xml:space="preserve"> is a series of lectures on astrology </w:t>
      </w:r>
      <w:r w:rsidR="009010C6">
        <w:t xml:space="preserve">from her and the astrologer Howard </w:t>
      </w:r>
      <w:proofErr w:type="spellStart"/>
      <w:r w:rsidR="009010C6">
        <w:t>Sasportas</w:t>
      </w:r>
      <w:proofErr w:type="spellEnd"/>
      <w:r w:rsidR="009010C6">
        <w:t xml:space="preserve"> </w:t>
      </w:r>
      <w:r w:rsidR="00441445">
        <w:t xml:space="preserve">which are directed toward understanding how the positions of the sun and the moon </w:t>
      </w:r>
      <w:r w:rsidR="00CA12A7">
        <w:t>reveal the qualities and characteristics an individual needs to develop</w:t>
      </w:r>
      <w:r w:rsidR="00441445">
        <w:t>.  R</w:t>
      </w:r>
      <w:r w:rsidR="00CA12A7">
        <w:t xml:space="preserve">ather than someone’s chart determining who he or she ‘is’, for Greene it directs someone to who he or she ‘might become’.  </w:t>
      </w:r>
    </w:p>
    <w:p w14:paraId="25093BCA" w14:textId="308A4DFC" w:rsidR="006353F9" w:rsidRDefault="00AA617A" w:rsidP="006353F9">
      <w:pPr>
        <w:ind w:firstLine="720"/>
      </w:pPr>
      <w:r>
        <w:t xml:space="preserve">In his </w:t>
      </w:r>
      <w:proofErr w:type="spellStart"/>
      <w:r w:rsidRPr="002B4AA7">
        <w:rPr>
          <w:i/>
          <w:iCs/>
        </w:rPr>
        <w:t>Centiloquium</w:t>
      </w:r>
      <w:proofErr w:type="spellEnd"/>
      <w:r>
        <w:t>, Ptolemy says “the Sun is the fountain of vital power”</w:t>
      </w:r>
      <w:r w:rsidR="002B4AA7">
        <w:t xml:space="preserve"> which effects the strengths of all other celestial bodies with which it comes into contact.  </w:t>
      </w:r>
      <w:r w:rsidR="00650A41">
        <w:t xml:space="preserve">Although his astrology is not sun-centered per say, </w:t>
      </w:r>
      <w:r w:rsidR="006353F9">
        <w:t>Ptolemy’s</w:t>
      </w:r>
      <w:r w:rsidR="002B4AA7">
        <w:t xml:space="preserve"> portrayal of the sun</w:t>
      </w:r>
      <w:r w:rsidR="006353F9">
        <w:t xml:space="preserve"> as “the fountain of vital power”</w:t>
      </w:r>
      <w:r w:rsidR="00DC121F">
        <w:t xml:space="preserve"> </w:t>
      </w:r>
      <w:r w:rsidR="002B4AA7">
        <w:t xml:space="preserve">is so essential to </w:t>
      </w:r>
      <w:r w:rsidR="00650A41">
        <w:t>it</w:t>
      </w:r>
      <w:r w:rsidR="002B4AA7">
        <w:t xml:space="preserve"> that </w:t>
      </w:r>
      <w:r w:rsidR="00DC121F">
        <w:t>this belief</w:t>
      </w:r>
      <w:r w:rsidR="002B4AA7">
        <w:t xml:space="preserve"> is echoed</w:t>
      </w:r>
      <w:r w:rsidR="006353F9">
        <w:t xml:space="preserve"> in several of his writings.</w:t>
      </w:r>
      <w:r w:rsidR="006353F9" w:rsidRPr="006353F9">
        <w:rPr>
          <w:rStyle w:val="FootnoteReference"/>
        </w:rPr>
        <w:t xml:space="preserve"> </w:t>
      </w:r>
      <w:r w:rsidR="006353F9">
        <w:rPr>
          <w:rStyle w:val="FootnoteReference"/>
        </w:rPr>
        <w:footnoteReference w:id="12"/>
      </w:r>
      <w:r w:rsidR="006353F9">
        <w:t xml:space="preserve"> </w:t>
      </w:r>
      <w:r w:rsidR="002B4AA7">
        <w:t xml:space="preserve"> </w:t>
      </w:r>
      <w:r w:rsidR="006353F9">
        <w:t>I</w:t>
      </w:r>
      <w:r w:rsidR="002B4AA7">
        <w:t xml:space="preserve">n the </w:t>
      </w:r>
      <w:proofErr w:type="spellStart"/>
      <w:r w:rsidR="002B4AA7" w:rsidRPr="002B4AA7">
        <w:rPr>
          <w:i/>
          <w:iCs/>
        </w:rPr>
        <w:t>Tetrabiblos</w:t>
      </w:r>
      <w:proofErr w:type="spellEnd"/>
      <w:r w:rsidR="006353F9">
        <w:t xml:space="preserve">, </w:t>
      </w:r>
      <w:r w:rsidR="009010C6">
        <w:t xml:space="preserve">for example, </w:t>
      </w:r>
      <w:r w:rsidR="006353F9">
        <w:t xml:space="preserve">he asserts that </w:t>
      </w:r>
      <w:r w:rsidR="002B4AA7">
        <w:t xml:space="preserve">“according to their aspects to the sun”, celestial bodies “experience increase and decrease </w:t>
      </w:r>
      <w:r w:rsidR="00A414E9">
        <w:t>o</w:t>
      </w:r>
      <w:r w:rsidR="002B4AA7">
        <w:t>f their powers”.</w:t>
      </w:r>
      <w:r w:rsidR="002B4AA7">
        <w:rPr>
          <w:rStyle w:val="FootnoteReference"/>
        </w:rPr>
        <w:footnoteReference w:id="13"/>
      </w:r>
      <w:r w:rsidR="00A414E9">
        <w:t xml:space="preserve">  </w:t>
      </w:r>
      <w:r w:rsidR="000C16CA">
        <w:t>The sun represents the life-force of the cosmos</w:t>
      </w:r>
      <w:r w:rsidR="00650A41">
        <w:t xml:space="preserve"> and is responsible for natural changes to planets – “air or weather” – which reflect </w:t>
      </w:r>
      <w:r w:rsidR="00BB7B29">
        <w:t>the degree of their strength.</w:t>
      </w:r>
      <w:r w:rsidR="00BB7B29">
        <w:rPr>
          <w:rStyle w:val="FootnoteReference"/>
        </w:rPr>
        <w:footnoteReference w:id="14"/>
      </w:r>
      <w:r w:rsidR="00BB7B29">
        <w:t xml:space="preserve">  </w:t>
      </w:r>
      <w:r w:rsidR="00441445">
        <w:t xml:space="preserve">Alan </w:t>
      </w:r>
      <w:r w:rsidR="00BB7B29">
        <w:t xml:space="preserve">Leo’s astrology also acknowledges the sun as an essential power but affords the sun a </w:t>
      </w:r>
      <w:r w:rsidR="006353F9">
        <w:t>greater</w:t>
      </w:r>
      <w:r w:rsidR="00BB7B29">
        <w:t xml:space="preserve"> role in the zodiacal system.  He says “the sun is the </w:t>
      </w:r>
      <w:proofErr w:type="spellStart"/>
      <w:r w:rsidR="00BB7B29">
        <w:t>centre</w:t>
      </w:r>
      <w:proofErr w:type="spellEnd"/>
      <w:r w:rsidR="00BB7B29">
        <w:t xml:space="preserve"> of all life, force or energy” and, like Ptolemy, deems it the font of vitality for the cosmos.</w:t>
      </w:r>
      <w:r w:rsidR="00BB7B29">
        <w:rPr>
          <w:rStyle w:val="FootnoteReference"/>
        </w:rPr>
        <w:footnoteReference w:id="15"/>
      </w:r>
      <w:r w:rsidR="00BB7B29">
        <w:t xml:space="preserve">  For Leo, </w:t>
      </w:r>
      <w:r w:rsidR="00441445">
        <w:t xml:space="preserve">however, </w:t>
      </w:r>
      <w:r w:rsidR="00BB7B29">
        <w:t xml:space="preserve">the sun functions as </w:t>
      </w:r>
      <w:r w:rsidR="003E680D">
        <w:t xml:space="preserve">a </w:t>
      </w:r>
      <w:r w:rsidR="00BB7B29">
        <w:t xml:space="preserve">catalyst for Logos (the word of God made manifest) to be expressed and perpetuated throughout the universe – humans are one expression of Logos </w:t>
      </w:r>
      <w:r w:rsidR="006353F9">
        <w:t>through the</w:t>
      </w:r>
      <w:r w:rsidR="00BB7B29">
        <w:t xml:space="preserve"> sun’s rays which bring </w:t>
      </w:r>
      <w:r w:rsidR="006353F9">
        <w:t>what Leo calls “</w:t>
      </w:r>
      <w:r w:rsidR="00BB7B29">
        <w:t>Positive Life</w:t>
      </w:r>
      <w:r w:rsidR="006353F9">
        <w:t>”.</w:t>
      </w:r>
      <w:r w:rsidR="006353F9">
        <w:rPr>
          <w:rStyle w:val="FootnoteReference"/>
        </w:rPr>
        <w:footnoteReference w:id="16"/>
      </w:r>
      <w:r w:rsidR="006353F9">
        <w:t xml:space="preserve">  The sun in Leo’s astrology is not only a key identifier of a person’s character, but is central to the </w:t>
      </w:r>
      <w:r w:rsidR="007C466E">
        <w:t>function of o</w:t>
      </w:r>
      <w:r w:rsidR="006353F9">
        <w:t xml:space="preserve">ther celestial bodies </w:t>
      </w:r>
      <w:r w:rsidR="007C466E">
        <w:t xml:space="preserve">as they </w:t>
      </w:r>
      <w:r w:rsidR="006353F9">
        <w:t xml:space="preserve">reflect the sun’s energy and express the variations </w:t>
      </w:r>
      <w:r w:rsidR="007C466E">
        <w:t>of the sun’s power.</w:t>
      </w:r>
      <w:r w:rsidR="007C466E">
        <w:rPr>
          <w:rStyle w:val="FootnoteReference"/>
        </w:rPr>
        <w:footnoteReference w:id="17"/>
      </w:r>
      <w:r w:rsidR="007C466E">
        <w:t xml:space="preserve">  Liz Greene </w:t>
      </w:r>
      <w:r w:rsidR="00ED5E0C">
        <w:t>also places the sun in the seat of power in her astrology but instead presents its role through the lens of myth and archetype</w:t>
      </w:r>
      <w:r w:rsidR="00F23AFB">
        <w:t xml:space="preserve"> as the “essential self”</w:t>
      </w:r>
      <w:r w:rsidR="00ED5E0C">
        <w:t>.</w:t>
      </w:r>
      <w:r w:rsidR="00F23AFB">
        <w:rPr>
          <w:rStyle w:val="FootnoteReference"/>
        </w:rPr>
        <w:footnoteReference w:id="18"/>
      </w:r>
      <w:r w:rsidR="00ED5E0C">
        <w:t xml:space="preserve">  She points out that the sun’s significance as the </w:t>
      </w:r>
      <w:r w:rsidR="00350F0E">
        <w:t xml:space="preserve">font of vitality is not </w:t>
      </w:r>
      <w:r w:rsidR="00350F0E">
        <w:lastRenderedPageBreak/>
        <w:t xml:space="preserve">only seen in astrology but in myths throughout time </w:t>
      </w:r>
      <w:r w:rsidR="003E680D">
        <w:t>and refers</w:t>
      </w:r>
      <w:r w:rsidR="00350F0E">
        <w:t xml:space="preserve"> specifically to the hero myth.  She says that “the hero myth is a solar myth</w:t>
      </w:r>
      <w:r w:rsidR="00AE3B2E">
        <w:t xml:space="preserve">…the </w:t>
      </w:r>
      <w:r w:rsidR="00350F0E">
        <w:t>hero is always on the way to becoming something”</w:t>
      </w:r>
      <w:r w:rsidR="00CE44CF">
        <w:t xml:space="preserve">, implying that the sun is a deeply-rooted symbol </w:t>
      </w:r>
      <w:r w:rsidR="00A358B9">
        <w:t xml:space="preserve">of aspiration </w:t>
      </w:r>
      <w:r w:rsidR="00CE44CF">
        <w:t>in the human psyche</w:t>
      </w:r>
      <w:r w:rsidR="00350F0E">
        <w:t>.</w:t>
      </w:r>
      <w:r w:rsidR="00350F0E">
        <w:rPr>
          <w:rStyle w:val="FootnoteReference"/>
        </w:rPr>
        <w:footnoteReference w:id="19"/>
      </w:r>
      <w:r w:rsidR="00A358B9">
        <w:t xml:space="preserve">  For Greene, it is a universally understood and expressed symbol of that which provides the life force and internal motivation for personal growth.</w:t>
      </w:r>
      <w:r w:rsidR="00AE3B2E">
        <w:t xml:space="preserve">  For Ptolemy and Leo, the sun in combination with other factors determines an individual’s character; for Greene, it acts as a guidepost in the pursuit of fulfilling personal potential.</w:t>
      </w:r>
    </w:p>
    <w:p w14:paraId="1CCE3033" w14:textId="200DC218" w:rsidR="00C032CF" w:rsidRDefault="005A4C45" w:rsidP="00DC121F">
      <w:pPr>
        <w:ind w:firstLine="720"/>
      </w:pPr>
      <w:r>
        <w:t xml:space="preserve">Ptolemy posits that the sun signifies the character of an individual while the moon is related to the physical body.  The </w:t>
      </w:r>
      <w:r w:rsidR="000F6804">
        <w:t>interaction between these two luminaries, then, determine</w:t>
      </w:r>
      <w:r w:rsidR="002843E1">
        <w:t>s</w:t>
      </w:r>
      <w:r w:rsidR="000F6804">
        <w:t xml:space="preserve"> </w:t>
      </w:r>
      <w:r w:rsidR="00264D72">
        <w:t>health</w:t>
      </w:r>
      <w:r w:rsidR="000F6804">
        <w:t xml:space="preserve"> in the human body</w:t>
      </w:r>
      <w:r w:rsidR="002843E1">
        <w:t xml:space="preserve"> along with the </w:t>
      </w:r>
      <w:r w:rsidR="00A92280">
        <w:t>levels</w:t>
      </w:r>
      <w:r w:rsidR="002843E1">
        <w:t xml:space="preserve"> of masculinity and femininity in someone’s character</w:t>
      </w:r>
      <w:r w:rsidR="000F6804">
        <w:t>.  An individual, for example, will have issues with his eyesight if the “</w:t>
      </w:r>
      <w:r w:rsidR="002843E1">
        <w:t>M</w:t>
      </w:r>
      <w:r w:rsidR="000F6804">
        <w:t xml:space="preserve">oon is in opposition to the </w:t>
      </w:r>
      <w:r w:rsidR="002843E1">
        <w:t>S</w:t>
      </w:r>
      <w:r w:rsidR="000F6804">
        <w:t xml:space="preserve">un” at the time of birth and will suffer complete blindness if the moon, together with Saturn and Mars, are </w:t>
      </w:r>
      <w:r w:rsidR="002843E1">
        <w:t>“angular” with the Sun.</w:t>
      </w:r>
      <w:r w:rsidR="002843E1">
        <w:rPr>
          <w:rStyle w:val="FootnoteReference"/>
        </w:rPr>
        <w:footnoteReference w:id="20"/>
      </w:r>
      <w:r w:rsidR="002843E1">
        <w:t xml:space="preserve">  In terms of</w:t>
      </w:r>
      <w:r w:rsidR="00DA3094">
        <w:t xml:space="preserve"> character, Ptolemy says that if the Sun and Moon are together in a masculine sign, the sign’s masculine qualities will be amplified in a person’s character; if they appear together in a feminine sign, it is the feminine qualities which are amplified.</w:t>
      </w:r>
      <w:r w:rsidR="00DA3094">
        <w:rPr>
          <w:rStyle w:val="FootnoteReference"/>
        </w:rPr>
        <w:footnoteReference w:id="21"/>
      </w:r>
      <w:r w:rsidR="00264D72">
        <w:t xml:space="preserve">  </w:t>
      </w:r>
      <w:r w:rsidR="00041690">
        <w:t xml:space="preserve">For Leo, the position of the Sun </w:t>
      </w:r>
      <w:r w:rsidR="00A92280">
        <w:t>and Moon need to be known in an individual’s nativity in order to gain a greater understanding of the person as a whole.</w:t>
      </w:r>
      <w:r w:rsidR="00A92280">
        <w:rPr>
          <w:rStyle w:val="FootnoteReference"/>
        </w:rPr>
        <w:footnoteReference w:id="22"/>
      </w:r>
      <w:r w:rsidR="00A92280">
        <w:t xml:space="preserve">  </w:t>
      </w:r>
      <w:r w:rsidR="00041690">
        <w:t>This is especially true, says Leo, if the exact time of birth is not known.  Without the details of planetary positions in a case where only the day, month, and year of birth are known, locating the positions of the Sun and Moon can give a general overview of a person’s character</w:t>
      </w:r>
      <w:r w:rsidR="00A92280">
        <w:t xml:space="preserve"> as the Sun signifies a person’s moral character, and the Moon signifies personal character and modifies the features of a sign.</w:t>
      </w:r>
      <w:r w:rsidR="00A92280">
        <w:rPr>
          <w:rStyle w:val="FootnoteReference"/>
        </w:rPr>
        <w:footnoteReference w:id="23"/>
      </w:r>
      <w:r w:rsidR="00676094">
        <w:t xml:space="preserve">  </w:t>
      </w:r>
      <w:r w:rsidR="00676094" w:rsidRPr="00676094">
        <w:rPr>
          <w:i/>
          <w:iCs/>
        </w:rPr>
        <w:t>The Luminaries</w:t>
      </w:r>
      <w:r w:rsidR="00676094">
        <w:t xml:space="preserve"> offers a different approach to examining the interactions between </w:t>
      </w:r>
      <w:r w:rsidR="00793F1A">
        <w:t xml:space="preserve">the </w:t>
      </w:r>
      <w:r w:rsidR="00676094">
        <w:t xml:space="preserve">Sun and Moon by showing how their influences manifest in relationships – particularly between father and son.  To be even more specific, the conflict that arises between father and son stemming from the archetypal Oedipal complex.  </w:t>
      </w:r>
      <w:r w:rsidR="001920D8">
        <w:t>To assuage the conflict, the book says, it is important to look at the natal charts of one’s own parents as this information will give you a glimpse into who they are “</w:t>
      </w:r>
      <w:r w:rsidR="001920D8" w:rsidRPr="001920D8">
        <w:rPr>
          <w:i/>
          <w:iCs/>
        </w:rPr>
        <w:t>inside</w:t>
      </w:r>
      <w:r w:rsidR="001920D8">
        <w:t>” as people</w:t>
      </w:r>
      <w:r w:rsidR="00793F1A">
        <w:t>, and understanding the position or “balance” of the Sun and Moon in a natal chart will offer insight into the reasoning behind the behavior exhibited by one’s parents</w:t>
      </w:r>
      <w:r w:rsidR="001920D8">
        <w:t>.</w:t>
      </w:r>
      <w:r w:rsidR="001920D8">
        <w:rPr>
          <w:rStyle w:val="FootnoteReference"/>
        </w:rPr>
        <w:footnoteReference w:id="24"/>
      </w:r>
      <w:r w:rsidR="00793F1A">
        <w:t xml:space="preserve">  Again Greene stresses the importance of viewing astrology with a growth-minded perspective,  calling attention to the fact that there is no “one best normal or balance” of Sun and Moon</w:t>
      </w:r>
      <w:r w:rsidR="00503D3D">
        <w:t xml:space="preserve">, </w:t>
      </w:r>
      <w:r w:rsidR="00793F1A">
        <w:t>that this balance is different for each individual at different points in life, and there are times when a person might need to rank one as more important than the other while still recognizing the merits of both.</w:t>
      </w:r>
      <w:r w:rsidR="00793F1A">
        <w:rPr>
          <w:rStyle w:val="FootnoteReference"/>
        </w:rPr>
        <w:footnoteReference w:id="25"/>
      </w:r>
      <w:r w:rsidR="00F23AFB">
        <w:t xml:space="preserve"> </w:t>
      </w:r>
    </w:p>
    <w:p w14:paraId="712150D9" w14:textId="1544261B" w:rsidR="00DC121F" w:rsidRDefault="00DA30F8" w:rsidP="00DC121F">
      <w:pPr>
        <w:ind w:firstLine="720"/>
      </w:pPr>
      <w:r>
        <w:t>The</w:t>
      </w:r>
      <w:r w:rsidR="00471584">
        <w:t xml:space="preserve"> </w:t>
      </w:r>
      <w:proofErr w:type="spellStart"/>
      <w:r w:rsidR="00471584" w:rsidRPr="00471584">
        <w:rPr>
          <w:i/>
          <w:iCs/>
        </w:rPr>
        <w:t>Centiloquium</w:t>
      </w:r>
      <w:proofErr w:type="spellEnd"/>
      <w:r>
        <w:t xml:space="preserve"> features eclipses in three of its aphorisms: 24, 96 and 98.  In aphorism 24, Ptolemy refers to eclipses as “obnoxious” and worthy of some attention.</w:t>
      </w:r>
      <w:r w:rsidR="008C3DF9">
        <w:rPr>
          <w:rStyle w:val="FootnoteReference"/>
        </w:rPr>
        <w:footnoteReference w:id="26"/>
      </w:r>
      <w:r>
        <w:t xml:space="preserve">  He explains how to allot time for the duration of an eclipse’s effects</w:t>
      </w:r>
      <w:r w:rsidR="008C3DF9">
        <w:t xml:space="preserve"> and the way this duration varies based on whether the eclipse is solar or lunar.  A solar eclipse’s effects remain for longer than a lunar eclipse – one year for every hour </w:t>
      </w:r>
      <w:r w:rsidR="008C3DF9">
        <w:lastRenderedPageBreak/>
        <w:t>of the eclipse vs one month for every hour respectively.</w:t>
      </w:r>
      <w:r w:rsidR="008C3DF9">
        <w:rPr>
          <w:rStyle w:val="FootnoteReference"/>
        </w:rPr>
        <w:footnoteReference w:id="27"/>
      </w:r>
      <w:r w:rsidR="008C3DF9">
        <w:t xml:space="preserve">  The effects of an eclipse, according to Ptolemy, can be discerned by examining the positions of stars and planets at the time of the event.</w:t>
      </w:r>
      <w:r w:rsidR="008C3DF9">
        <w:rPr>
          <w:rStyle w:val="FootnoteReference"/>
        </w:rPr>
        <w:footnoteReference w:id="28"/>
      </w:r>
      <w:r w:rsidR="008C3DF9">
        <w:t xml:space="preserve">  Although he does not offer specific examples of what the appearance of a particular planet or star might mean, he insists that an individual can infer the meaning of an eclipse by making accurate measurements of these positions.  He goes </w:t>
      </w:r>
      <w:r w:rsidR="00894441">
        <w:t>on to suggest that eclipse-predicted events are preferred over an event which might be portended by a shooting star, reasoning that a shooting star is an apparition which takes place in the air while an eclipse unfolds in the heavens.</w:t>
      </w:r>
      <w:r w:rsidR="00894441">
        <w:rPr>
          <w:rStyle w:val="FootnoteReference"/>
        </w:rPr>
        <w:footnoteReference w:id="29"/>
      </w:r>
      <w:r w:rsidR="00235706">
        <w:t xml:space="preserve">  The topic of eclipses is entirely absent from </w:t>
      </w:r>
      <w:r w:rsidR="00235706" w:rsidRPr="00235706">
        <w:rPr>
          <w:i/>
          <w:iCs/>
        </w:rPr>
        <w:t>Astrology for All</w:t>
      </w:r>
      <w:r w:rsidR="00235706">
        <w:t xml:space="preserve">, and it is unclear why this particular subject is a point of divergence for Leo.  </w:t>
      </w:r>
      <w:r w:rsidR="00D1455B">
        <w:t xml:space="preserve">In </w:t>
      </w:r>
      <w:proofErr w:type="gramStart"/>
      <w:r w:rsidR="00235706" w:rsidRPr="00235706">
        <w:rPr>
          <w:i/>
          <w:iCs/>
        </w:rPr>
        <w:t>The</w:t>
      </w:r>
      <w:proofErr w:type="gramEnd"/>
      <w:r w:rsidR="00235706" w:rsidRPr="00235706">
        <w:rPr>
          <w:i/>
          <w:iCs/>
        </w:rPr>
        <w:t xml:space="preserve"> Luminaries</w:t>
      </w:r>
      <w:r w:rsidR="00235706">
        <w:t xml:space="preserve">, </w:t>
      </w:r>
      <w:r w:rsidR="00D1455B">
        <w:t>Liz Greene avoids discussion of the particulars of an eclipse – its duration, its effects, etc.  H</w:t>
      </w:r>
      <w:r w:rsidR="00235706">
        <w:t xml:space="preserve">owever, </w:t>
      </w:r>
      <w:r w:rsidR="00D1455B">
        <w:t>she does posit</w:t>
      </w:r>
      <w:r w:rsidR="00235706">
        <w:t xml:space="preserve"> that eclipses are not</w:t>
      </w:r>
      <w:r w:rsidR="00D1455B">
        <w:t xml:space="preserve"> all</w:t>
      </w:r>
      <w:r w:rsidR="00235706">
        <w:t xml:space="preserve"> “inherently negative”</w:t>
      </w:r>
      <w:r w:rsidR="00D1455B">
        <w:t xml:space="preserve"> and instead of merely signifying crisis or doom, an eclipse can cause anything that has been hiding beneath the surface to be disclosed.</w:t>
      </w:r>
      <w:r w:rsidR="00D1455B">
        <w:rPr>
          <w:rStyle w:val="FootnoteReference"/>
        </w:rPr>
        <w:footnoteReference w:id="30"/>
      </w:r>
      <w:r w:rsidR="00D1455B">
        <w:t xml:space="preserve">  In this idea of the eclipse is a tacit </w:t>
      </w:r>
      <w:r w:rsidR="00503D3D">
        <w:t>pathway to possible emotional or relational healing through honest discourse</w:t>
      </w:r>
      <w:r w:rsidR="00726C18">
        <w:t xml:space="preserve"> which aligns with Green’s growth-oriented astrology</w:t>
      </w:r>
      <w:r w:rsidR="00503D3D">
        <w:t>.</w:t>
      </w:r>
    </w:p>
    <w:p w14:paraId="7276A329" w14:textId="0DDBDD53" w:rsidR="00726C18" w:rsidRDefault="00726C18" w:rsidP="00DC121F">
      <w:pPr>
        <w:ind w:firstLine="720"/>
      </w:pPr>
      <w:r>
        <w:t xml:space="preserve">In this essay I have examined the astrological use of the Sun in three different works: Claudius Ptolemy’s </w:t>
      </w:r>
      <w:proofErr w:type="spellStart"/>
      <w:r w:rsidRPr="00726C18">
        <w:rPr>
          <w:i/>
          <w:iCs/>
        </w:rPr>
        <w:t>Centiloquium</w:t>
      </w:r>
      <w:proofErr w:type="spellEnd"/>
      <w:r>
        <w:t xml:space="preserve">, Alan Leo’s </w:t>
      </w:r>
      <w:r w:rsidRPr="00726C18">
        <w:rPr>
          <w:i/>
          <w:iCs/>
        </w:rPr>
        <w:t>Astrology for All</w:t>
      </w:r>
      <w:r>
        <w:t xml:space="preserve">, and Liz Greene and Howard </w:t>
      </w:r>
      <w:proofErr w:type="spellStart"/>
      <w:r>
        <w:t>Sasportas</w:t>
      </w:r>
      <w:proofErr w:type="spellEnd"/>
      <w:r>
        <w:t xml:space="preserve">’ </w:t>
      </w:r>
      <w:r w:rsidRPr="00726C18">
        <w:rPr>
          <w:i/>
          <w:iCs/>
        </w:rPr>
        <w:t>The Luminaries</w:t>
      </w:r>
      <w:r>
        <w:t xml:space="preserve">.  I hope to have illuminated the similarities and differences in the use of the sun in these authors’ </w:t>
      </w:r>
      <w:proofErr w:type="spellStart"/>
      <w:r>
        <w:t>astrologies</w:t>
      </w:r>
      <w:proofErr w:type="spellEnd"/>
      <w:r>
        <w:t>.</w:t>
      </w:r>
    </w:p>
    <w:p w14:paraId="46C669DB" w14:textId="44D7D2F2" w:rsidR="00726C18" w:rsidRDefault="00726C18" w:rsidP="00DC121F">
      <w:pPr>
        <w:ind w:firstLine="720"/>
      </w:pPr>
    </w:p>
    <w:p w14:paraId="26C46655" w14:textId="57968B3E" w:rsidR="00726C18" w:rsidRDefault="00726C18" w:rsidP="00DC121F">
      <w:pPr>
        <w:ind w:firstLine="720"/>
      </w:pPr>
    </w:p>
    <w:p w14:paraId="4568A47D" w14:textId="5A7B1684" w:rsidR="00726C18" w:rsidRDefault="00726C18" w:rsidP="00DC121F">
      <w:pPr>
        <w:ind w:firstLine="720"/>
      </w:pPr>
    </w:p>
    <w:p w14:paraId="3F1BAE41" w14:textId="23F8C776" w:rsidR="00726C18" w:rsidRDefault="00726C18" w:rsidP="00DC121F">
      <w:pPr>
        <w:ind w:firstLine="720"/>
      </w:pPr>
    </w:p>
    <w:p w14:paraId="1A08B729" w14:textId="5B6769B3" w:rsidR="00726C18" w:rsidRDefault="00726C18" w:rsidP="00DC121F">
      <w:pPr>
        <w:ind w:firstLine="720"/>
      </w:pPr>
    </w:p>
    <w:p w14:paraId="294ECEA5" w14:textId="4F5A68E1" w:rsidR="00726C18" w:rsidRDefault="00726C18" w:rsidP="00DC121F">
      <w:pPr>
        <w:ind w:firstLine="720"/>
      </w:pPr>
    </w:p>
    <w:p w14:paraId="5A7670E1" w14:textId="0CD54C38" w:rsidR="00726C18" w:rsidRDefault="00726C18" w:rsidP="00DC121F">
      <w:pPr>
        <w:ind w:firstLine="720"/>
      </w:pPr>
    </w:p>
    <w:p w14:paraId="6DD9CA12" w14:textId="572A0A8D" w:rsidR="00726C18" w:rsidRDefault="00726C18" w:rsidP="00DC121F">
      <w:pPr>
        <w:ind w:firstLine="720"/>
      </w:pPr>
    </w:p>
    <w:p w14:paraId="02E3A05D" w14:textId="718BBACB" w:rsidR="00726C18" w:rsidRDefault="00726C18" w:rsidP="00DC121F">
      <w:pPr>
        <w:ind w:firstLine="720"/>
      </w:pPr>
    </w:p>
    <w:p w14:paraId="1889E1A1" w14:textId="7CA1ACD5" w:rsidR="00726C18" w:rsidRDefault="00726C18" w:rsidP="00DC121F">
      <w:pPr>
        <w:ind w:firstLine="720"/>
      </w:pPr>
    </w:p>
    <w:p w14:paraId="6170754B" w14:textId="32509949" w:rsidR="00726C18" w:rsidRDefault="00726C18" w:rsidP="00DC121F">
      <w:pPr>
        <w:ind w:firstLine="720"/>
      </w:pPr>
    </w:p>
    <w:p w14:paraId="59155398" w14:textId="2234D266" w:rsidR="00726C18" w:rsidRDefault="00726C18" w:rsidP="00DC121F">
      <w:pPr>
        <w:ind w:firstLine="720"/>
      </w:pPr>
    </w:p>
    <w:p w14:paraId="5F786746" w14:textId="291EC890" w:rsidR="00726C18" w:rsidRDefault="00726C18" w:rsidP="00DC121F">
      <w:pPr>
        <w:ind w:firstLine="720"/>
      </w:pPr>
    </w:p>
    <w:p w14:paraId="1D0117E1" w14:textId="4DFDC4DD" w:rsidR="00726C18" w:rsidRDefault="00726C18" w:rsidP="00DC121F">
      <w:pPr>
        <w:ind w:firstLine="720"/>
      </w:pPr>
    </w:p>
    <w:p w14:paraId="57E164F9" w14:textId="7CEB8A48" w:rsidR="00726C18" w:rsidRDefault="00726C18" w:rsidP="00DC121F">
      <w:pPr>
        <w:ind w:firstLine="720"/>
      </w:pPr>
    </w:p>
    <w:p w14:paraId="7324E696" w14:textId="3C9A1781" w:rsidR="00726C18" w:rsidRDefault="00726C18" w:rsidP="00726C18">
      <w:pPr>
        <w:ind w:firstLine="720"/>
        <w:jc w:val="center"/>
      </w:pPr>
      <w:r>
        <w:t>Bibliography</w:t>
      </w:r>
    </w:p>
    <w:p w14:paraId="7E8488CD" w14:textId="73563CF9" w:rsidR="00726C18" w:rsidRPr="00A544A8" w:rsidRDefault="00726C18" w:rsidP="00A544A8">
      <w:pPr>
        <w:rPr>
          <w:b/>
          <w:bCs/>
        </w:rPr>
      </w:pPr>
      <w:r w:rsidRPr="00A544A8">
        <w:rPr>
          <w:b/>
          <w:bCs/>
        </w:rPr>
        <w:t>Primary Sources</w:t>
      </w:r>
    </w:p>
    <w:p w14:paraId="4E6E232D" w14:textId="779506C8" w:rsidR="00726C18" w:rsidRDefault="00726C18" w:rsidP="00726C18">
      <w:r>
        <w:t xml:space="preserve">Leo, Alan, </w:t>
      </w:r>
      <w:r>
        <w:rPr>
          <w:i/>
          <w:iCs/>
        </w:rPr>
        <w:t>Astrology for All</w:t>
      </w:r>
      <w:r>
        <w:t xml:space="preserve">, </w:t>
      </w:r>
      <w:proofErr w:type="spellStart"/>
      <w:r>
        <w:t>Cosimo</w:t>
      </w:r>
      <w:proofErr w:type="spellEnd"/>
      <w:r>
        <w:t xml:space="preserve"> Classics: New York (2006)</w:t>
      </w:r>
      <w:r w:rsidR="00A544A8">
        <w:t>.</w:t>
      </w:r>
    </w:p>
    <w:p w14:paraId="7EA944EB" w14:textId="54051E3E" w:rsidR="00726C18" w:rsidRDefault="00726C18" w:rsidP="00726C18">
      <w:r>
        <w:t xml:space="preserve">Greene, Liz and Howard </w:t>
      </w:r>
      <w:proofErr w:type="spellStart"/>
      <w:r>
        <w:t>Sasportas</w:t>
      </w:r>
      <w:proofErr w:type="spellEnd"/>
      <w:r>
        <w:t xml:space="preserve">, ‘The Luminaries: The Psychology of the Sun and Moon in the Horoscope’, </w:t>
      </w:r>
      <w:r>
        <w:rPr>
          <w:i/>
          <w:iCs/>
        </w:rPr>
        <w:t>Seminars in Psychological Astrology</w:t>
      </w:r>
      <w:r>
        <w:t>, Vol. 3, Weiser Books: Boston/York Beach (1992).</w:t>
      </w:r>
    </w:p>
    <w:p w14:paraId="6366081D" w14:textId="53301B52" w:rsidR="00726C18" w:rsidRDefault="00726C18" w:rsidP="00726C18">
      <w:r>
        <w:t xml:space="preserve">Ptolemy, Claudius, </w:t>
      </w:r>
      <w:proofErr w:type="spellStart"/>
      <w:r>
        <w:rPr>
          <w:i/>
          <w:iCs/>
        </w:rPr>
        <w:t>Centiloquium</w:t>
      </w:r>
      <w:proofErr w:type="spellEnd"/>
      <w:r>
        <w:t>, Trans. Deborah Houlding, skyscript.co.uk (2006)</w:t>
      </w:r>
      <w:r w:rsidR="00A544A8">
        <w:t>.</w:t>
      </w:r>
    </w:p>
    <w:p w14:paraId="203E95EE" w14:textId="2B323060" w:rsidR="00A544A8" w:rsidRDefault="00A544A8" w:rsidP="00726C18">
      <w:r>
        <w:t>Ptolemy, Claudius</w:t>
      </w:r>
      <w:r>
        <w:t>,</w:t>
      </w:r>
      <w:r>
        <w:rPr>
          <w:i/>
          <w:iCs/>
        </w:rPr>
        <w:t xml:space="preserve"> </w:t>
      </w:r>
      <w:proofErr w:type="spellStart"/>
      <w:r>
        <w:rPr>
          <w:i/>
          <w:iCs/>
        </w:rPr>
        <w:t>Tetrabiblos</w:t>
      </w:r>
      <w:proofErr w:type="spellEnd"/>
      <w:r>
        <w:t>, Ed. Jeffrey Henderson and F. E. Robbins, Trans. F. E. Robbins, Loeb Classical Library, Harvard University Press: Cambridge/London (1940)</w:t>
      </w:r>
      <w:r>
        <w:t>.</w:t>
      </w:r>
    </w:p>
    <w:p w14:paraId="3F76A752" w14:textId="3CD9112B" w:rsidR="00A544A8" w:rsidRPr="00A544A8" w:rsidRDefault="00A544A8" w:rsidP="00726C18">
      <w:pPr>
        <w:rPr>
          <w:b/>
          <w:bCs/>
        </w:rPr>
      </w:pPr>
      <w:r w:rsidRPr="00A544A8">
        <w:rPr>
          <w:b/>
          <w:bCs/>
        </w:rPr>
        <w:t>Secondary Sources</w:t>
      </w:r>
    </w:p>
    <w:p w14:paraId="6E74668D" w14:textId="11131AA9" w:rsidR="00A544A8" w:rsidRDefault="00A544A8" w:rsidP="00726C18">
      <w:r>
        <w:t xml:space="preserve">Campion, Nicholas, </w:t>
      </w:r>
      <w:r w:rsidRPr="00DA2D63">
        <w:rPr>
          <w:i/>
          <w:iCs/>
        </w:rPr>
        <w:t>A History of Western Astrology Volume II: The Medieval and Modern Worlds</w:t>
      </w:r>
      <w:r>
        <w:t>, Bloomsbury Academic: London/New York (2009)</w:t>
      </w:r>
      <w:r>
        <w:t>.</w:t>
      </w:r>
    </w:p>
    <w:p w14:paraId="24F279C5" w14:textId="38B89264" w:rsidR="00A544A8" w:rsidRPr="004D121C" w:rsidRDefault="00A544A8" w:rsidP="00726C18">
      <w:r>
        <w:t>Watters, Joanna, Astrology for Today, Carroll &amp; Brown: London (2003), skyscript.co.uk.</w:t>
      </w:r>
    </w:p>
    <w:sectPr w:rsidR="00A544A8" w:rsidRPr="004D121C" w:rsidSect="00F53D6F">
      <w:headerReference w:type="default" r:id="rId12"/>
      <w:headerReference w:type="first" r:id="rId13"/>
      <w:pgSz w:w="12240" w:h="15840"/>
      <w:pgMar w:top="1440" w:right="1440" w:bottom="1440" w:left="1440" w:header="576"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756587" w14:textId="77777777" w:rsidR="003A354A" w:rsidRDefault="003A354A" w:rsidP="009B7EDC">
      <w:pPr>
        <w:spacing w:after="0" w:line="240" w:lineRule="auto"/>
      </w:pPr>
      <w:r>
        <w:separator/>
      </w:r>
    </w:p>
  </w:endnote>
  <w:endnote w:type="continuationSeparator" w:id="0">
    <w:p w14:paraId="47759CF7" w14:textId="77777777" w:rsidR="003A354A" w:rsidRDefault="003A354A" w:rsidP="009B7E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2C958B" w14:textId="77777777" w:rsidR="00F23AFB" w:rsidRDefault="00F23AFB">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288ABA" w14:textId="77777777" w:rsidR="00F23AFB" w:rsidRDefault="00F23AFB" w:rsidP="00F23AFB">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17170F" w14:textId="77777777" w:rsidR="003A354A" w:rsidRDefault="003A354A" w:rsidP="009B7EDC">
      <w:pPr>
        <w:spacing w:after="0" w:line="240" w:lineRule="auto"/>
      </w:pPr>
      <w:r>
        <w:separator/>
      </w:r>
    </w:p>
  </w:footnote>
  <w:footnote w:type="continuationSeparator" w:id="0">
    <w:p w14:paraId="47368AD6" w14:textId="77777777" w:rsidR="003A354A" w:rsidRDefault="003A354A" w:rsidP="009B7EDC">
      <w:pPr>
        <w:spacing w:after="0" w:line="240" w:lineRule="auto"/>
      </w:pPr>
      <w:r>
        <w:continuationSeparator/>
      </w:r>
    </w:p>
  </w:footnote>
  <w:footnote w:id="1">
    <w:p w14:paraId="60DA65DC" w14:textId="5C522756" w:rsidR="00F23AFB" w:rsidRDefault="00F23AFB" w:rsidP="00334120">
      <w:pPr>
        <w:pStyle w:val="FootnoteText"/>
        <w:ind w:firstLine="720"/>
      </w:pPr>
      <w:r>
        <w:rPr>
          <w:rStyle w:val="FootnoteReference"/>
        </w:rPr>
        <w:footnoteRef/>
      </w:r>
      <w:r>
        <w:t xml:space="preserve"> Ptolemy, Claudius, </w:t>
      </w:r>
      <w:proofErr w:type="spellStart"/>
      <w:r w:rsidR="00503D3D">
        <w:rPr>
          <w:i/>
          <w:iCs/>
        </w:rPr>
        <w:t>Centiloquium</w:t>
      </w:r>
      <w:proofErr w:type="spellEnd"/>
      <w:r>
        <w:t xml:space="preserve">, </w:t>
      </w:r>
      <w:r w:rsidR="00503D3D">
        <w:t>Trans. Deborah Houlding, skyscript.co.uk (2006)</w:t>
      </w:r>
      <w:r w:rsidR="00726C18">
        <w:t>;</w:t>
      </w:r>
      <w:r>
        <w:t xml:space="preserve"> Leo, Alan, </w:t>
      </w:r>
      <w:r>
        <w:rPr>
          <w:i/>
          <w:iCs/>
        </w:rPr>
        <w:t>Astrology for All</w:t>
      </w:r>
      <w:r>
        <w:t xml:space="preserve">, </w:t>
      </w:r>
      <w:proofErr w:type="spellStart"/>
      <w:r>
        <w:t>Cosimo</w:t>
      </w:r>
      <w:proofErr w:type="spellEnd"/>
      <w:r>
        <w:t xml:space="preserve"> Classics: New York (2006); Greene, Liz</w:t>
      </w:r>
      <w:r w:rsidR="00726C18">
        <w:t xml:space="preserve"> and Howard </w:t>
      </w:r>
      <w:proofErr w:type="spellStart"/>
      <w:r w:rsidR="00726C18">
        <w:t>Sasportas</w:t>
      </w:r>
      <w:proofErr w:type="spellEnd"/>
      <w:r>
        <w:t xml:space="preserve">, </w:t>
      </w:r>
      <w:r w:rsidR="00726C18">
        <w:t>‘</w:t>
      </w:r>
      <w:r>
        <w:t>The Luminaries: The Psychology of the Sun and Moon in the Horoscope</w:t>
      </w:r>
      <w:r w:rsidR="00726C18">
        <w:t>’</w:t>
      </w:r>
      <w:r>
        <w:t xml:space="preserve">, </w:t>
      </w:r>
      <w:r>
        <w:rPr>
          <w:i/>
          <w:iCs/>
        </w:rPr>
        <w:t>Seminars in Psychological Astrology</w:t>
      </w:r>
      <w:r>
        <w:t>, Vol. 3, Weiser Books: Boston/York Beach (1992).</w:t>
      </w:r>
    </w:p>
  </w:footnote>
  <w:footnote w:id="2">
    <w:p w14:paraId="583A0DF3" w14:textId="699FE962" w:rsidR="00A37AB3" w:rsidRDefault="00A37AB3" w:rsidP="00A37AB3">
      <w:pPr>
        <w:pStyle w:val="FootnoteText"/>
        <w:ind w:firstLine="720"/>
      </w:pPr>
      <w:r>
        <w:rPr>
          <w:rStyle w:val="FootnoteReference"/>
        </w:rPr>
        <w:footnoteRef/>
      </w:r>
      <w:r>
        <w:t xml:space="preserve"> Ptolemy, </w:t>
      </w:r>
      <w:proofErr w:type="spellStart"/>
      <w:r w:rsidRPr="00A37AB3">
        <w:rPr>
          <w:i/>
          <w:iCs/>
        </w:rPr>
        <w:t>Centiloquium</w:t>
      </w:r>
      <w:proofErr w:type="spellEnd"/>
      <w:r>
        <w:t>, skyscript.co.uk.</w:t>
      </w:r>
    </w:p>
  </w:footnote>
  <w:footnote w:id="3">
    <w:p w14:paraId="11F95FF2" w14:textId="3018052C" w:rsidR="009010C6" w:rsidRDefault="009010C6" w:rsidP="009010C6">
      <w:pPr>
        <w:pStyle w:val="FootnoteText"/>
        <w:ind w:firstLine="720"/>
      </w:pPr>
      <w:r>
        <w:rPr>
          <w:rStyle w:val="FootnoteReference"/>
        </w:rPr>
        <w:footnoteRef/>
      </w:r>
      <w:r>
        <w:t xml:space="preserve"> Houlding, Deborah, Introduction to </w:t>
      </w:r>
      <w:proofErr w:type="spellStart"/>
      <w:r w:rsidRPr="009010C6">
        <w:rPr>
          <w:i/>
          <w:iCs/>
        </w:rPr>
        <w:t>Centiloquium</w:t>
      </w:r>
      <w:proofErr w:type="spellEnd"/>
      <w:r>
        <w:t>, skyscript.co.uk</w:t>
      </w:r>
    </w:p>
  </w:footnote>
  <w:footnote w:id="4">
    <w:p w14:paraId="611964E2" w14:textId="7938E69A" w:rsidR="00F23AFB" w:rsidRDefault="00F23AFB" w:rsidP="00334120">
      <w:pPr>
        <w:pStyle w:val="FootnoteText"/>
        <w:ind w:firstLine="720"/>
      </w:pPr>
      <w:r>
        <w:rPr>
          <w:rStyle w:val="FootnoteReference"/>
        </w:rPr>
        <w:footnoteRef/>
      </w:r>
      <w:r>
        <w:t xml:space="preserve"> Robbins, F.E., Introduction to Claudius Ptolemy </w:t>
      </w:r>
      <w:proofErr w:type="spellStart"/>
      <w:r>
        <w:rPr>
          <w:i/>
          <w:iCs/>
        </w:rPr>
        <w:t>Tetrabiblos</w:t>
      </w:r>
      <w:proofErr w:type="spellEnd"/>
      <w:r>
        <w:t xml:space="preserve">, </w:t>
      </w:r>
      <w:r w:rsidR="00503D3D">
        <w:t xml:space="preserve">Ed. Jeffrey Henderson and F. E. Robbins, Trans. F. E. Robbins, Loeb Classical Library, Harvard University Press: Cambridge/London (1940); </w:t>
      </w:r>
      <w:r>
        <w:t>pp. xii and vii.</w:t>
      </w:r>
    </w:p>
  </w:footnote>
  <w:footnote w:id="5">
    <w:p w14:paraId="79448C16" w14:textId="7AB47965" w:rsidR="00F23AFB" w:rsidRDefault="00F23AFB" w:rsidP="00334120">
      <w:pPr>
        <w:pStyle w:val="FootnoteText"/>
        <w:ind w:firstLine="720"/>
      </w:pPr>
      <w:r>
        <w:rPr>
          <w:rStyle w:val="FootnoteReference"/>
        </w:rPr>
        <w:footnoteRef/>
      </w:r>
      <w:r>
        <w:t xml:space="preserve"> Robbins, Introduction to Claudius Ptolemy </w:t>
      </w:r>
      <w:proofErr w:type="spellStart"/>
      <w:r>
        <w:rPr>
          <w:i/>
          <w:iCs/>
        </w:rPr>
        <w:t>Tetrabiblos</w:t>
      </w:r>
      <w:proofErr w:type="spellEnd"/>
      <w:r>
        <w:t>, p, xxiv.</w:t>
      </w:r>
    </w:p>
  </w:footnote>
  <w:footnote w:id="6">
    <w:p w14:paraId="1BFFAA6C" w14:textId="3EBD71C0" w:rsidR="00F23AFB" w:rsidRDefault="00F23AFB" w:rsidP="001A2979">
      <w:pPr>
        <w:pStyle w:val="FootnoteText"/>
        <w:ind w:firstLine="720"/>
      </w:pPr>
      <w:r>
        <w:rPr>
          <w:rStyle w:val="FootnoteReference"/>
        </w:rPr>
        <w:footnoteRef/>
      </w:r>
      <w:r>
        <w:t xml:space="preserve"> Ptolemy, </w:t>
      </w:r>
      <w:proofErr w:type="spellStart"/>
      <w:r w:rsidRPr="00650DC0">
        <w:rPr>
          <w:i/>
          <w:iCs/>
        </w:rPr>
        <w:t>Tetrabiblos</w:t>
      </w:r>
      <w:proofErr w:type="spellEnd"/>
      <w:r>
        <w:t>, p. 13.</w:t>
      </w:r>
    </w:p>
  </w:footnote>
  <w:footnote w:id="7">
    <w:p w14:paraId="06484FC2" w14:textId="734173F2" w:rsidR="00F23AFB" w:rsidRDefault="00F23AFB" w:rsidP="00D43270">
      <w:pPr>
        <w:pStyle w:val="FootnoteText"/>
        <w:ind w:firstLine="720"/>
      </w:pPr>
      <w:r>
        <w:rPr>
          <w:rStyle w:val="FootnoteReference"/>
        </w:rPr>
        <w:footnoteRef/>
      </w:r>
      <w:r>
        <w:t xml:space="preserve"> Campion, Nicholas, </w:t>
      </w:r>
      <w:r w:rsidRPr="00DA2D63">
        <w:rPr>
          <w:i/>
          <w:iCs/>
        </w:rPr>
        <w:t>A History of Western Astrology Volume II: The Medieval and Modern Worlds</w:t>
      </w:r>
      <w:r>
        <w:t>, Bloomsbury Academic: London/New York (2009), p. 232.</w:t>
      </w:r>
    </w:p>
  </w:footnote>
  <w:footnote w:id="8">
    <w:p w14:paraId="64CBA203" w14:textId="4DCD06DF" w:rsidR="00F23AFB" w:rsidRDefault="00F23AFB" w:rsidP="0064245E">
      <w:pPr>
        <w:pStyle w:val="FootnoteText"/>
        <w:ind w:firstLine="720"/>
      </w:pPr>
      <w:r>
        <w:rPr>
          <w:rStyle w:val="FootnoteReference"/>
        </w:rPr>
        <w:footnoteRef/>
      </w:r>
      <w:r>
        <w:t xml:space="preserve"> Campion, </w:t>
      </w:r>
      <w:r w:rsidRPr="0064245E">
        <w:rPr>
          <w:i/>
          <w:iCs/>
        </w:rPr>
        <w:t>Western Astrology Volume II</w:t>
      </w:r>
      <w:r>
        <w:t>, p.232.</w:t>
      </w:r>
    </w:p>
  </w:footnote>
  <w:footnote w:id="9">
    <w:p w14:paraId="342E828F" w14:textId="448B915A" w:rsidR="00F23AFB" w:rsidRDefault="00F23AFB" w:rsidP="00442356">
      <w:pPr>
        <w:pStyle w:val="FootnoteText"/>
        <w:ind w:firstLine="720"/>
      </w:pPr>
      <w:r>
        <w:rPr>
          <w:rStyle w:val="FootnoteReference"/>
        </w:rPr>
        <w:footnoteRef/>
      </w:r>
      <w:r>
        <w:t xml:space="preserve"> Leo, </w:t>
      </w:r>
      <w:r w:rsidRPr="00442356">
        <w:rPr>
          <w:i/>
          <w:iCs/>
        </w:rPr>
        <w:t>Astrology for All</w:t>
      </w:r>
      <w:r>
        <w:t>, p. vi.</w:t>
      </w:r>
    </w:p>
  </w:footnote>
  <w:footnote w:id="10">
    <w:p w14:paraId="10A7B06C" w14:textId="4724D127" w:rsidR="00F23AFB" w:rsidRDefault="00F23AFB" w:rsidP="00DA2D63">
      <w:pPr>
        <w:pStyle w:val="FootnoteText"/>
        <w:ind w:firstLine="720"/>
      </w:pPr>
      <w:r>
        <w:rPr>
          <w:rStyle w:val="FootnoteReference"/>
        </w:rPr>
        <w:footnoteRef/>
      </w:r>
      <w:r>
        <w:t xml:space="preserve"> Campion, </w:t>
      </w:r>
      <w:r w:rsidRPr="00DA2D63">
        <w:rPr>
          <w:i/>
          <w:iCs/>
        </w:rPr>
        <w:t>Western Astrology Volume II</w:t>
      </w:r>
      <w:r>
        <w:t>, p. 231.</w:t>
      </w:r>
    </w:p>
  </w:footnote>
  <w:footnote w:id="11">
    <w:p w14:paraId="3967ADB9" w14:textId="0D7DD434" w:rsidR="00F23AFB" w:rsidRDefault="00F23AFB" w:rsidP="00CA12A7">
      <w:pPr>
        <w:pStyle w:val="FootnoteText"/>
        <w:ind w:firstLine="720"/>
      </w:pPr>
      <w:r>
        <w:rPr>
          <w:rStyle w:val="FootnoteReference"/>
        </w:rPr>
        <w:footnoteRef/>
      </w:r>
      <w:r>
        <w:t xml:space="preserve"> Greene</w:t>
      </w:r>
      <w:r w:rsidR="00DC121F">
        <w:t xml:space="preserve"> and </w:t>
      </w:r>
      <w:proofErr w:type="spellStart"/>
      <w:r w:rsidR="00DC121F">
        <w:t>Sasportas</w:t>
      </w:r>
      <w:proofErr w:type="spellEnd"/>
      <w:r>
        <w:t xml:space="preserve">, </w:t>
      </w:r>
      <w:r w:rsidRPr="00CA12A7">
        <w:rPr>
          <w:i/>
          <w:iCs/>
        </w:rPr>
        <w:t>Luminaries</w:t>
      </w:r>
      <w:r>
        <w:t>, p. ix.</w:t>
      </w:r>
    </w:p>
  </w:footnote>
  <w:footnote w:id="12">
    <w:p w14:paraId="49EF73FB" w14:textId="77777777" w:rsidR="00F23AFB" w:rsidRDefault="00F23AFB" w:rsidP="006353F9">
      <w:pPr>
        <w:pStyle w:val="FootnoteText"/>
        <w:ind w:firstLine="720"/>
      </w:pPr>
      <w:r>
        <w:rPr>
          <w:rStyle w:val="FootnoteReference"/>
        </w:rPr>
        <w:footnoteRef/>
      </w:r>
      <w:r>
        <w:t xml:space="preserve"> Ptolemy, </w:t>
      </w:r>
      <w:proofErr w:type="spellStart"/>
      <w:r w:rsidRPr="002B4AA7">
        <w:rPr>
          <w:i/>
          <w:iCs/>
        </w:rPr>
        <w:t>Centiloquium</w:t>
      </w:r>
      <w:proofErr w:type="spellEnd"/>
      <w:r>
        <w:t>, Aphorism #86.</w:t>
      </w:r>
    </w:p>
  </w:footnote>
  <w:footnote w:id="13">
    <w:p w14:paraId="3692DCC0" w14:textId="3F599015" w:rsidR="00F23AFB" w:rsidRDefault="00F23AFB" w:rsidP="002B4AA7">
      <w:pPr>
        <w:pStyle w:val="FootnoteText"/>
        <w:ind w:firstLine="720"/>
      </w:pPr>
      <w:r>
        <w:rPr>
          <w:rStyle w:val="FootnoteReference"/>
        </w:rPr>
        <w:footnoteRef/>
      </w:r>
      <w:r>
        <w:t xml:space="preserve"> Ptolemy, </w:t>
      </w:r>
      <w:proofErr w:type="spellStart"/>
      <w:r w:rsidRPr="002B4AA7">
        <w:rPr>
          <w:i/>
          <w:iCs/>
        </w:rPr>
        <w:t>Tetrabiblos</w:t>
      </w:r>
      <w:proofErr w:type="spellEnd"/>
      <w:r>
        <w:t>, p. 45.</w:t>
      </w:r>
    </w:p>
  </w:footnote>
  <w:footnote w:id="14">
    <w:p w14:paraId="5B61CDFD" w14:textId="3180CB75" w:rsidR="00F23AFB" w:rsidRDefault="00F23AFB" w:rsidP="00BB7B29">
      <w:pPr>
        <w:pStyle w:val="FootnoteText"/>
        <w:ind w:firstLine="720"/>
      </w:pPr>
      <w:r>
        <w:rPr>
          <w:rStyle w:val="FootnoteReference"/>
        </w:rPr>
        <w:footnoteRef/>
      </w:r>
      <w:r>
        <w:t xml:space="preserve"> Ptolemy, </w:t>
      </w:r>
      <w:proofErr w:type="spellStart"/>
      <w:r w:rsidRPr="00BB7B29">
        <w:rPr>
          <w:i/>
          <w:iCs/>
        </w:rPr>
        <w:t>Centiloquium</w:t>
      </w:r>
      <w:proofErr w:type="spellEnd"/>
      <w:r>
        <w:t>, Aphorism #35.</w:t>
      </w:r>
    </w:p>
  </w:footnote>
  <w:footnote w:id="15">
    <w:p w14:paraId="2B3DFFFE" w14:textId="2D4B4D6D" w:rsidR="00F23AFB" w:rsidRDefault="00F23AFB" w:rsidP="00BB7B29">
      <w:pPr>
        <w:pStyle w:val="FootnoteText"/>
        <w:ind w:firstLine="720"/>
      </w:pPr>
      <w:r>
        <w:rPr>
          <w:rStyle w:val="FootnoteReference"/>
        </w:rPr>
        <w:footnoteRef/>
      </w:r>
      <w:r>
        <w:t xml:space="preserve"> Leo, </w:t>
      </w:r>
      <w:r w:rsidRPr="00BB7B29">
        <w:rPr>
          <w:i/>
          <w:iCs/>
        </w:rPr>
        <w:t>Astrology for All</w:t>
      </w:r>
      <w:r>
        <w:t>, p. 10.</w:t>
      </w:r>
    </w:p>
  </w:footnote>
  <w:footnote w:id="16">
    <w:p w14:paraId="3C9E9451" w14:textId="0A8F0F51" w:rsidR="00F23AFB" w:rsidRDefault="00F23AFB" w:rsidP="006353F9">
      <w:pPr>
        <w:pStyle w:val="FootnoteText"/>
        <w:ind w:firstLine="720"/>
      </w:pPr>
      <w:r>
        <w:rPr>
          <w:rStyle w:val="FootnoteReference"/>
        </w:rPr>
        <w:footnoteRef/>
      </w:r>
      <w:r>
        <w:t xml:space="preserve"> Leo, </w:t>
      </w:r>
      <w:r w:rsidRPr="006353F9">
        <w:rPr>
          <w:i/>
          <w:iCs/>
        </w:rPr>
        <w:t>Astrology for All</w:t>
      </w:r>
      <w:r>
        <w:t>, p. 10.</w:t>
      </w:r>
    </w:p>
  </w:footnote>
  <w:footnote w:id="17">
    <w:p w14:paraId="12F801EC" w14:textId="319B4B27" w:rsidR="00F23AFB" w:rsidRDefault="00F23AFB" w:rsidP="007C466E">
      <w:pPr>
        <w:pStyle w:val="FootnoteText"/>
        <w:ind w:firstLine="720"/>
      </w:pPr>
      <w:r>
        <w:rPr>
          <w:rStyle w:val="FootnoteReference"/>
        </w:rPr>
        <w:footnoteRef/>
      </w:r>
      <w:r>
        <w:t xml:space="preserve"> Leo, </w:t>
      </w:r>
      <w:r w:rsidRPr="006353F9">
        <w:rPr>
          <w:i/>
          <w:iCs/>
        </w:rPr>
        <w:t>Astrology for All</w:t>
      </w:r>
      <w:r>
        <w:t>, p. 10.</w:t>
      </w:r>
    </w:p>
  </w:footnote>
  <w:footnote w:id="18">
    <w:p w14:paraId="74BF929C" w14:textId="7B32701A" w:rsidR="00F23AFB" w:rsidRDefault="00F23AFB" w:rsidP="00F23AFB">
      <w:pPr>
        <w:pStyle w:val="FootnoteText"/>
        <w:ind w:firstLine="720"/>
      </w:pPr>
      <w:r>
        <w:rPr>
          <w:rStyle w:val="FootnoteReference"/>
        </w:rPr>
        <w:footnoteRef/>
      </w:r>
      <w:r>
        <w:t xml:space="preserve"> Watters, Joanna, Astrology for Today, Carroll &amp; Brown: London (2003), skyscript.co.uk.</w:t>
      </w:r>
    </w:p>
  </w:footnote>
  <w:footnote w:id="19">
    <w:p w14:paraId="32FB4244" w14:textId="675643A8" w:rsidR="00F23AFB" w:rsidRDefault="00F23AFB" w:rsidP="00350F0E">
      <w:pPr>
        <w:pStyle w:val="FootnoteText"/>
        <w:ind w:firstLine="720"/>
      </w:pPr>
      <w:r>
        <w:rPr>
          <w:rStyle w:val="FootnoteReference"/>
        </w:rPr>
        <w:footnoteRef/>
      </w:r>
      <w:r>
        <w:t xml:space="preserve"> Greene</w:t>
      </w:r>
      <w:r w:rsidR="00DC121F">
        <w:t xml:space="preserve"> and </w:t>
      </w:r>
      <w:proofErr w:type="spellStart"/>
      <w:r w:rsidR="00DC121F">
        <w:t>Sasportas</w:t>
      </w:r>
      <w:proofErr w:type="spellEnd"/>
      <w:r>
        <w:t xml:space="preserve">, </w:t>
      </w:r>
      <w:r w:rsidRPr="008C3DF9">
        <w:rPr>
          <w:i/>
          <w:iCs/>
        </w:rPr>
        <w:t>Luminaries</w:t>
      </w:r>
      <w:r>
        <w:t>, p. 82.</w:t>
      </w:r>
    </w:p>
  </w:footnote>
  <w:footnote w:id="20">
    <w:p w14:paraId="1855DBC5" w14:textId="5EBB0C87" w:rsidR="00F23AFB" w:rsidRDefault="00F23AFB" w:rsidP="002843E1">
      <w:pPr>
        <w:pStyle w:val="FootnoteText"/>
        <w:ind w:firstLine="720"/>
      </w:pPr>
      <w:r>
        <w:rPr>
          <w:rStyle w:val="FootnoteReference"/>
        </w:rPr>
        <w:footnoteRef/>
      </w:r>
      <w:r>
        <w:t xml:space="preserve"> Ptolemy, </w:t>
      </w:r>
      <w:proofErr w:type="spellStart"/>
      <w:r w:rsidRPr="002843E1">
        <w:rPr>
          <w:i/>
          <w:iCs/>
        </w:rPr>
        <w:t>Centiloquium</w:t>
      </w:r>
      <w:proofErr w:type="spellEnd"/>
      <w:r>
        <w:t>, Aphorism 69.</w:t>
      </w:r>
    </w:p>
  </w:footnote>
  <w:footnote w:id="21">
    <w:p w14:paraId="06827BE2" w14:textId="21370B2E" w:rsidR="00F23AFB" w:rsidRDefault="00F23AFB" w:rsidP="00DA3094">
      <w:pPr>
        <w:pStyle w:val="FootnoteText"/>
        <w:ind w:firstLine="720"/>
      </w:pPr>
      <w:r>
        <w:rPr>
          <w:rStyle w:val="FootnoteReference"/>
        </w:rPr>
        <w:footnoteRef/>
      </w:r>
      <w:r>
        <w:t xml:space="preserve"> Ptolemy, </w:t>
      </w:r>
      <w:proofErr w:type="spellStart"/>
      <w:r w:rsidRPr="00DA3094">
        <w:rPr>
          <w:i/>
          <w:iCs/>
        </w:rPr>
        <w:t>Centiloquium</w:t>
      </w:r>
      <w:proofErr w:type="spellEnd"/>
      <w:r>
        <w:t>, Aphorism 71.</w:t>
      </w:r>
    </w:p>
  </w:footnote>
  <w:footnote w:id="22">
    <w:p w14:paraId="33C59A02" w14:textId="77777777" w:rsidR="00F23AFB" w:rsidRDefault="00F23AFB" w:rsidP="00A92280">
      <w:pPr>
        <w:pStyle w:val="FootnoteText"/>
        <w:ind w:firstLine="720"/>
      </w:pPr>
      <w:r>
        <w:rPr>
          <w:rStyle w:val="FootnoteReference"/>
        </w:rPr>
        <w:footnoteRef/>
      </w:r>
      <w:r>
        <w:t xml:space="preserve"> Leo, </w:t>
      </w:r>
      <w:r w:rsidRPr="00041690">
        <w:rPr>
          <w:i/>
          <w:iCs/>
        </w:rPr>
        <w:t>Astrology for All</w:t>
      </w:r>
      <w:r>
        <w:t>, p. 71.</w:t>
      </w:r>
    </w:p>
  </w:footnote>
  <w:footnote w:id="23">
    <w:p w14:paraId="7CEC3B4E" w14:textId="25DD8909" w:rsidR="00F23AFB" w:rsidRDefault="00F23AFB" w:rsidP="00A92280">
      <w:pPr>
        <w:pStyle w:val="FootnoteText"/>
        <w:ind w:firstLine="720"/>
      </w:pPr>
      <w:r>
        <w:rPr>
          <w:rStyle w:val="FootnoteReference"/>
        </w:rPr>
        <w:footnoteRef/>
      </w:r>
      <w:r>
        <w:t xml:space="preserve"> Leo, </w:t>
      </w:r>
      <w:r w:rsidRPr="00041690">
        <w:rPr>
          <w:i/>
          <w:iCs/>
        </w:rPr>
        <w:t>Astrology for All</w:t>
      </w:r>
      <w:r>
        <w:t>, p. 71.</w:t>
      </w:r>
    </w:p>
  </w:footnote>
  <w:footnote w:id="24">
    <w:p w14:paraId="1E40FCC9" w14:textId="6943E0A6" w:rsidR="00F23AFB" w:rsidRDefault="00F23AFB" w:rsidP="001920D8">
      <w:pPr>
        <w:pStyle w:val="FootnoteText"/>
        <w:ind w:firstLine="720"/>
      </w:pPr>
      <w:r>
        <w:rPr>
          <w:rStyle w:val="FootnoteReference"/>
        </w:rPr>
        <w:footnoteRef/>
      </w:r>
      <w:r>
        <w:t xml:space="preserve"> Greene and </w:t>
      </w:r>
      <w:proofErr w:type="spellStart"/>
      <w:r>
        <w:t>Sasportas</w:t>
      </w:r>
      <w:proofErr w:type="spellEnd"/>
      <w:r>
        <w:t>, Luminaries, pp. 173-174.</w:t>
      </w:r>
    </w:p>
  </w:footnote>
  <w:footnote w:id="25">
    <w:p w14:paraId="577E08D3" w14:textId="1538AFE4" w:rsidR="00F23AFB" w:rsidRDefault="00F23AFB" w:rsidP="00793F1A">
      <w:pPr>
        <w:pStyle w:val="FootnoteText"/>
        <w:ind w:firstLine="720"/>
      </w:pPr>
      <w:r>
        <w:rPr>
          <w:rStyle w:val="FootnoteReference"/>
        </w:rPr>
        <w:footnoteRef/>
      </w:r>
      <w:r>
        <w:t xml:space="preserve"> Greene and </w:t>
      </w:r>
      <w:proofErr w:type="spellStart"/>
      <w:r>
        <w:t>Sasportas</w:t>
      </w:r>
      <w:proofErr w:type="spellEnd"/>
      <w:r>
        <w:t>, Luminaries, pp. 174-175.</w:t>
      </w:r>
    </w:p>
  </w:footnote>
  <w:footnote w:id="26">
    <w:p w14:paraId="1DB468D3" w14:textId="4BA55214" w:rsidR="008C3DF9" w:rsidRDefault="008C3DF9" w:rsidP="008C3DF9">
      <w:pPr>
        <w:pStyle w:val="FootnoteText"/>
        <w:ind w:firstLine="720"/>
      </w:pPr>
      <w:r>
        <w:rPr>
          <w:rStyle w:val="FootnoteReference"/>
        </w:rPr>
        <w:footnoteRef/>
      </w:r>
      <w:r>
        <w:t xml:space="preserve"> Ptolemy, </w:t>
      </w:r>
      <w:proofErr w:type="spellStart"/>
      <w:r w:rsidRPr="008C3DF9">
        <w:rPr>
          <w:i/>
          <w:iCs/>
        </w:rPr>
        <w:t>Tetrabiblos</w:t>
      </w:r>
      <w:proofErr w:type="spellEnd"/>
      <w:r>
        <w:t>, Aphorism 24.</w:t>
      </w:r>
    </w:p>
  </w:footnote>
  <w:footnote w:id="27">
    <w:p w14:paraId="2F9D0D59" w14:textId="0E82D6C5" w:rsidR="008C3DF9" w:rsidRDefault="008C3DF9" w:rsidP="008C3DF9">
      <w:pPr>
        <w:pStyle w:val="FootnoteText"/>
        <w:ind w:firstLine="720"/>
      </w:pPr>
      <w:r>
        <w:rPr>
          <w:rStyle w:val="FootnoteReference"/>
        </w:rPr>
        <w:footnoteRef/>
      </w:r>
      <w:r>
        <w:t xml:space="preserve"> </w:t>
      </w:r>
      <w:r>
        <w:t xml:space="preserve">Ptolemy, </w:t>
      </w:r>
      <w:proofErr w:type="spellStart"/>
      <w:r w:rsidRPr="008C3DF9">
        <w:rPr>
          <w:i/>
          <w:iCs/>
        </w:rPr>
        <w:t>Tetrabiblos</w:t>
      </w:r>
      <w:proofErr w:type="spellEnd"/>
      <w:r>
        <w:t>, Aphorism 24.</w:t>
      </w:r>
    </w:p>
  </w:footnote>
  <w:footnote w:id="28">
    <w:p w14:paraId="6D1FDE4B" w14:textId="604DFE6B" w:rsidR="008C3DF9" w:rsidRDefault="008C3DF9" w:rsidP="008C3DF9">
      <w:pPr>
        <w:pStyle w:val="FootnoteText"/>
        <w:ind w:firstLine="720"/>
      </w:pPr>
      <w:r>
        <w:rPr>
          <w:rStyle w:val="FootnoteReference"/>
        </w:rPr>
        <w:footnoteRef/>
      </w:r>
      <w:r>
        <w:t xml:space="preserve"> Ptolemy, Claudius, </w:t>
      </w:r>
      <w:proofErr w:type="spellStart"/>
      <w:r w:rsidRPr="008C3DF9">
        <w:rPr>
          <w:i/>
          <w:iCs/>
        </w:rPr>
        <w:t>Centiloquium</w:t>
      </w:r>
      <w:proofErr w:type="spellEnd"/>
      <w:r>
        <w:t>, Aphorism 96.</w:t>
      </w:r>
    </w:p>
  </w:footnote>
  <w:footnote w:id="29">
    <w:p w14:paraId="5AEA4073" w14:textId="16EBD955" w:rsidR="00894441" w:rsidRDefault="00894441" w:rsidP="00894441">
      <w:pPr>
        <w:pStyle w:val="FootnoteText"/>
        <w:ind w:firstLine="720"/>
      </w:pPr>
      <w:r>
        <w:rPr>
          <w:rStyle w:val="FootnoteReference"/>
        </w:rPr>
        <w:footnoteRef/>
      </w:r>
      <w:r>
        <w:t xml:space="preserve"> </w:t>
      </w:r>
      <w:r>
        <w:t xml:space="preserve">Ptolemy, Claudius, </w:t>
      </w:r>
      <w:proofErr w:type="spellStart"/>
      <w:r w:rsidRPr="008C3DF9">
        <w:rPr>
          <w:i/>
          <w:iCs/>
        </w:rPr>
        <w:t>Centiloquium</w:t>
      </w:r>
      <w:proofErr w:type="spellEnd"/>
      <w:r>
        <w:t>, Aphorism 9</w:t>
      </w:r>
      <w:r>
        <w:t>8</w:t>
      </w:r>
      <w:r>
        <w:t>.</w:t>
      </w:r>
    </w:p>
  </w:footnote>
  <w:footnote w:id="30">
    <w:p w14:paraId="7E1F08F3" w14:textId="0B0BC331" w:rsidR="00D1455B" w:rsidRDefault="00D1455B" w:rsidP="00D1455B">
      <w:pPr>
        <w:pStyle w:val="FootnoteText"/>
        <w:ind w:firstLine="720"/>
      </w:pPr>
      <w:r>
        <w:rPr>
          <w:rStyle w:val="FootnoteReference"/>
        </w:rPr>
        <w:footnoteRef/>
      </w:r>
      <w:r>
        <w:t xml:space="preserve"> Greene and </w:t>
      </w:r>
      <w:proofErr w:type="spellStart"/>
      <w:r>
        <w:t>Sasportas</w:t>
      </w:r>
      <w:proofErr w:type="spellEnd"/>
      <w:r>
        <w:t xml:space="preserve">, </w:t>
      </w:r>
      <w:r w:rsidRPr="00726C18">
        <w:rPr>
          <w:i/>
          <w:iCs/>
        </w:rPr>
        <w:t>Luminaries</w:t>
      </w:r>
      <w:r>
        <w:t>, pp. 195-196.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8D76B0" w14:textId="74A63223" w:rsidR="00A544A8" w:rsidRDefault="00A544A8" w:rsidP="00A544A8">
    <w:pPr>
      <w:pStyle w:val="Header"/>
      <w:tabs>
        <w:tab w:val="clear" w:pos="4680"/>
        <w:tab w:val="clear" w:pos="9360"/>
        <w:tab w:val="left" w:pos="847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C1F5AE" w14:textId="1AEC165B" w:rsidR="00A544A8" w:rsidRDefault="00A544A8">
    <w:pPr>
      <w:pStyle w:val="Header"/>
      <w:jc w:val="right"/>
    </w:pPr>
  </w:p>
  <w:p w14:paraId="686ACE1F" w14:textId="31A7F72B" w:rsidR="00F23AFB" w:rsidRDefault="00F23AFB" w:rsidP="00F23AFB">
    <w:pPr>
      <w:pStyle w:val="Header"/>
      <w:tabs>
        <w:tab w:val="clear" w:pos="4680"/>
        <w:tab w:val="clear" w:pos="9360"/>
        <w:tab w:val="left" w:pos="2445"/>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5A3B44" w14:textId="05BBBC8E" w:rsidR="00F53D6F" w:rsidRDefault="00F53D6F">
    <w:pPr>
      <w:pStyle w:val="Header"/>
    </w:pPr>
    <w:r>
      <w:t>Kim Harrer 1814389</w:t>
    </w:r>
    <w:r>
      <w:tab/>
    </w:r>
    <w:r>
      <w:tab/>
    </w:r>
    <w:sdt>
      <w:sdtPr>
        <w:id w:val="-600260391"/>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3822720C" w14:textId="1AD1312F" w:rsidR="00F53D6F" w:rsidRDefault="00F53D6F" w:rsidP="00A544A8">
    <w:pPr>
      <w:pStyle w:val="Header"/>
      <w:tabs>
        <w:tab w:val="clear" w:pos="4680"/>
        <w:tab w:val="clear" w:pos="9360"/>
        <w:tab w:val="left" w:pos="8470"/>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86615334"/>
      <w:docPartObj>
        <w:docPartGallery w:val="Page Numbers (Top of Page)"/>
        <w:docPartUnique/>
      </w:docPartObj>
    </w:sdtPr>
    <w:sdtEndPr>
      <w:rPr>
        <w:noProof/>
      </w:rPr>
    </w:sdtEndPr>
    <w:sdtContent>
      <w:p w14:paraId="6D9B00C5" w14:textId="45F6D4EF" w:rsidR="00A544A8" w:rsidRDefault="00A544A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13B7CFC" w14:textId="77777777" w:rsidR="00A544A8" w:rsidRDefault="00A544A8" w:rsidP="00F23AFB">
    <w:pPr>
      <w:pStyle w:val="Header"/>
      <w:tabs>
        <w:tab w:val="clear" w:pos="4680"/>
        <w:tab w:val="clear" w:pos="9360"/>
        <w:tab w:val="left" w:pos="2445"/>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EDC"/>
    <w:rsid w:val="00012E81"/>
    <w:rsid w:val="00015F09"/>
    <w:rsid w:val="000255B8"/>
    <w:rsid w:val="00041328"/>
    <w:rsid w:val="00041690"/>
    <w:rsid w:val="00053B4D"/>
    <w:rsid w:val="0009023F"/>
    <w:rsid w:val="00097D34"/>
    <w:rsid w:val="000C16CA"/>
    <w:rsid w:val="000C7502"/>
    <w:rsid w:val="000D3499"/>
    <w:rsid w:val="000D69D6"/>
    <w:rsid w:val="000F2059"/>
    <w:rsid w:val="000F298C"/>
    <w:rsid w:val="000F6804"/>
    <w:rsid w:val="00134CE3"/>
    <w:rsid w:val="00166170"/>
    <w:rsid w:val="0018224C"/>
    <w:rsid w:val="00182A9F"/>
    <w:rsid w:val="001869D4"/>
    <w:rsid w:val="001920D8"/>
    <w:rsid w:val="00194DAF"/>
    <w:rsid w:val="001A2979"/>
    <w:rsid w:val="001B75D4"/>
    <w:rsid w:val="001C224F"/>
    <w:rsid w:val="001D2559"/>
    <w:rsid w:val="001D5947"/>
    <w:rsid w:val="001F27D8"/>
    <w:rsid w:val="00202258"/>
    <w:rsid w:val="002175F7"/>
    <w:rsid w:val="00230A67"/>
    <w:rsid w:val="00235706"/>
    <w:rsid w:val="00264D72"/>
    <w:rsid w:val="00274F28"/>
    <w:rsid w:val="002843E1"/>
    <w:rsid w:val="002A4745"/>
    <w:rsid w:val="002B4AA7"/>
    <w:rsid w:val="002C51B4"/>
    <w:rsid w:val="002C5E80"/>
    <w:rsid w:val="002D6FCD"/>
    <w:rsid w:val="002E4549"/>
    <w:rsid w:val="003167E2"/>
    <w:rsid w:val="00330DCE"/>
    <w:rsid w:val="00334120"/>
    <w:rsid w:val="00350F0E"/>
    <w:rsid w:val="00375BF6"/>
    <w:rsid w:val="00394B6B"/>
    <w:rsid w:val="003A18E7"/>
    <w:rsid w:val="003A247B"/>
    <w:rsid w:val="003A354A"/>
    <w:rsid w:val="003B2FC6"/>
    <w:rsid w:val="003E680D"/>
    <w:rsid w:val="00433AAD"/>
    <w:rsid w:val="00441445"/>
    <w:rsid w:val="00442356"/>
    <w:rsid w:val="00470870"/>
    <w:rsid w:val="00471584"/>
    <w:rsid w:val="00476B8A"/>
    <w:rsid w:val="00483907"/>
    <w:rsid w:val="004C4D9E"/>
    <w:rsid w:val="004D121C"/>
    <w:rsid w:val="004D785D"/>
    <w:rsid w:val="004D797B"/>
    <w:rsid w:val="004E2B74"/>
    <w:rsid w:val="00503D3D"/>
    <w:rsid w:val="00510742"/>
    <w:rsid w:val="005367E8"/>
    <w:rsid w:val="0057571F"/>
    <w:rsid w:val="00585EDB"/>
    <w:rsid w:val="0059691C"/>
    <w:rsid w:val="005A4C45"/>
    <w:rsid w:val="005B00A7"/>
    <w:rsid w:val="005D4D34"/>
    <w:rsid w:val="00612268"/>
    <w:rsid w:val="006249D6"/>
    <w:rsid w:val="006353F9"/>
    <w:rsid w:val="00641EB8"/>
    <w:rsid w:val="0064245E"/>
    <w:rsid w:val="00650A41"/>
    <w:rsid w:val="00650DC0"/>
    <w:rsid w:val="00650E90"/>
    <w:rsid w:val="00653B62"/>
    <w:rsid w:val="00670962"/>
    <w:rsid w:val="00676094"/>
    <w:rsid w:val="00681378"/>
    <w:rsid w:val="00683A85"/>
    <w:rsid w:val="006A74D0"/>
    <w:rsid w:val="006C72EA"/>
    <w:rsid w:val="00714BE2"/>
    <w:rsid w:val="00721257"/>
    <w:rsid w:val="007225E9"/>
    <w:rsid w:val="00726C18"/>
    <w:rsid w:val="00740CB3"/>
    <w:rsid w:val="00742487"/>
    <w:rsid w:val="00747EA4"/>
    <w:rsid w:val="00770BDA"/>
    <w:rsid w:val="007714EE"/>
    <w:rsid w:val="00776C9B"/>
    <w:rsid w:val="00793F1A"/>
    <w:rsid w:val="007C466E"/>
    <w:rsid w:val="007E444C"/>
    <w:rsid w:val="007E7DF2"/>
    <w:rsid w:val="007F06AE"/>
    <w:rsid w:val="00811556"/>
    <w:rsid w:val="00814ACD"/>
    <w:rsid w:val="00817805"/>
    <w:rsid w:val="00831DFA"/>
    <w:rsid w:val="00835628"/>
    <w:rsid w:val="008475B8"/>
    <w:rsid w:val="00876609"/>
    <w:rsid w:val="00883964"/>
    <w:rsid w:val="00894441"/>
    <w:rsid w:val="008A00FB"/>
    <w:rsid w:val="008A20D8"/>
    <w:rsid w:val="008C3DF9"/>
    <w:rsid w:val="008F767E"/>
    <w:rsid w:val="009010C6"/>
    <w:rsid w:val="00920959"/>
    <w:rsid w:val="0092309A"/>
    <w:rsid w:val="00932535"/>
    <w:rsid w:val="009344A8"/>
    <w:rsid w:val="009479CA"/>
    <w:rsid w:val="00954FB8"/>
    <w:rsid w:val="009568CC"/>
    <w:rsid w:val="00962D59"/>
    <w:rsid w:val="0098402C"/>
    <w:rsid w:val="009B7EDC"/>
    <w:rsid w:val="009F216B"/>
    <w:rsid w:val="00A34364"/>
    <w:rsid w:val="00A358B9"/>
    <w:rsid w:val="00A376B6"/>
    <w:rsid w:val="00A37AB3"/>
    <w:rsid w:val="00A414E9"/>
    <w:rsid w:val="00A544A8"/>
    <w:rsid w:val="00A71510"/>
    <w:rsid w:val="00A92280"/>
    <w:rsid w:val="00AA1DE2"/>
    <w:rsid w:val="00AA617A"/>
    <w:rsid w:val="00AB204C"/>
    <w:rsid w:val="00AD1B0E"/>
    <w:rsid w:val="00AD2F7C"/>
    <w:rsid w:val="00AE3B2E"/>
    <w:rsid w:val="00AF53E5"/>
    <w:rsid w:val="00B12946"/>
    <w:rsid w:val="00B27B23"/>
    <w:rsid w:val="00B45D57"/>
    <w:rsid w:val="00B80DB8"/>
    <w:rsid w:val="00B83175"/>
    <w:rsid w:val="00BB18DF"/>
    <w:rsid w:val="00BB7B29"/>
    <w:rsid w:val="00BC5C36"/>
    <w:rsid w:val="00BE01C7"/>
    <w:rsid w:val="00BE20A5"/>
    <w:rsid w:val="00C032CF"/>
    <w:rsid w:val="00C13E83"/>
    <w:rsid w:val="00C17E00"/>
    <w:rsid w:val="00C341EE"/>
    <w:rsid w:val="00C47B47"/>
    <w:rsid w:val="00C50BE0"/>
    <w:rsid w:val="00C622B6"/>
    <w:rsid w:val="00C81858"/>
    <w:rsid w:val="00CA12A7"/>
    <w:rsid w:val="00CA1686"/>
    <w:rsid w:val="00CC584E"/>
    <w:rsid w:val="00CD7F53"/>
    <w:rsid w:val="00CE44CF"/>
    <w:rsid w:val="00CE54C2"/>
    <w:rsid w:val="00CF3CD5"/>
    <w:rsid w:val="00D1455B"/>
    <w:rsid w:val="00D22103"/>
    <w:rsid w:val="00D43270"/>
    <w:rsid w:val="00D444B7"/>
    <w:rsid w:val="00D51413"/>
    <w:rsid w:val="00D54AF3"/>
    <w:rsid w:val="00D55100"/>
    <w:rsid w:val="00D55336"/>
    <w:rsid w:val="00D57735"/>
    <w:rsid w:val="00D84CE1"/>
    <w:rsid w:val="00DA2580"/>
    <w:rsid w:val="00DA2D63"/>
    <w:rsid w:val="00DA3094"/>
    <w:rsid w:val="00DA30F8"/>
    <w:rsid w:val="00DB64D7"/>
    <w:rsid w:val="00DC121F"/>
    <w:rsid w:val="00DC51A3"/>
    <w:rsid w:val="00DC6D30"/>
    <w:rsid w:val="00DD0920"/>
    <w:rsid w:val="00DD6C27"/>
    <w:rsid w:val="00DF37B8"/>
    <w:rsid w:val="00E0047E"/>
    <w:rsid w:val="00E065E0"/>
    <w:rsid w:val="00E15CF4"/>
    <w:rsid w:val="00E612E2"/>
    <w:rsid w:val="00E65F5C"/>
    <w:rsid w:val="00E85476"/>
    <w:rsid w:val="00E871D7"/>
    <w:rsid w:val="00E924ED"/>
    <w:rsid w:val="00E93D78"/>
    <w:rsid w:val="00EA0F33"/>
    <w:rsid w:val="00EB0892"/>
    <w:rsid w:val="00ED4E16"/>
    <w:rsid w:val="00ED5E0C"/>
    <w:rsid w:val="00EF7B53"/>
    <w:rsid w:val="00F05168"/>
    <w:rsid w:val="00F07D76"/>
    <w:rsid w:val="00F1105B"/>
    <w:rsid w:val="00F175ED"/>
    <w:rsid w:val="00F23AFB"/>
    <w:rsid w:val="00F53D6F"/>
    <w:rsid w:val="00F5452A"/>
    <w:rsid w:val="00F8083E"/>
    <w:rsid w:val="00F84D5B"/>
    <w:rsid w:val="00F92725"/>
    <w:rsid w:val="00F97E0E"/>
    <w:rsid w:val="00FA6674"/>
    <w:rsid w:val="00FA7B7A"/>
    <w:rsid w:val="00FD59B7"/>
    <w:rsid w:val="00FE0FA7"/>
    <w:rsid w:val="00FF1DE5"/>
    <w:rsid w:val="00FF47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E9720F"/>
  <w15:chartTrackingRefBased/>
  <w15:docId w15:val="{0BF6FD62-F802-4A52-AB61-EA91DDDD9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7EDC"/>
  </w:style>
  <w:style w:type="paragraph" w:styleId="Heading3">
    <w:name w:val="heading 3"/>
    <w:basedOn w:val="Normal"/>
    <w:link w:val="Heading3Char"/>
    <w:semiHidden/>
    <w:unhideWhenUsed/>
    <w:qFormat/>
    <w:rsid w:val="009B7EDC"/>
    <w:pPr>
      <w:keepNext/>
      <w:spacing w:after="0" w:line="240" w:lineRule="auto"/>
      <w:ind w:left="720"/>
      <w:jc w:val="both"/>
      <w:outlineLvl w:val="2"/>
    </w:pPr>
    <w:rPr>
      <w:rFonts w:ascii="Tahoma" w:eastAsia="Times New Roma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semiHidden/>
    <w:rsid w:val="009B7EDC"/>
    <w:rPr>
      <w:rFonts w:ascii="Tahoma" w:eastAsia="Times New Roman" w:hAnsi="Tahoma" w:cs="Tahoma"/>
      <w:b/>
      <w:bCs/>
      <w:sz w:val="20"/>
      <w:szCs w:val="20"/>
      <w:lang w:val="en-GB" w:eastAsia="zh-CN"/>
    </w:rPr>
  </w:style>
  <w:style w:type="paragraph" w:styleId="FootnoteText">
    <w:name w:val="footnote text"/>
    <w:basedOn w:val="Normal"/>
    <w:link w:val="FootnoteTextChar"/>
    <w:uiPriority w:val="99"/>
    <w:semiHidden/>
    <w:unhideWhenUsed/>
    <w:rsid w:val="009B7E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7EDC"/>
    <w:rPr>
      <w:sz w:val="20"/>
      <w:szCs w:val="20"/>
    </w:rPr>
  </w:style>
  <w:style w:type="character" w:styleId="FootnoteReference">
    <w:name w:val="footnote reference"/>
    <w:basedOn w:val="DefaultParagraphFont"/>
    <w:uiPriority w:val="99"/>
    <w:semiHidden/>
    <w:unhideWhenUsed/>
    <w:rsid w:val="009B7EDC"/>
    <w:rPr>
      <w:vertAlign w:val="superscript"/>
    </w:rPr>
  </w:style>
  <w:style w:type="paragraph" w:styleId="Header">
    <w:name w:val="header"/>
    <w:basedOn w:val="Normal"/>
    <w:link w:val="HeaderChar"/>
    <w:uiPriority w:val="99"/>
    <w:unhideWhenUsed/>
    <w:rsid w:val="009B7E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7EDC"/>
  </w:style>
  <w:style w:type="paragraph" w:styleId="Footer">
    <w:name w:val="footer"/>
    <w:basedOn w:val="Normal"/>
    <w:link w:val="FooterChar"/>
    <w:uiPriority w:val="99"/>
    <w:unhideWhenUsed/>
    <w:rsid w:val="009B7E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7EDC"/>
  </w:style>
  <w:style w:type="paragraph" w:styleId="NormalWeb">
    <w:name w:val="Normal (Web)"/>
    <w:basedOn w:val="Normal"/>
    <w:unhideWhenUsed/>
    <w:rsid w:val="009B7EDC"/>
    <w:pPr>
      <w:spacing w:before="100" w:beforeAutospacing="1" w:after="100" w:afterAutospacing="1" w:line="240" w:lineRule="auto"/>
    </w:pPr>
    <w:rPr>
      <w:rFonts w:ascii="Georgia" w:eastAsia="SimSun" w:hAnsi="Georgia" w:cs="Times New Roman"/>
      <w:color w:val="000000"/>
      <w:sz w:val="21"/>
      <w:szCs w:val="21"/>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5331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CED8E-D7AA-46D8-846D-285E7EDDC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1267</TotalTime>
  <Pages>8</Pages>
  <Words>2035</Words>
  <Characters>11606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Harrer</dc:creator>
  <cp:keywords/>
  <dc:description/>
  <cp:lastModifiedBy>Kim Harrer</cp:lastModifiedBy>
  <cp:revision>16</cp:revision>
  <dcterms:created xsi:type="dcterms:W3CDTF">2020-12-13T02:50:00Z</dcterms:created>
  <dcterms:modified xsi:type="dcterms:W3CDTF">2020-12-13T23:55:00Z</dcterms:modified>
</cp:coreProperties>
</file>