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99A88" w14:textId="77777777" w:rsidR="00DF6DFD" w:rsidRDefault="00DF6DFD" w:rsidP="00C85C3F">
      <w:pPr>
        <w:spacing w:line="240" w:lineRule="auto"/>
        <w:jc w:val="center"/>
        <w:rPr>
          <w:sz w:val="34"/>
          <w:szCs w:val="34"/>
        </w:rPr>
      </w:pPr>
      <w:bookmarkStart w:id="0" w:name="__RefHeading___Toc2081_836813259"/>
      <w:bookmarkEnd w:id="0"/>
      <w:r>
        <w:rPr>
          <w:noProof/>
        </w:rPr>
        <w:drawing>
          <wp:inline distT="0" distB="0" distL="0" distR="0" wp14:anchorId="05ABB350" wp14:editId="270AA87B">
            <wp:extent cx="2816225" cy="67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2816225" cy="673100"/>
                    </a:xfrm>
                    <a:prstGeom prst="rect">
                      <a:avLst/>
                    </a:prstGeom>
                    <a:noFill/>
                  </pic:spPr>
                </pic:pic>
              </a:graphicData>
            </a:graphic>
          </wp:inline>
        </w:drawing>
      </w:r>
    </w:p>
    <w:p w14:paraId="5C5A3197" w14:textId="77777777" w:rsidR="00DF6DFD" w:rsidRDefault="00DF6DFD" w:rsidP="00C85C3F">
      <w:pPr>
        <w:spacing w:line="240" w:lineRule="auto"/>
        <w:jc w:val="center"/>
        <w:rPr>
          <w:sz w:val="38"/>
          <w:szCs w:val="38"/>
        </w:rPr>
      </w:pPr>
      <w:r>
        <w:rPr>
          <w:sz w:val="38"/>
          <w:szCs w:val="38"/>
        </w:rPr>
        <w:t>Master of Business Administration</w:t>
      </w:r>
    </w:p>
    <w:p w14:paraId="0B2D5410" w14:textId="77777777" w:rsidR="00DF6DFD" w:rsidRDefault="00DF6DFD" w:rsidP="00C85C3F">
      <w:pPr>
        <w:spacing w:line="240" w:lineRule="auto"/>
        <w:jc w:val="center"/>
        <w:rPr>
          <w:sz w:val="28"/>
          <w:szCs w:val="28"/>
        </w:rPr>
      </w:pPr>
      <w:r>
        <w:rPr>
          <w:sz w:val="32"/>
          <w:szCs w:val="32"/>
        </w:rPr>
        <w:t>In International Business</w:t>
      </w:r>
    </w:p>
    <w:p w14:paraId="64FE93FF" w14:textId="77777777" w:rsidR="00DF6DFD" w:rsidRDefault="00DF6DFD" w:rsidP="00C85C3F">
      <w:pPr>
        <w:spacing w:line="240" w:lineRule="auto"/>
        <w:rPr>
          <w:sz w:val="28"/>
          <w:szCs w:val="28"/>
        </w:rPr>
      </w:pPr>
    </w:p>
    <w:p w14:paraId="15808198" w14:textId="1D426BE9" w:rsidR="00DF6DFD" w:rsidRDefault="00DF6DFD" w:rsidP="00C85C3F">
      <w:pPr>
        <w:spacing w:line="240" w:lineRule="auto"/>
        <w:rPr>
          <w:sz w:val="28"/>
          <w:szCs w:val="28"/>
          <w:lang w:val="en-IN"/>
        </w:rPr>
      </w:pPr>
      <w:r>
        <w:rPr>
          <w:b/>
          <w:bCs/>
          <w:sz w:val="28"/>
          <w:szCs w:val="28"/>
        </w:rPr>
        <w:t xml:space="preserve">Module name: </w:t>
      </w:r>
      <w:r>
        <w:rPr>
          <w:sz w:val="28"/>
          <w:szCs w:val="28"/>
          <w:lang w:val="en-IN"/>
        </w:rPr>
        <w:t xml:space="preserve">Marketing Management </w:t>
      </w:r>
    </w:p>
    <w:p w14:paraId="7DF86388" w14:textId="78C756AD" w:rsidR="00DF6DFD" w:rsidRDefault="00DF6DFD" w:rsidP="00C85C3F">
      <w:pPr>
        <w:spacing w:line="240" w:lineRule="auto"/>
        <w:rPr>
          <w:sz w:val="28"/>
          <w:szCs w:val="28"/>
          <w:lang w:val="en-IN"/>
        </w:rPr>
      </w:pPr>
      <w:r>
        <w:rPr>
          <w:b/>
          <w:bCs/>
          <w:sz w:val="28"/>
          <w:szCs w:val="28"/>
        </w:rPr>
        <w:t>Module code</w:t>
      </w:r>
      <w:r>
        <w:rPr>
          <w:sz w:val="28"/>
          <w:szCs w:val="28"/>
        </w:rPr>
        <w:t>:</w:t>
      </w:r>
      <w:r>
        <w:rPr>
          <w:rFonts w:ascii="Segoe UI" w:eastAsia="Times New Roman" w:hAnsi="Segoe UI" w:cs="Segoe UI"/>
          <w:b/>
          <w:bCs/>
          <w:color w:val="FFFFFF"/>
          <w:kern w:val="2"/>
          <w:sz w:val="48"/>
          <w:szCs w:val="48"/>
          <w:lang w:val="en-IN" w:eastAsia="en-IN"/>
        </w:rPr>
        <w:t xml:space="preserve"> </w:t>
      </w:r>
      <w:r>
        <w:rPr>
          <w:sz w:val="28"/>
          <w:szCs w:val="28"/>
          <w:lang w:val="en-IN"/>
        </w:rPr>
        <w:t>(LCMB702</w:t>
      </w:r>
      <w:r w:rsidR="00E032E3">
        <w:rPr>
          <w:sz w:val="28"/>
          <w:szCs w:val="28"/>
          <w:lang w:val="en-IN"/>
        </w:rPr>
        <w:t>4</w:t>
      </w:r>
      <w:r>
        <w:rPr>
          <w:sz w:val="28"/>
          <w:szCs w:val="28"/>
          <w:lang w:val="en-IN"/>
        </w:rPr>
        <w:t>)</w:t>
      </w:r>
    </w:p>
    <w:p w14:paraId="3D0F44E7" w14:textId="12552522" w:rsidR="00DF6DFD" w:rsidRDefault="00DF6DFD" w:rsidP="00C85C3F">
      <w:pPr>
        <w:spacing w:line="240" w:lineRule="auto"/>
        <w:rPr>
          <w:b/>
          <w:bCs/>
          <w:sz w:val="28"/>
          <w:szCs w:val="28"/>
        </w:rPr>
      </w:pPr>
      <w:r>
        <w:rPr>
          <w:b/>
          <w:sz w:val="28"/>
        </w:rPr>
        <w:t xml:space="preserve">Title: </w:t>
      </w:r>
      <w:r w:rsidR="00870C7D" w:rsidRPr="00870C7D">
        <w:rPr>
          <w:sz w:val="28"/>
        </w:rPr>
        <w:t>Marketing Environment Analysis and Strategic Growth for BHP Group</w:t>
      </w:r>
      <w:r w:rsidR="00E032E3">
        <w:rPr>
          <w:sz w:val="28"/>
        </w:rPr>
        <w:t>.</w:t>
      </w:r>
    </w:p>
    <w:p w14:paraId="0DD32C5C" w14:textId="62DA07FE" w:rsidR="00DF6DFD" w:rsidRDefault="00DF6DFD" w:rsidP="00C85C3F">
      <w:pPr>
        <w:spacing w:line="240" w:lineRule="auto"/>
        <w:rPr>
          <w:sz w:val="28"/>
          <w:szCs w:val="28"/>
        </w:rPr>
      </w:pPr>
      <w:r>
        <w:rPr>
          <w:b/>
          <w:bCs/>
          <w:sz w:val="28"/>
          <w:szCs w:val="28"/>
        </w:rPr>
        <w:t>Lecturer name</w:t>
      </w:r>
      <w:r>
        <w:rPr>
          <w:sz w:val="28"/>
          <w:szCs w:val="28"/>
        </w:rPr>
        <w:t xml:space="preserve">: </w:t>
      </w:r>
      <w:r w:rsidR="00400CA5" w:rsidRPr="00400CA5">
        <w:rPr>
          <w:sz w:val="28"/>
          <w:szCs w:val="28"/>
        </w:rPr>
        <w:t>Laila Maazouz</w:t>
      </w:r>
      <w:r w:rsidR="00664D83">
        <w:rPr>
          <w:sz w:val="28"/>
          <w:szCs w:val="28"/>
        </w:rPr>
        <w:t xml:space="preserve">, </w:t>
      </w:r>
      <w:r w:rsidR="00664D83" w:rsidRPr="00664D83">
        <w:rPr>
          <w:sz w:val="28"/>
          <w:szCs w:val="28"/>
        </w:rPr>
        <w:t xml:space="preserve">Taonga Kaonga </w:t>
      </w:r>
      <w:proofErr w:type="spellStart"/>
      <w:r w:rsidR="00664D83" w:rsidRPr="00664D83">
        <w:rPr>
          <w:sz w:val="28"/>
          <w:szCs w:val="28"/>
        </w:rPr>
        <w:t>Sobere-Snithers</w:t>
      </w:r>
      <w:proofErr w:type="spellEnd"/>
    </w:p>
    <w:p w14:paraId="7959821C" w14:textId="77777777" w:rsidR="00DF6DFD" w:rsidRDefault="00DF6DFD" w:rsidP="00C85C3F">
      <w:pPr>
        <w:spacing w:line="240" w:lineRule="auto"/>
        <w:rPr>
          <w:sz w:val="28"/>
          <w:szCs w:val="28"/>
        </w:rPr>
      </w:pPr>
      <w:r>
        <w:rPr>
          <w:b/>
          <w:bCs/>
          <w:sz w:val="28"/>
          <w:szCs w:val="28"/>
        </w:rPr>
        <w:t>Student name</w:t>
      </w:r>
      <w:r>
        <w:rPr>
          <w:sz w:val="28"/>
          <w:szCs w:val="28"/>
        </w:rPr>
        <w:t>: Priyanshi Manoj Parikh</w:t>
      </w:r>
    </w:p>
    <w:p w14:paraId="79E17151" w14:textId="77777777" w:rsidR="00DF6DFD" w:rsidRDefault="00DF6DFD" w:rsidP="00C85C3F">
      <w:pPr>
        <w:spacing w:line="240" w:lineRule="auto"/>
        <w:rPr>
          <w:sz w:val="28"/>
          <w:szCs w:val="28"/>
        </w:rPr>
      </w:pPr>
      <w:r>
        <w:rPr>
          <w:b/>
          <w:bCs/>
          <w:sz w:val="28"/>
          <w:szCs w:val="28"/>
        </w:rPr>
        <w:t>Student ID</w:t>
      </w:r>
      <w:r>
        <w:rPr>
          <w:sz w:val="28"/>
          <w:szCs w:val="28"/>
        </w:rPr>
        <w:t>: 2543469</w:t>
      </w:r>
    </w:p>
    <w:p w14:paraId="58C52816" w14:textId="035AA238" w:rsidR="00DF6DFD" w:rsidRDefault="00DF6DFD" w:rsidP="00C85C3F">
      <w:pPr>
        <w:spacing w:line="240" w:lineRule="auto"/>
        <w:rPr>
          <w:sz w:val="28"/>
          <w:szCs w:val="28"/>
        </w:rPr>
      </w:pPr>
      <w:r>
        <w:rPr>
          <w:b/>
          <w:sz w:val="28"/>
        </w:rPr>
        <w:t xml:space="preserve">Word Count: </w:t>
      </w:r>
      <w:r w:rsidR="00B727C8" w:rsidRPr="00B727C8">
        <w:rPr>
          <w:bCs/>
          <w:sz w:val="28"/>
        </w:rPr>
        <w:t>2</w:t>
      </w:r>
      <w:r w:rsidR="001F4CAB">
        <w:rPr>
          <w:bCs/>
          <w:sz w:val="28"/>
        </w:rPr>
        <w:t>613</w:t>
      </w:r>
    </w:p>
    <w:p w14:paraId="1E9FB0FB" w14:textId="35454978" w:rsidR="00DF6DFD" w:rsidRDefault="00DF6DFD" w:rsidP="00C85C3F">
      <w:pPr>
        <w:spacing w:line="240" w:lineRule="auto"/>
        <w:rPr>
          <w:sz w:val="28"/>
          <w:szCs w:val="28"/>
        </w:rPr>
      </w:pPr>
      <w:r>
        <w:rPr>
          <w:b/>
          <w:bCs/>
          <w:sz w:val="28"/>
          <w:szCs w:val="28"/>
        </w:rPr>
        <w:t>Submission date</w:t>
      </w:r>
      <w:r>
        <w:rPr>
          <w:sz w:val="28"/>
          <w:szCs w:val="28"/>
        </w:rPr>
        <w:t xml:space="preserve">: </w:t>
      </w:r>
      <w:r w:rsidR="00E032E3">
        <w:rPr>
          <w:sz w:val="28"/>
          <w:szCs w:val="28"/>
        </w:rPr>
        <w:t>24</w:t>
      </w:r>
      <w:r>
        <w:rPr>
          <w:sz w:val="28"/>
          <w:szCs w:val="28"/>
          <w:vertAlign w:val="superscript"/>
        </w:rPr>
        <w:t>th</w:t>
      </w:r>
      <w:r>
        <w:rPr>
          <w:sz w:val="28"/>
          <w:szCs w:val="28"/>
        </w:rPr>
        <w:t xml:space="preserve"> July 2026</w:t>
      </w:r>
    </w:p>
    <w:p w14:paraId="6F55509E" w14:textId="77777777" w:rsidR="00DF6DFD" w:rsidRDefault="00DF6DFD" w:rsidP="00C85C3F">
      <w:pPr>
        <w:spacing w:line="240" w:lineRule="auto"/>
      </w:pPr>
    </w:p>
    <w:p w14:paraId="3702A985" w14:textId="77777777" w:rsidR="00DF6DFD" w:rsidRDefault="00DF6DFD" w:rsidP="00C85C3F">
      <w:pPr>
        <w:spacing w:line="240" w:lineRule="auto"/>
      </w:pPr>
    </w:p>
    <w:p w14:paraId="7C2E3159" w14:textId="77777777" w:rsidR="00DF6DFD" w:rsidRDefault="00DF6DFD" w:rsidP="00C85C3F">
      <w:pPr>
        <w:spacing w:line="240" w:lineRule="auto"/>
      </w:pPr>
    </w:p>
    <w:p w14:paraId="0CB0580D" w14:textId="77777777" w:rsidR="00E032E3" w:rsidRDefault="00E032E3" w:rsidP="00C85C3F">
      <w:pPr>
        <w:spacing w:line="240" w:lineRule="auto"/>
      </w:pPr>
    </w:p>
    <w:p w14:paraId="6DFE9F19" w14:textId="77777777" w:rsidR="00E032E3" w:rsidRDefault="00E032E3" w:rsidP="00C85C3F">
      <w:pPr>
        <w:spacing w:line="240" w:lineRule="auto"/>
      </w:pPr>
    </w:p>
    <w:p w14:paraId="64C9A85E" w14:textId="77777777" w:rsidR="00E032E3" w:rsidRDefault="00E032E3" w:rsidP="00C85C3F">
      <w:pPr>
        <w:spacing w:line="240" w:lineRule="auto"/>
      </w:pPr>
    </w:p>
    <w:p w14:paraId="50C97FF3" w14:textId="77777777" w:rsidR="00E032E3" w:rsidRDefault="00E032E3" w:rsidP="00C85C3F">
      <w:pPr>
        <w:spacing w:line="240" w:lineRule="auto"/>
      </w:pPr>
    </w:p>
    <w:p w14:paraId="3F1D8F07" w14:textId="77777777" w:rsidR="00E032E3" w:rsidRDefault="00E032E3" w:rsidP="00C85C3F">
      <w:pPr>
        <w:spacing w:line="240" w:lineRule="auto"/>
      </w:pPr>
    </w:p>
    <w:p w14:paraId="0E9912DC" w14:textId="77777777" w:rsidR="00E032E3" w:rsidRDefault="00E032E3" w:rsidP="00C85C3F">
      <w:pPr>
        <w:spacing w:line="240" w:lineRule="auto"/>
      </w:pPr>
    </w:p>
    <w:p w14:paraId="2701AD93" w14:textId="77777777" w:rsidR="00E032E3" w:rsidRDefault="00E032E3" w:rsidP="00C85C3F">
      <w:pPr>
        <w:spacing w:line="240" w:lineRule="auto"/>
      </w:pPr>
    </w:p>
    <w:p w14:paraId="131DBA9D" w14:textId="77777777" w:rsidR="00E032E3" w:rsidRDefault="00E032E3" w:rsidP="00C85C3F">
      <w:pPr>
        <w:spacing w:line="240" w:lineRule="auto"/>
      </w:pPr>
    </w:p>
    <w:p w14:paraId="14493B59" w14:textId="77777777" w:rsidR="00E032E3" w:rsidRDefault="00E032E3" w:rsidP="00C85C3F">
      <w:pPr>
        <w:spacing w:line="240" w:lineRule="auto"/>
      </w:pPr>
    </w:p>
    <w:p w14:paraId="5694D162" w14:textId="77777777" w:rsidR="00E032E3" w:rsidRDefault="00E032E3" w:rsidP="00C85C3F">
      <w:pPr>
        <w:spacing w:line="240" w:lineRule="auto"/>
      </w:pPr>
    </w:p>
    <w:p w14:paraId="5573BDDF" w14:textId="77777777" w:rsidR="00E032E3" w:rsidRDefault="00E032E3" w:rsidP="00C85C3F">
      <w:pPr>
        <w:spacing w:line="240" w:lineRule="auto"/>
      </w:pPr>
    </w:p>
    <w:p w14:paraId="6A87674F" w14:textId="77777777" w:rsidR="00E032E3" w:rsidRDefault="00E032E3" w:rsidP="00C85C3F">
      <w:pPr>
        <w:spacing w:line="240" w:lineRule="auto"/>
      </w:pPr>
    </w:p>
    <w:p w14:paraId="1365F9DB" w14:textId="77777777" w:rsidR="00E032E3" w:rsidRDefault="00E032E3" w:rsidP="00C85C3F">
      <w:pPr>
        <w:spacing w:line="240" w:lineRule="auto"/>
      </w:pPr>
    </w:p>
    <w:p w14:paraId="0A995626" w14:textId="77777777" w:rsidR="00E032E3" w:rsidRDefault="00E032E3" w:rsidP="00C85C3F">
      <w:pPr>
        <w:spacing w:line="240" w:lineRule="auto"/>
      </w:pPr>
    </w:p>
    <w:p w14:paraId="5B48229B" w14:textId="77777777" w:rsidR="00E032E3" w:rsidRDefault="00E032E3" w:rsidP="00C85C3F">
      <w:pPr>
        <w:spacing w:line="240" w:lineRule="auto"/>
      </w:pPr>
    </w:p>
    <w:p w14:paraId="37B6517A" w14:textId="77777777" w:rsidR="00DF6DFD" w:rsidRDefault="00DF6DFD" w:rsidP="00C85C3F">
      <w:pPr>
        <w:spacing w:line="240" w:lineRule="auto"/>
      </w:pPr>
    </w:p>
    <w:p w14:paraId="6AB81B6C" w14:textId="33899155" w:rsidR="00AF2C92" w:rsidRPr="000F591D" w:rsidRDefault="000F591D" w:rsidP="00AF2C92">
      <w:pPr>
        <w:spacing w:line="240" w:lineRule="auto"/>
        <w:jc w:val="center"/>
        <w:rPr>
          <w:b/>
          <w:bCs/>
          <w:sz w:val="36"/>
          <w:szCs w:val="36"/>
          <w:u w:val="single"/>
        </w:rPr>
      </w:pPr>
      <w:r w:rsidRPr="000F591D">
        <w:rPr>
          <w:b/>
          <w:bCs/>
          <w:sz w:val="36"/>
          <w:szCs w:val="36"/>
          <w:u w:val="single"/>
        </w:rPr>
        <w:lastRenderedPageBreak/>
        <w:t>Table of Content</w:t>
      </w:r>
    </w:p>
    <w:p w14:paraId="36CF06B8" w14:textId="47381405" w:rsidR="00664D83" w:rsidRPr="000F591D" w:rsidRDefault="00664D83" w:rsidP="000F591D">
      <w:pPr>
        <w:spacing w:line="240" w:lineRule="auto"/>
        <w:jc w:val="center"/>
        <w:rPr>
          <w:b/>
          <w:bCs/>
          <w:sz w:val="36"/>
          <w:szCs w:val="36"/>
          <w:u w:val="single"/>
        </w:rPr>
      </w:pPr>
    </w:p>
    <w:p w14:paraId="61E47029" w14:textId="37314986" w:rsidR="00091448" w:rsidRDefault="00091448">
      <w:pPr>
        <w:pStyle w:val="TOC1"/>
        <w:tabs>
          <w:tab w:val="right" w:leader="dot" w:pos="9016"/>
        </w:tabs>
        <w:rPr>
          <w:rFonts w:asciiTheme="minorHAnsi" w:hAnsiTheme="minorHAnsi"/>
          <w:noProof/>
          <w:color w:val="auto"/>
          <w:kern w:val="2"/>
          <w:szCs w:val="24"/>
          <w:lang w:val="en-IN" w:eastAsia="en-IN"/>
          <w14:ligatures w14:val="standardContextual"/>
        </w:rPr>
      </w:pPr>
      <w:r>
        <w:fldChar w:fldCharType="begin"/>
      </w:r>
      <w:r>
        <w:instrText xml:space="preserve"> TOC \o "1-5" \h \z \u </w:instrText>
      </w:r>
      <w:r>
        <w:fldChar w:fldCharType="separate"/>
      </w:r>
      <w:hyperlink w:anchor="_Toc235747329" w:history="1">
        <w:r w:rsidRPr="002C1F86">
          <w:rPr>
            <w:rStyle w:val="Hyperlink"/>
            <w:noProof/>
          </w:rPr>
          <w:t>1. Introduction</w:t>
        </w:r>
        <w:r>
          <w:rPr>
            <w:noProof/>
            <w:webHidden/>
          </w:rPr>
          <w:tab/>
        </w:r>
        <w:r>
          <w:rPr>
            <w:noProof/>
            <w:webHidden/>
          </w:rPr>
          <w:fldChar w:fldCharType="begin"/>
        </w:r>
        <w:r>
          <w:rPr>
            <w:noProof/>
            <w:webHidden/>
          </w:rPr>
          <w:instrText xml:space="preserve"> PAGEREF _Toc235747329 \h </w:instrText>
        </w:r>
        <w:r>
          <w:rPr>
            <w:noProof/>
            <w:webHidden/>
          </w:rPr>
        </w:r>
        <w:r>
          <w:rPr>
            <w:noProof/>
            <w:webHidden/>
          </w:rPr>
          <w:fldChar w:fldCharType="separate"/>
        </w:r>
        <w:r>
          <w:rPr>
            <w:noProof/>
            <w:webHidden/>
          </w:rPr>
          <w:t>4</w:t>
        </w:r>
        <w:r>
          <w:rPr>
            <w:noProof/>
            <w:webHidden/>
          </w:rPr>
          <w:fldChar w:fldCharType="end"/>
        </w:r>
      </w:hyperlink>
    </w:p>
    <w:p w14:paraId="13AFCCB5" w14:textId="08E0088B" w:rsidR="00091448" w:rsidRDefault="00091448">
      <w:pPr>
        <w:pStyle w:val="TOC1"/>
        <w:tabs>
          <w:tab w:val="right" w:leader="dot" w:pos="9016"/>
        </w:tabs>
        <w:rPr>
          <w:rFonts w:asciiTheme="minorHAnsi" w:hAnsiTheme="minorHAnsi"/>
          <w:noProof/>
          <w:color w:val="auto"/>
          <w:kern w:val="2"/>
          <w:szCs w:val="24"/>
          <w:lang w:val="en-IN" w:eastAsia="en-IN"/>
          <w14:ligatures w14:val="standardContextual"/>
        </w:rPr>
      </w:pPr>
      <w:hyperlink w:anchor="_Toc235747330" w:history="1">
        <w:r w:rsidRPr="002C1F86">
          <w:rPr>
            <w:rStyle w:val="Hyperlink"/>
            <w:rFonts w:eastAsiaTheme="minorHAnsi"/>
            <w:noProof/>
          </w:rPr>
          <w:t>2. Task A: Marketing Environment Analysis</w:t>
        </w:r>
        <w:r w:rsidRPr="002C1F86">
          <w:rPr>
            <w:rStyle w:val="Hyperlink"/>
            <w:noProof/>
          </w:rPr>
          <w:t>.</w:t>
        </w:r>
        <w:r>
          <w:rPr>
            <w:noProof/>
            <w:webHidden/>
          </w:rPr>
          <w:tab/>
        </w:r>
        <w:r>
          <w:rPr>
            <w:noProof/>
            <w:webHidden/>
          </w:rPr>
          <w:fldChar w:fldCharType="begin"/>
        </w:r>
        <w:r>
          <w:rPr>
            <w:noProof/>
            <w:webHidden/>
          </w:rPr>
          <w:instrText xml:space="preserve"> PAGEREF _Toc235747330 \h </w:instrText>
        </w:r>
        <w:r>
          <w:rPr>
            <w:noProof/>
            <w:webHidden/>
          </w:rPr>
        </w:r>
        <w:r>
          <w:rPr>
            <w:noProof/>
            <w:webHidden/>
          </w:rPr>
          <w:fldChar w:fldCharType="separate"/>
        </w:r>
        <w:r>
          <w:rPr>
            <w:noProof/>
            <w:webHidden/>
          </w:rPr>
          <w:t>5</w:t>
        </w:r>
        <w:r>
          <w:rPr>
            <w:noProof/>
            <w:webHidden/>
          </w:rPr>
          <w:fldChar w:fldCharType="end"/>
        </w:r>
      </w:hyperlink>
    </w:p>
    <w:p w14:paraId="5A4D003D" w14:textId="47D66281" w:rsidR="00091448" w:rsidRDefault="00091448">
      <w:pPr>
        <w:pStyle w:val="TOC3"/>
        <w:tabs>
          <w:tab w:val="right" w:leader="dot" w:pos="9016"/>
        </w:tabs>
        <w:rPr>
          <w:rFonts w:asciiTheme="minorHAnsi" w:hAnsiTheme="minorHAnsi"/>
          <w:noProof/>
          <w:color w:val="auto"/>
          <w:kern w:val="2"/>
          <w:szCs w:val="24"/>
          <w:lang w:val="en-IN" w:eastAsia="en-IN"/>
          <w14:ligatures w14:val="standardContextual"/>
        </w:rPr>
      </w:pPr>
      <w:hyperlink w:anchor="_Toc235747331" w:history="1">
        <w:r w:rsidRPr="002C1F86">
          <w:rPr>
            <w:rStyle w:val="Hyperlink"/>
            <w:rFonts w:eastAsia="Times New Roman"/>
            <w:noProof/>
            <w:lang w:eastAsia="en-IN"/>
          </w:rPr>
          <w:t>Figure 2.1: Marketing Environment.</w:t>
        </w:r>
        <w:r>
          <w:rPr>
            <w:noProof/>
            <w:webHidden/>
          </w:rPr>
          <w:tab/>
        </w:r>
        <w:r>
          <w:rPr>
            <w:noProof/>
            <w:webHidden/>
          </w:rPr>
          <w:fldChar w:fldCharType="begin"/>
        </w:r>
        <w:r>
          <w:rPr>
            <w:noProof/>
            <w:webHidden/>
          </w:rPr>
          <w:instrText xml:space="preserve"> PAGEREF _Toc235747331 \h </w:instrText>
        </w:r>
        <w:r>
          <w:rPr>
            <w:noProof/>
            <w:webHidden/>
          </w:rPr>
        </w:r>
        <w:r>
          <w:rPr>
            <w:noProof/>
            <w:webHidden/>
          </w:rPr>
          <w:fldChar w:fldCharType="separate"/>
        </w:r>
        <w:r>
          <w:rPr>
            <w:noProof/>
            <w:webHidden/>
          </w:rPr>
          <w:t>5</w:t>
        </w:r>
        <w:r>
          <w:rPr>
            <w:noProof/>
            <w:webHidden/>
          </w:rPr>
          <w:fldChar w:fldCharType="end"/>
        </w:r>
      </w:hyperlink>
    </w:p>
    <w:p w14:paraId="570EFEBF" w14:textId="0B5610AA" w:rsidR="00091448" w:rsidRDefault="00091448">
      <w:pPr>
        <w:pStyle w:val="TOC4"/>
        <w:tabs>
          <w:tab w:val="right" w:leader="dot" w:pos="9016"/>
        </w:tabs>
        <w:rPr>
          <w:rFonts w:asciiTheme="minorHAnsi" w:hAnsiTheme="minorHAnsi"/>
          <w:noProof/>
          <w:color w:val="auto"/>
          <w:kern w:val="2"/>
          <w:szCs w:val="24"/>
          <w:lang w:val="en-IN" w:eastAsia="en-IN"/>
          <w14:ligatures w14:val="standardContextual"/>
        </w:rPr>
      </w:pPr>
      <w:hyperlink w:anchor="_Toc235747332" w:history="1">
        <w:r w:rsidRPr="002C1F86">
          <w:rPr>
            <w:rStyle w:val="Hyperlink"/>
            <w:noProof/>
          </w:rPr>
          <w:t>2.1 Macro-Environment Analysis (PESTEL Framework)</w:t>
        </w:r>
        <w:r>
          <w:rPr>
            <w:noProof/>
            <w:webHidden/>
          </w:rPr>
          <w:tab/>
        </w:r>
        <w:r>
          <w:rPr>
            <w:noProof/>
            <w:webHidden/>
          </w:rPr>
          <w:fldChar w:fldCharType="begin"/>
        </w:r>
        <w:r>
          <w:rPr>
            <w:noProof/>
            <w:webHidden/>
          </w:rPr>
          <w:instrText xml:space="preserve"> PAGEREF _Toc235747332 \h </w:instrText>
        </w:r>
        <w:r>
          <w:rPr>
            <w:noProof/>
            <w:webHidden/>
          </w:rPr>
        </w:r>
        <w:r>
          <w:rPr>
            <w:noProof/>
            <w:webHidden/>
          </w:rPr>
          <w:fldChar w:fldCharType="separate"/>
        </w:r>
        <w:r>
          <w:rPr>
            <w:noProof/>
            <w:webHidden/>
          </w:rPr>
          <w:t>5</w:t>
        </w:r>
        <w:r>
          <w:rPr>
            <w:noProof/>
            <w:webHidden/>
          </w:rPr>
          <w:fldChar w:fldCharType="end"/>
        </w:r>
      </w:hyperlink>
    </w:p>
    <w:p w14:paraId="754FD660" w14:textId="05661D0E" w:rsidR="00091448" w:rsidRDefault="00091448">
      <w:pPr>
        <w:pStyle w:val="TOC4"/>
        <w:tabs>
          <w:tab w:val="right" w:leader="dot" w:pos="9016"/>
        </w:tabs>
        <w:rPr>
          <w:rFonts w:asciiTheme="minorHAnsi" w:hAnsiTheme="minorHAnsi"/>
          <w:noProof/>
          <w:color w:val="auto"/>
          <w:kern w:val="2"/>
          <w:szCs w:val="24"/>
          <w:lang w:val="en-IN" w:eastAsia="en-IN"/>
          <w14:ligatures w14:val="standardContextual"/>
        </w:rPr>
      </w:pPr>
      <w:hyperlink w:anchor="_Toc235747333" w:history="1">
        <w:r w:rsidRPr="002C1F86">
          <w:rPr>
            <w:rStyle w:val="Hyperlink"/>
            <w:noProof/>
          </w:rPr>
          <w:t>Table 2.2: PESTEL MACRO DRIVERS</w:t>
        </w:r>
        <w:r>
          <w:rPr>
            <w:noProof/>
            <w:webHidden/>
          </w:rPr>
          <w:tab/>
        </w:r>
        <w:r>
          <w:rPr>
            <w:noProof/>
            <w:webHidden/>
          </w:rPr>
          <w:fldChar w:fldCharType="begin"/>
        </w:r>
        <w:r>
          <w:rPr>
            <w:noProof/>
            <w:webHidden/>
          </w:rPr>
          <w:instrText xml:space="preserve"> PAGEREF _Toc235747333 \h </w:instrText>
        </w:r>
        <w:r>
          <w:rPr>
            <w:noProof/>
            <w:webHidden/>
          </w:rPr>
        </w:r>
        <w:r>
          <w:rPr>
            <w:noProof/>
            <w:webHidden/>
          </w:rPr>
          <w:fldChar w:fldCharType="separate"/>
        </w:r>
        <w:r>
          <w:rPr>
            <w:noProof/>
            <w:webHidden/>
          </w:rPr>
          <w:t>6</w:t>
        </w:r>
        <w:r>
          <w:rPr>
            <w:noProof/>
            <w:webHidden/>
          </w:rPr>
          <w:fldChar w:fldCharType="end"/>
        </w:r>
      </w:hyperlink>
    </w:p>
    <w:p w14:paraId="12E01DC9" w14:textId="66A2387F" w:rsidR="00091448" w:rsidRDefault="00091448">
      <w:pPr>
        <w:pStyle w:val="TOC3"/>
        <w:tabs>
          <w:tab w:val="right" w:leader="dot" w:pos="9016"/>
        </w:tabs>
        <w:rPr>
          <w:rFonts w:asciiTheme="minorHAnsi" w:hAnsiTheme="minorHAnsi"/>
          <w:noProof/>
          <w:color w:val="auto"/>
          <w:kern w:val="2"/>
          <w:szCs w:val="24"/>
          <w:lang w:val="en-IN" w:eastAsia="en-IN"/>
          <w14:ligatures w14:val="standardContextual"/>
        </w:rPr>
      </w:pPr>
      <w:hyperlink w:anchor="_Toc235747334" w:history="1">
        <w:r w:rsidRPr="002C1F86">
          <w:rPr>
            <w:rStyle w:val="Hyperlink"/>
            <w:noProof/>
            <w:lang w:eastAsia="en-IN"/>
          </w:rPr>
          <w:t>2.1. Technological Factor</w:t>
        </w:r>
        <w:r>
          <w:rPr>
            <w:noProof/>
            <w:webHidden/>
          </w:rPr>
          <w:tab/>
        </w:r>
        <w:r>
          <w:rPr>
            <w:noProof/>
            <w:webHidden/>
          </w:rPr>
          <w:fldChar w:fldCharType="begin"/>
        </w:r>
        <w:r>
          <w:rPr>
            <w:noProof/>
            <w:webHidden/>
          </w:rPr>
          <w:instrText xml:space="preserve"> PAGEREF _Toc235747334 \h </w:instrText>
        </w:r>
        <w:r>
          <w:rPr>
            <w:noProof/>
            <w:webHidden/>
          </w:rPr>
        </w:r>
        <w:r>
          <w:rPr>
            <w:noProof/>
            <w:webHidden/>
          </w:rPr>
          <w:fldChar w:fldCharType="separate"/>
        </w:r>
        <w:r>
          <w:rPr>
            <w:noProof/>
            <w:webHidden/>
          </w:rPr>
          <w:t>6</w:t>
        </w:r>
        <w:r>
          <w:rPr>
            <w:noProof/>
            <w:webHidden/>
          </w:rPr>
          <w:fldChar w:fldCharType="end"/>
        </w:r>
      </w:hyperlink>
    </w:p>
    <w:p w14:paraId="3AE353B4" w14:textId="57637E1F" w:rsidR="00091448" w:rsidRDefault="00091448">
      <w:pPr>
        <w:pStyle w:val="TOC5"/>
        <w:tabs>
          <w:tab w:val="right" w:leader="dot" w:pos="9016"/>
        </w:tabs>
        <w:rPr>
          <w:rFonts w:asciiTheme="minorHAnsi" w:hAnsiTheme="minorHAnsi"/>
          <w:noProof/>
          <w:color w:val="auto"/>
          <w:kern w:val="2"/>
          <w:szCs w:val="24"/>
          <w:lang w:val="en-IN" w:eastAsia="en-IN"/>
          <w14:ligatures w14:val="standardContextual"/>
        </w:rPr>
      </w:pPr>
      <w:hyperlink w:anchor="_Toc235747335" w:history="1">
        <w:r w:rsidRPr="002C1F86">
          <w:rPr>
            <w:rStyle w:val="Hyperlink"/>
            <w:noProof/>
            <w:lang w:val="en-IN" w:eastAsia="en-IN"/>
          </w:rPr>
          <w:t>Technological Opportunities</w:t>
        </w:r>
        <w:r>
          <w:rPr>
            <w:noProof/>
            <w:webHidden/>
          </w:rPr>
          <w:tab/>
        </w:r>
        <w:r>
          <w:rPr>
            <w:noProof/>
            <w:webHidden/>
          </w:rPr>
          <w:fldChar w:fldCharType="begin"/>
        </w:r>
        <w:r>
          <w:rPr>
            <w:noProof/>
            <w:webHidden/>
          </w:rPr>
          <w:instrText xml:space="preserve"> PAGEREF _Toc235747335 \h </w:instrText>
        </w:r>
        <w:r>
          <w:rPr>
            <w:noProof/>
            <w:webHidden/>
          </w:rPr>
        </w:r>
        <w:r>
          <w:rPr>
            <w:noProof/>
            <w:webHidden/>
          </w:rPr>
          <w:fldChar w:fldCharType="separate"/>
        </w:r>
        <w:r>
          <w:rPr>
            <w:noProof/>
            <w:webHidden/>
          </w:rPr>
          <w:t>6</w:t>
        </w:r>
        <w:r>
          <w:rPr>
            <w:noProof/>
            <w:webHidden/>
          </w:rPr>
          <w:fldChar w:fldCharType="end"/>
        </w:r>
      </w:hyperlink>
    </w:p>
    <w:p w14:paraId="3E0EF642" w14:textId="1E6F30D7" w:rsidR="00091448" w:rsidRDefault="00091448">
      <w:pPr>
        <w:pStyle w:val="TOC5"/>
        <w:tabs>
          <w:tab w:val="right" w:leader="dot" w:pos="9016"/>
        </w:tabs>
        <w:rPr>
          <w:rFonts w:asciiTheme="minorHAnsi" w:hAnsiTheme="minorHAnsi"/>
          <w:noProof/>
          <w:color w:val="auto"/>
          <w:kern w:val="2"/>
          <w:szCs w:val="24"/>
          <w:lang w:val="en-IN" w:eastAsia="en-IN"/>
          <w14:ligatures w14:val="standardContextual"/>
        </w:rPr>
      </w:pPr>
      <w:hyperlink w:anchor="_Toc235747336" w:history="1">
        <w:r w:rsidRPr="002C1F86">
          <w:rPr>
            <w:rStyle w:val="Hyperlink"/>
            <w:noProof/>
            <w:lang w:val="en-IN" w:eastAsia="en-IN"/>
          </w:rPr>
          <w:t>Technological Threats</w:t>
        </w:r>
        <w:r>
          <w:rPr>
            <w:noProof/>
            <w:webHidden/>
          </w:rPr>
          <w:tab/>
        </w:r>
        <w:r>
          <w:rPr>
            <w:noProof/>
            <w:webHidden/>
          </w:rPr>
          <w:fldChar w:fldCharType="begin"/>
        </w:r>
        <w:r>
          <w:rPr>
            <w:noProof/>
            <w:webHidden/>
          </w:rPr>
          <w:instrText xml:space="preserve"> PAGEREF _Toc235747336 \h </w:instrText>
        </w:r>
        <w:r>
          <w:rPr>
            <w:noProof/>
            <w:webHidden/>
          </w:rPr>
        </w:r>
        <w:r>
          <w:rPr>
            <w:noProof/>
            <w:webHidden/>
          </w:rPr>
          <w:fldChar w:fldCharType="separate"/>
        </w:r>
        <w:r>
          <w:rPr>
            <w:noProof/>
            <w:webHidden/>
          </w:rPr>
          <w:t>6</w:t>
        </w:r>
        <w:r>
          <w:rPr>
            <w:noProof/>
            <w:webHidden/>
          </w:rPr>
          <w:fldChar w:fldCharType="end"/>
        </w:r>
      </w:hyperlink>
    </w:p>
    <w:p w14:paraId="5F0A21F5" w14:textId="74D3499A" w:rsidR="00091448" w:rsidRDefault="00091448">
      <w:pPr>
        <w:pStyle w:val="TOC3"/>
        <w:tabs>
          <w:tab w:val="right" w:leader="dot" w:pos="9016"/>
        </w:tabs>
        <w:rPr>
          <w:rFonts w:asciiTheme="minorHAnsi" w:hAnsiTheme="minorHAnsi"/>
          <w:noProof/>
          <w:color w:val="auto"/>
          <w:kern w:val="2"/>
          <w:szCs w:val="24"/>
          <w:lang w:val="en-IN" w:eastAsia="en-IN"/>
          <w14:ligatures w14:val="standardContextual"/>
        </w:rPr>
      </w:pPr>
      <w:hyperlink w:anchor="_Toc235747337" w:history="1">
        <w:r w:rsidRPr="002C1F86">
          <w:rPr>
            <w:rStyle w:val="Hyperlink"/>
            <w:noProof/>
            <w:lang w:eastAsia="en-IN"/>
          </w:rPr>
          <w:t>2.2 Environmental Factors</w:t>
        </w:r>
        <w:r>
          <w:rPr>
            <w:noProof/>
            <w:webHidden/>
          </w:rPr>
          <w:tab/>
        </w:r>
        <w:r>
          <w:rPr>
            <w:noProof/>
            <w:webHidden/>
          </w:rPr>
          <w:fldChar w:fldCharType="begin"/>
        </w:r>
        <w:r>
          <w:rPr>
            <w:noProof/>
            <w:webHidden/>
          </w:rPr>
          <w:instrText xml:space="preserve"> PAGEREF _Toc235747337 \h </w:instrText>
        </w:r>
        <w:r>
          <w:rPr>
            <w:noProof/>
            <w:webHidden/>
          </w:rPr>
        </w:r>
        <w:r>
          <w:rPr>
            <w:noProof/>
            <w:webHidden/>
          </w:rPr>
          <w:fldChar w:fldCharType="separate"/>
        </w:r>
        <w:r>
          <w:rPr>
            <w:noProof/>
            <w:webHidden/>
          </w:rPr>
          <w:t>6</w:t>
        </w:r>
        <w:r>
          <w:rPr>
            <w:noProof/>
            <w:webHidden/>
          </w:rPr>
          <w:fldChar w:fldCharType="end"/>
        </w:r>
      </w:hyperlink>
    </w:p>
    <w:p w14:paraId="22C5A7FF" w14:textId="00901150" w:rsidR="00091448" w:rsidRDefault="00091448">
      <w:pPr>
        <w:pStyle w:val="TOC5"/>
        <w:tabs>
          <w:tab w:val="right" w:leader="dot" w:pos="9016"/>
        </w:tabs>
        <w:rPr>
          <w:rFonts w:asciiTheme="minorHAnsi" w:hAnsiTheme="minorHAnsi"/>
          <w:noProof/>
          <w:color w:val="auto"/>
          <w:kern w:val="2"/>
          <w:szCs w:val="24"/>
          <w:lang w:val="en-IN" w:eastAsia="en-IN"/>
          <w14:ligatures w14:val="standardContextual"/>
        </w:rPr>
      </w:pPr>
      <w:hyperlink w:anchor="_Toc235747338" w:history="1">
        <w:r w:rsidRPr="002C1F86">
          <w:rPr>
            <w:rStyle w:val="Hyperlink"/>
            <w:noProof/>
            <w:lang w:eastAsia="en-IN"/>
          </w:rPr>
          <w:t>Environmental Opportunities</w:t>
        </w:r>
        <w:r>
          <w:rPr>
            <w:noProof/>
            <w:webHidden/>
          </w:rPr>
          <w:tab/>
        </w:r>
        <w:r>
          <w:rPr>
            <w:noProof/>
            <w:webHidden/>
          </w:rPr>
          <w:fldChar w:fldCharType="begin"/>
        </w:r>
        <w:r>
          <w:rPr>
            <w:noProof/>
            <w:webHidden/>
          </w:rPr>
          <w:instrText xml:space="preserve"> PAGEREF _Toc235747338 \h </w:instrText>
        </w:r>
        <w:r>
          <w:rPr>
            <w:noProof/>
            <w:webHidden/>
          </w:rPr>
        </w:r>
        <w:r>
          <w:rPr>
            <w:noProof/>
            <w:webHidden/>
          </w:rPr>
          <w:fldChar w:fldCharType="separate"/>
        </w:r>
        <w:r>
          <w:rPr>
            <w:noProof/>
            <w:webHidden/>
          </w:rPr>
          <w:t>6</w:t>
        </w:r>
        <w:r>
          <w:rPr>
            <w:noProof/>
            <w:webHidden/>
          </w:rPr>
          <w:fldChar w:fldCharType="end"/>
        </w:r>
      </w:hyperlink>
    </w:p>
    <w:p w14:paraId="13CA9C02" w14:textId="1AC6DE97" w:rsidR="00091448" w:rsidRDefault="00091448">
      <w:pPr>
        <w:pStyle w:val="TOC5"/>
        <w:tabs>
          <w:tab w:val="right" w:leader="dot" w:pos="9016"/>
        </w:tabs>
        <w:rPr>
          <w:rFonts w:asciiTheme="minorHAnsi" w:hAnsiTheme="minorHAnsi"/>
          <w:noProof/>
          <w:color w:val="auto"/>
          <w:kern w:val="2"/>
          <w:szCs w:val="24"/>
          <w:lang w:val="en-IN" w:eastAsia="en-IN"/>
          <w14:ligatures w14:val="standardContextual"/>
        </w:rPr>
      </w:pPr>
      <w:hyperlink w:anchor="_Toc235747339" w:history="1">
        <w:r w:rsidRPr="002C1F86">
          <w:rPr>
            <w:rStyle w:val="Hyperlink"/>
            <w:noProof/>
            <w:lang w:eastAsia="en-IN"/>
          </w:rPr>
          <w:t>Environmental Threats</w:t>
        </w:r>
        <w:r>
          <w:rPr>
            <w:noProof/>
            <w:webHidden/>
          </w:rPr>
          <w:tab/>
        </w:r>
        <w:r>
          <w:rPr>
            <w:noProof/>
            <w:webHidden/>
          </w:rPr>
          <w:fldChar w:fldCharType="begin"/>
        </w:r>
        <w:r>
          <w:rPr>
            <w:noProof/>
            <w:webHidden/>
          </w:rPr>
          <w:instrText xml:space="preserve"> PAGEREF _Toc235747339 \h </w:instrText>
        </w:r>
        <w:r>
          <w:rPr>
            <w:noProof/>
            <w:webHidden/>
          </w:rPr>
        </w:r>
        <w:r>
          <w:rPr>
            <w:noProof/>
            <w:webHidden/>
          </w:rPr>
          <w:fldChar w:fldCharType="separate"/>
        </w:r>
        <w:r>
          <w:rPr>
            <w:noProof/>
            <w:webHidden/>
          </w:rPr>
          <w:t>7</w:t>
        </w:r>
        <w:r>
          <w:rPr>
            <w:noProof/>
            <w:webHidden/>
          </w:rPr>
          <w:fldChar w:fldCharType="end"/>
        </w:r>
      </w:hyperlink>
    </w:p>
    <w:p w14:paraId="5ECFBF4F" w14:textId="340D5B77" w:rsidR="00091448" w:rsidRDefault="00091448">
      <w:pPr>
        <w:pStyle w:val="TOC3"/>
        <w:tabs>
          <w:tab w:val="right" w:leader="dot" w:pos="9016"/>
        </w:tabs>
        <w:rPr>
          <w:rFonts w:asciiTheme="minorHAnsi" w:hAnsiTheme="minorHAnsi"/>
          <w:noProof/>
          <w:color w:val="auto"/>
          <w:kern w:val="2"/>
          <w:szCs w:val="24"/>
          <w:lang w:val="en-IN" w:eastAsia="en-IN"/>
          <w14:ligatures w14:val="standardContextual"/>
        </w:rPr>
      </w:pPr>
      <w:hyperlink w:anchor="_Toc235747340" w:history="1">
        <w:r w:rsidRPr="002C1F86">
          <w:rPr>
            <w:rStyle w:val="Hyperlink"/>
            <w:noProof/>
          </w:rPr>
          <w:t>2.2 Micro-Environment Analysis</w:t>
        </w:r>
        <w:r>
          <w:rPr>
            <w:noProof/>
            <w:webHidden/>
          </w:rPr>
          <w:tab/>
        </w:r>
        <w:r>
          <w:rPr>
            <w:noProof/>
            <w:webHidden/>
          </w:rPr>
          <w:fldChar w:fldCharType="begin"/>
        </w:r>
        <w:r>
          <w:rPr>
            <w:noProof/>
            <w:webHidden/>
          </w:rPr>
          <w:instrText xml:space="preserve"> PAGEREF _Toc235747340 \h </w:instrText>
        </w:r>
        <w:r>
          <w:rPr>
            <w:noProof/>
            <w:webHidden/>
          </w:rPr>
        </w:r>
        <w:r>
          <w:rPr>
            <w:noProof/>
            <w:webHidden/>
          </w:rPr>
          <w:fldChar w:fldCharType="separate"/>
        </w:r>
        <w:r>
          <w:rPr>
            <w:noProof/>
            <w:webHidden/>
          </w:rPr>
          <w:t>7</w:t>
        </w:r>
        <w:r>
          <w:rPr>
            <w:noProof/>
            <w:webHidden/>
          </w:rPr>
          <w:fldChar w:fldCharType="end"/>
        </w:r>
      </w:hyperlink>
    </w:p>
    <w:p w14:paraId="62EB1795" w14:textId="1F5C926F" w:rsidR="00091448" w:rsidRDefault="00091448">
      <w:pPr>
        <w:pStyle w:val="TOC3"/>
        <w:tabs>
          <w:tab w:val="right" w:leader="dot" w:pos="9016"/>
        </w:tabs>
        <w:rPr>
          <w:rFonts w:asciiTheme="minorHAnsi" w:hAnsiTheme="minorHAnsi"/>
          <w:noProof/>
          <w:color w:val="auto"/>
          <w:kern w:val="2"/>
          <w:szCs w:val="24"/>
          <w:lang w:val="en-IN" w:eastAsia="en-IN"/>
          <w14:ligatures w14:val="standardContextual"/>
        </w:rPr>
      </w:pPr>
      <w:hyperlink w:anchor="_Toc235747341" w:history="1">
        <w:r w:rsidRPr="002C1F86">
          <w:rPr>
            <w:rStyle w:val="Hyperlink"/>
            <w:noProof/>
          </w:rPr>
          <w:t>2.3 Strategic Marketing Takeaways &amp; Portfolio Alignment</w:t>
        </w:r>
        <w:r>
          <w:rPr>
            <w:noProof/>
            <w:webHidden/>
          </w:rPr>
          <w:tab/>
        </w:r>
        <w:r>
          <w:rPr>
            <w:noProof/>
            <w:webHidden/>
          </w:rPr>
          <w:fldChar w:fldCharType="begin"/>
        </w:r>
        <w:r>
          <w:rPr>
            <w:noProof/>
            <w:webHidden/>
          </w:rPr>
          <w:instrText xml:space="preserve"> PAGEREF _Toc235747341 \h </w:instrText>
        </w:r>
        <w:r>
          <w:rPr>
            <w:noProof/>
            <w:webHidden/>
          </w:rPr>
        </w:r>
        <w:r>
          <w:rPr>
            <w:noProof/>
            <w:webHidden/>
          </w:rPr>
          <w:fldChar w:fldCharType="separate"/>
        </w:r>
        <w:r>
          <w:rPr>
            <w:noProof/>
            <w:webHidden/>
          </w:rPr>
          <w:t>7</w:t>
        </w:r>
        <w:r>
          <w:rPr>
            <w:noProof/>
            <w:webHidden/>
          </w:rPr>
          <w:fldChar w:fldCharType="end"/>
        </w:r>
      </w:hyperlink>
    </w:p>
    <w:p w14:paraId="6FF49FD2" w14:textId="373472C3" w:rsidR="00091448" w:rsidRDefault="00091448">
      <w:pPr>
        <w:pStyle w:val="TOC1"/>
        <w:tabs>
          <w:tab w:val="right" w:leader="dot" w:pos="9016"/>
        </w:tabs>
        <w:rPr>
          <w:rFonts w:asciiTheme="minorHAnsi" w:hAnsiTheme="minorHAnsi"/>
          <w:noProof/>
          <w:color w:val="auto"/>
          <w:kern w:val="2"/>
          <w:szCs w:val="24"/>
          <w:lang w:val="en-IN" w:eastAsia="en-IN"/>
          <w14:ligatures w14:val="standardContextual"/>
        </w:rPr>
      </w:pPr>
      <w:hyperlink w:anchor="_Toc235747342" w:history="1">
        <w:r w:rsidRPr="002C1F86">
          <w:rPr>
            <w:rStyle w:val="Hyperlink"/>
            <w:noProof/>
            <w:lang w:val="en-IN"/>
          </w:rPr>
          <w:t>3. Task 2:  Strategic Growth and Competitive Positioning.</w:t>
        </w:r>
        <w:r>
          <w:rPr>
            <w:noProof/>
            <w:webHidden/>
          </w:rPr>
          <w:tab/>
        </w:r>
        <w:r>
          <w:rPr>
            <w:noProof/>
            <w:webHidden/>
          </w:rPr>
          <w:fldChar w:fldCharType="begin"/>
        </w:r>
        <w:r>
          <w:rPr>
            <w:noProof/>
            <w:webHidden/>
          </w:rPr>
          <w:instrText xml:space="preserve"> PAGEREF _Toc235747342 \h </w:instrText>
        </w:r>
        <w:r>
          <w:rPr>
            <w:noProof/>
            <w:webHidden/>
          </w:rPr>
        </w:r>
        <w:r>
          <w:rPr>
            <w:noProof/>
            <w:webHidden/>
          </w:rPr>
          <w:fldChar w:fldCharType="separate"/>
        </w:r>
        <w:r>
          <w:rPr>
            <w:noProof/>
            <w:webHidden/>
          </w:rPr>
          <w:t>9</w:t>
        </w:r>
        <w:r>
          <w:rPr>
            <w:noProof/>
            <w:webHidden/>
          </w:rPr>
          <w:fldChar w:fldCharType="end"/>
        </w:r>
      </w:hyperlink>
    </w:p>
    <w:p w14:paraId="16A41C53" w14:textId="56E02BF8" w:rsidR="00091448" w:rsidRDefault="00091448">
      <w:pPr>
        <w:pStyle w:val="TOC2"/>
        <w:tabs>
          <w:tab w:val="right" w:leader="dot" w:pos="9016"/>
        </w:tabs>
        <w:rPr>
          <w:rFonts w:asciiTheme="minorHAnsi" w:hAnsiTheme="minorHAnsi"/>
          <w:noProof/>
          <w:color w:val="auto"/>
          <w:kern w:val="2"/>
          <w:szCs w:val="24"/>
          <w:lang w:val="en-IN" w:eastAsia="en-IN"/>
          <w14:ligatures w14:val="standardContextual"/>
        </w:rPr>
      </w:pPr>
      <w:hyperlink w:anchor="_Toc235747343" w:history="1">
        <w:r w:rsidRPr="002C1F86">
          <w:rPr>
            <w:rStyle w:val="Hyperlink"/>
            <w:noProof/>
          </w:rPr>
          <w:t>3.1. Executive Summary &amp; Ansoff Strategic Orientation.</w:t>
        </w:r>
        <w:r>
          <w:rPr>
            <w:noProof/>
            <w:webHidden/>
          </w:rPr>
          <w:tab/>
        </w:r>
        <w:r>
          <w:rPr>
            <w:noProof/>
            <w:webHidden/>
          </w:rPr>
          <w:fldChar w:fldCharType="begin"/>
        </w:r>
        <w:r>
          <w:rPr>
            <w:noProof/>
            <w:webHidden/>
          </w:rPr>
          <w:instrText xml:space="preserve"> PAGEREF _Toc235747343 \h </w:instrText>
        </w:r>
        <w:r>
          <w:rPr>
            <w:noProof/>
            <w:webHidden/>
          </w:rPr>
        </w:r>
        <w:r>
          <w:rPr>
            <w:noProof/>
            <w:webHidden/>
          </w:rPr>
          <w:fldChar w:fldCharType="separate"/>
        </w:r>
        <w:r>
          <w:rPr>
            <w:noProof/>
            <w:webHidden/>
          </w:rPr>
          <w:t>9</w:t>
        </w:r>
        <w:r>
          <w:rPr>
            <w:noProof/>
            <w:webHidden/>
          </w:rPr>
          <w:fldChar w:fldCharType="end"/>
        </w:r>
      </w:hyperlink>
    </w:p>
    <w:p w14:paraId="30DF5852" w14:textId="330482B4" w:rsidR="00091448" w:rsidRDefault="00091448">
      <w:pPr>
        <w:pStyle w:val="TOC2"/>
        <w:tabs>
          <w:tab w:val="right" w:leader="dot" w:pos="9016"/>
        </w:tabs>
        <w:rPr>
          <w:rFonts w:asciiTheme="minorHAnsi" w:hAnsiTheme="minorHAnsi"/>
          <w:noProof/>
          <w:color w:val="auto"/>
          <w:kern w:val="2"/>
          <w:szCs w:val="24"/>
          <w:lang w:val="en-IN" w:eastAsia="en-IN"/>
          <w14:ligatures w14:val="standardContextual"/>
        </w:rPr>
      </w:pPr>
      <w:hyperlink w:anchor="_Toc235747344" w:history="1">
        <w:r w:rsidRPr="002C1F86">
          <w:rPr>
            <w:rStyle w:val="Hyperlink"/>
            <w:noProof/>
          </w:rPr>
          <w:t>3.2 Theoretical Application of the Ansoff Matrix</w:t>
        </w:r>
        <w:r>
          <w:rPr>
            <w:noProof/>
            <w:webHidden/>
          </w:rPr>
          <w:tab/>
        </w:r>
        <w:r>
          <w:rPr>
            <w:noProof/>
            <w:webHidden/>
          </w:rPr>
          <w:fldChar w:fldCharType="begin"/>
        </w:r>
        <w:r>
          <w:rPr>
            <w:noProof/>
            <w:webHidden/>
          </w:rPr>
          <w:instrText xml:space="preserve"> PAGEREF _Toc235747344 \h </w:instrText>
        </w:r>
        <w:r>
          <w:rPr>
            <w:noProof/>
            <w:webHidden/>
          </w:rPr>
        </w:r>
        <w:r>
          <w:rPr>
            <w:noProof/>
            <w:webHidden/>
          </w:rPr>
          <w:fldChar w:fldCharType="separate"/>
        </w:r>
        <w:r>
          <w:rPr>
            <w:noProof/>
            <w:webHidden/>
          </w:rPr>
          <w:t>9</w:t>
        </w:r>
        <w:r>
          <w:rPr>
            <w:noProof/>
            <w:webHidden/>
          </w:rPr>
          <w:fldChar w:fldCharType="end"/>
        </w:r>
      </w:hyperlink>
    </w:p>
    <w:p w14:paraId="034C162A" w14:textId="433DD847" w:rsidR="00091448" w:rsidRDefault="00091448">
      <w:pPr>
        <w:pStyle w:val="TOC3"/>
        <w:tabs>
          <w:tab w:val="right" w:leader="dot" w:pos="9016"/>
        </w:tabs>
        <w:rPr>
          <w:rFonts w:asciiTheme="minorHAnsi" w:hAnsiTheme="minorHAnsi"/>
          <w:noProof/>
          <w:color w:val="auto"/>
          <w:kern w:val="2"/>
          <w:szCs w:val="24"/>
          <w:lang w:val="en-IN" w:eastAsia="en-IN"/>
          <w14:ligatures w14:val="standardContextual"/>
        </w:rPr>
      </w:pPr>
      <w:hyperlink w:anchor="_Toc235747345" w:history="1">
        <w:r w:rsidRPr="002C1F86">
          <w:rPr>
            <w:rStyle w:val="Hyperlink"/>
            <w:noProof/>
          </w:rPr>
          <w:t>3.2.1 Market Penetration: De-Carbonizing the Core Cash Engine</w:t>
        </w:r>
        <w:r>
          <w:rPr>
            <w:noProof/>
            <w:webHidden/>
          </w:rPr>
          <w:tab/>
        </w:r>
        <w:r>
          <w:rPr>
            <w:noProof/>
            <w:webHidden/>
          </w:rPr>
          <w:fldChar w:fldCharType="begin"/>
        </w:r>
        <w:r>
          <w:rPr>
            <w:noProof/>
            <w:webHidden/>
          </w:rPr>
          <w:instrText xml:space="preserve"> PAGEREF _Toc235747345 \h </w:instrText>
        </w:r>
        <w:r>
          <w:rPr>
            <w:noProof/>
            <w:webHidden/>
          </w:rPr>
        </w:r>
        <w:r>
          <w:rPr>
            <w:noProof/>
            <w:webHidden/>
          </w:rPr>
          <w:fldChar w:fldCharType="separate"/>
        </w:r>
        <w:r>
          <w:rPr>
            <w:noProof/>
            <w:webHidden/>
          </w:rPr>
          <w:t>9</w:t>
        </w:r>
        <w:r>
          <w:rPr>
            <w:noProof/>
            <w:webHidden/>
          </w:rPr>
          <w:fldChar w:fldCharType="end"/>
        </w:r>
      </w:hyperlink>
    </w:p>
    <w:p w14:paraId="18FAEA9B" w14:textId="0A3F652B" w:rsidR="00091448" w:rsidRDefault="00091448">
      <w:pPr>
        <w:pStyle w:val="TOC3"/>
        <w:tabs>
          <w:tab w:val="right" w:leader="dot" w:pos="9016"/>
        </w:tabs>
        <w:rPr>
          <w:rFonts w:asciiTheme="minorHAnsi" w:hAnsiTheme="minorHAnsi"/>
          <w:noProof/>
          <w:color w:val="auto"/>
          <w:kern w:val="2"/>
          <w:szCs w:val="24"/>
          <w:lang w:val="en-IN" w:eastAsia="en-IN"/>
          <w14:ligatures w14:val="standardContextual"/>
        </w:rPr>
      </w:pPr>
      <w:hyperlink w:anchor="_Toc235747346" w:history="1">
        <w:r w:rsidRPr="002C1F86">
          <w:rPr>
            <w:rStyle w:val="Hyperlink"/>
            <w:noProof/>
          </w:rPr>
          <w:t>3.2.2 Product Development: Low-Carbon Steel Feedstocks &amp; Copper Cathodes</w:t>
        </w:r>
        <w:r>
          <w:rPr>
            <w:noProof/>
            <w:webHidden/>
          </w:rPr>
          <w:tab/>
        </w:r>
        <w:r>
          <w:rPr>
            <w:noProof/>
            <w:webHidden/>
          </w:rPr>
          <w:fldChar w:fldCharType="begin"/>
        </w:r>
        <w:r>
          <w:rPr>
            <w:noProof/>
            <w:webHidden/>
          </w:rPr>
          <w:instrText xml:space="preserve"> PAGEREF _Toc235747346 \h </w:instrText>
        </w:r>
        <w:r>
          <w:rPr>
            <w:noProof/>
            <w:webHidden/>
          </w:rPr>
        </w:r>
        <w:r>
          <w:rPr>
            <w:noProof/>
            <w:webHidden/>
          </w:rPr>
          <w:fldChar w:fldCharType="separate"/>
        </w:r>
        <w:r>
          <w:rPr>
            <w:noProof/>
            <w:webHidden/>
          </w:rPr>
          <w:t>10</w:t>
        </w:r>
        <w:r>
          <w:rPr>
            <w:noProof/>
            <w:webHidden/>
          </w:rPr>
          <w:fldChar w:fldCharType="end"/>
        </w:r>
      </w:hyperlink>
    </w:p>
    <w:p w14:paraId="6D06E944" w14:textId="7AE06583" w:rsidR="00091448" w:rsidRDefault="00091448">
      <w:pPr>
        <w:pStyle w:val="TOC3"/>
        <w:tabs>
          <w:tab w:val="right" w:leader="dot" w:pos="9016"/>
        </w:tabs>
        <w:rPr>
          <w:rFonts w:asciiTheme="minorHAnsi" w:hAnsiTheme="minorHAnsi"/>
          <w:noProof/>
          <w:color w:val="auto"/>
          <w:kern w:val="2"/>
          <w:szCs w:val="24"/>
          <w:lang w:val="en-IN" w:eastAsia="en-IN"/>
          <w14:ligatures w14:val="standardContextual"/>
        </w:rPr>
      </w:pPr>
      <w:hyperlink w:anchor="_Toc235747347" w:history="1">
        <w:r w:rsidRPr="002C1F86">
          <w:rPr>
            <w:rStyle w:val="Hyperlink"/>
            <w:noProof/>
          </w:rPr>
          <w:t>3.2.3 Diversification: The Jansen Potash Strategic Vector</w:t>
        </w:r>
        <w:r>
          <w:rPr>
            <w:noProof/>
            <w:webHidden/>
          </w:rPr>
          <w:tab/>
        </w:r>
        <w:r>
          <w:rPr>
            <w:noProof/>
            <w:webHidden/>
          </w:rPr>
          <w:fldChar w:fldCharType="begin"/>
        </w:r>
        <w:r>
          <w:rPr>
            <w:noProof/>
            <w:webHidden/>
          </w:rPr>
          <w:instrText xml:space="preserve"> PAGEREF _Toc235747347 \h </w:instrText>
        </w:r>
        <w:r>
          <w:rPr>
            <w:noProof/>
            <w:webHidden/>
          </w:rPr>
        </w:r>
        <w:r>
          <w:rPr>
            <w:noProof/>
            <w:webHidden/>
          </w:rPr>
          <w:fldChar w:fldCharType="separate"/>
        </w:r>
        <w:r>
          <w:rPr>
            <w:noProof/>
            <w:webHidden/>
          </w:rPr>
          <w:t>10</w:t>
        </w:r>
        <w:r>
          <w:rPr>
            <w:noProof/>
            <w:webHidden/>
          </w:rPr>
          <w:fldChar w:fldCharType="end"/>
        </w:r>
      </w:hyperlink>
    </w:p>
    <w:p w14:paraId="3D2FC5F2" w14:textId="4D10CE7A" w:rsidR="00091448" w:rsidRDefault="00091448">
      <w:pPr>
        <w:pStyle w:val="TOC2"/>
        <w:tabs>
          <w:tab w:val="right" w:leader="dot" w:pos="9016"/>
        </w:tabs>
        <w:rPr>
          <w:rFonts w:asciiTheme="minorHAnsi" w:hAnsiTheme="minorHAnsi"/>
          <w:noProof/>
          <w:color w:val="auto"/>
          <w:kern w:val="2"/>
          <w:szCs w:val="24"/>
          <w:lang w:val="en-IN" w:eastAsia="en-IN"/>
          <w14:ligatures w14:val="standardContextual"/>
        </w:rPr>
      </w:pPr>
      <w:hyperlink w:anchor="_Toc235747348" w:history="1">
        <w:r w:rsidRPr="002C1F86">
          <w:rPr>
            <w:rStyle w:val="Hyperlink"/>
            <w:noProof/>
          </w:rPr>
          <w:t>3.3 Strategic Friction &amp; Risk Mitigation</w:t>
        </w:r>
        <w:r>
          <w:rPr>
            <w:noProof/>
            <w:webHidden/>
          </w:rPr>
          <w:tab/>
        </w:r>
        <w:r>
          <w:rPr>
            <w:noProof/>
            <w:webHidden/>
          </w:rPr>
          <w:fldChar w:fldCharType="begin"/>
        </w:r>
        <w:r>
          <w:rPr>
            <w:noProof/>
            <w:webHidden/>
          </w:rPr>
          <w:instrText xml:space="preserve"> PAGEREF _Toc235747348 \h </w:instrText>
        </w:r>
        <w:r>
          <w:rPr>
            <w:noProof/>
            <w:webHidden/>
          </w:rPr>
        </w:r>
        <w:r>
          <w:rPr>
            <w:noProof/>
            <w:webHidden/>
          </w:rPr>
          <w:fldChar w:fldCharType="separate"/>
        </w:r>
        <w:r>
          <w:rPr>
            <w:noProof/>
            <w:webHidden/>
          </w:rPr>
          <w:t>10</w:t>
        </w:r>
        <w:r>
          <w:rPr>
            <w:noProof/>
            <w:webHidden/>
          </w:rPr>
          <w:fldChar w:fldCharType="end"/>
        </w:r>
      </w:hyperlink>
    </w:p>
    <w:p w14:paraId="6CC9B2A6" w14:textId="308AF082" w:rsidR="00091448" w:rsidRDefault="00091448">
      <w:pPr>
        <w:pStyle w:val="TOC2"/>
        <w:tabs>
          <w:tab w:val="right" w:leader="dot" w:pos="9016"/>
        </w:tabs>
        <w:rPr>
          <w:rFonts w:asciiTheme="minorHAnsi" w:hAnsiTheme="minorHAnsi"/>
          <w:noProof/>
          <w:color w:val="auto"/>
          <w:kern w:val="2"/>
          <w:szCs w:val="24"/>
          <w:lang w:val="en-IN" w:eastAsia="en-IN"/>
          <w14:ligatures w14:val="standardContextual"/>
        </w:rPr>
      </w:pPr>
      <w:hyperlink w:anchor="_Toc235747349" w:history="1">
        <w:r w:rsidRPr="002C1F86">
          <w:rPr>
            <w:rStyle w:val="Hyperlink"/>
            <w:noProof/>
          </w:rPr>
          <w:t>3.4 Strategic Conclusion</w:t>
        </w:r>
        <w:r>
          <w:rPr>
            <w:noProof/>
            <w:webHidden/>
          </w:rPr>
          <w:tab/>
        </w:r>
        <w:r>
          <w:rPr>
            <w:noProof/>
            <w:webHidden/>
          </w:rPr>
          <w:fldChar w:fldCharType="begin"/>
        </w:r>
        <w:r>
          <w:rPr>
            <w:noProof/>
            <w:webHidden/>
          </w:rPr>
          <w:instrText xml:space="preserve"> PAGEREF _Toc235747349 \h </w:instrText>
        </w:r>
        <w:r>
          <w:rPr>
            <w:noProof/>
            <w:webHidden/>
          </w:rPr>
        </w:r>
        <w:r>
          <w:rPr>
            <w:noProof/>
            <w:webHidden/>
          </w:rPr>
          <w:fldChar w:fldCharType="separate"/>
        </w:r>
        <w:r>
          <w:rPr>
            <w:noProof/>
            <w:webHidden/>
          </w:rPr>
          <w:t>11</w:t>
        </w:r>
        <w:r>
          <w:rPr>
            <w:noProof/>
            <w:webHidden/>
          </w:rPr>
          <w:fldChar w:fldCharType="end"/>
        </w:r>
      </w:hyperlink>
    </w:p>
    <w:p w14:paraId="10D76D10" w14:textId="0065695D" w:rsidR="00091448" w:rsidRDefault="00091448">
      <w:pPr>
        <w:pStyle w:val="TOC1"/>
        <w:tabs>
          <w:tab w:val="right" w:leader="dot" w:pos="9016"/>
        </w:tabs>
        <w:rPr>
          <w:rFonts w:asciiTheme="minorHAnsi" w:hAnsiTheme="minorHAnsi"/>
          <w:noProof/>
          <w:color w:val="auto"/>
          <w:kern w:val="2"/>
          <w:szCs w:val="24"/>
          <w:lang w:val="en-IN" w:eastAsia="en-IN"/>
          <w14:ligatures w14:val="standardContextual"/>
        </w:rPr>
      </w:pPr>
      <w:hyperlink w:anchor="_Toc235747350" w:history="1">
        <w:r w:rsidRPr="002C1F86">
          <w:rPr>
            <w:rStyle w:val="Hyperlink"/>
            <w:noProof/>
          </w:rPr>
          <w:t>4. Task 3: Critical Reflection on AI Usage</w:t>
        </w:r>
        <w:r>
          <w:rPr>
            <w:noProof/>
            <w:webHidden/>
          </w:rPr>
          <w:tab/>
        </w:r>
        <w:r>
          <w:rPr>
            <w:noProof/>
            <w:webHidden/>
          </w:rPr>
          <w:fldChar w:fldCharType="begin"/>
        </w:r>
        <w:r>
          <w:rPr>
            <w:noProof/>
            <w:webHidden/>
          </w:rPr>
          <w:instrText xml:space="preserve"> PAGEREF _Toc235747350 \h </w:instrText>
        </w:r>
        <w:r>
          <w:rPr>
            <w:noProof/>
            <w:webHidden/>
          </w:rPr>
        </w:r>
        <w:r>
          <w:rPr>
            <w:noProof/>
            <w:webHidden/>
          </w:rPr>
          <w:fldChar w:fldCharType="separate"/>
        </w:r>
        <w:r>
          <w:rPr>
            <w:noProof/>
            <w:webHidden/>
          </w:rPr>
          <w:t>12</w:t>
        </w:r>
        <w:r>
          <w:rPr>
            <w:noProof/>
            <w:webHidden/>
          </w:rPr>
          <w:fldChar w:fldCharType="end"/>
        </w:r>
      </w:hyperlink>
    </w:p>
    <w:p w14:paraId="337FC1E0" w14:textId="6D28E35D" w:rsidR="00091448" w:rsidRDefault="00091448">
      <w:pPr>
        <w:pStyle w:val="TOC2"/>
        <w:tabs>
          <w:tab w:val="right" w:leader="dot" w:pos="9016"/>
        </w:tabs>
        <w:rPr>
          <w:rFonts w:asciiTheme="minorHAnsi" w:hAnsiTheme="minorHAnsi"/>
          <w:noProof/>
          <w:color w:val="auto"/>
          <w:kern w:val="2"/>
          <w:szCs w:val="24"/>
          <w:lang w:val="en-IN" w:eastAsia="en-IN"/>
          <w14:ligatures w14:val="standardContextual"/>
        </w:rPr>
      </w:pPr>
      <w:hyperlink w:anchor="_Toc235747351" w:history="1">
        <w:r w:rsidRPr="002C1F86">
          <w:rPr>
            <w:rStyle w:val="Hyperlink"/>
            <w:noProof/>
          </w:rPr>
          <w:t>4.1 Tool Disclosure and Application</w:t>
        </w:r>
        <w:r>
          <w:rPr>
            <w:noProof/>
            <w:webHidden/>
          </w:rPr>
          <w:tab/>
        </w:r>
        <w:r>
          <w:rPr>
            <w:noProof/>
            <w:webHidden/>
          </w:rPr>
          <w:fldChar w:fldCharType="begin"/>
        </w:r>
        <w:r>
          <w:rPr>
            <w:noProof/>
            <w:webHidden/>
          </w:rPr>
          <w:instrText xml:space="preserve"> PAGEREF _Toc235747351 \h </w:instrText>
        </w:r>
        <w:r>
          <w:rPr>
            <w:noProof/>
            <w:webHidden/>
          </w:rPr>
        </w:r>
        <w:r>
          <w:rPr>
            <w:noProof/>
            <w:webHidden/>
          </w:rPr>
          <w:fldChar w:fldCharType="separate"/>
        </w:r>
        <w:r>
          <w:rPr>
            <w:noProof/>
            <w:webHidden/>
          </w:rPr>
          <w:t>12</w:t>
        </w:r>
        <w:r>
          <w:rPr>
            <w:noProof/>
            <w:webHidden/>
          </w:rPr>
          <w:fldChar w:fldCharType="end"/>
        </w:r>
      </w:hyperlink>
    </w:p>
    <w:p w14:paraId="473D77A8" w14:textId="3426F53E" w:rsidR="00091448" w:rsidRDefault="00091448">
      <w:pPr>
        <w:pStyle w:val="TOC2"/>
        <w:tabs>
          <w:tab w:val="right" w:leader="dot" w:pos="9016"/>
        </w:tabs>
        <w:rPr>
          <w:rFonts w:asciiTheme="minorHAnsi" w:hAnsiTheme="minorHAnsi"/>
          <w:noProof/>
          <w:color w:val="auto"/>
          <w:kern w:val="2"/>
          <w:szCs w:val="24"/>
          <w:lang w:val="en-IN" w:eastAsia="en-IN"/>
          <w14:ligatures w14:val="standardContextual"/>
        </w:rPr>
      </w:pPr>
      <w:hyperlink w:anchor="_Toc235747352" w:history="1">
        <w:r w:rsidRPr="002C1F86">
          <w:rPr>
            <w:rStyle w:val="Hyperlink"/>
            <w:noProof/>
          </w:rPr>
          <w:t>4.2 Critical Evaluation and Verification of AI Output</w:t>
        </w:r>
        <w:r>
          <w:rPr>
            <w:noProof/>
            <w:webHidden/>
          </w:rPr>
          <w:tab/>
        </w:r>
        <w:r>
          <w:rPr>
            <w:noProof/>
            <w:webHidden/>
          </w:rPr>
          <w:fldChar w:fldCharType="begin"/>
        </w:r>
        <w:r>
          <w:rPr>
            <w:noProof/>
            <w:webHidden/>
          </w:rPr>
          <w:instrText xml:space="preserve"> PAGEREF _Toc235747352 \h </w:instrText>
        </w:r>
        <w:r>
          <w:rPr>
            <w:noProof/>
            <w:webHidden/>
          </w:rPr>
        </w:r>
        <w:r>
          <w:rPr>
            <w:noProof/>
            <w:webHidden/>
          </w:rPr>
          <w:fldChar w:fldCharType="separate"/>
        </w:r>
        <w:r>
          <w:rPr>
            <w:noProof/>
            <w:webHidden/>
          </w:rPr>
          <w:t>12</w:t>
        </w:r>
        <w:r>
          <w:rPr>
            <w:noProof/>
            <w:webHidden/>
          </w:rPr>
          <w:fldChar w:fldCharType="end"/>
        </w:r>
      </w:hyperlink>
    </w:p>
    <w:p w14:paraId="1C24343C" w14:textId="3B73D847" w:rsidR="00091448" w:rsidRDefault="00091448">
      <w:pPr>
        <w:pStyle w:val="TOC2"/>
        <w:tabs>
          <w:tab w:val="right" w:leader="dot" w:pos="9016"/>
        </w:tabs>
        <w:rPr>
          <w:rFonts w:asciiTheme="minorHAnsi" w:hAnsiTheme="minorHAnsi"/>
          <w:noProof/>
          <w:color w:val="auto"/>
          <w:kern w:val="2"/>
          <w:szCs w:val="24"/>
          <w:lang w:val="en-IN" w:eastAsia="en-IN"/>
          <w14:ligatures w14:val="standardContextual"/>
        </w:rPr>
      </w:pPr>
      <w:hyperlink w:anchor="_Toc235747353" w:history="1">
        <w:r w:rsidRPr="002C1F86">
          <w:rPr>
            <w:rStyle w:val="Hyperlink"/>
            <w:noProof/>
          </w:rPr>
          <w:t>4.3 Contribution Analysis: AI vs. Original Human Input</w:t>
        </w:r>
        <w:r>
          <w:rPr>
            <w:noProof/>
            <w:webHidden/>
          </w:rPr>
          <w:tab/>
        </w:r>
        <w:r>
          <w:rPr>
            <w:noProof/>
            <w:webHidden/>
          </w:rPr>
          <w:fldChar w:fldCharType="begin"/>
        </w:r>
        <w:r>
          <w:rPr>
            <w:noProof/>
            <w:webHidden/>
          </w:rPr>
          <w:instrText xml:space="preserve"> PAGEREF _Toc235747353 \h </w:instrText>
        </w:r>
        <w:r>
          <w:rPr>
            <w:noProof/>
            <w:webHidden/>
          </w:rPr>
        </w:r>
        <w:r>
          <w:rPr>
            <w:noProof/>
            <w:webHidden/>
          </w:rPr>
          <w:fldChar w:fldCharType="separate"/>
        </w:r>
        <w:r>
          <w:rPr>
            <w:noProof/>
            <w:webHidden/>
          </w:rPr>
          <w:t>12</w:t>
        </w:r>
        <w:r>
          <w:rPr>
            <w:noProof/>
            <w:webHidden/>
          </w:rPr>
          <w:fldChar w:fldCharType="end"/>
        </w:r>
      </w:hyperlink>
    </w:p>
    <w:p w14:paraId="33F4B139" w14:textId="4AA2854B" w:rsidR="00091448" w:rsidRDefault="00091448">
      <w:pPr>
        <w:pStyle w:val="TOC2"/>
        <w:tabs>
          <w:tab w:val="right" w:leader="dot" w:pos="9016"/>
        </w:tabs>
        <w:rPr>
          <w:rFonts w:asciiTheme="minorHAnsi" w:hAnsiTheme="minorHAnsi"/>
          <w:noProof/>
          <w:color w:val="auto"/>
          <w:kern w:val="2"/>
          <w:szCs w:val="24"/>
          <w:lang w:val="en-IN" w:eastAsia="en-IN"/>
          <w14:ligatures w14:val="standardContextual"/>
        </w:rPr>
      </w:pPr>
      <w:hyperlink w:anchor="_Toc235747354" w:history="1">
        <w:r w:rsidRPr="002C1F86">
          <w:rPr>
            <w:rStyle w:val="Hyperlink"/>
            <w:noProof/>
          </w:rPr>
          <w:t>4.4 Ethical &amp; Professional Reflection</w:t>
        </w:r>
        <w:r>
          <w:rPr>
            <w:noProof/>
            <w:webHidden/>
          </w:rPr>
          <w:tab/>
        </w:r>
        <w:r>
          <w:rPr>
            <w:noProof/>
            <w:webHidden/>
          </w:rPr>
          <w:fldChar w:fldCharType="begin"/>
        </w:r>
        <w:r>
          <w:rPr>
            <w:noProof/>
            <w:webHidden/>
          </w:rPr>
          <w:instrText xml:space="preserve"> PAGEREF _Toc235747354 \h </w:instrText>
        </w:r>
        <w:r>
          <w:rPr>
            <w:noProof/>
            <w:webHidden/>
          </w:rPr>
        </w:r>
        <w:r>
          <w:rPr>
            <w:noProof/>
            <w:webHidden/>
          </w:rPr>
          <w:fldChar w:fldCharType="separate"/>
        </w:r>
        <w:r>
          <w:rPr>
            <w:noProof/>
            <w:webHidden/>
          </w:rPr>
          <w:t>12</w:t>
        </w:r>
        <w:r>
          <w:rPr>
            <w:noProof/>
            <w:webHidden/>
          </w:rPr>
          <w:fldChar w:fldCharType="end"/>
        </w:r>
      </w:hyperlink>
    </w:p>
    <w:p w14:paraId="4D3F9FDD" w14:textId="55AA1550" w:rsidR="00091448" w:rsidRDefault="00091448">
      <w:pPr>
        <w:pStyle w:val="TOC1"/>
        <w:tabs>
          <w:tab w:val="right" w:leader="dot" w:pos="9016"/>
        </w:tabs>
        <w:rPr>
          <w:rFonts w:asciiTheme="minorHAnsi" w:hAnsiTheme="minorHAnsi"/>
          <w:noProof/>
          <w:color w:val="auto"/>
          <w:kern w:val="2"/>
          <w:szCs w:val="24"/>
          <w:lang w:val="en-IN" w:eastAsia="en-IN"/>
          <w14:ligatures w14:val="standardContextual"/>
        </w:rPr>
      </w:pPr>
      <w:hyperlink w:anchor="_Toc235747355" w:history="1">
        <w:r w:rsidRPr="002C1F86">
          <w:rPr>
            <w:rStyle w:val="Hyperlink"/>
            <w:noProof/>
          </w:rPr>
          <w:t>5. Conclusion</w:t>
        </w:r>
        <w:r>
          <w:rPr>
            <w:noProof/>
            <w:webHidden/>
          </w:rPr>
          <w:tab/>
        </w:r>
        <w:r>
          <w:rPr>
            <w:noProof/>
            <w:webHidden/>
          </w:rPr>
          <w:fldChar w:fldCharType="begin"/>
        </w:r>
        <w:r>
          <w:rPr>
            <w:noProof/>
            <w:webHidden/>
          </w:rPr>
          <w:instrText xml:space="preserve"> PAGEREF _Toc235747355 \h </w:instrText>
        </w:r>
        <w:r>
          <w:rPr>
            <w:noProof/>
            <w:webHidden/>
          </w:rPr>
        </w:r>
        <w:r>
          <w:rPr>
            <w:noProof/>
            <w:webHidden/>
          </w:rPr>
          <w:fldChar w:fldCharType="separate"/>
        </w:r>
        <w:r>
          <w:rPr>
            <w:noProof/>
            <w:webHidden/>
          </w:rPr>
          <w:t>14</w:t>
        </w:r>
        <w:r>
          <w:rPr>
            <w:noProof/>
            <w:webHidden/>
          </w:rPr>
          <w:fldChar w:fldCharType="end"/>
        </w:r>
      </w:hyperlink>
    </w:p>
    <w:p w14:paraId="1CE4B80E" w14:textId="21F08B7F" w:rsidR="00091448" w:rsidRDefault="00091448">
      <w:pPr>
        <w:pStyle w:val="TOC1"/>
        <w:tabs>
          <w:tab w:val="right" w:leader="dot" w:pos="9016"/>
        </w:tabs>
        <w:rPr>
          <w:rFonts w:asciiTheme="minorHAnsi" w:hAnsiTheme="minorHAnsi"/>
          <w:noProof/>
          <w:color w:val="auto"/>
          <w:kern w:val="2"/>
          <w:szCs w:val="24"/>
          <w:lang w:val="en-IN" w:eastAsia="en-IN"/>
          <w14:ligatures w14:val="standardContextual"/>
        </w:rPr>
      </w:pPr>
      <w:hyperlink w:anchor="_Toc235747356" w:history="1">
        <w:r w:rsidRPr="002C1F86">
          <w:rPr>
            <w:rStyle w:val="Hyperlink"/>
            <w:noProof/>
          </w:rPr>
          <w:t>References</w:t>
        </w:r>
        <w:r>
          <w:rPr>
            <w:noProof/>
            <w:webHidden/>
          </w:rPr>
          <w:tab/>
        </w:r>
        <w:r>
          <w:rPr>
            <w:noProof/>
            <w:webHidden/>
          </w:rPr>
          <w:fldChar w:fldCharType="begin"/>
        </w:r>
        <w:r>
          <w:rPr>
            <w:noProof/>
            <w:webHidden/>
          </w:rPr>
          <w:instrText xml:space="preserve"> PAGEREF _Toc235747356 \h </w:instrText>
        </w:r>
        <w:r>
          <w:rPr>
            <w:noProof/>
            <w:webHidden/>
          </w:rPr>
        </w:r>
        <w:r>
          <w:rPr>
            <w:noProof/>
            <w:webHidden/>
          </w:rPr>
          <w:fldChar w:fldCharType="separate"/>
        </w:r>
        <w:r>
          <w:rPr>
            <w:noProof/>
            <w:webHidden/>
          </w:rPr>
          <w:t>15</w:t>
        </w:r>
        <w:r>
          <w:rPr>
            <w:noProof/>
            <w:webHidden/>
          </w:rPr>
          <w:fldChar w:fldCharType="end"/>
        </w:r>
      </w:hyperlink>
    </w:p>
    <w:p w14:paraId="2CAE0B60" w14:textId="0D75B19A" w:rsidR="00DF6DFD" w:rsidRDefault="00091448" w:rsidP="00C85C3F">
      <w:pPr>
        <w:spacing w:line="240" w:lineRule="auto"/>
      </w:pPr>
      <w:r>
        <w:fldChar w:fldCharType="end"/>
      </w:r>
    </w:p>
    <w:p w14:paraId="4753064C" w14:textId="77777777" w:rsidR="00DF6DFD" w:rsidRDefault="00DF6DFD" w:rsidP="00C85C3F">
      <w:pPr>
        <w:spacing w:line="240" w:lineRule="auto"/>
      </w:pPr>
    </w:p>
    <w:p w14:paraId="5349F8EC" w14:textId="77777777" w:rsidR="00DF6DFD" w:rsidRDefault="00DF6DFD" w:rsidP="00C85C3F">
      <w:pPr>
        <w:spacing w:line="240" w:lineRule="auto"/>
      </w:pPr>
    </w:p>
    <w:p w14:paraId="2BA67B77" w14:textId="0E617031" w:rsidR="00DF6DFD" w:rsidRDefault="00DF6DFD" w:rsidP="00C85C3F">
      <w:pPr>
        <w:spacing w:line="240" w:lineRule="auto"/>
      </w:pPr>
    </w:p>
    <w:p w14:paraId="4B19B7E8" w14:textId="77777777" w:rsidR="00DF6DFD" w:rsidRDefault="00DF6DFD" w:rsidP="00C85C3F">
      <w:pPr>
        <w:spacing w:after="160" w:line="240" w:lineRule="auto"/>
      </w:pPr>
      <w:r>
        <w:br w:type="page"/>
      </w:r>
    </w:p>
    <w:p w14:paraId="5884CC84" w14:textId="36BEEA65" w:rsidR="00DF6DFD" w:rsidRPr="00F67E6A" w:rsidRDefault="00F67E6A" w:rsidP="00F67E6A">
      <w:pPr>
        <w:pStyle w:val="Heading1"/>
      </w:pPr>
      <w:bookmarkStart w:id="1" w:name="_Toc235580855"/>
      <w:bookmarkStart w:id="2" w:name="_Toc235745281"/>
      <w:bookmarkStart w:id="3" w:name="_Toc235746031"/>
      <w:bookmarkStart w:id="4" w:name="_Toc235747281"/>
      <w:bookmarkStart w:id="5" w:name="_Toc235747329"/>
      <w:r>
        <w:lastRenderedPageBreak/>
        <w:t xml:space="preserve">1. </w:t>
      </w:r>
      <w:r w:rsidR="00DF6DFD" w:rsidRPr="00F67E6A">
        <w:t>Introduction</w:t>
      </w:r>
      <w:bookmarkEnd w:id="1"/>
      <w:bookmarkEnd w:id="2"/>
      <w:bookmarkEnd w:id="3"/>
      <w:bookmarkEnd w:id="4"/>
      <w:bookmarkEnd w:id="5"/>
      <w:r w:rsidR="00DF6DFD" w:rsidRPr="00F67E6A">
        <w:t xml:space="preserve"> </w:t>
      </w:r>
    </w:p>
    <w:p w14:paraId="26B15E68" w14:textId="5D02A03B" w:rsidR="00DB15C2" w:rsidRDefault="00DB15C2" w:rsidP="00C85C3F">
      <w:pPr>
        <w:pStyle w:val="ListParagraph"/>
        <w:spacing w:line="240" w:lineRule="auto"/>
        <w:rPr>
          <w:rFonts w:eastAsia="Times New Roman" w:cs="Arial"/>
          <w:color w:val="auto"/>
          <w:kern w:val="2"/>
          <w:szCs w:val="24"/>
          <w:lang w:val="en-IN" w:eastAsia="en-IN"/>
          <w14:ligatures w14:val="standardContextual"/>
        </w:rPr>
      </w:pPr>
      <w:r w:rsidRPr="00DB15C2">
        <w:rPr>
          <w:rFonts w:eastAsia="Times New Roman" w:cs="Arial"/>
          <w:color w:val="auto"/>
          <w:kern w:val="2"/>
          <w:szCs w:val="24"/>
          <w:lang w:val="en-IN" w:eastAsia="en-IN"/>
          <w14:ligatures w14:val="standardContextual"/>
        </w:rPr>
        <w:t xml:space="preserve">BHP Group is an Australian based multi-national resources group and one of the world's biggest mining businesses. The company is one of the biggest iron ore producers and is also a significant copper and metallurgical coal producer, and is diversifying into potash production. The resources are critical to key global industries: iron ore and metallurgical coal for steel, copper for renewable energy systems and electrification, and potash for agricultural production and food security across the world. The company's size is evident in its financial results, as it achieved net operating cash flow of around US$18.7 billion in the FY2025 (BHP, 2025a). BHP is primarily a business-to-business and international company from a marketing-management standpoint. </w:t>
      </w:r>
    </w:p>
    <w:p w14:paraId="7A64FF9E" w14:textId="77777777" w:rsidR="008778CA" w:rsidRPr="00DB15C2" w:rsidRDefault="008778CA" w:rsidP="00C85C3F">
      <w:pPr>
        <w:pStyle w:val="ListParagraph"/>
        <w:spacing w:line="240" w:lineRule="auto"/>
        <w:rPr>
          <w:rFonts w:eastAsia="Times New Roman" w:cs="Arial"/>
          <w:szCs w:val="24"/>
          <w:lang w:eastAsia="en-IN"/>
        </w:rPr>
      </w:pPr>
    </w:p>
    <w:p w14:paraId="317E3655" w14:textId="1EF8D3AF" w:rsidR="00493586" w:rsidRDefault="00EB529D" w:rsidP="00493586">
      <w:pPr>
        <w:pStyle w:val="ListParagraph"/>
        <w:spacing w:line="240" w:lineRule="auto"/>
        <w:rPr>
          <w:rFonts w:eastAsia="Times New Roman" w:cs="Arial"/>
          <w:color w:val="auto"/>
          <w:kern w:val="2"/>
          <w:szCs w:val="24"/>
          <w:lang w:eastAsia="en-IN"/>
          <w14:ligatures w14:val="standardContextual"/>
        </w:rPr>
      </w:pPr>
      <w:r w:rsidRPr="00EB529D">
        <w:rPr>
          <w:rFonts w:eastAsia="Times New Roman" w:cs="Arial"/>
          <w:color w:val="auto"/>
          <w:kern w:val="2"/>
          <w:szCs w:val="24"/>
          <w:lang w:eastAsia="en-IN"/>
          <w14:ligatures w14:val="standardContextual"/>
        </w:rPr>
        <w:t>This task evaluates BHP Group's business strategy and its use of AI, focusing on three primary areas: Task A is a PESTEL and micro-environment analysis that develops a situational analysis of the external and industry environments showing how BHP Group uses strong cash flow from iron ore to fund low carbon transition commodities such as copper and potash. Task B uses an Ansoff Growth Matrix to describe BHP's strategic positioning, and provides examples of operational decarbonization (Market Penetration), high-grade green steel feedstocks (Product Development), partnerships for energy transition in Asia (Market Development) and the Jansen Potash project for agricultural resilience (Diversification). Lastly, Task C offers a critical reflection on the role of Generative AI as an analytical scaffolding partner, highlighting the empirical fact checking, theoretical verification and human oversight involved in ensuring academic integrity and business rigor.</w:t>
      </w:r>
    </w:p>
    <w:p w14:paraId="21EC530D"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288DC4C8"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3524B897"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62979791"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4046A45F"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5A4A85CF"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671AC063"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313943B7"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1B0EC0B9"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5A190A31"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4764F44A"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3A62A252"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485A934B" w14:textId="77777777" w:rsidR="00080971" w:rsidRDefault="00080971" w:rsidP="00493586">
      <w:pPr>
        <w:pStyle w:val="ListParagraph"/>
        <w:spacing w:line="240" w:lineRule="auto"/>
        <w:rPr>
          <w:rFonts w:eastAsia="Times New Roman" w:cs="Arial"/>
          <w:color w:val="auto"/>
          <w:kern w:val="2"/>
          <w:szCs w:val="24"/>
          <w:lang w:eastAsia="en-IN"/>
          <w14:ligatures w14:val="standardContextual"/>
        </w:rPr>
      </w:pPr>
    </w:p>
    <w:p w14:paraId="05A53054" w14:textId="55F4AA95" w:rsidR="00080971" w:rsidRPr="00080971" w:rsidRDefault="00080971" w:rsidP="00080971">
      <w:pPr>
        <w:spacing w:after="160" w:line="259" w:lineRule="auto"/>
        <w:rPr>
          <w:rFonts w:eastAsia="Times New Roman" w:cs="Arial"/>
          <w:color w:val="auto"/>
          <w:kern w:val="2"/>
          <w:szCs w:val="24"/>
          <w:lang w:val="en-IN" w:eastAsia="en-IN"/>
          <w14:ligatures w14:val="standardContextual"/>
        </w:rPr>
      </w:pPr>
      <w:r>
        <w:rPr>
          <w:rFonts w:eastAsia="Times New Roman" w:cs="Arial"/>
          <w:color w:val="auto"/>
          <w:kern w:val="2"/>
          <w:szCs w:val="24"/>
          <w:lang w:val="en-IN" w:eastAsia="en-IN"/>
          <w14:ligatures w14:val="standardContextual"/>
        </w:rPr>
        <w:br w:type="page"/>
      </w:r>
    </w:p>
    <w:p w14:paraId="096BD8A6" w14:textId="2820313F" w:rsidR="00E651AE" w:rsidRPr="00493586" w:rsidRDefault="00493586" w:rsidP="00F67E6A">
      <w:pPr>
        <w:pStyle w:val="Heading1"/>
      </w:pPr>
      <w:bookmarkStart w:id="6" w:name="_Toc235580856"/>
      <w:bookmarkStart w:id="7" w:name="_Toc235745282"/>
      <w:bookmarkStart w:id="8" w:name="_Toc235746032"/>
      <w:bookmarkStart w:id="9" w:name="_Toc235747282"/>
      <w:bookmarkStart w:id="10" w:name="_Toc235747330"/>
      <w:r>
        <w:rPr>
          <w:rFonts w:eastAsiaTheme="minorHAnsi"/>
        </w:rPr>
        <w:lastRenderedPageBreak/>
        <w:t xml:space="preserve">2. </w:t>
      </w:r>
      <w:r w:rsidR="00DB15C2" w:rsidRPr="00E651AE">
        <w:rPr>
          <w:rFonts w:eastAsiaTheme="minorHAnsi"/>
        </w:rPr>
        <w:t xml:space="preserve">Task A: </w:t>
      </w:r>
      <w:r w:rsidR="00E651AE" w:rsidRPr="00E651AE">
        <w:rPr>
          <w:rFonts w:eastAsiaTheme="minorHAnsi"/>
        </w:rPr>
        <w:t>Marketing Environment Analysis</w:t>
      </w:r>
      <w:r w:rsidR="00E651AE">
        <w:t>.</w:t>
      </w:r>
      <w:bookmarkEnd w:id="6"/>
      <w:bookmarkEnd w:id="7"/>
      <w:bookmarkEnd w:id="8"/>
      <w:bookmarkEnd w:id="9"/>
      <w:bookmarkEnd w:id="10"/>
    </w:p>
    <w:p w14:paraId="591745DB" w14:textId="05FE5768" w:rsidR="00E651AE" w:rsidRDefault="00E651AE" w:rsidP="00C85C3F">
      <w:pPr>
        <w:pStyle w:val="ListParagraph"/>
        <w:spacing w:after="0" w:line="240" w:lineRule="auto"/>
        <w:rPr>
          <w:rFonts w:ascii="Geist Fallback" w:eastAsia="Times New Roman" w:hAnsi="Geist Fallback" w:cs="Times New Roman"/>
          <w:sz w:val="23"/>
          <w:szCs w:val="23"/>
          <w:lang w:eastAsia="en-IN"/>
        </w:rPr>
      </w:pPr>
      <w:r w:rsidRPr="00E651AE">
        <w:rPr>
          <w:rFonts w:eastAsia="Times New Roman" w:cs="Arial"/>
          <w:color w:val="auto"/>
          <w:szCs w:val="24"/>
          <w:lang w:val="en-IN" w:eastAsia="en-IN"/>
        </w:rPr>
        <w:t>BHP Group Limited is an international diversified resources company. BHP generates more than $55 billion in annual revenue, and controls premier tier-1 assets around the world, such as Western Australian Iron Ore (WAIO), Escondida in Chile (the world's largest copper mine), Copper South Australia and the Jansen Potash Project in Saskatchewan, Canada. The marketing environment analysis is a study of the external (macro) and internal (industry/market) factors which affect a company's capacity to generate value for its international industrial clientele. BHP's commercial strategy is actively evolving to "future-facing commodities" (copper, nickel and potash) while continuing its core cash-generating iron ore and metallurgical coal</w:t>
      </w:r>
      <w:r w:rsidRPr="00E651AE">
        <w:rPr>
          <w:rFonts w:ascii="Geist Fallback" w:eastAsia="Times New Roman" w:hAnsi="Geist Fallback" w:cs="Times New Roman"/>
          <w:color w:val="auto"/>
          <w:sz w:val="23"/>
          <w:szCs w:val="23"/>
          <w:lang w:val="en-IN" w:eastAsia="en-IN"/>
        </w:rPr>
        <w:t xml:space="preserve"> </w:t>
      </w:r>
      <w:r w:rsidRPr="00E651AE">
        <w:rPr>
          <w:rFonts w:eastAsia="Times New Roman" w:cs="Arial"/>
          <w:color w:val="auto"/>
          <w:szCs w:val="24"/>
          <w:lang w:val="en-IN" w:eastAsia="en-IN"/>
        </w:rPr>
        <w:t xml:space="preserve">businesses </w:t>
      </w:r>
      <w:r w:rsidRPr="00E651AE">
        <w:rPr>
          <w:rFonts w:ascii="Geist Fallback" w:eastAsia="Times New Roman" w:hAnsi="Geist Fallback" w:cs="Times New Roman"/>
          <w:color w:val="auto"/>
          <w:sz w:val="23"/>
          <w:szCs w:val="23"/>
          <w:lang w:val="en-IN" w:eastAsia="en-IN"/>
        </w:rPr>
        <w:t>as the world markets shift to renewable energy and urbanisation and agricultural sustainability.</w:t>
      </w:r>
    </w:p>
    <w:p w14:paraId="7283A932" w14:textId="77777777" w:rsidR="00E651AE" w:rsidRPr="00E651AE" w:rsidRDefault="00E651AE" w:rsidP="00C85C3F">
      <w:pPr>
        <w:pStyle w:val="ListParagraph"/>
        <w:spacing w:after="0" w:line="240" w:lineRule="auto"/>
        <w:rPr>
          <w:rFonts w:ascii="Geist Fallback" w:eastAsia="Times New Roman" w:hAnsi="Geist Fallback" w:cs="Times New Roman"/>
          <w:color w:val="auto"/>
          <w:sz w:val="23"/>
          <w:szCs w:val="23"/>
          <w:lang w:val="en-IN" w:eastAsia="en-IN"/>
        </w:rPr>
      </w:pPr>
    </w:p>
    <w:p w14:paraId="13F04B13" w14:textId="3D2656AF" w:rsidR="00E651AE" w:rsidRPr="00E651AE" w:rsidRDefault="00E651AE" w:rsidP="00C85C3F">
      <w:pPr>
        <w:spacing w:line="240" w:lineRule="auto"/>
        <w:jc w:val="center"/>
        <w:rPr>
          <w:rFonts w:eastAsiaTheme="minorHAnsi"/>
          <w:b/>
          <w:bCs/>
          <w:i/>
          <w:iCs/>
          <w:color w:val="153D63" w:themeColor="text2" w:themeTint="E6"/>
          <w:sz w:val="36"/>
          <w:szCs w:val="36"/>
          <w:u w:val="single"/>
        </w:rPr>
      </w:pPr>
      <w:r>
        <w:rPr>
          <w:rFonts w:eastAsiaTheme="minorHAnsi"/>
          <w:b/>
          <w:bCs/>
          <w:i/>
          <w:iCs/>
          <w:noProof/>
          <w:color w:val="0E2841" w:themeColor="text2"/>
          <w:sz w:val="36"/>
          <w:szCs w:val="36"/>
          <w:u w:val="single"/>
          <w14:ligatures w14:val="standardContextual"/>
        </w:rPr>
        <w:drawing>
          <wp:inline distT="0" distB="0" distL="0" distR="0" wp14:anchorId="02D84B46" wp14:editId="708F30B6">
            <wp:extent cx="3498423" cy="3181532"/>
            <wp:effectExtent l="0" t="0" r="0" b="0"/>
            <wp:docPr id="184662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62725" name="Picture 18466272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29168" cy="3209492"/>
                    </a:xfrm>
                    <a:prstGeom prst="rect">
                      <a:avLst/>
                    </a:prstGeom>
                  </pic:spPr>
                </pic:pic>
              </a:graphicData>
            </a:graphic>
          </wp:inline>
        </w:drawing>
      </w:r>
    </w:p>
    <w:p w14:paraId="795EA388" w14:textId="4B4BB71A" w:rsidR="00DF6DFD" w:rsidRDefault="00E651AE" w:rsidP="00C85C3F">
      <w:pPr>
        <w:pStyle w:val="Heading3"/>
        <w:spacing w:line="240" w:lineRule="auto"/>
        <w:jc w:val="center"/>
        <w:rPr>
          <w:rFonts w:eastAsia="Times New Roman"/>
          <w:lang w:eastAsia="en-IN"/>
        </w:rPr>
      </w:pPr>
      <w:bookmarkStart w:id="11" w:name="_Toc235580857"/>
      <w:bookmarkStart w:id="12" w:name="_Toc235745283"/>
      <w:bookmarkStart w:id="13" w:name="_Toc235746033"/>
      <w:bookmarkStart w:id="14" w:name="_Toc235747283"/>
      <w:bookmarkStart w:id="15" w:name="_Toc235747331"/>
      <w:r>
        <w:rPr>
          <w:rFonts w:eastAsia="Times New Roman"/>
          <w:lang w:eastAsia="en-IN"/>
        </w:rPr>
        <w:t xml:space="preserve">Figure </w:t>
      </w:r>
      <w:r w:rsidR="00496936">
        <w:rPr>
          <w:rFonts w:eastAsia="Times New Roman"/>
          <w:lang w:eastAsia="en-IN"/>
        </w:rPr>
        <w:t>2.</w:t>
      </w:r>
      <w:r>
        <w:rPr>
          <w:rFonts w:eastAsia="Times New Roman"/>
          <w:lang w:eastAsia="en-IN"/>
        </w:rPr>
        <w:t xml:space="preserve">1: </w:t>
      </w:r>
      <w:r w:rsidR="00AD1204">
        <w:rPr>
          <w:rFonts w:eastAsia="Times New Roman"/>
          <w:lang w:eastAsia="en-IN"/>
        </w:rPr>
        <w:t>Marketing Environment.</w:t>
      </w:r>
      <w:bookmarkEnd w:id="11"/>
      <w:bookmarkEnd w:id="12"/>
      <w:bookmarkEnd w:id="13"/>
      <w:bookmarkEnd w:id="14"/>
      <w:bookmarkEnd w:id="15"/>
    </w:p>
    <w:p w14:paraId="11828077" w14:textId="77777777" w:rsidR="00AD1204" w:rsidRPr="00AD1204" w:rsidRDefault="00AD1204" w:rsidP="00C85C3F">
      <w:pPr>
        <w:spacing w:line="240" w:lineRule="auto"/>
        <w:rPr>
          <w:lang w:val="en-IN" w:eastAsia="en-IN"/>
        </w:rPr>
      </w:pPr>
    </w:p>
    <w:p w14:paraId="7C4730D2" w14:textId="0468DC89" w:rsidR="00AD1204" w:rsidRPr="00080971" w:rsidRDefault="00080971" w:rsidP="00F67E6A">
      <w:pPr>
        <w:pStyle w:val="Heading4"/>
      </w:pPr>
      <w:bookmarkStart w:id="16" w:name="_Toc235580858"/>
      <w:bookmarkStart w:id="17" w:name="_Toc235745284"/>
      <w:bookmarkStart w:id="18" w:name="_Toc235746034"/>
      <w:bookmarkStart w:id="19" w:name="_Toc235747284"/>
      <w:bookmarkStart w:id="20" w:name="_Toc235747332"/>
      <w:r>
        <w:t xml:space="preserve">2.1 </w:t>
      </w:r>
      <w:r w:rsidR="00AD1204" w:rsidRPr="00080971">
        <w:t>Macro-Environment Analysis (PESTEL Framework</w:t>
      </w:r>
      <w:bookmarkEnd w:id="16"/>
      <w:bookmarkEnd w:id="17"/>
      <w:r w:rsidR="00B85234">
        <w:t>)</w:t>
      </w:r>
      <w:bookmarkEnd w:id="18"/>
      <w:bookmarkEnd w:id="19"/>
      <w:bookmarkEnd w:id="20"/>
    </w:p>
    <w:p w14:paraId="4651DFD8" w14:textId="77777777" w:rsidR="00C85C3F" w:rsidRPr="00C85C3F" w:rsidRDefault="00C85C3F" w:rsidP="00C85C3F">
      <w:pPr>
        <w:rPr>
          <w:lang w:eastAsia="en-IN"/>
        </w:rPr>
      </w:pPr>
    </w:p>
    <w:p w14:paraId="39A12C96" w14:textId="32CDFE58" w:rsidR="00C85C3F" w:rsidRDefault="00AD1204" w:rsidP="00C85C3F">
      <w:pPr>
        <w:spacing w:line="240" w:lineRule="auto"/>
        <w:rPr>
          <w:lang w:eastAsia="en-IN"/>
        </w:rPr>
      </w:pPr>
      <w:r w:rsidRPr="00AD1204">
        <w:rPr>
          <w:lang w:eastAsia="en-IN"/>
        </w:rPr>
        <w:t>The macro-environment encompasses broad societal and global forces over which BHP has minimal direct control, but to which it must strategically adapt.</w:t>
      </w:r>
    </w:p>
    <w:tbl>
      <w:tblPr>
        <w:tblStyle w:val="TableGrid"/>
        <w:tblW w:w="10916" w:type="dxa"/>
        <w:tblInd w:w="-856" w:type="dxa"/>
        <w:tblLook w:val="04A0" w:firstRow="1" w:lastRow="0" w:firstColumn="1" w:lastColumn="0" w:noHBand="0" w:noVBand="1"/>
      </w:tblPr>
      <w:tblGrid>
        <w:gridCol w:w="3261"/>
        <w:gridCol w:w="7655"/>
      </w:tblGrid>
      <w:tr w:rsidR="00496936" w14:paraId="52A58D52" w14:textId="77777777" w:rsidTr="00496936">
        <w:tc>
          <w:tcPr>
            <w:tcW w:w="3261" w:type="dxa"/>
            <w:tcBorders>
              <w:right w:val="nil"/>
            </w:tcBorders>
          </w:tcPr>
          <w:p w14:paraId="2B10019E" w14:textId="7CAFCCCD" w:rsidR="00496936" w:rsidRDefault="00496936" w:rsidP="00C85C3F">
            <w:pPr>
              <w:spacing w:line="240" w:lineRule="auto"/>
              <w:jc w:val="center"/>
              <w:rPr>
                <w:lang w:eastAsia="en-IN"/>
              </w:rPr>
            </w:pPr>
            <w:r w:rsidRPr="00496936">
              <w:rPr>
                <w:lang w:eastAsia="en-IN"/>
              </w:rPr>
              <w:t>PESTEL MACR</w:t>
            </w:r>
            <w:r>
              <w:rPr>
                <w:lang w:eastAsia="en-IN"/>
              </w:rPr>
              <w:t xml:space="preserve">O </w:t>
            </w:r>
            <w:r w:rsidRPr="00496936">
              <w:rPr>
                <w:lang w:eastAsia="en-IN"/>
              </w:rPr>
              <w:t>DRIVERS</w:t>
            </w:r>
          </w:p>
        </w:tc>
        <w:tc>
          <w:tcPr>
            <w:tcW w:w="7655" w:type="dxa"/>
            <w:tcBorders>
              <w:left w:val="nil"/>
            </w:tcBorders>
          </w:tcPr>
          <w:p w14:paraId="3FDE6A6C" w14:textId="77777777" w:rsidR="00496936" w:rsidRDefault="00496936" w:rsidP="00C85C3F">
            <w:pPr>
              <w:spacing w:line="240" w:lineRule="auto"/>
              <w:rPr>
                <w:lang w:eastAsia="en-IN"/>
              </w:rPr>
            </w:pPr>
          </w:p>
        </w:tc>
      </w:tr>
      <w:tr w:rsidR="00496936" w14:paraId="2F28BB6E" w14:textId="77777777" w:rsidTr="00496936">
        <w:tc>
          <w:tcPr>
            <w:tcW w:w="3261" w:type="dxa"/>
          </w:tcPr>
          <w:p w14:paraId="342B65B2" w14:textId="639D0D0A" w:rsidR="00496936" w:rsidRDefault="00496936" w:rsidP="00C85C3F">
            <w:pPr>
              <w:spacing w:line="240" w:lineRule="auto"/>
              <w:rPr>
                <w:lang w:eastAsia="en-IN"/>
              </w:rPr>
            </w:pPr>
            <w:r w:rsidRPr="00496936">
              <w:rPr>
                <w:lang w:eastAsia="en-IN"/>
              </w:rPr>
              <w:t>Political &amp; Legal</w:t>
            </w:r>
          </w:p>
        </w:tc>
        <w:tc>
          <w:tcPr>
            <w:tcW w:w="7655" w:type="dxa"/>
          </w:tcPr>
          <w:p w14:paraId="2FAA310E" w14:textId="023CA45E" w:rsidR="00496936" w:rsidRDefault="00496936" w:rsidP="00C85C3F">
            <w:pPr>
              <w:spacing w:line="240" w:lineRule="auto"/>
              <w:rPr>
                <w:lang w:eastAsia="en-IN"/>
              </w:rPr>
            </w:pPr>
            <w:r w:rsidRPr="00496936">
              <w:rPr>
                <w:lang w:eastAsia="en-IN"/>
              </w:rPr>
              <w:t>Sovereign Risk, Mining Royalties, China CMRG Consolidation</w:t>
            </w:r>
          </w:p>
        </w:tc>
      </w:tr>
      <w:tr w:rsidR="00496936" w14:paraId="243EE00C" w14:textId="77777777" w:rsidTr="00496936">
        <w:tc>
          <w:tcPr>
            <w:tcW w:w="3261" w:type="dxa"/>
          </w:tcPr>
          <w:p w14:paraId="48AB4087" w14:textId="099B47C7" w:rsidR="00496936" w:rsidRDefault="00496936" w:rsidP="00C85C3F">
            <w:pPr>
              <w:spacing w:line="240" w:lineRule="auto"/>
              <w:rPr>
                <w:lang w:eastAsia="en-IN"/>
              </w:rPr>
            </w:pPr>
            <w:r w:rsidRPr="00496936">
              <w:rPr>
                <w:lang w:eastAsia="en-IN"/>
              </w:rPr>
              <w:t>Economic</w:t>
            </w:r>
          </w:p>
        </w:tc>
        <w:tc>
          <w:tcPr>
            <w:tcW w:w="7655" w:type="dxa"/>
          </w:tcPr>
          <w:p w14:paraId="1E5E5711" w14:textId="45A73E94" w:rsidR="00496936" w:rsidRDefault="00496936" w:rsidP="00C85C3F">
            <w:pPr>
              <w:spacing w:line="240" w:lineRule="auto"/>
              <w:rPr>
                <w:lang w:eastAsia="en-IN"/>
              </w:rPr>
            </w:pPr>
            <w:r w:rsidRPr="00496936">
              <w:rPr>
                <w:lang w:eastAsia="en-IN"/>
              </w:rPr>
              <w:t>Commodity Volatility, Input Inflation, China/India Demand Shift</w:t>
            </w:r>
          </w:p>
        </w:tc>
      </w:tr>
      <w:tr w:rsidR="00496936" w14:paraId="2F3A949B" w14:textId="77777777" w:rsidTr="00496936">
        <w:tc>
          <w:tcPr>
            <w:tcW w:w="3261" w:type="dxa"/>
          </w:tcPr>
          <w:p w14:paraId="1B260108" w14:textId="73BAD2E4" w:rsidR="00496936" w:rsidRDefault="00496936" w:rsidP="00C85C3F">
            <w:pPr>
              <w:spacing w:line="240" w:lineRule="auto"/>
              <w:rPr>
                <w:lang w:eastAsia="en-IN"/>
              </w:rPr>
            </w:pPr>
            <w:r w:rsidRPr="00496936">
              <w:rPr>
                <w:lang w:eastAsia="en-IN"/>
              </w:rPr>
              <w:t>Sociocultural</w:t>
            </w:r>
          </w:p>
        </w:tc>
        <w:tc>
          <w:tcPr>
            <w:tcW w:w="7655" w:type="dxa"/>
          </w:tcPr>
          <w:p w14:paraId="1F558777" w14:textId="4E478997" w:rsidR="00496936" w:rsidRDefault="00496936" w:rsidP="00C85C3F">
            <w:pPr>
              <w:spacing w:line="240" w:lineRule="auto"/>
              <w:rPr>
                <w:lang w:eastAsia="en-IN"/>
              </w:rPr>
            </w:pPr>
            <w:r w:rsidRPr="00496936">
              <w:rPr>
                <w:lang w:eastAsia="en-IN"/>
              </w:rPr>
              <w:t>ESG Standards, Indigenous Relations, Workforce Diversity</w:t>
            </w:r>
          </w:p>
        </w:tc>
      </w:tr>
      <w:tr w:rsidR="00496936" w14:paraId="5941B0C4" w14:textId="77777777" w:rsidTr="00496936">
        <w:tc>
          <w:tcPr>
            <w:tcW w:w="3261" w:type="dxa"/>
          </w:tcPr>
          <w:p w14:paraId="7563D6DF" w14:textId="410EB0BA" w:rsidR="00496936" w:rsidRDefault="00496936" w:rsidP="00C85C3F">
            <w:pPr>
              <w:spacing w:line="240" w:lineRule="auto"/>
              <w:rPr>
                <w:lang w:eastAsia="en-IN"/>
              </w:rPr>
            </w:pPr>
            <w:r w:rsidRPr="00496936">
              <w:rPr>
                <w:lang w:eastAsia="en-IN"/>
              </w:rPr>
              <w:lastRenderedPageBreak/>
              <w:t>Technological</w:t>
            </w:r>
          </w:p>
        </w:tc>
        <w:tc>
          <w:tcPr>
            <w:tcW w:w="7655" w:type="dxa"/>
          </w:tcPr>
          <w:p w14:paraId="677A48A4" w14:textId="77C8A0FE" w:rsidR="00496936" w:rsidRDefault="00496936" w:rsidP="00C85C3F">
            <w:pPr>
              <w:spacing w:line="240" w:lineRule="auto"/>
              <w:rPr>
                <w:lang w:eastAsia="en-IN"/>
              </w:rPr>
            </w:pPr>
            <w:r w:rsidRPr="00496936">
              <w:rPr>
                <w:lang w:eastAsia="en-IN"/>
              </w:rPr>
              <w:t>Autonomous Logistics, GenAI Exploration, Decarbonization Tech</w:t>
            </w:r>
          </w:p>
        </w:tc>
      </w:tr>
      <w:tr w:rsidR="00496936" w14:paraId="403069BD" w14:textId="77777777" w:rsidTr="00496936">
        <w:tc>
          <w:tcPr>
            <w:tcW w:w="3261" w:type="dxa"/>
          </w:tcPr>
          <w:p w14:paraId="48272C57" w14:textId="21C4794F" w:rsidR="00496936" w:rsidRDefault="00496936" w:rsidP="00C85C3F">
            <w:pPr>
              <w:spacing w:line="240" w:lineRule="auto"/>
              <w:rPr>
                <w:lang w:eastAsia="en-IN"/>
              </w:rPr>
            </w:pPr>
            <w:r w:rsidRPr="00496936">
              <w:rPr>
                <w:lang w:eastAsia="en-IN"/>
              </w:rPr>
              <w:t>Environmental</w:t>
            </w:r>
          </w:p>
        </w:tc>
        <w:tc>
          <w:tcPr>
            <w:tcW w:w="7655" w:type="dxa"/>
          </w:tcPr>
          <w:p w14:paraId="303018B3" w14:textId="41983F6F" w:rsidR="00496936" w:rsidRDefault="00496936" w:rsidP="00C85C3F">
            <w:pPr>
              <w:spacing w:line="240" w:lineRule="auto"/>
              <w:rPr>
                <w:lang w:eastAsia="en-IN"/>
              </w:rPr>
            </w:pPr>
            <w:r w:rsidRPr="00496936">
              <w:rPr>
                <w:lang w:eastAsia="en-IN"/>
              </w:rPr>
              <w:t>Scope 1/2/3 Target Commitments, Water Stewardship, Climate Resilience</w:t>
            </w:r>
          </w:p>
        </w:tc>
      </w:tr>
    </w:tbl>
    <w:p w14:paraId="47A6C25F" w14:textId="5AF290E2" w:rsidR="00496936" w:rsidRPr="00496936" w:rsidRDefault="00496936" w:rsidP="00B85234">
      <w:pPr>
        <w:pStyle w:val="Heading4"/>
      </w:pPr>
      <w:bookmarkStart w:id="21" w:name="_Toc235580859"/>
      <w:bookmarkStart w:id="22" w:name="_Toc235745285"/>
      <w:bookmarkStart w:id="23" w:name="_Toc235746035"/>
      <w:bookmarkStart w:id="24" w:name="_Toc235747285"/>
      <w:bookmarkStart w:id="25" w:name="_Toc235747333"/>
      <w:r w:rsidRPr="00496936">
        <w:t>Table 2.2: PESTEL MACRO DRIVERS</w:t>
      </w:r>
      <w:bookmarkEnd w:id="21"/>
      <w:bookmarkEnd w:id="22"/>
      <w:bookmarkEnd w:id="23"/>
      <w:bookmarkEnd w:id="24"/>
      <w:bookmarkEnd w:id="25"/>
    </w:p>
    <w:p w14:paraId="2CA90C86" w14:textId="77777777" w:rsidR="005F03DD" w:rsidRDefault="00C85C3F" w:rsidP="005F03DD">
      <w:pPr>
        <w:pStyle w:val="Heading3"/>
        <w:rPr>
          <w:lang w:eastAsia="en-IN"/>
        </w:rPr>
      </w:pPr>
      <w:bookmarkStart w:id="26" w:name="_Toc235580861"/>
      <w:bookmarkStart w:id="27" w:name="_Toc235745286"/>
      <w:bookmarkStart w:id="28" w:name="_Toc235746036"/>
      <w:bookmarkStart w:id="29" w:name="_Toc235747286"/>
      <w:bookmarkStart w:id="30" w:name="_Toc235747334"/>
      <w:r>
        <w:rPr>
          <w:lang w:eastAsia="en-IN"/>
        </w:rPr>
        <w:t xml:space="preserve">2.1. </w:t>
      </w:r>
      <w:bookmarkEnd w:id="26"/>
      <w:bookmarkEnd w:id="27"/>
      <w:bookmarkEnd w:id="28"/>
      <w:r w:rsidR="005F03DD" w:rsidRPr="005F03DD">
        <w:rPr>
          <w:lang w:eastAsia="en-IN"/>
        </w:rPr>
        <w:t>Technological Factor</w:t>
      </w:r>
      <w:bookmarkEnd w:id="29"/>
      <w:bookmarkEnd w:id="30"/>
      <w:r w:rsidR="005F03DD" w:rsidRPr="005F03DD">
        <w:rPr>
          <w:lang w:eastAsia="en-IN"/>
        </w:rPr>
        <w:t xml:space="preserve"> </w:t>
      </w:r>
    </w:p>
    <w:p w14:paraId="75687CF8" w14:textId="7933A486" w:rsidR="00F66A25" w:rsidRDefault="00F66A25" w:rsidP="00F66A25">
      <w:pPr>
        <w:spacing w:line="240" w:lineRule="auto"/>
        <w:rPr>
          <w:lang w:eastAsia="en-IN"/>
        </w:rPr>
      </w:pPr>
      <w:r w:rsidRPr="00F66A25">
        <w:rPr>
          <w:lang w:eastAsia="en-IN"/>
        </w:rPr>
        <w:t xml:space="preserve">Technological Actor is one of the most important enablers of BHP's competitive advantage and one of the most important constraints in BHP's transition towards lower carbon products in the macro-environment. The technological innovation is key in determining the effectiveness of BHP's </w:t>
      </w:r>
      <w:proofErr w:type="spellStart"/>
      <w:r w:rsidRPr="00F66A25">
        <w:rPr>
          <w:lang w:eastAsia="en-IN"/>
        </w:rPr>
        <w:t>decarbonisation</w:t>
      </w:r>
      <w:proofErr w:type="spellEnd"/>
      <w:r w:rsidRPr="00F66A25">
        <w:rPr>
          <w:lang w:eastAsia="en-IN"/>
        </w:rPr>
        <w:t xml:space="preserve"> efforts within its internal operations, as the metals and mining sector is highly capital-intensive and historically has relied on high levels of fossil-fuel combustion.</w:t>
      </w:r>
    </w:p>
    <w:p w14:paraId="1F4C6C23" w14:textId="77777777" w:rsidR="001F4CAB" w:rsidRDefault="001E3C65" w:rsidP="001F4CAB">
      <w:pPr>
        <w:pStyle w:val="Heading5"/>
        <w:rPr>
          <w:lang w:val="en-IN" w:eastAsia="en-IN"/>
        </w:rPr>
      </w:pPr>
      <w:bookmarkStart w:id="31" w:name="_Toc235747287"/>
      <w:bookmarkStart w:id="32" w:name="_Toc235747335"/>
      <w:r w:rsidRPr="001E3C65">
        <w:rPr>
          <w:lang w:val="en-IN" w:eastAsia="en-IN"/>
        </w:rPr>
        <w:t>Technological Opportunities</w:t>
      </w:r>
      <w:bookmarkEnd w:id="31"/>
      <w:bookmarkEnd w:id="32"/>
    </w:p>
    <w:p w14:paraId="720E36CB" w14:textId="77777777" w:rsidR="001F4CAB" w:rsidRDefault="001E3C65" w:rsidP="001E3C65">
      <w:pPr>
        <w:spacing w:line="240" w:lineRule="auto"/>
        <w:rPr>
          <w:lang w:val="en-IN" w:eastAsia="en-IN"/>
        </w:rPr>
      </w:pPr>
      <w:r w:rsidRPr="001E3C65">
        <w:rPr>
          <w:lang w:val="en-IN" w:eastAsia="en-IN"/>
        </w:rPr>
        <w:t xml:space="preserve"> </w:t>
      </w:r>
      <w:r w:rsidRPr="001F4CAB">
        <w:rPr>
          <w:b/>
          <w:bCs/>
          <w:lang w:val="en-IN" w:eastAsia="en-IN"/>
        </w:rPr>
        <w:t>Automation &amp; Robotics:</w:t>
      </w:r>
      <w:r w:rsidRPr="001E3C65">
        <w:rPr>
          <w:lang w:val="en-IN" w:eastAsia="en-IN"/>
        </w:rPr>
        <w:t xml:space="preserve"> Greater autonomous haulage trucks and automated rail systems reduce extraction costs, improve operational uptime and improve worker safety. Optimize geological mapping, predictive equipment upkeep, and provide chain optimization with AI &amp; Predictive Analytics, maximizing resource yield and efficiency. </w:t>
      </w:r>
    </w:p>
    <w:p w14:paraId="317AAED9" w14:textId="4A92853C" w:rsidR="001F4CAB" w:rsidRDefault="001E3C65" w:rsidP="001E3C65">
      <w:pPr>
        <w:spacing w:line="240" w:lineRule="auto"/>
        <w:rPr>
          <w:lang w:val="en-IN" w:eastAsia="en-IN"/>
        </w:rPr>
      </w:pPr>
      <w:r w:rsidRPr="001F4CAB">
        <w:rPr>
          <w:b/>
          <w:bCs/>
          <w:lang w:val="en-IN" w:eastAsia="en-IN"/>
        </w:rPr>
        <w:t>Green Mining Electrification:</w:t>
      </w:r>
      <w:r w:rsidRPr="001E3C65">
        <w:rPr>
          <w:lang w:val="en-IN" w:eastAsia="en-IN"/>
        </w:rPr>
        <w:t xml:space="preserve"> Shifting to electric mining equipment and connecting with renewable energy networks at remote mining locations immediately cuts Scope 1 and 2 operational emissions. </w:t>
      </w:r>
    </w:p>
    <w:p w14:paraId="418BF944" w14:textId="672CF852" w:rsidR="001F4CAB" w:rsidRDefault="001E3C65" w:rsidP="001F4CAB">
      <w:pPr>
        <w:pStyle w:val="Heading5"/>
        <w:rPr>
          <w:lang w:val="en-IN" w:eastAsia="en-IN"/>
        </w:rPr>
      </w:pPr>
      <w:bookmarkStart w:id="33" w:name="_Toc235747288"/>
      <w:bookmarkStart w:id="34" w:name="_Toc235747336"/>
      <w:r w:rsidRPr="001E3C65">
        <w:rPr>
          <w:lang w:val="en-IN" w:eastAsia="en-IN"/>
        </w:rPr>
        <w:t>Technological Threats</w:t>
      </w:r>
      <w:bookmarkEnd w:id="33"/>
      <w:bookmarkEnd w:id="34"/>
      <w:r w:rsidRPr="001E3C65">
        <w:rPr>
          <w:lang w:val="en-IN" w:eastAsia="en-IN"/>
        </w:rPr>
        <w:t xml:space="preserve"> </w:t>
      </w:r>
    </w:p>
    <w:p w14:paraId="52331B4E" w14:textId="26590E72" w:rsidR="001E3C65" w:rsidRPr="001E3C65" w:rsidRDefault="001E3C65" w:rsidP="001E3C65">
      <w:pPr>
        <w:spacing w:line="240" w:lineRule="auto"/>
        <w:rPr>
          <w:lang w:val="en-IN" w:eastAsia="en-IN"/>
        </w:rPr>
      </w:pPr>
      <w:r w:rsidRPr="001F4CAB">
        <w:rPr>
          <w:b/>
          <w:bCs/>
          <w:lang w:val="en-IN" w:eastAsia="en-IN"/>
        </w:rPr>
        <w:t>Cybersecurity Vulnerabilities:</w:t>
      </w:r>
      <w:r w:rsidRPr="001E3C65">
        <w:rPr>
          <w:lang w:val="en-IN" w:eastAsia="en-IN"/>
        </w:rPr>
        <w:t xml:space="preserve"> Critical mining systems are vulnerable to high-end cyberattacks and expensive operational downtime due to the deep integration of automated and cloud-based systems and applications. Large scale capital expenditure (CAPEX) is needed to develop and upgrade legacy mining sites with autonomous systems and decarbonisation technologies. Rapid changes in alternative green technologies (e.g., changing chemistries of electric vehicle batteries) could suddenly affect the long-term demand for certain commodities.</w:t>
      </w:r>
    </w:p>
    <w:p w14:paraId="569B1EB8" w14:textId="77777777" w:rsidR="00F66A25" w:rsidRPr="00F66A25" w:rsidRDefault="00F66A25" w:rsidP="00F66A25">
      <w:pPr>
        <w:spacing w:line="240" w:lineRule="auto"/>
        <w:rPr>
          <w:lang w:eastAsia="en-IN"/>
        </w:rPr>
      </w:pPr>
    </w:p>
    <w:p w14:paraId="177CB28A" w14:textId="38566352" w:rsidR="00710844" w:rsidRDefault="00710844" w:rsidP="00B85234">
      <w:pPr>
        <w:pStyle w:val="Heading3"/>
        <w:rPr>
          <w:lang w:eastAsia="en-IN"/>
        </w:rPr>
      </w:pPr>
      <w:bookmarkStart w:id="35" w:name="_Toc235580864"/>
      <w:bookmarkStart w:id="36" w:name="_Toc235745289"/>
      <w:bookmarkStart w:id="37" w:name="_Toc235746039"/>
      <w:bookmarkStart w:id="38" w:name="_Toc235747289"/>
      <w:bookmarkStart w:id="39" w:name="_Toc235747337"/>
      <w:r>
        <w:rPr>
          <w:lang w:eastAsia="en-IN"/>
        </w:rPr>
        <w:t>2.</w:t>
      </w:r>
      <w:r w:rsidR="00D220B0">
        <w:rPr>
          <w:lang w:eastAsia="en-IN"/>
        </w:rPr>
        <w:t>2</w:t>
      </w:r>
      <w:r>
        <w:rPr>
          <w:lang w:eastAsia="en-IN"/>
        </w:rPr>
        <w:t xml:space="preserve"> </w:t>
      </w:r>
      <w:r w:rsidRPr="00710844">
        <w:rPr>
          <w:lang w:eastAsia="en-IN"/>
        </w:rPr>
        <w:t>Environmental Factors</w:t>
      </w:r>
      <w:bookmarkEnd w:id="35"/>
      <w:bookmarkEnd w:id="36"/>
      <w:bookmarkEnd w:id="37"/>
      <w:bookmarkEnd w:id="38"/>
      <w:bookmarkEnd w:id="39"/>
    </w:p>
    <w:p w14:paraId="23122D8C" w14:textId="77777777" w:rsidR="00710844" w:rsidRDefault="00710844" w:rsidP="00710844">
      <w:pPr>
        <w:spacing w:line="240" w:lineRule="auto"/>
        <w:rPr>
          <w:lang w:eastAsia="en-IN"/>
        </w:rPr>
      </w:pPr>
      <w:r w:rsidRPr="00710844">
        <w:rPr>
          <w:lang w:eastAsia="en-IN"/>
        </w:rPr>
        <w:t xml:space="preserve">Environmental pressures are not only operating restrictions, but also fundamental elements of the market opportunities: </w:t>
      </w:r>
    </w:p>
    <w:p w14:paraId="1B73CD6F" w14:textId="73A357DA" w:rsidR="00710844" w:rsidRDefault="00710844" w:rsidP="00710844">
      <w:pPr>
        <w:spacing w:line="240" w:lineRule="auto"/>
        <w:rPr>
          <w:lang w:eastAsia="en-IN"/>
        </w:rPr>
      </w:pPr>
      <w:r w:rsidRPr="006B007F">
        <w:rPr>
          <w:b/>
          <w:bCs/>
          <w:lang w:eastAsia="en-IN"/>
        </w:rPr>
        <w:t>Water Stewardship:</w:t>
      </w:r>
      <w:r w:rsidRPr="00710844">
        <w:rPr>
          <w:lang w:eastAsia="en-IN"/>
        </w:rPr>
        <w:t xml:space="preserve"> Using 100% desalinated sea water, as is found on the Atacama Desert, in Chile (Escondida), is necessary for this operation to ensure that the local water table is not adversely affected.</w:t>
      </w:r>
    </w:p>
    <w:p w14:paraId="0A478D6E" w14:textId="1796E97E" w:rsidR="00770675" w:rsidRDefault="00770675" w:rsidP="00B85234">
      <w:pPr>
        <w:pStyle w:val="Heading5"/>
        <w:rPr>
          <w:i/>
          <w:iCs/>
          <w:lang w:eastAsia="en-IN"/>
        </w:rPr>
      </w:pPr>
      <w:bookmarkStart w:id="40" w:name="_Toc235745290"/>
      <w:bookmarkStart w:id="41" w:name="_Toc235746040"/>
      <w:bookmarkStart w:id="42" w:name="_Toc235747290"/>
      <w:bookmarkStart w:id="43" w:name="_Toc235747338"/>
      <w:r w:rsidRPr="00770675">
        <w:rPr>
          <w:lang w:eastAsia="en-IN"/>
        </w:rPr>
        <w:t>Environmental Opportunities</w:t>
      </w:r>
      <w:bookmarkEnd w:id="40"/>
      <w:bookmarkEnd w:id="41"/>
      <w:bookmarkEnd w:id="42"/>
      <w:bookmarkEnd w:id="43"/>
    </w:p>
    <w:p w14:paraId="1F97566A" w14:textId="77777777" w:rsidR="008B0A2B" w:rsidRDefault="008B0A2B" w:rsidP="008B0A2B">
      <w:pPr>
        <w:spacing w:line="240" w:lineRule="auto"/>
        <w:rPr>
          <w:lang w:eastAsia="en-IN"/>
        </w:rPr>
      </w:pPr>
      <w:r w:rsidRPr="008B0A2B">
        <w:rPr>
          <w:lang w:eastAsia="en-IN"/>
        </w:rPr>
        <w:t xml:space="preserve">The world is moving towards a renewable energy, EV and </w:t>
      </w:r>
      <w:proofErr w:type="spellStart"/>
      <w:r w:rsidRPr="008B0A2B">
        <w:rPr>
          <w:lang w:eastAsia="en-IN"/>
        </w:rPr>
        <w:t>decarbonisation</w:t>
      </w:r>
      <w:proofErr w:type="spellEnd"/>
      <w:r w:rsidRPr="008B0A2B">
        <w:rPr>
          <w:lang w:eastAsia="en-IN"/>
        </w:rPr>
        <w:t xml:space="preserve"> of the grid with resulting huge market demand for BHP’s copper, nickel and low carbon products. </w:t>
      </w:r>
    </w:p>
    <w:p w14:paraId="69392BB8" w14:textId="77777777" w:rsidR="008B0A2B" w:rsidRDefault="008B0A2B" w:rsidP="008B0A2B">
      <w:pPr>
        <w:spacing w:line="240" w:lineRule="auto"/>
        <w:rPr>
          <w:lang w:eastAsia="en-IN"/>
        </w:rPr>
      </w:pPr>
      <w:r w:rsidRPr="008B0A2B">
        <w:rPr>
          <w:b/>
          <w:bCs/>
          <w:lang w:eastAsia="en-IN"/>
        </w:rPr>
        <w:lastRenderedPageBreak/>
        <w:t>Green Steel &amp; High-Grade Feedstocks:</w:t>
      </w:r>
      <w:r w:rsidRPr="008B0A2B">
        <w:rPr>
          <w:lang w:eastAsia="en-IN"/>
        </w:rPr>
        <w:t xml:space="preserve"> BHP can enter the premium market for low-impurity iron ore and Direct Reduced Iron (DRI) pellets, providing global steelmakers with a valuable opportunity to lower carbon emissions by as much as 30%. </w:t>
      </w:r>
    </w:p>
    <w:p w14:paraId="648DBB8F" w14:textId="77777777" w:rsidR="008B0A2B" w:rsidRDefault="008B0A2B" w:rsidP="008B0A2B">
      <w:pPr>
        <w:spacing w:line="240" w:lineRule="auto"/>
        <w:rPr>
          <w:lang w:eastAsia="en-IN"/>
        </w:rPr>
      </w:pPr>
      <w:r w:rsidRPr="008B0A2B">
        <w:rPr>
          <w:b/>
          <w:bCs/>
          <w:lang w:eastAsia="en-IN"/>
        </w:rPr>
        <w:t>Decarbonization Leadership &amp; Operational Efficiency:</w:t>
      </w:r>
      <w:r w:rsidRPr="008B0A2B">
        <w:rPr>
          <w:lang w:eastAsia="en-IN"/>
        </w:rPr>
        <w:t xml:space="preserve"> Transition to renewable Power Purchase Agreements (PPAs) in areas such as Escondida, and systematic implementation of Battery Electric Haulage (BEH) solutions, will reduce Scope 1 and 2 emissions, which will lead to lower operating costs and regulatory compliance burden in the longer term. </w:t>
      </w:r>
    </w:p>
    <w:p w14:paraId="58E38F9F" w14:textId="47A52E2F" w:rsidR="00F87121" w:rsidRDefault="00F87121" w:rsidP="00B85234">
      <w:pPr>
        <w:pStyle w:val="Heading5"/>
        <w:rPr>
          <w:i/>
          <w:iCs/>
          <w:lang w:eastAsia="en-IN"/>
        </w:rPr>
      </w:pPr>
      <w:bookmarkStart w:id="44" w:name="_Toc235745291"/>
      <w:bookmarkStart w:id="45" w:name="_Toc235746041"/>
      <w:bookmarkStart w:id="46" w:name="_Toc235747291"/>
      <w:bookmarkStart w:id="47" w:name="_Toc235747339"/>
      <w:r w:rsidRPr="00F87121">
        <w:rPr>
          <w:lang w:eastAsia="en-IN"/>
        </w:rPr>
        <w:t>Environmental Threats</w:t>
      </w:r>
      <w:bookmarkEnd w:id="44"/>
      <w:bookmarkEnd w:id="45"/>
      <w:bookmarkEnd w:id="46"/>
      <w:bookmarkEnd w:id="47"/>
    </w:p>
    <w:p w14:paraId="2C44063C" w14:textId="77777777" w:rsidR="00A402B0" w:rsidRDefault="00D937BE" w:rsidP="00D937BE">
      <w:pPr>
        <w:spacing w:line="240" w:lineRule="auto"/>
        <w:rPr>
          <w:lang w:eastAsia="en-IN"/>
        </w:rPr>
      </w:pPr>
      <w:r w:rsidRPr="00A402B0">
        <w:rPr>
          <w:b/>
          <w:bCs/>
          <w:lang w:eastAsia="en-IN"/>
        </w:rPr>
        <w:t>Emissions Value-Chain Emissions at High Scope:</w:t>
      </w:r>
      <w:r w:rsidRPr="00D937BE">
        <w:rPr>
          <w:lang w:eastAsia="en-IN"/>
        </w:rPr>
        <w:t xml:space="preserve"> More than 80% of BHP's indirect emissions are from customer steelmaking processes. </w:t>
      </w:r>
      <w:proofErr w:type="spellStart"/>
      <w:r w:rsidRPr="00D937BE">
        <w:rPr>
          <w:lang w:eastAsia="en-IN"/>
        </w:rPr>
        <w:t>Dowstream</w:t>
      </w:r>
      <w:proofErr w:type="spellEnd"/>
      <w:r w:rsidRPr="00D937BE">
        <w:rPr>
          <w:lang w:eastAsia="en-IN"/>
        </w:rPr>
        <w:t xml:space="preserve"> blast furnaces are not in BHP's control so if customer supply chains are not decarbonized it is a significant risk to its overall emissions reduction goals.</w:t>
      </w:r>
    </w:p>
    <w:p w14:paraId="6D845AAB" w14:textId="5EDFCAA6" w:rsidR="00F87121" w:rsidRPr="00F87121" w:rsidRDefault="00D937BE" w:rsidP="00D937BE">
      <w:pPr>
        <w:spacing w:line="240" w:lineRule="auto"/>
        <w:rPr>
          <w:lang w:eastAsia="en-IN"/>
        </w:rPr>
      </w:pPr>
      <w:r w:rsidRPr="000843E1">
        <w:rPr>
          <w:b/>
          <w:bCs/>
          <w:lang w:eastAsia="en-IN"/>
        </w:rPr>
        <w:t>Water Stewardship &amp; Resource Scarcity:</w:t>
      </w:r>
      <w:r w:rsidRPr="00D937BE">
        <w:rPr>
          <w:lang w:eastAsia="en-IN"/>
        </w:rPr>
        <w:t xml:space="preserve"> In arid regions (e.g., Atacama Desert in Chile), water is a crucial constraint which necessitates the use of expensive water infrastructure solutions, such as 100% desalinated seawater, to ensure water stewardship and avoid the impact on the local water tables. Increased carbon regulations &amp; compliance risks are emerging, including strict local environmental permitting regimes or carbon border adjustment mechanisms (such as the EU CBAM).</w:t>
      </w:r>
    </w:p>
    <w:p w14:paraId="35A2CB03" w14:textId="10660785" w:rsidR="00710844" w:rsidRPr="00B85234" w:rsidRDefault="00266955" w:rsidP="00B85234">
      <w:pPr>
        <w:pStyle w:val="Heading3"/>
      </w:pPr>
      <w:bookmarkStart w:id="48" w:name="_Toc235580865"/>
      <w:bookmarkStart w:id="49" w:name="_Toc235745292"/>
      <w:bookmarkStart w:id="50" w:name="_Toc235746042"/>
      <w:bookmarkStart w:id="51" w:name="_Toc235747292"/>
      <w:bookmarkStart w:id="52" w:name="_Toc235747340"/>
      <w:r w:rsidRPr="00B85234">
        <w:t>2.2 Micro-Environment Analysis</w:t>
      </w:r>
      <w:bookmarkEnd w:id="48"/>
      <w:bookmarkEnd w:id="49"/>
      <w:bookmarkEnd w:id="50"/>
      <w:bookmarkEnd w:id="51"/>
      <w:bookmarkEnd w:id="52"/>
    </w:p>
    <w:p w14:paraId="502FF8CF" w14:textId="77777777" w:rsidR="00266955" w:rsidRPr="00266955" w:rsidRDefault="00266955" w:rsidP="00266955">
      <w:pPr>
        <w:spacing w:line="240" w:lineRule="auto"/>
        <w:rPr>
          <w:lang w:val="en-IN" w:eastAsia="en-IN"/>
        </w:rPr>
      </w:pPr>
      <w:r w:rsidRPr="00266955">
        <w:rPr>
          <w:lang w:val="en-IN" w:eastAsia="en-IN"/>
        </w:rPr>
        <w:t>The micro-environment focuses on the structural forces within the global metals and mining industry that directly dictate competitive intensity and pricing leverage.</w:t>
      </w:r>
    </w:p>
    <w:p w14:paraId="05458843" w14:textId="77777777" w:rsidR="008778CA" w:rsidRDefault="00266955" w:rsidP="008778CA">
      <w:pPr>
        <w:spacing w:line="240" w:lineRule="auto"/>
        <w:rPr>
          <w:lang w:eastAsia="en-IN"/>
        </w:rPr>
      </w:pPr>
      <w:r w:rsidRPr="00266955">
        <w:rPr>
          <w:b/>
          <w:bCs/>
          <w:lang w:eastAsia="en-IN"/>
        </w:rPr>
        <w:t>Key Competitive Advantage:</w:t>
      </w:r>
      <w:r w:rsidRPr="00266955">
        <w:rPr>
          <w:lang w:eastAsia="en-IN"/>
        </w:rPr>
        <w:t xml:space="preserve"> World class position on Global industry cost curves is maintained by BHP. One example is that in times of commodity slowdowns, WAIO's operating margins, expressed as EBITDA, exceed most of its globe competitors by a huge margin due to its lower iron ore unit cost.</w:t>
      </w:r>
    </w:p>
    <w:p w14:paraId="6EF0F510" w14:textId="099B2C22" w:rsidR="00266955" w:rsidRPr="00B85234" w:rsidRDefault="008778CA" w:rsidP="00B85234">
      <w:pPr>
        <w:pStyle w:val="Heading3"/>
      </w:pPr>
      <w:bookmarkStart w:id="53" w:name="_Toc235580867"/>
      <w:bookmarkStart w:id="54" w:name="_Toc235745293"/>
      <w:bookmarkStart w:id="55" w:name="_Toc235746043"/>
      <w:bookmarkStart w:id="56" w:name="_Toc235747293"/>
      <w:bookmarkStart w:id="57" w:name="_Toc235747341"/>
      <w:r w:rsidRPr="00B85234">
        <w:t xml:space="preserve">2.3 </w:t>
      </w:r>
      <w:r w:rsidR="00266955" w:rsidRPr="00B85234">
        <w:t>Strategic Marketing Takeaways &amp; Portfolio Alignment</w:t>
      </w:r>
      <w:bookmarkEnd w:id="53"/>
      <w:bookmarkEnd w:id="54"/>
      <w:bookmarkEnd w:id="55"/>
      <w:bookmarkEnd w:id="56"/>
      <w:bookmarkEnd w:id="57"/>
    </w:p>
    <w:p w14:paraId="45CB3E7C" w14:textId="04CD98E9" w:rsidR="00266955" w:rsidRDefault="00266955" w:rsidP="00266955">
      <w:pPr>
        <w:rPr>
          <w:lang w:eastAsia="en-IN"/>
        </w:rPr>
      </w:pPr>
      <w:r w:rsidRPr="00266955">
        <w:rPr>
          <w:lang w:eastAsia="en-IN"/>
        </w:rPr>
        <w:t>BHP’s commercial strategy aligns directly with global macroeconomic trends:</w:t>
      </w:r>
    </w:p>
    <w:tbl>
      <w:tblPr>
        <w:tblW w:w="0" w:type="auto"/>
        <w:tblInd w:w="2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3"/>
      </w:tblGrid>
      <w:tr w:rsidR="00266955" w14:paraId="5461B9D7" w14:textId="77777777" w:rsidTr="00A23FDC">
        <w:trPr>
          <w:trHeight w:val="516"/>
        </w:trPr>
        <w:tc>
          <w:tcPr>
            <w:tcW w:w="4783" w:type="dxa"/>
          </w:tcPr>
          <w:p w14:paraId="2C18F452" w14:textId="25B496D8" w:rsidR="00266955" w:rsidRDefault="00266955" w:rsidP="00266955">
            <w:pPr>
              <w:jc w:val="center"/>
              <w:rPr>
                <w:lang w:eastAsia="en-IN"/>
              </w:rPr>
            </w:pPr>
            <w:r>
              <w:rPr>
                <w:rFonts w:eastAsia="Times New Roman" w:cs="Arial"/>
                <w:noProof/>
                <w:color w:val="auto"/>
                <w:szCs w:val="24"/>
                <w:lang w:val="en-IN" w:eastAsia="en-IN"/>
                <w14:ligatures w14:val="standardContextual"/>
              </w:rPr>
              <mc:AlternateContent>
                <mc:Choice Requires="wps">
                  <w:drawing>
                    <wp:anchor distT="0" distB="0" distL="114300" distR="114300" simplePos="0" relativeHeight="251659264" behindDoc="0" locked="0" layoutInCell="1" allowOverlap="1" wp14:anchorId="513CF0D3" wp14:editId="7233DCDE">
                      <wp:simplePos x="0" y="0"/>
                      <wp:positionH relativeFrom="column">
                        <wp:posOffset>1405255</wp:posOffset>
                      </wp:positionH>
                      <wp:positionV relativeFrom="paragraph">
                        <wp:posOffset>337346</wp:posOffset>
                      </wp:positionV>
                      <wp:extent cx="0" cy="490855"/>
                      <wp:effectExtent l="0" t="0" r="38100" b="23495"/>
                      <wp:wrapNone/>
                      <wp:docPr id="461179209" name="Straight Connector 2"/>
                      <wp:cNvGraphicFramePr/>
                      <a:graphic xmlns:a="http://schemas.openxmlformats.org/drawingml/2006/main">
                        <a:graphicData uri="http://schemas.microsoft.com/office/word/2010/wordprocessingShape">
                          <wps:wsp>
                            <wps:cNvCnPr/>
                            <wps:spPr>
                              <a:xfrm>
                                <a:off x="0" y="0"/>
                                <a:ext cx="0" cy="4908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7E9A6D"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65pt,26.55pt" to="110.65pt,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2kzmQEAAJMDAAAOAAAAZHJzL2Uyb0RvYy54bWysU8Fu2zAMvRfoPwi6N3aKdWiNODm0WC/D&#10;VmzrB6gyFQuQRIFSY+fvJ8mJU7QFhhW90BLFR/I90qvNaA3bAQWNruXLRc0ZOImddtuWP/75dnHN&#10;WYjCdcKgg5bvIfDN+vxsNfgGLrFH0wGxlMSFZvAt72P0TVUF2YMVYYEeXHpUSFbEdKVt1ZEYUnZr&#10;qsu6/loNSJ0nlBBC8t5Nj3xd8isFMv5UKkBkpuWpt1gsFfuUbbVeiWZLwvdaHtoQH+jCCu1S0TnV&#10;nYiCPZN+k8pqSRhQxYVEW6FSWkLhkNgs61dsfvfCQ+GSxAl+lil8Xlr5Y3frHijJMPjQBP9AmcWo&#10;yOZv6o+NRaz9LBaMkcnJKZP3y019fXWVdaxOOE8h3gNalg8tN9plGqIRu+8hTqHHkIQ7VS6nuDeQ&#10;g437BYrpLtVaFnRZCrg1xHYijVNICS4uD6VLdIYpbcwMrP8NPMRnKJSF+R/wjCiV0cUZbLVDeq96&#10;HI8tqyn+qMDEO0vwhN2+zKRIkyZfxD1saV6tl/cCP/1L678AAAD//wMAUEsDBBQABgAIAAAAIQDB&#10;C8m83wAAAAoBAAAPAAAAZHJzL2Rvd25yZXYueG1sTI9NS8NAEIbvgv9hGcGb3XyoSMymlIJYC1Ks&#10;Qj1us2MSzc6G3W2T/ntHPOhxZh7eed5yPtleHNGHzpGCdJaAQKqd6ahR8Pb6cHUHIkRNRveOUMEJ&#10;A8yr87NSF8aN9ILHbWwEh1AotII2xqGQMtQtWh1mbkDi24fzVkcefSON1yOH215mSXIrre6IP7R6&#10;wGWL9df2YBU8+9VquVifPmnzbsddtt5tnqZHpS4vpsU9iIhT/IPhR5/VoWKnvTuQCaJXkGVpzqiC&#10;mzwFwcDvYs9knlyDrEr5v0L1DQAA//8DAFBLAQItABQABgAIAAAAIQC2gziS/gAAAOEBAAATAAAA&#10;AAAAAAAAAAAAAAAAAABbQ29udGVudF9UeXBlc10ueG1sUEsBAi0AFAAGAAgAAAAhADj9If/WAAAA&#10;lAEAAAsAAAAAAAAAAAAAAAAALwEAAF9yZWxzLy5yZWxzUEsBAi0AFAAGAAgAAAAhAFyXaTOZAQAA&#10;kwMAAA4AAAAAAAAAAAAAAAAALgIAAGRycy9lMm9Eb2MueG1sUEsBAi0AFAAGAAgAAAAhAMELybzf&#10;AAAACgEAAA8AAAAAAAAAAAAAAAAA8wMAAGRycy9kb3ducmV2LnhtbFBLBQYAAAAABAAEAPMAAAD/&#10;BAAAAAA=&#10;" strokecolor="#156082 [3204]" strokeweight=".5pt">
                      <v:stroke joinstyle="miter"/>
                    </v:line>
                  </w:pict>
                </mc:Fallback>
              </mc:AlternateContent>
            </w:r>
            <w:r w:rsidRPr="00266955">
              <w:rPr>
                <w:lang w:eastAsia="en-IN"/>
              </w:rPr>
              <w:t>CORE STRATEGIC ENGINE</w:t>
            </w:r>
          </w:p>
        </w:tc>
      </w:tr>
    </w:tbl>
    <w:p w14:paraId="3007B92A" w14:textId="2C49C919" w:rsidR="00DF6DFD" w:rsidRPr="00DF6DFD" w:rsidRDefault="00DF6DFD" w:rsidP="00C85C3F">
      <w:pPr>
        <w:pStyle w:val="ListParagraph"/>
        <w:spacing w:after="0" w:line="240" w:lineRule="auto"/>
        <w:jc w:val="center"/>
        <w:rPr>
          <w:rFonts w:eastAsia="Times New Roman" w:cs="Arial"/>
          <w:color w:val="auto"/>
          <w:szCs w:val="24"/>
          <w:lang w:val="en-IN" w:eastAsia="en-IN"/>
        </w:rPr>
      </w:pPr>
    </w:p>
    <w:tbl>
      <w:tblPr>
        <w:tblStyle w:val="TableGrid"/>
        <w:tblpPr w:leftFromText="180" w:rightFromText="180" w:vertAnchor="text" w:horzAnchor="page" w:tblpX="7001" w:tblpY="995"/>
        <w:tblW w:w="0" w:type="auto"/>
        <w:tblLook w:val="04A0" w:firstRow="1" w:lastRow="0" w:firstColumn="1" w:lastColumn="0" w:noHBand="0" w:noVBand="1"/>
      </w:tblPr>
      <w:tblGrid>
        <w:gridCol w:w="4106"/>
      </w:tblGrid>
      <w:tr w:rsidR="00A23FDC" w14:paraId="09CF44A6" w14:textId="77777777" w:rsidTr="00A23FDC">
        <w:tc>
          <w:tcPr>
            <w:tcW w:w="4106" w:type="dxa"/>
          </w:tcPr>
          <w:p w14:paraId="7DDFB27C" w14:textId="77777777" w:rsidR="00A23FDC" w:rsidRDefault="00A23FDC" w:rsidP="00A23FDC">
            <w:pPr>
              <w:spacing w:line="240" w:lineRule="auto"/>
              <w:jc w:val="center"/>
            </w:pPr>
            <w:r w:rsidRPr="00A23FDC">
              <w:t>FUTURE-FACING GROWTH</w:t>
            </w:r>
          </w:p>
        </w:tc>
      </w:tr>
      <w:tr w:rsidR="00A23FDC" w14:paraId="7FD01E1E" w14:textId="77777777" w:rsidTr="00A23FDC">
        <w:tc>
          <w:tcPr>
            <w:tcW w:w="4106" w:type="dxa"/>
          </w:tcPr>
          <w:p w14:paraId="053489AC" w14:textId="77777777" w:rsidR="00A23FDC" w:rsidRDefault="00A23FDC" w:rsidP="00A23FDC">
            <w:pPr>
              <w:pStyle w:val="ListParagraph"/>
              <w:numPr>
                <w:ilvl w:val="0"/>
                <w:numId w:val="4"/>
              </w:numPr>
              <w:spacing w:line="240" w:lineRule="auto"/>
            </w:pPr>
            <w:r w:rsidRPr="00A23FDC">
              <w:t>Copper (~2 Mt/year)</w:t>
            </w:r>
          </w:p>
          <w:p w14:paraId="05EC7FC2" w14:textId="77777777" w:rsidR="00A23FDC" w:rsidRDefault="00A23FDC" w:rsidP="00A23FDC">
            <w:pPr>
              <w:pStyle w:val="ListParagraph"/>
              <w:numPr>
                <w:ilvl w:val="0"/>
                <w:numId w:val="4"/>
              </w:numPr>
              <w:spacing w:line="240" w:lineRule="auto"/>
            </w:pPr>
            <w:r w:rsidRPr="00A23FDC">
              <w:t>Jansen Potash Project</w:t>
            </w:r>
          </w:p>
          <w:p w14:paraId="6F8942AF" w14:textId="7ADF60C5" w:rsidR="00A23FDC" w:rsidRDefault="00A23FDC" w:rsidP="00A23FDC">
            <w:pPr>
              <w:pStyle w:val="ListParagraph"/>
              <w:numPr>
                <w:ilvl w:val="0"/>
                <w:numId w:val="4"/>
              </w:numPr>
              <w:spacing w:line="240" w:lineRule="auto"/>
            </w:pPr>
            <w:r w:rsidRPr="00A23FDC">
              <w:t>Energy Transition Focus</w:t>
            </w:r>
          </w:p>
        </w:tc>
      </w:tr>
    </w:tbl>
    <w:p w14:paraId="1D6F765B" w14:textId="62070425" w:rsidR="00DF6DFD" w:rsidRPr="00DF6DFD" w:rsidRDefault="00A23FDC" w:rsidP="00C85C3F">
      <w:pPr>
        <w:spacing w:line="240" w:lineRule="auto"/>
        <w:rPr>
          <w:rFonts w:cs="Arial"/>
          <w:b/>
          <w:bCs/>
          <w:i/>
          <w:iCs/>
          <w:color w:val="153D63" w:themeColor="text2" w:themeTint="E6"/>
          <w:sz w:val="44"/>
          <w:szCs w:val="44"/>
          <w:u w:val="single"/>
        </w:rPr>
      </w:pPr>
      <w:r>
        <w:rPr>
          <w:rFonts w:cs="Arial"/>
          <w:b/>
          <w:bCs/>
          <w:i/>
          <w:iCs/>
          <w:noProof/>
          <w:color w:val="0E2841" w:themeColor="text2"/>
          <w:sz w:val="44"/>
          <w:szCs w:val="44"/>
          <w:u w:val="single"/>
          <w14:ligatures w14:val="standardContextual"/>
        </w:rPr>
        <mc:AlternateContent>
          <mc:Choice Requires="wps">
            <w:drawing>
              <wp:anchor distT="0" distB="0" distL="114300" distR="114300" simplePos="0" relativeHeight="251661312" behindDoc="0" locked="0" layoutInCell="1" allowOverlap="1" wp14:anchorId="74906103" wp14:editId="41D7BEBD">
                <wp:simplePos x="0" y="0"/>
                <wp:positionH relativeFrom="column">
                  <wp:posOffset>327025</wp:posOffset>
                </wp:positionH>
                <wp:positionV relativeFrom="paragraph">
                  <wp:posOffset>315595</wp:posOffset>
                </wp:positionV>
                <wp:extent cx="0" cy="334010"/>
                <wp:effectExtent l="0" t="0" r="38100" b="27940"/>
                <wp:wrapNone/>
                <wp:docPr id="881219030" name="Straight Connector 4"/>
                <wp:cNvGraphicFramePr/>
                <a:graphic xmlns:a="http://schemas.openxmlformats.org/drawingml/2006/main">
                  <a:graphicData uri="http://schemas.microsoft.com/office/word/2010/wordprocessingShape">
                    <wps:wsp>
                      <wps:cNvCnPr/>
                      <wps:spPr>
                        <a:xfrm>
                          <a:off x="0" y="0"/>
                          <a:ext cx="0" cy="3340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FC5BCC"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5.75pt,24.85pt" to="25.75pt,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1x+lwEAAJMDAAAOAAAAZHJzL2Uyb0RvYy54bWysU02P1DAMvSPxH6LcmXZ2EULVdPawK7gg&#10;WPHxA7KpM42UxJETpp1/j5POdBCLhEBc3MTxs/2e3d3d7J04AiWLoZfbTSsFBI2DDYdefvv67tVb&#10;KVJWYVAOA/TyBEne7V++2E2xgxsc0Q1AgpOE1E2xl2POsWuapEfwKm0wQuBHg+RV5isdmoHUxNm9&#10;a27a9k0zIQ2RUENK7H1YHuW+5jcGdP5kTIIsXC+5t1wtVftUbLPfqe5AKo5Wn9tQ/9CFVzZw0TXV&#10;g8pKfCf7LJW3mjChyRuNvkFjrIbKgdls21/YfBlVhMqFxUlxlSn9v7T64/E+PBLLMMXUpfhIhcVs&#10;yJcv9yfmKtZpFQvmLPTi1Oy9vX3NjRcdmysuUsrvAb0oh146GwoN1anjh5SX0EsI466V6ymfHJRg&#10;Fz6DEXbgWtuKrksB947EUfE4ldYQ8vZcukYXmLHOrcD2z8BzfIFCXZi/Aa+IWhlDXsHeBqTfVc/z&#10;pWWzxF8UWHgXCZ5wONWZVGl48lXc85aW1fr5XuHXf2n/AwAA//8DAFBLAwQUAAYACAAAACEAGNfb&#10;G98AAAAIAQAADwAAAGRycy9kb3ducmV2LnhtbEyPQUvDQBCF74L/YRnBm900Wqsxm1IKYi1IsRXq&#10;cZsdk2h2Nuxum/TfO3rR4+N9vPkmnw22FUf0oXGkYDxKQCCVzjRUKXjbPl7dgQhRk9GtI1RwwgCz&#10;4vws15lxPb3icRMrwSMUMq2gjrHLpAxljVaHkeuQuPtw3urI0VfSeN3zuG1lmiS30uqG+EKtO1zU&#10;WH5tDlbBi18uF/PV6ZPW77bfpavd+nl4UuryYpg/gIg4xD8YfvRZHQp22rsDmSBaBZPxhEkFN/dT&#10;ENz/5j1zSXoNssjl/weKbwAAAP//AwBQSwECLQAUAAYACAAAACEAtoM4kv4AAADhAQAAEwAAAAAA&#10;AAAAAAAAAAAAAAAAW0NvbnRlbnRfVHlwZXNdLnhtbFBLAQItABQABgAIAAAAIQA4/SH/1gAAAJQB&#10;AAALAAAAAAAAAAAAAAAAAC8BAABfcmVscy8ucmVsc1BLAQItABQABgAIAAAAIQD0f1x+lwEAAJMD&#10;AAAOAAAAAAAAAAAAAAAAAC4CAABkcnMvZTJvRG9jLnhtbFBLAQItABQABgAIAAAAIQAY19sb3wAA&#10;AAgBAAAPAAAAAAAAAAAAAAAAAPEDAABkcnMvZG93bnJldi54bWxQSwUGAAAAAAQABADzAAAA/QQA&#10;AAAA&#10;" strokecolor="#156082 [3204]" strokeweight=".5pt">
                <v:stroke joinstyle="miter"/>
              </v:line>
            </w:pict>
          </mc:Fallback>
        </mc:AlternateContent>
      </w:r>
      <w:r>
        <w:rPr>
          <w:rFonts w:cs="Arial"/>
          <w:b/>
          <w:bCs/>
          <w:i/>
          <w:iCs/>
          <w:noProof/>
          <w:color w:val="0E2841" w:themeColor="text2"/>
          <w:sz w:val="44"/>
          <w:szCs w:val="44"/>
          <w:u w:val="single"/>
          <w14:ligatures w14:val="standardContextual"/>
        </w:rPr>
        <mc:AlternateContent>
          <mc:Choice Requires="wps">
            <w:drawing>
              <wp:anchor distT="0" distB="0" distL="114300" distR="114300" simplePos="0" relativeHeight="251663360" behindDoc="0" locked="0" layoutInCell="1" allowOverlap="1" wp14:anchorId="2E071958" wp14:editId="3D66E33E">
                <wp:simplePos x="0" y="0"/>
                <wp:positionH relativeFrom="column">
                  <wp:posOffset>4815679</wp:posOffset>
                </wp:positionH>
                <wp:positionV relativeFrom="paragraph">
                  <wp:posOffset>294640</wp:posOffset>
                </wp:positionV>
                <wp:extent cx="0" cy="334209"/>
                <wp:effectExtent l="0" t="0" r="38100" b="27940"/>
                <wp:wrapNone/>
                <wp:docPr id="1921123304" name="Straight Connector 4"/>
                <wp:cNvGraphicFramePr/>
                <a:graphic xmlns:a="http://schemas.openxmlformats.org/drawingml/2006/main">
                  <a:graphicData uri="http://schemas.microsoft.com/office/word/2010/wordprocessingShape">
                    <wps:wsp>
                      <wps:cNvCnPr/>
                      <wps:spPr>
                        <a:xfrm>
                          <a:off x="0" y="0"/>
                          <a:ext cx="0" cy="3342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4D51A0"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79.2pt,23.2pt" to="379.2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Xv6mQEAAJMDAAAOAAAAZHJzL2Uyb0RvYy54bWysU8Fu2zAMvRfYPwi6L3bSoViNOD206C5D&#10;W6ztB6gyFQuQRIFSY+fvK8mJM7QDhg290BLFR/I90uur0Rq2AwoaXcuXi5ozcBI77bYtf366/fqd&#10;sxCF64RBBy3fQ+BXmy9n68E3sMIeTQfEUhIXmsG3vI/RN1UVZA9WhAV6cOlRIVkR05W2VUdiSNmt&#10;qVZ1fVENSJ0nlBBC8t5Mj3xT8isFMt4rFSAy0/LUWyyWin3JttqsRbMl4XstD22I/+jCCu1S0TnV&#10;jYiCvZL+kMpqSRhQxYVEW6FSWkLhkNgs63dsHnvhoXBJ4gQ/yxQ+L6282127B0oyDD40wT9QZjEq&#10;svmb+mNjEWs/iwVjZHJyyuQ9P/+2qi+zjtUJ5ynEH4CW5UPLjXaZhmjE7meIU+gxJOFOlcsp7g3k&#10;YON+gWK6S7WWBV2WAq4NsZ1I4xRSgovLQ+kSnWFKGzMD678DD/EZCmVh/gU8I0pldHEGW+2Q/lQ9&#10;jseW1RR/VGDinSV4wW5fZlKkSZMv4h62NK/W7/cCP/1LmzcAAAD//wMAUEsDBBQABgAIAAAAIQBD&#10;YXrL4AAAAAkBAAAPAAAAZHJzL2Rvd25yZXYueG1sTI/BTsJAEIbvJr7DZky8yVaCCLVbQkiMSEII&#10;YILHpTu21e5ss7vQ8vaO8aCnycx8+eebbNbbRpzRh9qRgvtBAgKpcKamUsHb/vluAiJETUY3jlDB&#10;BQPM8uurTKfGdbTF8y6WgkMopFpBFWObShmKCq0OA9ci8e7Deasjt76UxuuOw20jh0kyllbXxBcq&#10;3eKiwuJrd7IK1n65XMxXl0/avNvuMFwdNq/9i1K3N/38CUTEPv7B8KPP6pCz09GdyATRKHh8mIwY&#10;VTAac2Xgd3BUMJ0mIPNM/v8g/wYAAP//AwBQSwECLQAUAAYACAAAACEAtoM4kv4AAADhAQAAEwAA&#10;AAAAAAAAAAAAAAAAAAAAW0NvbnRlbnRfVHlwZXNdLnhtbFBLAQItABQABgAIAAAAIQA4/SH/1gAA&#10;AJQBAAALAAAAAAAAAAAAAAAAAC8BAABfcmVscy8ucmVsc1BLAQItABQABgAIAAAAIQBUgXv6mQEA&#10;AJMDAAAOAAAAAAAAAAAAAAAAAC4CAABkcnMvZTJvRG9jLnhtbFBLAQItABQABgAIAAAAIQBDYXrL&#10;4AAAAAkBAAAPAAAAAAAAAAAAAAAAAPMDAABkcnMvZG93bnJldi54bWxQSwUGAAAAAAQABADzAAAA&#10;AAUAAAAA&#10;" strokecolor="#156082 [3204]" strokeweight=".5pt">
                <v:stroke joinstyle="miter"/>
              </v:line>
            </w:pict>
          </mc:Fallback>
        </mc:AlternateContent>
      </w:r>
      <w:r w:rsidR="00266955">
        <w:rPr>
          <w:rFonts w:cs="Arial"/>
          <w:b/>
          <w:bCs/>
          <w:i/>
          <w:iCs/>
          <w:noProof/>
          <w:color w:val="0E2841" w:themeColor="text2"/>
          <w:sz w:val="44"/>
          <w:szCs w:val="44"/>
          <w:u w:val="single"/>
          <w14:ligatures w14:val="standardContextual"/>
        </w:rPr>
        <mc:AlternateContent>
          <mc:Choice Requires="wps">
            <w:drawing>
              <wp:anchor distT="0" distB="0" distL="114300" distR="114300" simplePos="0" relativeHeight="251660288" behindDoc="0" locked="0" layoutInCell="1" allowOverlap="1" wp14:anchorId="2B160211" wp14:editId="1540E5B8">
                <wp:simplePos x="0" y="0"/>
                <wp:positionH relativeFrom="column">
                  <wp:posOffset>317661</wp:posOffset>
                </wp:positionH>
                <wp:positionV relativeFrom="paragraph">
                  <wp:posOffset>307975</wp:posOffset>
                </wp:positionV>
                <wp:extent cx="4517409" cy="7289"/>
                <wp:effectExtent l="0" t="0" r="35560" b="31115"/>
                <wp:wrapNone/>
                <wp:docPr id="244469810" name="Straight Connector 3"/>
                <wp:cNvGraphicFramePr/>
                <a:graphic xmlns:a="http://schemas.openxmlformats.org/drawingml/2006/main">
                  <a:graphicData uri="http://schemas.microsoft.com/office/word/2010/wordprocessingShape">
                    <wps:wsp>
                      <wps:cNvCnPr/>
                      <wps:spPr>
                        <a:xfrm flipV="1">
                          <a:off x="0" y="0"/>
                          <a:ext cx="4517409" cy="72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9FB3D0"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5pt,24.25pt" to="380.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eyqAEAAKEDAAAOAAAAZHJzL2Uyb0RvYy54bWysU01v3CAQvVfqf0Dcs/au8mmtN4dE7aVq&#10;ozbNneBhjQQMArr2/vsMeNepmipSolwQhnlv3nuM19ejNWwHIWp0LV8uas7ASey027b89/2Xk0vO&#10;YhKuEwYdtHwPkV9vPn9aD76BFfZoOgiMSFxsBt/yPiXfVFWUPVgRF+jB0aXCYEWiz7CtuiAGYrem&#10;WtX1eTVg6HxACTHS6e10yTeFXymQ6YdSERIzLSdtqayhrI95rTZr0WyD8L2WBxniHSqs0I6azlS3&#10;Ign2J+gXVFbLgBFVWki0FSqlJRQP5GZZ/+PmVy88FC8UTvRzTPHjaOX33Y27CxTD4GMT/V3ILkYV&#10;LFNG+wd60+KLlLKxxLafY4MxMUmHp2fLi9P6ijNJdxery6ucajWxZDYfYvoKaFnetNxol02JRuy+&#10;xTSVHksI96yj7NLeQC427icopjvqNykqIwI3JrCdoMcVUoJLy0PrUp1hShszA+vS9lXgoT5DoYzP&#10;W8AzonRGl2aw1Q7D/7qn8ShZTfXHBCbfOYJH7PblhUo0NAcl3MPM5kH7+7vAn/+szRMAAAD//wMA&#10;UEsDBBQABgAIAAAAIQDC5SKX3wAAAAgBAAAPAAAAZHJzL2Rvd25yZXYueG1sTI/BTsMwEETvSPyD&#10;tUhcEHVataGEOBVCwKGcWkCC2yZekqjxOordNPw9ywmOs7OaeZNvJtepkYbQejYwnyWgiCtvW64N&#10;vL0+Xa9BhYhssfNMBr4pwKY4P8sxs/7EOxr3sVYSwiFDA02MfaZ1qBpyGGa+Jxbvyw8Oo8ih1nbA&#10;k4S7Ti+SJNUOW5aGBnt6aKg67I/OwGfw4fF9W47Ph912wquXuPiorDGXF9P9HahIU/x7hl98QYdC&#10;mEp/ZBtUZ2CVyJRoYLlegRL/Jp0vQZVyuE1BF7n+P6D4AQAA//8DAFBLAQItABQABgAIAAAAIQC2&#10;gziS/gAAAOEBAAATAAAAAAAAAAAAAAAAAAAAAABbQ29udGVudF9UeXBlc10ueG1sUEsBAi0AFAAG&#10;AAgAAAAhADj9If/WAAAAlAEAAAsAAAAAAAAAAAAAAAAALwEAAF9yZWxzLy5yZWxzUEsBAi0AFAAG&#10;AAgAAAAhAM75Z7KoAQAAoQMAAA4AAAAAAAAAAAAAAAAALgIAAGRycy9lMm9Eb2MueG1sUEsBAi0A&#10;FAAGAAgAAAAhAMLlIpffAAAACAEAAA8AAAAAAAAAAAAAAAAAAgQAAGRycy9kb3ducmV2LnhtbFBL&#10;BQYAAAAABAAEAPMAAAAOBQAAAAA=&#10;" strokecolor="#156082 [3204]" strokeweight=".5pt">
                <v:stroke joinstyle="miter"/>
              </v:line>
            </w:pict>
          </mc:Fallback>
        </mc:AlternateContent>
      </w:r>
    </w:p>
    <w:tbl>
      <w:tblPr>
        <w:tblStyle w:val="TableGrid"/>
        <w:tblpPr w:leftFromText="180" w:rightFromText="180" w:vertAnchor="text" w:horzAnchor="page" w:tblpX="860" w:tblpY="442"/>
        <w:tblW w:w="0" w:type="auto"/>
        <w:tblLook w:val="04A0" w:firstRow="1" w:lastRow="0" w:firstColumn="1" w:lastColumn="0" w:noHBand="0" w:noVBand="1"/>
      </w:tblPr>
      <w:tblGrid>
        <w:gridCol w:w="4248"/>
      </w:tblGrid>
      <w:tr w:rsidR="00A23FDC" w14:paraId="4776235A" w14:textId="77777777" w:rsidTr="00A23FDC">
        <w:tc>
          <w:tcPr>
            <w:tcW w:w="4248" w:type="dxa"/>
          </w:tcPr>
          <w:p w14:paraId="1250F93C" w14:textId="68843651" w:rsidR="00A23FDC" w:rsidRDefault="00A23FDC" w:rsidP="00A23FDC">
            <w:pPr>
              <w:spacing w:line="240" w:lineRule="auto"/>
              <w:jc w:val="center"/>
            </w:pPr>
            <w:r w:rsidRPr="00A23FDC">
              <w:t>CASH GENERATION PILLAR</w:t>
            </w:r>
          </w:p>
        </w:tc>
      </w:tr>
      <w:tr w:rsidR="00A23FDC" w14:paraId="4B5A2619" w14:textId="77777777" w:rsidTr="00A23FDC">
        <w:tc>
          <w:tcPr>
            <w:tcW w:w="4248" w:type="dxa"/>
          </w:tcPr>
          <w:p w14:paraId="0BB95E12" w14:textId="77777777" w:rsidR="00A23FDC" w:rsidRDefault="00A23FDC" w:rsidP="00A23FDC">
            <w:pPr>
              <w:pStyle w:val="ListParagraph"/>
              <w:numPr>
                <w:ilvl w:val="0"/>
                <w:numId w:val="3"/>
              </w:numPr>
              <w:spacing w:line="240" w:lineRule="auto"/>
            </w:pPr>
            <w:r w:rsidRPr="00A23FDC">
              <w:t>WAIO Iron Ore</w:t>
            </w:r>
          </w:p>
          <w:p w14:paraId="426DA7F9" w14:textId="77777777" w:rsidR="00A23FDC" w:rsidRDefault="00A23FDC" w:rsidP="00A23FDC">
            <w:pPr>
              <w:pStyle w:val="ListParagraph"/>
              <w:numPr>
                <w:ilvl w:val="0"/>
                <w:numId w:val="3"/>
              </w:numPr>
              <w:spacing w:line="240" w:lineRule="auto"/>
            </w:pPr>
            <w:r w:rsidRPr="00A23FDC">
              <w:t>Premium Steelmaking Coal</w:t>
            </w:r>
          </w:p>
          <w:p w14:paraId="1A370226" w14:textId="210CEF3C" w:rsidR="00A23FDC" w:rsidRDefault="00A23FDC" w:rsidP="00A23FDC">
            <w:pPr>
              <w:pStyle w:val="ListParagraph"/>
              <w:numPr>
                <w:ilvl w:val="0"/>
                <w:numId w:val="3"/>
              </w:numPr>
              <w:spacing w:line="240" w:lineRule="auto"/>
            </w:pPr>
            <w:r w:rsidRPr="00A23FDC">
              <w:t xml:space="preserve">Industry </w:t>
            </w:r>
            <w:proofErr w:type="gramStart"/>
            <w:r w:rsidRPr="00A23FDC">
              <w:t>Low Cost</w:t>
            </w:r>
            <w:proofErr w:type="gramEnd"/>
            <w:r w:rsidRPr="00A23FDC">
              <w:t xml:space="preserve"> Curve</w:t>
            </w:r>
          </w:p>
        </w:tc>
      </w:tr>
    </w:tbl>
    <w:p w14:paraId="10E13E99" w14:textId="77777777" w:rsidR="009B0FB9" w:rsidRDefault="009B0FB9" w:rsidP="007F7FCE">
      <w:pPr>
        <w:spacing w:after="160" w:line="240" w:lineRule="auto"/>
      </w:pPr>
    </w:p>
    <w:p w14:paraId="1265EF82" w14:textId="77777777" w:rsidR="009B0FB9" w:rsidRDefault="009B0FB9" w:rsidP="007F7FCE">
      <w:pPr>
        <w:spacing w:after="160" w:line="240" w:lineRule="auto"/>
      </w:pPr>
    </w:p>
    <w:p w14:paraId="40BDCCD9" w14:textId="77777777" w:rsidR="009B0FB9" w:rsidRDefault="009B0FB9" w:rsidP="007F7FCE">
      <w:pPr>
        <w:spacing w:after="160" w:line="240" w:lineRule="auto"/>
      </w:pPr>
    </w:p>
    <w:p w14:paraId="5F032C7C" w14:textId="77777777" w:rsidR="009B0FB9" w:rsidRDefault="009B0FB9" w:rsidP="007F7FCE">
      <w:pPr>
        <w:spacing w:after="160" w:line="240" w:lineRule="auto"/>
      </w:pPr>
    </w:p>
    <w:p w14:paraId="774328E5" w14:textId="77777777" w:rsidR="009B0FB9" w:rsidRDefault="009B0FB9" w:rsidP="007F7FCE">
      <w:pPr>
        <w:spacing w:after="160" w:line="240" w:lineRule="auto"/>
      </w:pPr>
    </w:p>
    <w:p w14:paraId="3DFC6BB7" w14:textId="29994044" w:rsidR="00A23FDC" w:rsidRDefault="00A23FDC" w:rsidP="007F7FCE">
      <w:pPr>
        <w:spacing w:after="160" w:line="240" w:lineRule="auto"/>
      </w:pPr>
      <w:r w:rsidRPr="00A23FDC">
        <w:lastRenderedPageBreak/>
        <w:t xml:space="preserve">Capital investment in transition metals is funded by the cash generated by Pilbara iron ore and steelmaking coal to the growth platform. </w:t>
      </w:r>
    </w:p>
    <w:p w14:paraId="5024F740" w14:textId="2E869EB3" w:rsidR="00A23FDC" w:rsidRDefault="00A23FDC" w:rsidP="00C85C3F">
      <w:pPr>
        <w:spacing w:line="240" w:lineRule="auto"/>
      </w:pPr>
      <w:r w:rsidRPr="00F00C06">
        <w:rPr>
          <w:b/>
          <w:bCs/>
        </w:rPr>
        <w:t>Copper Scaling:</w:t>
      </w:r>
      <w:r w:rsidRPr="00A23FDC">
        <w:t xml:space="preserve"> Should </w:t>
      </w:r>
      <w:proofErr w:type="gramStart"/>
      <w:r w:rsidRPr="00A23FDC">
        <w:t>annual</w:t>
      </w:r>
      <w:proofErr w:type="gramEnd"/>
      <w:r w:rsidRPr="00A23FDC">
        <w:t xml:space="preserve"> copper production around ~2 million </w:t>
      </w:r>
      <w:proofErr w:type="spellStart"/>
      <w:r w:rsidRPr="00A23FDC">
        <w:t>tonnes</w:t>
      </w:r>
      <w:proofErr w:type="spellEnd"/>
      <w:r w:rsidRPr="00A23FDC">
        <w:t xml:space="preserve"> (through Escondida, Spence and Copper South Australia) be sustained, BHP will continue to provide a vital supply both for the electrification of the world as well as data </w:t>
      </w:r>
      <w:proofErr w:type="spellStart"/>
      <w:r w:rsidRPr="00A23FDC">
        <w:t>centre</w:t>
      </w:r>
      <w:proofErr w:type="spellEnd"/>
      <w:r w:rsidRPr="00A23FDC">
        <w:t xml:space="preserve"> expansion. </w:t>
      </w:r>
    </w:p>
    <w:p w14:paraId="26BD523C" w14:textId="17BD319C" w:rsidR="00DF6DFD" w:rsidRDefault="00A23FDC" w:rsidP="00C85C3F">
      <w:pPr>
        <w:spacing w:line="240" w:lineRule="auto"/>
      </w:pPr>
      <w:r w:rsidRPr="00F00C06">
        <w:rPr>
          <w:b/>
          <w:bCs/>
        </w:rPr>
        <w:t>Diversification:</w:t>
      </w:r>
      <w:r w:rsidRPr="00A23FDC">
        <w:t xml:space="preserve"> Developing the Jansen Potash Project is a new significant non-mining commodity vector aimed at global food security and sustainable agriculture.</w:t>
      </w:r>
    </w:p>
    <w:p w14:paraId="79063B50" w14:textId="77777777" w:rsidR="003D2F61" w:rsidRDefault="003D2F61" w:rsidP="00C85C3F">
      <w:pPr>
        <w:spacing w:line="240" w:lineRule="auto"/>
      </w:pPr>
    </w:p>
    <w:p w14:paraId="4CA244A8" w14:textId="77777777" w:rsidR="003D2F61" w:rsidRDefault="003D2F61" w:rsidP="00C85C3F">
      <w:pPr>
        <w:spacing w:line="240" w:lineRule="auto"/>
      </w:pPr>
    </w:p>
    <w:p w14:paraId="5260B8F5" w14:textId="77777777" w:rsidR="003D2F61" w:rsidRDefault="003D2F61" w:rsidP="00C85C3F">
      <w:pPr>
        <w:spacing w:line="240" w:lineRule="auto"/>
      </w:pPr>
    </w:p>
    <w:p w14:paraId="3500BC05" w14:textId="77777777" w:rsidR="003D2F61" w:rsidRDefault="003D2F61" w:rsidP="00C85C3F">
      <w:pPr>
        <w:spacing w:line="240" w:lineRule="auto"/>
      </w:pPr>
    </w:p>
    <w:p w14:paraId="6162A1BC" w14:textId="77777777" w:rsidR="003D2F61" w:rsidRDefault="003D2F61" w:rsidP="00C85C3F">
      <w:pPr>
        <w:spacing w:line="240" w:lineRule="auto"/>
      </w:pPr>
    </w:p>
    <w:p w14:paraId="78698D85" w14:textId="77777777" w:rsidR="003D2F61" w:rsidRDefault="003D2F61" w:rsidP="00C85C3F">
      <w:pPr>
        <w:spacing w:line="240" w:lineRule="auto"/>
      </w:pPr>
    </w:p>
    <w:p w14:paraId="650D4A96" w14:textId="77777777" w:rsidR="00A01F55" w:rsidRDefault="00A01F55" w:rsidP="00C85C3F">
      <w:pPr>
        <w:spacing w:line="240" w:lineRule="auto"/>
      </w:pPr>
    </w:p>
    <w:p w14:paraId="36DEBE49" w14:textId="77777777" w:rsidR="001A5977" w:rsidRDefault="001A5977" w:rsidP="00A01F55">
      <w:pPr>
        <w:pStyle w:val="Heading2"/>
        <w:rPr>
          <w:lang w:val="en-IN"/>
        </w:rPr>
      </w:pPr>
      <w:bookmarkStart w:id="58" w:name="_Toc235580868"/>
    </w:p>
    <w:p w14:paraId="6AEAC194" w14:textId="77777777" w:rsidR="001A5977" w:rsidRPr="001A5977" w:rsidRDefault="001A5977" w:rsidP="001A5977">
      <w:pPr>
        <w:rPr>
          <w:lang w:val="en-IN"/>
        </w:rPr>
      </w:pPr>
    </w:p>
    <w:p w14:paraId="1ABFF3A4" w14:textId="77777777" w:rsidR="004E0C65" w:rsidRDefault="004E0C65" w:rsidP="00A01F55">
      <w:pPr>
        <w:pStyle w:val="Heading2"/>
        <w:rPr>
          <w:lang w:val="en-IN"/>
        </w:rPr>
      </w:pPr>
      <w:bookmarkStart w:id="59" w:name="_Toc235745294"/>
    </w:p>
    <w:p w14:paraId="03F5C420" w14:textId="77777777" w:rsidR="004E0C65" w:rsidRDefault="004E0C65" w:rsidP="00A01F55">
      <w:pPr>
        <w:pStyle w:val="Heading2"/>
        <w:rPr>
          <w:lang w:val="en-IN"/>
        </w:rPr>
      </w:pPr>
    </w:p>
    <w:p w14:paraId="51AECC9A" w14:textId="77777777" w:rsidR="004E0C65" w:rsidRDefault="004E0C65" w:rsidP="00A01F55">
      <w:pPr>
        <w:pStyle w:val="Heading2"/>
        <w:rPr>
          <w:lang w:val="en-IN"/>
        </w:rPr>
      </w:pPr>
    </w:p>
    <w:p w14:paraId="7D14968D" w14:textId="77777777" w:rsidR="004E0C65" w:rsidRDefault="004E0C65" w:rsidP="00A01F55">
      <w:pPr>
        <w:pStyle w:val="Heading2"/>
        <w:rPr>
          <w:lang w:val="en-IN"/>
        </w:rPr>
      </w:pPr>
    </w:p>
    <w:p w14:paraId="7B4DEA9D" w14:textId="77777777" w:rsidR="001F4CAB" w:rsidRDefault="001F4CAB" w:rsidP="00B85234">
      <w:pPr>
        <w:pStyle w:val="Heading1"/>
        <w:rPr>
          <w:lang w:val="en-IN"/>
        </w:rPr>
      </w:pPr>
      <w:bookmarkStart w:id="60" w:name="_Toc235746044"/>
    </w:p>
    <w:p w14:paraId="03289C68" w14:textId="77777777" w:rsidR="001F4CAB" w:rsidRPr="001F4CAB" w:rsidRDefault="001F4CAB" w:rsidP="001F4CAB">
      <w:pPr>
        <w:rPr>
          <w:lang w:val="en-IN"/>
        </w:rPr>
      </w:pPr>
    </w:p>
    <w:p w14:paraId="1612E30A" w14:textId="470DE66E" w:rsidR="00A01F55" w:rsidRDefault="00A01F55" w:rsidP="00B85234">
      <w:pPr>
        <w:pStyle w:val="Heading1"/>
        <w:rPr>
          <w:lang w:val="en-IN"/>
        </w:rPr>
      </w:pPr>
      <w:bookmarkStart w:id="61" w:name="_Toc235747294"/>
      <w:bookmarkStart w:id="62" w:name="_Toc235747342"/>
      <w:r>
        <w:rPr>
          <w:lang w:val="en-IN"/>
        </w:rPr>
        <w:lastRenderedPageBreak/>
        <w:t xml:space="preserve">3. </w:t>
      </w:r>
      <w:r w:rsidRPr="00A01F55">
        <w:rPr>
          <w:lang w:val="en-IN"/>
        </w:rPr>
        <w:t xml:space="preserve">Task 2: </w:t>
      </w:r>
      <w:r>
        <w:rPr>
          <w:lang w:val="en-IN"/>
        </w:rPr>
        <w:t xml:space="preserve"> </w:t>
      </w:r>
      <w:r w:rsidRPr="00A01F55">
        <w:rPr>
          <w:lang w:val="en-IN"/>
        </w:rPr>
        <w:t>Strategic Growth and Competitive Positioning</w:t>
      </w:r>
      <w:r>
        <w:rPr>
          <w:lang w:val="en-IN"/>
        </w:rPr>
        <w:t>.</w:t>
      </w:r>
      <w:bookmarkEnd w:id="58"/>
      <w:bookmarkEnd w:id="59"/>
      <w:bookmarkEnd w:id="60"/>
      <w:bookmarkEnd w:id="61"/>
      <w:bookmarkEnd w:id="62"/>
    </w:p>
    <w:p w14:paraId="16CF7A1F" w14:textId="6DE9392A" w:rsidR="00A01F55" w:rsidRDefault="00674346" w:rsidP="00B85234">
      <w:pPr>
        <w:pStyle w:val="Heading2"/>
      </w:pPr>
      <w:bookmarkStart w:id="63" w:name="_Toc235580869"/>
      <w:bookmarkStart w:id="64" w:name="_Toc235745295"/>
      <w:bookmarkStart w:id="65" w:name="_Toc235746045"/>
      <w:bookmarkStart w:id="66" w:name="_Toc235747295"/>
      <w:bookmarkStart w:id="67" w:name="_Toc235747343"/>
      <w:r>
        <w:t>3.1</w:t>
      </w:r>
      <w:r w:rsidR="00164EA7" w:rsidRPr="00164EA7">
        <w:t>. Executive Summary &amp; Ansoff Strategic Orientation</w:t>
      </w:r>
      <w:r>
        <w:t>.</w:t>
      </w:r>
      <w:bookmarkEnd w:id="63"/>
      <w:bookmarkEnd w:id="64"/>
      <w:bookmarkEnd w:id="65"/>
      <w:bookmarkEnd w:id="66"/>
      <w:bookmarkEnd w:id="67"/>
    </w:p>
    <w:p w14:paraId="15744818" w14:textId="2C42B2B6" w:rsidR="00CF760C" w:rsidRDefault="00542E7B" w:rsidP="00542E7B">
      <w:pPr>
        <w:spacing w:line="240" w:lineRule="auto"/>
      </w:pPr>
      <w:r w:rsidRPr="00542E7B">
        <w:t>An enterprise has to reconcile the core operational profit with a systemic decarbonization goal in making a transition towards a low carbon business model. The structural logic of the Ansoff Growth Matrix, an original corporate strategy matrix, classifies the growth vectors under categories namely; Market Penetration, Product Development, Market Development and Diversification, is the ‘fit for transformation' for BHP Group Limited</w:t>
      </w:r>
    </w:p>
    <w:p w14:paraId="3459B4F7" w14:textId="77777777" w:rsidR="00EC537B" w:rsidRDefault="00EC537B" w:rsidP="00542E7B">
      <w:pPr>
        <w:spacing w:line="240" w:lineRule="auto"/>
      </w:pPr>
    </w:p>
    <w:p w14:paraId="26B8BF8D" w14:textId="59ED55DC" w:rsidR="00225611" w:rsidRPr="00CF760C" w:rsidRDefault="00225611" w:rsidP="00225611">
      <w:pPr>
        <w:spacing w:line="240" w:lineRule="auto"/>
        <w:jc w:val="center"/>
        <w:rPr>
          <w:b/>
          <w:bCs/>
        </w:rPr>
      </w:pPr>
      <w:r w:rsidRPr="00CF760C">
        <w:rPr>
          <w:b/>
          <w:bCs/>
        </w:rPr>
        <w:t>ANSOFF MATRIX STRATEGIC ORIENTATIO</w:t>
      </w:r>
      <w:r w:rsidR="00EC537B">
        <w:rPr>
          <w:b/>
          <w:bCs/>
        </w:rPr>
        <w:t>.</w:t>
      </w:r>
      <w:r w:rsidRPr="00CF760C">
        <w:rPr>
          <w:b/>
          <w:bCs/>
        </w:rPr>
        <w:t>N</w:t>
      </w:r>
    </w:p>
    <w:p w14:paraId="5BF3F396" w14:textId="60E2D160" w:rsidR="00F06F4A" w:rsidRPr="00CF760C" w:rsidRDefault="00F06F4A" w:rsidP="00225611">
      <w:pPr>
        <w:spacing w:line="240" w:lineRule="auto"/>
        <w:jc w:val="center"/>
        <w:rPr>
          <w:b/>
          <w:bCs/>
        </w:rPr>
      </w:pPr>
      <w:r w:rsidRPr="00CF760C">
        <w:rPr>
          <w:b/>
          <w:bCs/>
        </w:rPr>
        <w:t>Product &amp; Services</w:t>
      </w:r>
    </w:p>
    <w:tbl>
      <w:tblPr>
        <w:tblStyle w:val="TableGrid"/>
        <w:tblW w:w="0" w:type="auto"/>
        <w:tblLook w:val="04A0" w:firstRow="1" w:lastRow="0" w:firstColumn="1" w:lastColumn="0" w:noHBand="0" w:noVBand="1"/>
      </w:tblPr>
      <w:tblGrid>
        <w:gridCol w:w="1150"/>
        <w:gridCol w:w="4099"/>
        <w:gridCol w:w="3767"/>
      </w:tblGrid>
      <w:tr w:rsidR="00651C6A" w14:paraId="5793D70B" w14:textId="77777777" w:rsidTr="00CF760C">
        <w:tc>
          <w:tcPr>
            <w:tcW w:w="1129" w:type="dxa"/>
          </w:tcPr>
          <w:p w14:paraId="029500CE" w14:textId="77777777" w:rsidR="00651C6A" w:rsidRDefault="00651C6A" w:rsidP="00225611">
            <w:pPr>
              <w:spacing w:line="240" w:lineRule="auto"/>
              <w:jc w:val="center"/>
            </w:pPr>
          </w:p>
        </w:tc>
        <w:tc>
          <w:tcPr>
            <w:tcW w:w="4111" w:type="dxa"/>
          </w:tcPr>
          <w:p w14:paraId="294C89D9" w14:textId="6179A6A9" w:rsidR="00651C6A" w:rsidRPr="00CF760C" w:rsidRDefault="00BB1B6A" w:rsidP="00225611">
            <w:pPr>
              <w:spacing w:line="240" w:lineRule="auto"/>
              <w:jc w:val="center"/>
              <w:rPr>
                <w:b/>
                <w:bCs/>
              </w:rPr>
            </w:pPr>
            <w:r w:rsidRPr="00CF760C">
              <w:rPr>
                <w:b/>
                <w:bCs/>
              </w:rPr>
              <w:t>Existing</w:t>
            </w:r>
          </w:p>
        </w:tc>
        <w:tc>
          <w:tcPr>
            <w:tcW w:w="3776" w:type="dxa"/>
          </w:tcPr>
          <w:p w14:paraId="78510759" w14:textId="3A5FE458" w:rsidR="00651C6A" w:rsidRPr="00CF760C" w:rsidRDefault="00BB1B6A" w:rsidP="00225611">
            <w:pPr>
              <w:spacing w:line="240" w:lineRule="auto"/>
              <w:jc w:val="center"/>
              <w:rPr>
                <w:b/>
                <w:bCs/>
              </w:rPr>
            </w:pPr>
            <w:r w:rsidRPr="00CF760C">
              <w:rPr>
                <w:b/>
                <w:bCs/>
              </w:rPr>
              <w:t>New</w:t>
            </w:r>
          </w:p>
        </w:tc>
      </w:tr>
      <w:tr w:rsidR="00651C6A" w14:paraId="50C41717" w14:textId="77777777" w:rsidTr="00CF760C">
        <w:tc>
          <w:tcPr>
            <w:tcW w:w="1129" w:type="dxa"/>
          </w:tcPr>
          <w:p w14:paraId="5DADA89F" w14:textId="07C88C70" w:rsidR="00651C6A" w:rsidRPr="00CF760C" w:rsidRDefault="00BB1B6A" w:rsidP="00225611">
            <w:pPr>
              <w:spacing w:line="240" w:lineRule="auto"/>
              <w:jc w:val="center"/>
              <w:rPr>
                <w:b/>
                <w:bCs/>
              </w:rPr>
            </w:pPr>
            <w:r w:rsidRPr="00CF760C">
              <w:rPr>
                <w:b/>
                <w:bCs/>
              </w:rPr>
              <w:t>Existing</w:t>
            </w:r>
          </w:p>
        </w:tc>
        <w:tc>
          <w:tcPr>
            <w:tcW w:w="4111" w:type="dxa"/>
          </w:tcPr>
          <w:p w14:paraId="102705D9" w14:textId="77777777" w:rsidR="00651C6A" w:rsidRDefault="005F1D69" w:rsidP="00225611">
            <w:pPr>
              <w:spacing w:line="240" w:lineRule="auto"/>
              <w:jc w:val="center"/>
            </w:pPr>
            <w:r w:rsidRPr="005F1D69">
              <w:t>MARKET PENETRATION</w:t>
            </w:r>
          </w:p>
          <w:p w14:paraId="5D4CBA23" w14:textId="77777777" w:rsidR="005F1D69" w:rsidRDefault="00314E3C" w:rsidP="00314E3C">
            <w:pPr>
              <w:pStyle w:val="ListParagraph"/>
              <w:numPr>
                <w:ilvl w:val="0"/>
                <w:numId w:val="5"/>
              </w:numPr>
              <w:spacing w:line="240" w:lineRule="auto"/>
            </w:pPr>
            <w:r w:rsidRPr="00314E3C">
              <w:t>De-carbonized</w:t>
            </w:r>
            <w:r>
              <w:t xml:space="preserve"> </w:t>
            </w:r>
            <w:r w:rsidR="00411288" w:rsidRPr="00411288">
              <w:t>WAIO Operations</w:t>
            </w:r>
          </w:p>
          <w:p w14:paraId="6A2ABD9E" w14:textId="60009F11" w:rsidR="00411288" w:rsidRDefault="00411288" w:rsidP="00314E3C">
            <w:pPr>
              <w:pStyle w:val="ListParagraph"/>
              <w:numPr>
                <w:ilvl w:val="0"/>
                <w:numId w:val="5"/>
              </w:numPr>
              <w:spacing w:line="240" w:lineRule="auto"/>
            </w:pPr>
            <w:r w:rsidRPr="00411288">
              <w:t>Copper Scaling</w:t>
            </w:r>
          </w:p>
        </w:tc>
        <w:tc>
          <w:tcPr>
            <w:tcW w:w="3776" w:type="dxa"/>
          </w:tcPr>
          <w:p w14:paraId="4BE68334" w14:textId="77777777" w:rsidR="00651C6A" w:rsidRDefault="00411288" w:rsidP="00225611">
            <w:pPr>
              <w:spacing w:line="240" w:lineRule="auto"/>
              <w:jc w:val="center"/>
            </w:pPr>
            <w:r w:rsidRPr="00411288">
              <w:t>PRODUCT DEVELOPMENT</w:t>
            </w:r>
          </w:p>
          <w:p w14:paraId="02F9A381" w14:textId="77777777" w:rsidR="00411288" w:rsidRDefault="0070255F" w:rsidP="0070255F">
            <w:pPr>
              <w:pStyle w:val="ListParagraph"/>
              <w:numPr>
                <w:ilvl w:val="0"/>
                <w:numId w:val="6"/>
              </w:numPr>
              <w:spacing w:line="240" w:lineRule="auto"/>
            </w:pPr>
            <w:r w:rsidRPr="0070255F">
              <w:t>High-Grade DRI</w:t>
            </w:r>
            <w:r>
              <w:t xml:space="preserve"> </w:t>
            </w:r>
            <w:r w:rsidRPr="0070255F">
              <w:t>Iron Ore Pellets</w:t>
            </w:r>
          </w:p>
          <w:p w14:paraId="04B938C9" w14:textId="0953F469" w:rsidR="0070255F" w:rsidRDefault="0070255F" w:rsidP="0070255F">
            <w:pPr>
              <w:pStyle w:val="ListParagraph"/>
              <w:numPr>
                <w:ilvl w:val="0"/>
                <w:numId w:val="6"/>
              </w:numPr>
              <w:spacing w:line="240" w:lineRule="auto"/>
            </w:pPr>
            <w:r w:rsidRPr="0070255F">
              <w:t>Purity Cathodes</w:t>
            </w:r>
          </w:p>
        </w:tc>
      </w:tr>
      <w:tr w:rsidR="00651C6A" w14:paraId="403A34D0" w14:textId="77777777" w:rsidTr="00CF760C">
        <w:tc>
          <w:tcPr>
            <w:tcW w:w="1129" w:type="dxa"/>
          </w:tcPr>
          <w:p w14:paraId="0DB69D4F" w14:textId="2353A58E" w:rsidR="00651C6A" w:rsidRPr="00CF760C" w:rsidRDefault="00BB1B6A" w:rsidP="00225611">
            <w:pPr>
              <w:spacing w:line="240" w:lineRule="auto"/>
              <w:jc w:val="center"/>
              <w:rPr>
                <w:b/>
                <w:bCs/>
              </w:rPr>
            </w:pPr>
            <w:r w:rsidRPr="00CF760C">
              <w:rPr>
                <w:b/>
                <w:bCs/>
              </w:rPr>
              <w:t>New</w:t>
            </w:r>
          </w:p>
        </w:tc>
        <w:tc>
          <w:tcPr>
            <w:tcW w:w="4111" w:type="dxa"/>
          </w:tcPr>
          <w:p w14:paraId="2C2E5A75" w14:textId="77777777" w:rsidR="00651C6A" w:rsidRDefault="0058730E" w:rsidP="00225611">
            <w:pPr>
              <w:spacing w:line="240" w:lineRule="auto"/>
              <w:jc w:val="center"/>
            </w:pPr>
            <w:r w:rsidRPr="0058730E">
              <w:t>MARKET DEVELOPMENT</w:t>
            </w:r>
          </w:p>
          <w:p w14:paraId="31BD8BE8" w14:textId="18376888" w:rsidR="0058730E" w:rsidRDefault="0058730E" w:rsidP="0058730E">
            <w:pPr>
              <w:pStyle w:val="ListParagraph"/>
              <w:numPr>
                <w:ilvl w:val="0"/>
                <w:numId w:val="7"/>
              </w:numPr>
              <w:spacing w:line="240" w:lineRule="auto"/>
            </w:pPr>
            <w:r w:rsidRPr="0058730E">
              <w:t>Green Steel</w:t>
            </w:r>
            <w:r>
              <w:t xml:space="preserve"> </w:t>
            </w:r>
            <w:r w:rsidRPr="0058730E">
              <w:t>Partnerships</w:t>
            </w:r>
            <w:r>
              <w:t xml:space="preserve"> </w:t>
            </w:r>
            <w:r w:rsidR="0091091A" w:rsidRPr="0091091A">
              <w:t>Expansion</w:t>
            </w:r>
          </w:p>
        </w:tc>
        <w:tc>
          <w:tcPr>
            <w:tcW w:w="3776" w:type="dxa"/>
          </w:tcPr>
          <w:p w14:paraId="5A9255A2" w14:textId="77777777" w:rsidR="00651C6A" w:rsidRDefault="0091091A" w:rsidP="00225611">
            <w:pPr>
              <w:spacing w:line="240" w:lineRule="auto"/>
              <w:jc w:val="center"/>
            </w:pPr>
            <w:r w:rsidRPr="0091091A">
              <w:t>DIVERSIFICATION</w:t>
            </w:r>
          </w:p>
          <w:p w14:paraId="4FAD2390" w14:textId="5A90BC92" w:rsidR="0091091A" w:rsidRDefault="0091091A" w:rsidP="0091091A">
            <w:pPr>
              <w:pStyle w:val="ListParagraph"/>
              <w:numPr>
                <w:ilvl w:val="0"/>
                <w:numId w:val="7"/>
              </w:numPr>
              <w:spacing w:line="240" w:lineRule="auto"/>
            </w:pPr>
            <w:r w:rsidRPr="0091091A">
              <w:t>Jansen Potash Crop Nutrient Platform</w:t>
            </w:r>
          </w:p>
        </w:tc>
      </w:tr>
    </w:tbl>
    <w:p w14:paraId="4ECB9CB5" w14:textId="77777777" w:rsidR="00225611" w:rsidRDefault="00225611" w:rsidP="00542E7B">
      <w:pPr>
        <w:spacing w:line="240" w:lineRule="auto"/>
      </w:pPr>
    </w:p>
    <w:p w14:paraId="4377A273" w14:textId="77777777" w:rsidR="00CF760C" w:rsidRPr="00674346" w:rsidRDefault="00CF760C" w:rsidP="00542E7B">
      <w:pPr>
        <w:spacing w:line="240" w:lineRule="auto"/>
      </w:pPr>
    </w:p>
    <w:p w14:paraId="18F920F7" w14:textId="7FFDA6B3" w:rsidR="00DF6DFD" w:rsidRDefault="00ED7B71" w:rsidP="00ED7B71">
      <w:pPr>
        <w:spacing w:after="160" w:line="240" w:lineRule="auto"/>
      </w:pPr>
      <w:r w:rsidRPr="00ED7B71">
        <w:t>BHP's future focus on "future facing commodities" (copper and potash) continues to keep its core asset leader position and systematically reduces its carbon intensity across the value chain both Scope 1 and 2 carbon emissions are included in the scope of carbon intensity reduction, and BHP estimates that its Scope 3 emissions have more than halved as of October.</w:t>
      </w:r>
    </w:p>
    <w:p w14:paraId="5CDA3872" w14:textId="3CDFE7F0" w:rsidR="00A01F55" w:rsidRDefault="00AA500B" w:rsidP="00B85234">
      <w:pPr>
        <w:pStyle w:val="Heading2"/>
      </w:pPr>
      <w:bookmarkStart w:id="68" w:name="_Toc235580870"/>
      <w:bookmarkStart w:id="69" w:name="_Toc235745296"/>
      <w:bookmarkStart w:id="70" w:name="_Toc235746046"/>
      <w:bookmarkStart w:id="71" w:name="_Toc235747296"/>
      <w:bookmarkStart w:id="72" w:name="_Toc235747344"/>
      <w:r>
        <w:t xml:space="preserve">3.2 </w:t>
      </w:r>
      <w:r w:rsidRPr="00AA500B">
        <w:t>Theoretical Application of the Ansoff Matrix</w:t>
      </w:r>
      <w:bookmarkEnd w:id="68"/>
      <w:bookmarkEnd w:id="69"/>
      <w:bookmarkEnd w:id="70"/>
      <w:bookmarkEnd w:id="71"/>
      <w:bookmarkEnd w:id="72"/>
    </w:p>
    <w:p w14:paraId="2D6A513B" w14:textId="31353F35" w:rsidR="00AA500B" w:rsidRPr="00B85234" w:rsidRDefault="00314BA1" w:rsidP="00B85234">
      <w:pPr>
        <w:pStyle w:val="Heading3"/>
      </w:pPr>
      <w:bookmarkStart w:id="73" w:name="_Toc235580871"/>
      <w:bookmarkStart w:id="74" w:name="_Toc235745297"/>
      <w:bookmarkStart w:id="75" w:name="_Toc235746047"/>
      <w:bookmarkStart w:id="76" w:name="_Toc235747297"/>
      <w:bookmarkStart w:id="77" w:name="_Toc235747345"/>
      <w:r w:rsidRPr="00B85234">
        <w:t>3.2.1 Market Penetration: De-Carbonizing the Core Cash Engine</w:t>
      </w:r>
      <w:bookmarkEnd w:id="73"/>
      <w:bookmarkEnd w:id="74"/>
      <w:bookmarkEnd w:id="75"/>
      <w:bookmarkEnd w:id="76"/>
      <w:bookmarkEnd w:id="77"/>
    </w:p>
    <w:p w14:paraId="5B7C91CC" w14:textId="77777777" w:rsidR="008076B5" w:rsidRDefault="008076B5" w:rsidP="00F00C06">
      <w:pPr>
        <w:spacing w:line="240" w:lineRule="auto"/>
      </w:pPr>
      <w:r w:rsidRPr="008076B5">
        <w:t>Market penetration strategy is geared toward growing market shares or obtaining operating volume of the existing products in the traditional markets.</w:t>
      </w:r>
    </w:p>
    <w:p w14:paraId="1FD07BC8" w14:textId="77777777" w:rsidR="006B007F" w:rsidRDefault="008076B5" w:rsidP="00F00C06">
      <w:pPr>
        <w:spacing w:line="240" w:lineRule="auto"/>
      </w:pPr>
      <w:r w:rsidRPr="008076B5">
        <w:t xml:space="preserve"> </w:t>
      </w:r>
      <w:r w:rsidRPr="006B007F">
        <w:rPr>
          <w:b/>
          <w:bCs/>
        </w:rPr>
        <w:t>Fundamentals of Operational Decarbonization Mechanics:</w:t>
      </w:r>
      <w:r w:rsidRPr="008076B5">
        <w:t xml:space="preserve"> BHP's ability to go and offer lower embedded carbon intensity in existing steel markets and copper smelting markets. The grid-based emissions are eliminated when buying major Chilean assets, like Escondida and Spence, in 100% renewable electricity purchase agreements (PPAs). Likewise with the deployment of Battery Electric Haulage (BEH) </w:t>
      </w:r>
      <w:r w:rsidRPr="008076B5">
        <w:lastRenderedPageBreak/>
        <w:t xml:space="preserve">services in system across Western Australia Iron Ore (WAIO) operations, diesel usage is replaced in a systematic manner. </w:t>
      </w:r>
    </w:p>
    <w:p w14:paraId="1E7D450E" w14:textId="419F857A" w:rsidR="00314BA1" w:rsidRDefault="008076B5" w:rsidP="00F00C06">
      <w:pPr>
        <w:spacing w:line="240" w:lineRule="auto"/>
      </w:pPr>
      <w:r w:rsidRPr="006B007F">
        <w:rPr>
          <w:b/>
          <w:bCs/>
        </w:rPr>
        <w:t>Regulatory &amp; Margin Defense (RM):</w:t>
      </w:r>
      <w:r w:rsidRPr="008076B5">
        <w:t xml:space="preserve"> For the purposes of reducing operational emissions, which helps preserve transmission volume against new impositions of barriers to trade, such as the Carbon Border Adjustment Mechanism (CBAM) of the European Union, which is scheduled to become effective shortly after Brexit </w:t>
      </w:r>
      <w:proofErr w:type="spellStart"/>
      <w:r w:rsidRPr="008076B5">
        <w:t>looses</w:t>
      </w:r>
      <w:proofErr w:type="spellEnd"/>
      <w:r w:rsidRPr="008076B5">
        <w:t xml:space="preserve"> binding force.</w:t>
      </w:r>
    </w:p>
    <w:p w14:paraId="528A9344" w14:textId="77EB98FC" w:rsidR="00F00C06" w:rsidRDefault="00F00C06" w:rsidP="00F00C06">
      <w:pPr>
        <w:pStyle w:val="Heading3"/>
      </w:pPr>
      <w:bookmarkStart w:id="78" w:name="_Toc235580872"/>
      <w:bookmarkStart w:id="79" w:name="_Toc235745298"/>
      <w:bookmarkStart w:id="80" w:name="_Toc235746048"/>
      <w:bookmarkStart w:id="81" w:name="_Toc235747298"/>
      <w:bookmarkStart w:id="82" w:name="_Toc235747346"/>
      <w:r>
        <w:t xml:space="preserve">3.2.2 </w:t>
      </w:r>
      <w:r w:rsidRPr="00F00C06">
        <w:t>Product Development: Low-Carbon Steel Feedstocks &amp; Copper Cathodes</w:t>
      </w:r>
      <w:bookmarkEnd w:id="78"/>
      <w:bookmarkEnd w:id="79"/>
      <w:bookmarkEnd w:id="80"/>
      <w:bookmarkEnd w:id="81"/>
      <w:bookmarkEnd w:id="82"/>
    </w:p>
    <w:p w14:paraId="1D8EC6BA" w14:textId="6FC33889" w:rsidR="00712F09" w:rsidRDefault="000E14A6" w:rsidP="003E550A">
      <w:pPr>
        <w:spacing w:line="240" w:lineRule="auto"/>
      </w:pPr>
      <w:r w:rsidRPr="000E14A6">
        <w:t xml:space="preserve">Product development strategy is about the development of new and improved commodities with added value for increasing technical and environmental requirements in an established market for buyers. More than 80% of BHP's indirect Scope 3 emissions come from feedstocks for the steelmaking process, called Direct Reduced Iron (DRI) Pellets. Metallurgical coal is simultaneously used as fuel and reducing agent during the conventional processing in blast furnace. BHP's product development invests in iron ore beneficiation to get high-grade, low-impurity pellets, specially designed to work within the Direct Reduced Iron (DRI) greenfield process with natural gas and green hydrogen, allowing steelmakers to cut carbon intensity by up to 30% in the steelmaking process. </w:t>
      </w:r>
    </w:p>
    <w:p w14:paraId="41DCAE0C" w14:textId="6C148919" w:rsidR="003E550A" w:rsidRDefault="003E550A" w:rsidP="00F637A9">
      <w:pPr>
        <w:pStyle w:val="Heading3"/>
      </w:pPr>
      <w:bookmarkStart w:id="83" w:name="_Toc235580874"/>
      <w:bookmarkStart w:id="84" w:name="_Toc235745299"/>
      <w:bookmarkStart w:id="85" w:name="_Toc235746049"/>
      <w:bookmarkStart w:id="86" w:name="_Toc235747299"/>
      <w:bookmarkStart w:id="87" w:name="_Toc235747347"/>
      <w:r>
        <w:t>3.2.</w:t>
      </w:r>
      <w:r w:rsidR="001A5977">
        <w:t>3</w:t>
      </w:r>
      <w:r>
        <w:t xml:space="preserve"> </w:t>
      </w:r>
      <w:r w:rsidR="00F637A9" w:rsidRPr="00F637A9">
        <w:t>Diversification: The Jansen Potash Strategic Vector</w:t>
      </w:r>
      <w:bookmarkEnd w:id="83"/>
      <w:bookmarkEnd w:id="84"/>
      <w:bookmarkEnd w:id="85"/>
      <w:bookmarkEnd w:id="86"/>
      <w:bookmarkEnd w:id="87"/>
    </w:p>
    <w:p w14:paraId="7B1412A2" w14:textId="77777777" w:rsidR="00963C8C" w:rsidRDefault="00F637A9" w:rsidP="00963C8C">
      <w:pPr>
        <w:spacing w:line="240" w:lineRule="auto"/>
      </w:pPr>
      <w:r w:rsidRPr="00F637A9">
        <w:t>Diversification is entering a totally new product space and also aiming at a new customer market – the highest risk / the highest return area of the Ansoff matrix. New asset class from BHP</w:t>
      </w:r>
      <w:r w:rsidR="00963C8C">
        <w:t xml:space="preserve">. </w:t>
      </w:r>
    </w:p>
    <w:p w14:paraId="6274D4BA" w14:textId="7CE26E32" w:rsidR="00963C8C" w:rsidRDefault="00F637A9" w:rsidP="00963C8C">
      <w:pPr>
        <w:spacing w:line="240" w:lineRule="auto"/>
      </w:pPr>
      <w:r w:rsidRPr="00963C8C">
        <w:rPr>
          <w:b/>
          <w:bCs/>
        </w:rPr>
        <w:t>Agricultural Crop Nutrient Platform:</w:t>
      </w:r>
      <w:r w:rsidRPr="00F637A9">
        <w:t xml:space="preserve"> BHP has designed the multi-stage Jansen Potash Project in Saskatchewan, Canada, in a manner completely removed from the traditional steel production and industrial metal cycles</w:t>
      </w:r>
      <w:r w:rsidR="00EC537B">
        <w:t>.</w:t>
      </w:r>
      <w:r w:rsidRPr="00F637A9">
        <w:t xml:space="preserve"> </w:t>
      </w:r>
    </w:p>
    <w:p w14:paraId="5AD458F7" w14:textId="4FC0BD2D" w:rsidR="00F4342D" w:rsidRDefault="00F637A9" w:rsidP="00963C8C">
      <w:pPr>
        <w:spacing w:line="240" w:lineRule="auto"/>
      </w:pPr>
      <w:r w:rsidRPr="00963C8C">
        <w:rPr>
          <w:b/>
          <w:bCs/>
        </w:rPr>
        <w:t>Capital &amp; Portfolio Resiliency:</w:t>
      </w:r>
      <w:r w:rsidRPr="00F637A9">
        <w:t xml:space="preserve"> Potash diversifies earnings stream. In the fully operational state, Jansen generates multi-decade cash flows with margins in excess of 65%, which will help protect the company's balance sheet when industrial metals experience a sales cycle bottom.</w:t>
      </w:r>
    </w:p>
    <w:p w14:paraId="208B560A" w14:textId="30D3DACA" w:rsidR="00F4342D" w:rsidRDefault="00F4342D" w:rsidP="00B85234">
      <w:pPr>
        <w:pStyle w:val="Heading2"/>
      </w:pPr>
      <w:bookmarkStart w:id="88" w:name="_Toc235580875"/>
      <w:bookmarkStart w:id="89" w:name="_Toc235745300"/>
      <w:bookmarkStart w:id="90" w:name="_Toc235746050"/>
      <w:bookmarkStart w:id="91" w:name="_Toc235747300"/>
      <w:bookmarkStart w:id="92" w:name="_Toc235747348"/>
      <w:r>
        <w:t xml:space="preserve">3.3 </w:t>
      </w:r>
      <w:r w:rsidRPr="00F4342D">
        <w:t>Strategic Friction &amp; Risk Mitigation</w:t>
      </w:r>
      <w:bookmarkEnd w:id="88"/>
      <w:bookmarkEnd w:id="89"/>
      <w:bookmarkEnd w:id="90"/>
      <w:bookmarkEnd w:id="91"/>
      <w:bookmarkEnd w:id="92"/>
    </w:p>
    <w:p w14:paraId="6B001211" w14:textId="29A34432" w:rsidR="00F4342D" w:rsidRDefault="009E0493" w:rsidP="004408D8">
      <w:pPr>
        <w:spacing w:line="240" w:lineRule="auto"/>
      </w:pPr>
      <w:r w:rsidRPr="009E0493">
        <w:t>There are structural trade-offs, friction over capital allocations and operational risks in transitioning a global resources business:</w:t>
      </w:r>
    </w:p>
    <w:p w14:paraId="30FD449E" w14:textId="77777777" w:rsidR="00D506B5" w:rsidRDefault="00D506B5" w:rsidP="004408D8">
      <w:pPr>
        <w:spacing w:line="240" w:lineRule="auto"/>
      </w:pPr>
    </w:p>
    <w:p w14:paraId="276CB670" w14:textId="5C6DFDD4" w:rsidR="009E0493" w:rsidRPr="00D506B5" w:rsidRDefault="004408D8" w:rsidP="004408D8">
      <w:pPr>
        <w:jc w:val="center"/>
        <w:rPr>
          <w:b/>
          <w:bCs/>
        </w:rPr>
      </w:pPr>
      <w:r w:rsidRPr="00D506B5">
        <w:rPr>
          <w:b/>
          <w:bCs/>
        </w:rPr>
        <w:t>STRATEGIC TENSIONS</w:t>
      </w:r>
    </w:p>
    <w:tbl>
      <w:tblPr>
        <w:tblpPr w:leftFromText="180" w:rightFromText="180" w:vertAnchor="text" w:tblpX="-149" w:tblpY="1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6"/>
      </w:tblGrid>
      <w:tr w:rsidR="001B1EF8" w14:paraId="2E62FC57" w14:textId="77777777" w:rsidTr="001B1EF8">
        <w:trPr>
          <w:trHeight w:val="526"/>
        </w:trPr>
        <w:tc>
          <w:tcPr>
            <w:tcW w:w="3706" w:type="dxa"/>
          </w:tcPr>
          <w:p w14:paraId="5FB7EF44" w14:textId="7849E437" w:rsidR="001B1EF8" w:rsidRDefault="001B1EF8" w:rsidP="001B1EF8">
            <w:pPr>
              <w:spacing w:line="240" w:lineRule="auto"/>
            </w:pPr>
            <w:r w:rsidRPr="001B1EF8">
              <w:t>CAPITAL &amp; UPFRONT COSTS</w:t>
            </w:r>
          </w:p>
        </w:tc>
      </w:tr>
      <w:tr w:rsidR="0038369D" w14:paraId="57A24088" w14:textId="77777777" w:rsidTr="001B1EF8">
        <w:trPr>
          <w:trHeight w:val="526"/>
        </w:trPr>
        <w:tc>
          <w:tcPr>
            <w:tcW w:w="3706" w:type="dxa"/>
          </w:tcPr>
          <w:p w14:paraId="5907A1CC" w14:textId="77777777" w:rsidR="0038369D" w:rsidRDefault="0038369D" w:rsidP="0038369D">
            <w:pPr>
              <w:pStyle w:val="ListParagraph"/>
              <w:numPr>
                <w:ilvl w:val="0"/>
                <w:numId w:val="7"/>
              </w:numPr>
              <w:spacing w:line="240" w:lineRule="auto"/>
            </w:pPr>
            <w:r w:rsidRPr="0038369D">
              <w:t>High upfront capital</w:t>
            </w:r>
          </w:p>
          <w:p w14:paraId="22DDADE9" w14:textId="77777777" w:rsidR="0038369D" w:rsidRDefault="0038369D" w:rsidP="0038369D">
            <w:pPr>
              <w:pStyle w:val="ListParagraph"/>
              <w:numPr>
                <w:ilvl w:val="0"/>
                <w:numId w:val="7"/>
              </w:numPr>
              <w:spacing w:line="240" w:lineRule="auto"/>
            </w:pPr>
            <w:r w:rsidRPr="0038369D">
              <w:t>Engineering complexity</w:t>
            </w:r>
          </w:p>
          <w:p w14:paraId="19331466" w14:textId="76532C04" w:rsidR="0038369D" w:rsidRPr="001B1EF8" w:rsidRDefault="00A10B59" w:rsidP="0038369D">
            <w:pPr>
              <w:pStyle w:val="ListParagraph"/>
              <w:numPr>
                <w:ilvl w:val="0"/>
                <w:numId w:val="7"/>
              </w:numPr>
              <w:spacing w:line="240" w:lineRule="auto"/>
            </w:pPr>
            <w:r w:rsidRPr="00A10B59">
              <w:t>Mine grade declines</w:t>
            </w:r>
          </w:p>
        </w:tc>
      </w:tr>
    </w:tbl>
    <w:tbl>
      <w:tblPr>
        <w:tblpPr w:leftFromText="180" w:rightFromText="180" w:vertAnchor="text" w:horzAnchor="margin" w:tblpXSpec="right"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tblGrid>
      <w:tr w:rsidR="002319EC" w14:paraId="7FF1AE1B" w14:textId="77777777" w:rsidTr="0080764E">
        <w:trPr>
          <w:trHeight w:val="526"/>
        </w:trPr>
        <w:tc>
          <w:tcPr>
            <w:tcW w:w="4531" w:type="dxa"/>
          </w:tcPr>
          <w:p w14:paraId="3CB17C13" w14:textId="0191B65A" w:rsidR="002319EC" w:rsidRDefault="0080764E" w:rsidP="002319EC">
            <w:pPr>
              <w:spacing w:line="240" w:lineRule="auto"/>
            </w:pPr>
            <w:r w:rsidRPr="0080764E">
              <w:t>LONG-TERM MARKET RESILIENCE</w:t>
            </w:r>
          </w:p>
        </w:tc>
      </w:tr>
      <w:tr w:rsidR="002319EC" w14:paraId="1FB795C5" w14:textId="77777777" w:rsidTr="0080764E">
        <w:trPr>
          <w:trHeight w:val="526"/>
        </w:trPr>
        <w:tc>
          <w:tcPr>
            <w:tcW w:w="4531" w:type="dxa"/>
          </w:tcPr>
          <w:p w14:paraId="7989E634" w14:textId="77777777" w:rsidR="0080764E" w:rsidRDefault="0080764E" w:rsidP="002319EC">
            <w:pPr>
              <w:pStyle w:val="ListParagraph"/>
              <w:numPr>
                <w:ilvl w:val="0"/>
                <w:numId w:val="7"/>
              </w:numPr>
              <w:spacing w:line="240" w:lineRule="auto"/>
            </w:pPr>
            <w:r w:rsidRPr="0080764E">
              <w:t>Preserved license to operate</w:t>
            </w:r>
          </w:p>
          <w:p w14:paraId="270EB7DD" w14:textId="77777777" w:rsidR="00F03C91" w:rsidRDefault="00F03C91" w:rsidP="002319EC">
            <w:pPr>
              <w:pStyle w:val="ListParagraph"/>
              <w:numPr>
                <w:ilvl w:val="0"/>
                <w:numId w:val="7"/>
              </w:numPr>
              <w:spacing w:line="240" w:lineRule="auto"/>
            </w:pPr>
            <w:r w:rsidRPr="00F03C91">
              <w:t>Lower carbon compliance</w:t>
            </w:r>
          </w:p>
          <w:p w14:paraId="7556D85E" w14:textId="72F64E22" w:rsidR="002319EC" w:rsidRPr="001B1EF8" w:rsidRDefault="00F03C91" w:rsidP="002319EC">
            <w:pPr>
              <w:pStyle w:val="ListParagraph"/>
              <w:numPr>
                <w:ilvl w:val="0"/>
                <w:numId w:val="7"/>
              </w:numPr>
              <w:spacing w:line="240" w:lineRule="auto"/>
            </w:pPr>
            <w:r w:rsidRPr="00F03C91">
              <w:t>Access to growth markets</w:t>
            </w:r>
          </w:p>
        </w:tc>
      </w:tr>
    </w:tbl>
    <w:p w14:paraId="46850883" w14:textId="0A8BAB35" w:rsidR="00963C8C" w:rsidRPr="00F637A9" w:rsidRDefault="00963C8C" w:rsidP="00963C8C">
      <w:pPr>
        <w:spacing w:line="240" w:lineRule="auto"/>
      </w:pPr>
    </w:p>
    <w:p w14:paraId="5FEE8BD8" w14:textId="77777777" w:rsidR="00080971" w:rsidRDefault="00080971" w:rsidP="00080971">
      <w:pPr>
        <w:pStyle w:val="Heading3"/>
        <w:spacing w:line="240" w:lineRule="auto"/>
      </w:pPr>
    </w:p>
    <w:p w14:paraId="57AB81BF" w14:textId="77777777" w:rsidR="00080971" w:rsidRDefault="00080971" w:rsidP="00080971">
      <w:pPr>
        <w:pStyle w:val="Heading3"/>
        <w:spacing w:line="240" w:lineRule="auto"/>
      </w:pPr>
    </w:p>
    <w:p w14:paraId="7E5CA0D0" w14:textId="77777777" w:rsidR="00080971" w:rsidRDefault="00080971" w:rsidP="00080971">
      <w:pPr>
        <w:pStyle w:val="Heading3"/>
        <w:spacing w:line="240" w:lineRule="auto"/>
      </w:pPr>
    </w:p>
    <w:p w14:paraId="4BACB651" w14:textId="4E8C7B22" w:rsidR="00267AF1" w:rsidRDefault="00267AF1" w:rsidP="00746B0D">
      <w:pPr>
        <w:spacing w:line="240" w:lineRule="auto"/>
      </w:pPr>
      <w:r w:rsidRPr="00267AF1">
        <w:rPr>
          <w:b/>
          <w:bCs/>
        </w:rPr>
        <w:t>Capital Allocation Trade-offs:</w:t>
      </w:r>
      <w:r w:rsidRPr="00267AF1">
        <w:t xml:space="preserve"> In multi-</w:t>
      </w:r>
      <w:proofErr w:type="gramStart"/>
      <w:r w:rsidRPr="00267AF1">
        <w:t>billion dollar</w:t>
      </w:r>
      <w:proofErr w:type="gramEnd"/>
      <w:r w:rsidRPr="00267AF1">
        <w:t xml:space="preserve"> budgets, a trade-off must be done between long-term asset development and short-term payout to shareholders through dividends and share buybacks, for example, as with the Jansen potash mine.</w:t>
      </w:r>
      <w:r>
        <w:t xml:space="preserve"> </w:t>
      </w:r>
    </w:p>
    <w:p w14:paraId="3BE8AC1E" w14:textId="24309FFD" w:rsidR="00BE39A1" w:rsidRDefault="00267AF1" w:rsidP="006D788B">
      <w:pPr>
        <w:spacing w:line="240" w:lineRule="auto"/>
      </w:pPr>
      <w:r w:rsidRPr="00267AF1">
        <w:t>Within the industry, commercial deployment of green steel technologies (e.g., green hydrogen DRI) will require broader systems readiness and energy costs</w:t>
      </w:r>
      <w:r w:rsidR="00F819FE">
        <w:t>.</w:t>
      </w:r>
      <w:r w:rsidRPr="00267AF1">
        <w:t xml:space="preserve"> BHP counteracts the effect by implementing the best available processing algorithms and automated processes, to </w:t>
      </w:r>
      <w:proofErr w:type="spellStart"/>
      <w:r w:rsidRPr="00267AF1">
        <w:t>minimise</w:t>
      </w:r>
      <w:proofErr w:type="spellEnd"/>
      <w:r w:rsidRPr="00267AF1">
        <w:t xml:space="preserve"> energy consumed per </w:t>
      </w:r>
      <w:proofErr w:type="spellStart"/>
      <w:r w:rsidRPr="00267AF1">
        <w:t>tonne</w:t>
      </w:r>
      <w:proofErr w:type="spellEnd"/>
      <w:r w:rsidRPr="00267AF1">
        <w:t>.</w:t>
      </w:r>
    </w:p>
    <w:p w14:paraId="7A0ED3EA" w14:textId="2E34D553" w:rsidR="00B512DF" w:rsidRDefault="00B512DF" w:rsidP="00B85234">
      <w:pPr>
        <w:pStyle w:val="Heading2"/>
      </w:pPr>
      <w:bookmarkStart w:id="93" w:name="_Toc235580876"/>
      <w:bookmarkStart w:id="94" w:name="_Toc235745301"/>
      <w:bookmarkStart w:id="95" w:name="_Toc235746051"/>
      <w:bookmarkStart w:id="96" w:name="_Toc235747301"/>
      <w:bookmarkStart w:id="97" w:name="_Toc235747349"/>
      <w:r>
        <w:t xml:space="preserve">3.4 </w:t>
      </w:r>
      <w:r w:rsidR="00BE39A1" w:rsidRPr="00BE39A1">
        <w:t>Strategic Conclusion</w:t>
      </w:r>
      <w:bookmarkEnd w:id="93"/>
      <w:bookmarkEnd w:id="94"/>
      <w:bookmarkEnd w:id="95"/>
      <w:bookmarkEnd w:id="96"/>
      <w:bookmarkEnd w:id="97"/>
    </w:p>
    <w:p w14:paraId="1A6EC97C" w14:textId="4F859C7E" w:rsidR="005B609E" w:rsidRDefault="00493586" w:rsidP="006D788B">
      <w:pPr>
        <w:spacing w:line="240" w:lineRule="auto"/>
      </w:pPr>
      <w:r w:rsidRPr="00493586">
        <w:t xml:space="preserve">BHP Group's Enterprise Strategy demonstrates how big resource company reconciles profitability with a system-wide transition to a low carbon economy in today's business landscape. In BHP's case, given its staff of bootstrapping and bottom-quartile pricing power for central assets, the company has basic cash flows to grow its portfolio pivot. The Ansoff Matrix provides a balance between operational decarbonization, high grade steel feedstock development, copper expansion for global electrification and agricultural diversification through the Jansen Potash project. </w:t>
      </w:r>
    </w:p>
    <w:p w14:paraId="0CC847F2" w14:textId="77777777" w:rsidR="004E0C65" w:rsidRDefault="004E0C65" w:rsidP="00EC537B">
      <w:pPr>
        <w:pStyle w:val="Heading1"/>
        <w:spacing w:line="240" w:lineRule="auto"/>
      </w:pPr>
      <w:bookmarkStart w:id="98" w:name="_Toc235580877"/>
      <w:bookmarkStart w:id="99" w:name="_Toc235745302"/>
    </w:p>
    <w:p w14:paraId="223405BB" w14:textId="77777777" w:rsidR="004E0C65" w:rsidRDefault="004E0C65" w:rsidP="00EC537B">
      <w:pPr>
        <w:pStyle w:val="Heading1"/>
        <w:spacing w:line="240" w:lineRule="auto"/>
      </w:pPr>
    </w:p>
    <w:p w14:paraId="04E90D29" w14:textId="77777777" w:rsidR="004E0C65" w:rsidRDefault="004E0C65" w:rsidP="00EC537B">
      <w:pPr>
        <w:pStyle w:val="Heading1"/>
        <w:spacing w:line="240" w:lineRule="auto"/>
      </w:pPr>
    </w:p>
    <w:p w14:paraId="5ABCEDFE" w14:textId="77777777" w:rsidR="004E0C65" w:rsidRDefault="004E0C65" w:rsidP="00EC537B">
      <w:pPr>
        <w:pStyle w:val="Heading1"/>
        <w:spacing w:line="240" w:lineRule="auto"/>
      </w:pPr>
    </w:p>
    <w:p w14:paraId="17C93F24" w14:textId="77777777" w:rsidR="004E0C65" w:rsidRDefault="004E0C65" w:rsidP="00EC537B">
      <w:pPr>
        <w:pStyle w:val="Heading1"/>
        <w:spacing w:line="240" w:lineRule="auto"/>
      </w:pPr>
    </w:p>
    <w:p w14:paraId="6356F669" w14:textId="77777777" w:rsidR="004E0C65" w:rsidRDefault="004E0C65" w:rsidP="00EC537B">
      <w:pPr>
        <w:pStyle w:val="Heading1"/>
        <w:spacing w:line="240" w:lineRule="auto"/>
      </w:pPr>
    </w:p>
    <w:p w14:paraId="7089515A" w14:textId="77777777" w:rsidR="004E0C65" w:rsidRDefault="004E0C65" w:rsidP="00EC537B">
      <w:pPr>
        <w:pStyle w:val="Heading1"/>
        <w:spacing w:line="240" w:lineRule="auto"/>
      </w:pPr>
    </w:p>
    <w:p w14:paraId="3B724355" w14:textId="77777777" w:rsidR="004E0C65" w:rsidRDefault="004E0C65" w:rsidP="00EC537B">
      <w:pPr>
        <w:pStyle w:val="Heading1"/>
        <w:spacing w:line="240" w:lineRule="auto"/>
      </w:pPr>
    </w:p>
    <w:p w14:paraId="0FB59F39" w14:textId="77777777" w:rsidR="004E0C65" w:rsidRPr="004E0C65" w:rsidRDefault="004E0C65" w:rsidP="004E0C65"/>
    <w:p w14:paraId="5138C946" w14:textId="1E1CA487" w:rsidR="008778CA" w:rsidRPr="00B85234" w:rsidRDefault="00233CFF" w:rsidP="00B85234">
      <w:pPr>
        <w:pStyle w:val="Heading1"/>
      </w:pPr>
      <w:bookmarkStart w:id="100" w:name="_Toc235746052"/>
      <w:bookmarkStart w:id="101" w:name="_Toc235747302"/>
      <w:bookmarkStart w:id="102" w:name="_Toc235747350"/>
      <w:r w:rsidRPr="00B85234">
        <w:lastRenderedPageBreak/>
        <w:t xml:space="preserve">4. </w:t>
      </w:r>
      <w:r w:rsidR="004E0C65" w:rsidRPr="00B85234">
        <w:t xml:space="preserve">Task </w:t>
      </w:r>
      <w:r w:rsidR="00F67E6A" w:rsidRPr="00B85234">
        <w:t xml:space="preserve">3: </w:t>
      </w:r>
      <w:r w:rsidR="006D788B" w:rsidRPr="00B85234">
        <w:t>Critical Reflection on AI Usage</w:t>
      </w:r>
      <w:bookmarkEnd w:id="98"/>
      <w:bookmarkEnd w:id="99"/>
      <w:bookmarkEnd w:id="100"/>
      <w:bookmarkEnd w:id="101"/>
      <w:bookmarkEnd w:id="102"/>
    </w:p>
    <w:p w14:paraId="467A41CA" w14:textId="76CBD3FC" w:rsidR="005B609E" w:rsidRDefault="002271A5" w:rsidP="00B85234">
      <w:pPr>
        <w:pStyle w:val="Heading2"/>
      </w:pPr>
      <w:bookmarkStart w:id="103" w:name="_Toc235580878"/>
      <w:bookmarkStart w:id="104" w:name="_Toc235745303"/>
      <w:bookmarkStart w:id="105" w:name="_Toc235746053"/>
      <w:bookmarkStart w:id="106" w:name="_Toc235747303"/>
      <w:bookmarkStart w:id="107" w:name="_Toc235747351"/>
      <w:r>
        <w:t xml:space="preserve">4.1 </w:t>
      </w:r>
      <w:r w:rsidRPr="002271A5">
        <w:t>Tool Disclosure and Application</w:t>
      </w:r>
      <w:bookmarkEnd w:id="103"/>
      <w:bookmarkEnd w:id="104"/>
      <w:bookmarkEnd w:id="105"/>
      <w:bookmarkEnd w:id="106"/>
      <w:bookmarkEnd w:id="107"/>
    </w:p>
    <w:p w14:paraId="59519D8E" w14:textId="32E9F19D" w:rsidR="00406801" w:rsidRDefault="007F7686" w:rsidP="00EC537B">
      <w:pPr>
        <w:spacing w:line="240" w:lineRule="auto"/>
      </w:pPr>
      <w:r w:rsidRPr="007F7686">
        <w:t>This strategic analysis of BHP Group was created using Generative AI (ChatGPT/Claude) instead of just an automated author, as a thinking partner. AI was used to assist in three specific areas of the assignment: structural scaffolding (to examine the complex business systems in the assignment), theoretical synthesis (to synthesize ideas from strategic management texts and cross them over to the assignment around extractive industries), and syntax refinement (to enhance the academic structure of the assignment and increase conciseness).</w:t>
      </w:r>
    </w:p>
    <w:p w14:paraId="58BCF009" w14:textId="4E937954" w:rsidR="00406801" w:rsidRDefault="00406801" w:rsidP="00B85234">
      <w:pPr>
        <w:pStyle w:val="Heading2"/>
      </w:pPr>
      <w:bookmarkStart w:id="108" w:name="_Toc235580879"/>
      <w:bookmarkStart w:id="109" w:name="_Toc235745304"/>
      <w:bookmarkStart w:id="110" w:name="_Toc235746054"/>
      <w:bookmarkStart w:id="111" w:name="_Toc235747304"/>
      <w:bookmarkStart w:id="112" w:name="_Toc235747352"/>
      <w:r>
        <w:t>4.2</w:t>
      </w:r>
      <w:r w:rsidR="007C1FDD">
        <w:t xml:space="preserve"> </w:t>
      </w:r>
      <w:r w:rsidR="007C1FDD" w:rsidRPr="007C1FDD">
        <w:t>Critical Evaluation and Verification of AI Output</w:t>
      </w:r>
      <w:bookmarkEnd w:id="108"/>
      <w:bookmarkEnd w:id="109"/>
      <w:bookmarkEnd w:id="110"/>
      <w:bookmarkEnd w:id="111"/>
      <w:bookmarkEnd w:id="112"/>
    </w:p>
    <w:p w14:paraId="727A0FED" w14:textId="77777777" w:rsidR="009E2CF0" w:rsidRDefault="009E2CF0" w:rsidP="00EC537B">
      <w:pPr>
        <w:spacing w:line="240" w:lineRule="auto"/>
      </w:pPr>
      <w:r w:rsidRPr="009E2CF0">
        <w:t xml:space="preserve">Due to the possibility of Generative AI generating on-par or even correct sounding inaccuracies, a rigorous verification process was written: </w:t>
      </w:r>
    </w:p>
    <w:p w14:paraId="5FBA70D3" w14:textId="77777777" w:rsidR="009E2CF0" w:rsidRDefault="009E2CF0" w:rsidP="00EC537B">
      <w:pPr>
        <w:spacing w:line="240" w:lineRule="auto"/>
      </w:pPr>
      <w:r w:rsidRPr="009E2CF0">
        <w:rPr>
          <w:b/>
          <w:bCs/>
        </w:rPr>
        <w:t xml:space="preserve">Empirical Fact-Checking: </w:t>
      </w:r>
      <w:r w:rsidRPr="009E2CF0">
        <w:t xml:space="preserve">All the figures and data (such as BHP statistics and operational data including Escondida production data and capital expenditure estimates), statements, and ratios that the AI produces or suggests were checked directly against BHP's official Annual Reports and primary industry resources. </w:t>
      </w:r>
      <w:r w:rsidRPr="009E2CF0">
        <w:rPr>
          <w:b/>
          <w:bCs/>
        </w:rPr>
        <w:t>Logical &amp; Contextual Correction:</w:t>
      </w:r>
      <w:r w:rsidRPr="009E2CF0">
        <w:t xml:space="preserve"> AI models are making superficial assertions that posits a comparison of </w:t>
      </w:r>
      <w:proofErr w:type="gramStart"/>
      <w:r w:rsidRPr="009E2CF0">
        <w:t>capital intensive</w:t>
      </w:r>
      <w:proofErr w:type="gramEnd"/>
      <w:r w:rsidRPr="009E2CF0">
        <w:t xml:space="preserve"> resource operations with consumer tech companies. In the case of commodity prices being either oversimplified or missing on physical or infrastructure bottlenecks (e.g. pit-to-port rail logistics, ore-grade decline, etc.), I have taken corrective logical steps by adding domain-specific industry mechanics. </w:t>
      </w:r>
    </w:p>
    <w:p w14:paraId="021F2B6F" w14:textId="4FC1FAAC" w:rsidR="007C1FDD" w:rsidRDefault="009E2CF0" w:rsidP="00EC537B">
      <w:pPr>
        <w:spacing w:line="240" w:lineRule="auto"/>
      </w:pPr>
      <w:r w:rsidRPr="009E2CF0">
        <w:rPr>
          <w:b/>
          <w:bCs/>
        </w:rPr>
        <w:t>Theoretical Rigor:</w:t>
      </w:r>
      <w:r w:rsidRPr="009E2CF0">
        <w:t xml:space="preserve"> Conceptual explanations (e.g., Porter's cost leadership or Barney's RBV framework) given have been checked against the peer-reviewed literature in the field of strategic management so that the use of the theory was correct.</w:t>
      </w:r>
    </w:p>
    <w:p w14:paraId="3C19DB1C" w14:textId="2C2710EB" w:rsidR="009E2CF0" w:rsidRPr="007C1FDD" w:rsidRDefault="00BD0326" w:rsidP="00B85234">
      <w:pPr>
        <w:pStyle w:val="Heading2"/>
      </w:pPr>
      <w:bookmarkStart w:id="113" w:name="_Toc235580880"/>
      <w:bookmarkStart w:id="114" w:name="_Toc235745305"/>
      <w:bookmarkStart w:id="115" w:name="_Toc235746055"/>
      <w:bookmarkStart w:id="116" w:name="_Toc235747305"/>
      <w:bookmarkStart w:id="117" w:name="_Toc235747353"/>
      <w:r>
        <w:t xml:space="preserve">4.3 </w:t>
      </w:r>
      <w:r w:rsidRPr="00BD0326">
        <w:t>Contribution Analysis: AI vs. Original Human Input</w:t>
      </w:r>
      <w:bookmarkEnd w:id="113"/>
      <w:bookmarkEnd w:id="114"/>
      <w:bookmarkEnd w:id="115"/>
      <w:bookmarkEnd w:id="116"/>
      <w:bookmarkEnd w:id="117"/>
    </w:p>
    <w:p w14:paraId="3782F8DC" w14:textId="77777777" w:rsidR="00DC61B0" w:rsidRDefault="00DC61B0" w:rsidP="00EC537B">
      <w:pPr>
        <w:spacing w:line="240" w:lineRule="auto"/>
      </w:pPr>
      <w:r w:rsidRPr="00DC61B0">
        <w:t>There was a clear separation between scaffolding based on AI and original critical analysis:</w:t>
      </w:r>
    </w:p>
    <w:p w14:paraId="160C97A9" w14:textId="77777777" w:rsidR="00DC61B0" w:rsidRDefault="00DC61B0" w:rsidP="00EC537B">
      <w:pPr>
        <w:spacing w:line="240" w:lineRule="auto"/>
      </w:pPr>
      <w:r w:rsidRPr="00DC61B0">
        <w:rPr>
          <w:b/>
          <w:bCs/>
        </w:rPr>
        <w:t xml:space="preserve"> AI contribution:</w:t>
      </w:r>
      <w:r w:rsidRPr="00DC61B0">
        <w:t xml:space="preserve"> AI helped organize initial outlines, created visual Markdown/ASCII structuring diagrams, provided initial idea framework mapping (e.g., filling out Ansoff Quadrants), and improved technical sentences structures. </w:t>
      </w:r>
    </w:p>
    <w:p w14:paraId="266CA511" w14:textId="23BA1DA9" w:rsidR="007C1FDD" w:rsidRDefault="00DC61B0" w:rsidP="00EC537B">
      <w:pPr>
        <w:spacing w:line="240" w:lineRule="auto"/>
      </w:pPr>
      <w:r w:rsidRPr="00DC61B0">
        <w:rPr>
          <w:b/>
          <w:bCs/>
        </w:rPr>
        <w:t>Original Human Contribution:</w:t>
      </w:r>
      <w:r w:rsidRPr="00DC61B0">
        <w:t xml:space="preserve"> All key evaluation, strategic synthesis and the central analytical arguments are mine. I have calculated the strategic direction, and selected the theoretical frameworks by myself</w:t>
      </w:r>
      <w:r w:rsidR="00EC537B">
        <w:t>.</w:t>
      </w:r>
    </w:p>
    <w:p w14:paraId="75975D4B" w14:textId="141F54EB" w:rsidR="0002035A" w:rsidRDefault="0002035A" w:rsidP="00B85234">
      <w:pPr>
        <w:pStyle w:val="Heading2"/>
      </w:pPr>
      <w:bookmarkStart w:id="118" w:name="_Toc235580881"/>
      <w:bookmarkStart w:id="119" w:name="_Toc235745306"/>
      <w:bookmarkStart w:id="120" w:name="_Toc235746056"/>
      <w:bookmarkStart w:id="121" w:name="_Toc235747306"/>
      <w:bookmarkStart w:id="122" w:name="_Toc235747354"/>
      <w:r>
        <w:t xml:space="preserve">4.4 </w:t>
      </w:r>
      <w:r w:rsidRPr="0002035A">
        <w:t>Ethical &amp; Professional Reflection</w:t>
      </w:r>
      <w:bookmarkEnd w:id="118"/>
      <w:bookmarkEnd w:id="119"/>
      <w:bookmarkEnd w:id="120"/>
      <w:bookmarkEnd w:id="121"/>
      <w:bookmarkEnd w:id="122"/>
    </w:p>
    <w:p w14:paraId="541A3C50" w14:textId="77777777" w:rsidR="0002035A" w:rsidRDefault="0002035A" w:rsidP="00EC537B">
      <w:pPr>
        <w:spacing w:line="240" w:lineRule="auto"/>
      </w:pPr>
      <w:r w:rsidRPr="0002035A">
        <w:t>While the use of AI opens the door to professional expertise and valuable analytical insights, it also presents other ethical and professional considerations:</w:t>
      </w:r>
    </w:p>
    <w:p w14:paraId="40D94488" w14:textId="77777777" w:rsidR="00A10586" w:rsidRDefault="0002035A" w:rsidP="00EC537B">
      <w:pPr>
        <w:spacing w:line="240" w:lineRule="auto"/>
      </w:pPr>
      <w:r w:rsidRPr="0002035A">
        <w:rPr>
          <w:b/>
          <w:bCs/>
        </w:rPr>
        <w:lastRenderedPageBreak/>
        <w:t xml:space="preserve"> Academic Integrity &amp; Transparency: </w:t>
      </w:r>
      <w:r w:rsidRPr="0002035A">
        <w:t xml:space="preserve">AI outputs should be used with </w:t>
      </w:r>
      <w:proofErr w:type="spellStart"/>
      <w:proofErr w:type="gramStart"/>
      <w:r w:rsidRPr="0002035A">
        <w:t>cause.Academic</w:t>
      </w:r>
      <w:proofErr w:type="spellEnd"/>
      <w:proofErr w:type="gramEnd"/>
      <w:r w:rsidRPr="0002035A">
        <w:t xml:space="preserve"> Integrity &amp; Transparency</w:t>
      </w:r>
      <w:r w:rsidR="00A10586">
        <w:t xml:space="preserve"> </w:t>
      </w:r>
      <w:r w:rsidRPr="0002035A">
        <w:t xml:space="preserve">Blindly using AI outputs undermines analytical rigor. True transparency, here, and direct involvement, ensure that the final product accurately accounts for real and not algorithmic critical thinking. </w:t>
      </w:r>
    </w:p>
    <w:p w14:paraId="733F0F59" w14:textId="77777777" w:rsidR="00A10586" w:rsidRDefault="0002035A" w:rsidP="00EC537B">
      <w:pPr>
        <w:spacing w:line="240" w:lineRule="auto"/>
      </w:pPr>
      <w:r w:rsidRPr="00A10586">
        <w:rPr>
          <w:b/>
          <w:bCs/>
        </w:rPr>
        <w:t>Data Integrity &amp; Biases:</w:t>
      </w:r>
      <w:r w:rsidRPr="0002035A">
        <w:t xml:space="preserve"> AI models are influenced by the training data, which may introduce biases in market assessments. AI-generated analysis </w:t>
      </w:r>
      <w:proofErr w:type="gramStart"/>
      <w:r w:rsidRPr="0002035A">
        <w:t>are</w:t>
      </w:r>
      <w:proofErr w:type="gramEnd"/>
      <w:r w:rsidRPr="0002035A">
        <w:t xml:space="preserve"> not to be believed outright and must be critically assessed by the experts. </w:t>
      </w:r>
    </w:p>
    <w:p w14:paraId="14FB5133" w14:textId="6A26F2D7" w:rsidR="0002035A" w:rsidRDefault="0002035A" w:rsidP="00EC537B">
      <w:pPr>
        <w:spacing w:line="240" w:lineRule="auto"/>
      </w:pPr>
      <w:r w:rsidRPr="00A10586">
        <w:rPr>
          <w:b/>
          <w:bCs/>
        </w:rPr>
        <w:t>Professional Responsibility:</w:t>
      </w:r>
      <w:r w:rsidRPr="0002035A">
        <w:t xml:space="preserve"> When it comes to business or marketing strategy, ultimate responsibility for these elements—including decision making, risk analysis, and facts—is with the human analyst. Ethical use of AI is about using it as an efficiency tool, but also retaining full responsibility for analytical rigor, ethical considerations and factual authenticity.</w:t>
      </w:r>
    </w:p>
    <w:p w14:paraId="6084A91D" w14:textId="77777777" w:rsidR="00B85234" w:rsidRDefault="00B85234" w:rsidP="00B85234">
      <w:pPr>
        <w:pStyle w:val="Heading1"/>
      </w:pPr>
      <w:bookmarkStart w:id="123" w:name="_Toc235745307"/>
    </w:p>
    <w:p w14:paraId="514066AE" w14:textId="77777777" w:rsidR="00B85234" w:rsidRDefault="00B85234" w:rsidP="00B85234">
      <w:pPr>
        <w:pStyle w:val="Heading1"/>
      </w:pPr>
    </w:p>
    <w:p w14:paraId="307E308D" w14:textId="77777777" w:rsidR="00B85234" w:rsidRDefault="00B85234" w:rsidP="00B85234">
      <w:pPr>
        <w:pStyle w:val="Heading1"/>
      </w:pPr>
    </w:p>
    <w:p w14:paraId="0C052F52" w14:textId="77777777" w:rsidR="00B85234" w:rsidRDefault="00B85234" w:rsidP="00B85234">
      <w:pPr>
        <w:pStyle w:val="Heading1"/>
      </w:pPr>
    </w:p>
    <w:p w14:paraId="56BC24AC" w14:textId="77777777" w:rsidR="00A613C0" w:rsidRDefault="00A613C0" w:rsidP="00B85234">
      <w:pPr>
        <w:pStyle w:val="Heading1"/>
      </w:pPr>
    </w:p>
    <w:p w14:paraId="02C91F23" w14:textId="77777777" w:rsidR="00A613C0" w:rsidRDefault="00A613C0" w:rsidP="00A613C0"/>
    <w:p w14:paraId="670C6D94" w14:textId="77777777" w:rsidR="00A613C0" w:rsidRDefault="00A613C0" w:rsidP="00A613C0"/>
    <w:p w14:paraId="131960DD" w14:textId="77777777" w:rsidR="00A613C0" w:rsidRDefault="00A613C0" w:rsidP="00A613C0"/>
    <w:p w14:paraId="21316811" w14:textId="77777777" w:rsidR="00A613C0" w:rsidRPr="00A613C0" w:rsidRDefault="00A613C0" w:rsidP="00A613C0"/>
    <w:p w14:paraId="6121B752" w14:textId="77777777" w:rsidR="001F4CAB" w:rsidRDefault="001F4CAB" w:rsidP="00B85234">
      <w:pPr>
        <w:pStyle w:val="Heading1"/>
      </w:pPr>
      <w:bookmarkStart w:id="124" w:name="_Toc235746057"/>
    </w:p>
    <w:p w14:paraId="69FAEF79" w14:textId="77777777" w:rsidR="001F4CAB" w:rsidRPr="001F4CAB" w:rsidRDefault="001F4CAB" w:rsidP="001F4CAB"/>
    <w:p w14:paraId="10544F97" w14:textId="7FCFC767" w:rsidR="000049FB" w:rsidRPr="00B85234" w:rsidRDefault="000049FB" w:rsidP="00B85234">
      <w:pPr>
        <w:pStyle w:val="Heading1"/>
      </w:pPr>
      <w:bookmarkStart w:id="125" w:name="_Toc235747307"/>
      <w:bookmarkStart w:id="126" w:name="_Toc235747355"/>
      <w:r w:rsidRPr="00B85234">
        <w:lastRenderedPageBreak/>
        <w:t>5. Conclusion</w:t>
      </w:r>
      <w:bookmarkEnd w:id="123"/>
      <w:bookmarkEnd w:id="124"/>
      <w:bookmarkEnd w:id="125"/>
      <w:bookmarkEnd w:id="126"/>
      <w:r w:rsidRPr="00B85234">
        <w:t xml:space="preserve"> </w:t>
      </w:r>
    </w:p>
    <w:p w14:paraId="3160B1E5" w14:textId="7880FD89" w:rsidR="00BA2DA4" w:rsidRPr="00BA2DA4" w:rsidRDefault="00BA2DA4" w:rsidP="00BA2DA4">
      <w:pPr>
        <w:spacing w:line="240" w:lineRule="auto"/>
      </w:pPr>
      <w:r w:rsidRPr="00BA2DA4">
        <w:t>BHP's competitive cost leadership is an important weapon for navigating various pressures from buyers and the political arena, including those from the consolidated state buyers such as CMRG (China's Ministry of Communications Research and Development) in China. The company's flagship Western Australia Iron Ore (WAIO) asset is at the bottom of the cost curve which provides a solid economic internal fortress to preserve high profit margins even in cyclical commodity downturns. In addition, since more than 80 percent of BHP's indirect emissions are generated downstream at the blast furnace facilities of its customers, the company heavily drives its product development toward high quality Direct Reduced Iron (DRI) pellets. This allows the global clients to manufacture green steel and reduce their carbon footprint by as much as 30%. To further secure its financial future against metal price fluctuations from industry, BHP is diversifying its operations into agricultural nutrients through its multi-</w:t>
      </w:r>
      <w:proofErr w:type="gramStart"/>
      <w:r w:rsidRPr="00BA2DA4">
        <w:t>billion dollar</w:t>
      </w:r>
      <w:proofErr w:type="gramEnd"/>
      <w:r w:rsidRPr="00BA2DA4">
        <w:t xml:space="preserve"> Jansen Potash project, which is expected to generate operating margins in excess of 65%. Lastly, the method of the assessment itself is highlighted in the critical reflection, with a focus on a comprehensive AI verification protocol. Generative AI was only used to provide background and structure; all production volumes, capital spending and financial data was manually cross-referenced with official BHP disclosures to ensure 100% academic integrity.</w:t>
      </w:r>
    </w:p>
    <w:p w14:paraId="364F19F5" w14:textId="77777777" w:rsidR="00EC537B" w:rsidRDefault="00EC537B" w:rsidP="00EC537B">
      <w:pPr>
        <w:spacing w:line="240" w:lineRule="auto"/>
      </w:pPr>
    </w:p>
    <w:p w14:paraId="07C7E506" w14:textId="77777777" w:rsidR="00EC537B" w:rsidRDefault="00EC537B" w:rsidP="00EC537B">
      <w:pPr>
        <w:spacing w:line="240" w:lineRule="auto"/>
      </w:pPr>
    </w:p>
    <w:p w14:paraId="0006D2BD" w14:textId="77777777" w:rsidR="00EC537B" w:rsidRDefault="00EC537B" w:rsidP="00EC537B">
      <w:pPr>
        <w:spacing w:line="240" w:lineRule="auto"/>
      </w:pPr>
    </w:p>
    <w:p w14:paraId="4E7B46C8" w14:textId="77777777" w:rsidR="00EC537B" w:rsidRDefault="00EC537B" w:rsidP="00EC537B">
      <w:pPr>
        <w:spacing w:line="240" w:lineRule="auto"/>
      </w:pPr>
    </w:p>
    <w:p w14:paraId="30BF54E5" w14:textId="77777777" w:rsidR="00EC537B" w:rsidRDefault="00EC537B" w:rsidP="00EC537B">
      <w:pPr>
        <w:spacing w:line="240" w:lineRule="auto"/>
      </w:pPr>
    </w:p>
    <w:p w14:paraId="2E459DCA" w14:textId="77777777" w:rsidR="00EC537B" w:rsidRDefault="00EC537B" w:rsidP="00EC537B">
      <w:pPr>
        <w:spacing w:line="240" w:lineRule="auto"/>
      </w:pPr>
    </w:p>
    <w:p w14:paraId="37FFDD06" w14:textId="77777777" w:rsidR="00EC537B" w:rsidRDefault="00EC537B" w:rsidP="00EC537B">
      <w:pPr>
        <w:spacing w:line="240" w:lineRule="auto"/>
      </w:pPr>
    </w:p>
    <w:p w14:paraId="3AD353E7" w14:textId="77777777" w:rsidR="00EC537B" w:rsidRDefault="00EC537B" w:rsidP="00EC537B">
      <w:pPr>
        <w:spacing w:line="240" w:lineRule="auto"/>
      </w:pPr>
    </w:p>
    <w:p w14:paraId="63B67369" w14:textId="77777777" w:rsidR="0065060B" w:rsidRDefault="0065060B" w:rsidP="00EC537B">
      <w:pPr>
        <w:spacing w:line="240" w:lineRule="auto"/>
      </w:pPr>
    </w:p>
    <w:p w14:paraId="0088D6CE" w14:textId="77777777" w:rsidR="0065060B" w:rsidRDefault="0065060B" w:rsidP="00EC537B">
      <w:pPr>
        <w:spacing w:line="240" w:lineRule="auto"/>
      </w:pPr>
    </w:p>
    <w:p w14:paraId="7DC8CB5F" w14:textId="77777777" w:rsidR="00424F1F" w:rsidRDefault="00424F1F" w:rsidP="00EC537B">
      <w:pPr>
        <w:spacing w:line="240" w:lineRule="auto"/>
      </w:pPr>
    </w:p>
    <w:p w14:paraId="764198CA" w14:textId="77777777" w:rsidR="00424F1F" w:rsidRDefault="00424F1F" w:rsidP="00EC537B">
      <w:pPr>
        <w:spacing w:line="240" w:lineRule="auto"/>
      </w:pPr>
    </w:p>
    <w:p w14:paraId="15F4081B" w14:textId="77777777" w:rsidR="00424F1F" w:rsidRDefault="00424F1F" w:rsidP="00EC537B">
      <w:pPr>
        <w:spacing w:line="240" w:lineRule="auto"/>
      </w:pPr>
    </w:p>
    <w:p w14:paraId="4BD58402" w14:textId="77777777" w:rsidR="00424F1F" w:rsidRDefault="00424F1F" w:rsidP="00EC537B">
      <w:pPr>
        <w:spacing w:line="240" w:lineRule="auto"/>
      </w:pPr>
    </w:p>
    <w:p w14:paraId="0DB9C66D" w14:textId="77777777" w:rsidR="00424F1F" w:rsidRDefault="00424F1F" w:rsidP="00EC537B">
      <w:pPr>
        <w:spacing w:line="240" w:lineRule="auto"/>
      </w:pPr>
    </w:p>
    <w:p w14:paraId="6CA5FDF1" w14:textId="77777777" w:rsidR="00424F1F" w:rsidRDefault="00424F1F" w:rsidP="00EC537B">
      <w:pPr>
        <w:spacing w:line="240" w:lineRule="auto"/>
      </w:pPr>
    </w:p>
    <w:p w14:paraId="616962EF" w14:textId="77777777" w:rsidR="00424F1F" w:rsidRDefault="00424F1F" w:rsidP="00EC537B">
      <w:pPr>
        <w:spacing w:line="240" w:lineRule="auto"/>
      </w:pPr>
    </w:p>
    <w:p w14:paraId="1D671114" w14:textId="77777777" w:rsidR="00424F1F" w:rsidRDefault="00424F1F" w:rsidP="00EC537B">
      <w:pPr>
        <w:spacing w:line="240" w:lineRule="auto"/>
      </w:pPr>
    </w:p>
    <w:p w14:paraId="2121296E" w14:textId="77777777" w:rsidR="00424F1F" w:rsidRDefault="00424F1F" w:rsidP="00EC537B">
      <w:pPr>
        <w:spacing w:line="240" w:lineRule="auto"/>
      </w:pPr>
    </w:p>
    <w:p w14:paraId="745B3FD0" w14:textId="77777777" w:rsidR="00424F1F" w:rsidRDefault="00424F1F" w:rsidP="00EC537B">
      <w:pPr>
        <w:spacing w:line="240" w:lineRule="auto"/>
      </w:pPr>
    </w:p>
    <w:p w14:paraId="1923ED45" w14:textId="77777777" w:rsidR="00424F1F" w:rsidRPr="00424F1F" w:rsidRDefault="00424F1F" w:rsidP="00424F1F">
      <w:pPr>
        <w:pStyle w:val="Heading1"/>
      </w:pPr>
      <w:bookmarkStart w:id="127" w:name="_Toc235746058"/>
      <w:bookmarkStart w:id="128" w:name="_Toc235747308"/>
      <w:bookmarkStart w:id="129" w:name="_Toc235747356"/>
      <w:r w:rsidRPr="00424F1F">
        <w:lastRenderedPageBreak/>
        <w:t>References</w:t>
      </w:r>
      <w:bookmarkEnd w:id="127"/>
      <w:bookmarkEnd w:id="128"/>
      <w:bookmarkEnd w:id="129"/>
    </w:p>
    <w:p w14:paraId="12521E3A" w14:textId="77777777" w:rsidR="00424F1F" w:rsidRDefault="00424F1F" w:rsidP="00424F1F">
      <w:pPr>
        <w:spacing w:after="160" w:line="240" w:lineRule="auto"/>
        <w:ind w:left="720" w:hanging="720"/>
      </w:pPr>
      <w:r>
        <w:t>Ansoff, H.I. (1957) 'Strategies for diversification', Harvard Business Review, 35(5), pp. 113–124.</w:t>
      </w:r>
    </w:p>
    <w:p w14:paraId="735E4659" w14:textId="77777777" w:rsidR="00424F1F" w:rsidRDefault="00424F1F" w:rsidP="00424F1F">
      <w:pPr>
        <w:spacing w:after="160" w:line="240" w:lineRule="auto"/>
        <w:ind w:left="720" w:hanging="720"/>
      </w:pPr>
      <w:r>
        <w:t>Barney, J.B. (1991) 'Firm resources and sustained competitive advantage', Journal of Management, 17(1), pp. 99–120.</w:t>
      </w:r>
    </w:p>
    <w:p w14:paraId="02BDB5C7" w14:textId="77777777" w:rsidR="00424F1F" w:rsidRDefault="00424F1F" w:rsidP="00424F1F">
      <w:pPr>
        <w:spacing w:after="160" w:line="240" w:lineRule="auto"/>
        <w:ind w:left="720" w:hanging="720"/>
      </w:pPr>
      <w:r>
        <w:t>BHP Group (2025a) Annual Report 2025. Melbourne: BHP Group Limited. Available at: https://www.bhp.com/investor-hub/reports-and-presentations/annual-report (Accessed: 23 July 2026).</w:t>
      </w:r>
    </w:p>
    <w:p w14:paraId="42F34712" w14:textId="77777777" w:rsidR="00424F1F" w:rsidRDefault="00424F1F" w:rsidP="00424F1F">
      <w:pPr>
        <w:spacing w:after="160" w:line="240" w:lineRule="auto"/>
        <w:ind w:left="720" w:hanging="720"/>
      </w:pPr>
      <w:r>
        <w:t>BHP Group (2025b) Climate Transition Action Plan 2024. Melbourne: BHP Group Limited. Available at: https://www.bhp.com/sustainability/climate-change/our-position (Accessed: 23 July 2026).</w:t>
      </w:r>
    </w:p>
    <w:p w14:paraId="09FA44BA" w14:textId="77777777" w:rsidR="00424F1F" w:rsidRDefault="00424F1F" w:rsidP="00424F1F">
      <w:pPr>
        <w:spacing w:after="160" w:line="240" w:lineRule="auto"/>
        <w:ind w:left="720" w:hanging="720"/>
      </w:pPr>
      <w:r>
        <w:t>European Commission (2023) Carbon Border Adjustment Mechanism. Brussels: European Commission. Available at: https://taxation-customs.ec.europa.eu/carbon-border-adjustment-mechanism-cbam_en (Accessed: 23 July 2026).</w:t>
      </w:r>
    </w:p>
    <w:p w14:paraId="612B4D1D" w14:textId="77777777" w:rsidR="00424F1F" w:rsidRDefault="00424F1F" w:rsidP="00424F1F">
      <w:pPr>
        <w:spacing w:after="160" w:line="240" w:lineRule="auto"/>
        <w:ind w:left="720" w:hanging="720"/>
      </w:pPr>
      <w:r>
        <w:t>International Energy Agency (2025) Global EV Outlook 2025. Paris: IEA. Available at: https://www.iea.org/reports/global-ev-outlook-2025 (Accessed: 23 July 2026).</w:t>
      </w:r>
    </w:p>
    <w:p w14:paraId="553A3E8E" w14:textId="77777777" w:rsidR="00424F1F" w:rsidRDefault="00424F1F" w:rsidP="00424F1F">
      <w:pPr>
        <w:spacing w:after="160" w:line="240" w:lineRule="auto"/>
        <w:ind w:left="720" w:hanging="720"/>
      </w:pPr>
      <w:r>
        <w:t xml:space="preserve">Johnson, G., Whittington, R., Angwin, D., </w:t>
      </w:r>
      <w:proofErr w:type="spellStart"/>
      <w:r>
        <w:t>Regnér</w:t>
      </w:r>
      <w:proofErr w:type="spellEnd"/>
      <w:r>
        <w:t xml:space="preserve">, P. and Scholes, K. (2020) Exploring Strategy: Text and Cases. 12th </w:t>
      </w:r>
      <w:proofErr w:type="spellStart"/>
      <w:r>
        <w:t>edn</w:t>
      </w:r>
      <w:proofErr w:type="spellEnd"/>
      <w:r>
        <w:t>. Harlow: Pearson Education.</w:t>
      </w:r>
    </w:p>
    <w:p w14:paraId="367EB271" w14:textId="77777777" w:rsidR="00424F1F" w:rsidRDefault="00424F1F" w:rsidP="00424F1F">
      <w:pPr>
        <w:spacing w:after="160" w:line="240" w:lineRule="auto"/>
        <w:ind w:left="720" w:hanging="720"/>
      </w:pPr>
      <w:r>
        <w:t xml:space="preserve">Kotler, P., Keller, K.L. and Chernev, A. (2021) Marketing Management. 16th </w:t>
      </w:r>
      <w:proofErr w:type="spellStart"/>
      <w:r>
        <w:t>edn</w:t>
      </w:r>
      <w:proofErr w:type="spellEnd"/>
      <w:r>
        <w:t>. Harlow: Pearson Education.</w:t>
      </w:r>
    </w:p>
    <w:p w14:paraId="35905F42" w14:textId="77777777" w:rsidR="00424F1F" w:rsidRDefault="00424F1F" w:rsidP="00424F1F">
      <w:pPr>
        <w:spacing w:after="160" w:line="240" w:lineRule="auto"/>
        <w:ind w:left="720" w:hanging="720"/>
      </w:pPr>
      <w:r>
        <w:t>Porter, M.E. (1985) Competitive Advantage: Creating and Sustaining Superior Performance. New York: Free Press.</w:t>
      </w:r>
    </w:p>
    <w:p w14:paraId="39E173CA" w14:textId="7EA34861" w:rsidR="00424F1F" w:rsidRDefault="00424F1F" w:rsidP="00424F1F">
      <w:pPr>
        <w:spacing w:line="240" w:lineRule="auto"/>
      </w:pPr>
      <w:r>
        <w:t>World Steel Association (2025) Short Range Outlook, October 2025. Brussels: World Steel Association. Available at: https://worldsteel.org/media/press-releases/2025/worldsteel-short-range-outlook-october-2025/ (Accessed: 23 July 2026).</w:t>
      </w:r>
    </w:p>
    <w:p w14:paraId="0B9CAF09" w14:textId="77777777" w:rsidR="0065060B" w:rsidRDefault="0065060B" w:rsidP="00EC537B">
      <w:pPr>
        <w:spacing w:line="240" w:lineRule="auto"/>
      </w:pPr>
    </w:p>
    <w:p w14:paraId="70FE0337" w14:textId="77777777" w:rsidR="0065060B" w:rsidRDefault="0065060B" w:rsidP="00EC537B">
      <w:pPr>
        <w:spacing w:line="240" w:lineRule="auto"/>
      </w:pPr>
    </w:p>
    <w:p w14:paraId="39333CA5" w14:textId="77777777" w:rsidR="0065060B" w:rsidRDefault="0065060B" w:rsidP="00EC537B">
      <w:pPr>
        <w:spacing w:line="240" w:lineRule="auto"/>
      </w:pPr>
    </w:p>
    <w:p w14:paraId="275F547F" w14:textId="77777777" w:rsidR="00EC537B" w:rsidRDefault="00EC537B" w:rsidP="00EC537B">
      <w:pPr>
        <w:spacing w:line="240" w:lineRule="auto"/>
      </w:pPr>
    </w:p>
    <w:p w14:paraId="25A2D52B" w14:textId="77777777" w:rsidR="00EC537B" w:rsidRDefault="00EC537B" w:rsidP="00EC537B">
      <w:pPr>
        <w:spacing w:line="240" w:lineRule="auto"/>
      </w:pPr>
    </w:p>
    <w:p w14:paraId="0CE22DAB" w14:textId="77777777" w:rsidR="00EC537B" w:rsidRDefault="00EC537B" w:rsidP="00EC537B">
      <w:pPr>
        <w:spacing w:line="240" w:lineRule="auto"/>
      </w:pPr>
    </w:p>
    <w:p w14:paraId="5EF51440" w14:textId="77777777" w:rsidR="00EC537B" w:rsidRPr="0002035A" w:rsidRDefault="00EC537B" w:rsidP="00EC537B">
      <w:pPr>
        <w:spacing w:line="240" w:lineRule="auto"/>
      </w:pPr>
    </w:p>
    <w:sectPr w:rsidR="00EC537B" w:rsidRPr="0002035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D7318" w14:textId="77777777" w:rsidR="00C9244D" w:rsidRDefault="00C9244D" w:rsidP="00A01F55">
      <w:pPr>
        <w:spacing w:after="0" w:line="240" w:lineRule="auto"/>
      </w:pPr>
      <w:r>
        <w:separator/>
      </w:r>
    </w:p>
  </w:endnote>
  <w:endnote w:type="continuationSeparator" w:id="0">
    <w:p w14:paraId="685AF3A4" w14:textId="77777777" w:rsidR="00C9244D" w:rsidRDefault="00C9244D" w:rsidP="00A01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eist 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451548"/>
      <w:docPartObj>
        <w:docPartGallery w:val="Page Numbers (Bottom of Page)"/>
        <w:docPartUnique/>
      </w:docPartObj>
    </w:sdtPr>
    <w:sdtEndPr>
      <w:rPr>
        <w:noProof/>
      </w:rPr>
    </w:sdtEndPr>
    <w:sdtContent>
      <w:p w14:paraId="0BB36E33" w14:textId="1BD0D712" w:rsidR="00A01F55" w:rsidRDefault="00A01F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21FD1E" w14:textId="77777777" w:rsidR="00A01F55" w:rsidRDefault="00A01F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1C61B" w14:textId="77777777" w:rsidR="00C9244D" w:rsidRDefault="00C9244D" w:rsidP="00A01F55">
      <w:pPr>
        <w:spacing w:after="0" w:line="240" w:lineRule="auto"/>
      </w:pPr>
      <w:r>
        <w:separator/>
      </w:r>
    </w:p>
  </w:footnote>
  <w:footnote w:type="continuationSeparator" w:id="0">
    <w:p w14:paraId="7140FFD4" w14:textId="77777777" w:rsidR="00C9244D" w:rsidRDefault="00C9244D" w:rsidP="00A01F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5E30"/>
    <w:multiLevelType w:val="hybridMultilevel"/>
    <w:tmpl w:val="330A69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D6048FA"/>
    <w:multiLevelType w:val="hybridMultilevel"/>
    <w:tmpl w:val="C6681D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AFB1488"/>
    <w:multiLevelType w:val="hybridMultilevel"/>
    <w:tmpl w:val="A3F0DB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0393133"/>
    <w:multiLevelType w:val="multilevel"/>
    <w:tmpl w:val="74E4CC6E"/>
    <w:lvl w:ilvl="0">
      <w:start w:val="2"/>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B1F6452"/>
    <w:multiLevelType w:val="multilevel"/>
    <w:tmpl w:val="BBF05A80"/>
    <w:lvl w:ilvl="0">
      <w:start w:val="2"/>
      <w:numFmt w:val="decimal"/>
      <w:lvlText w:val="%1"/>
      <w:lvlJc w:val="left"/>
      <w:pPr>
        <w:ind w:left="405" w:hanging="405"/>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95F1530"/>
    <w:multiLevelType w:val="multilevel"/>
    <w:tmpl w:val="EA92A7BE"/>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B473000"/>
    <w:multiLevelType w:val="hybridMultilevel"/>
    <w:tmpl w:val="A4B43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0AD39B1"/>
    <w:multiLevelType w:val="hybridMultilevel"/>
    <w:tmpl w:val="FFE6A9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2390165"/>
    <w:multiLevelType w:val="hybridMultilevel"/>
    <w:tmpl w:val="034497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2C31F10"/>
    <w:multiLevelType w:val="multilevel"/>
    <w:tmpl w:val="FEC6BDF2"/>
    <w:lvl w:ilvl="0">
      <w:start w:val="1"/>
      <w:numFmt w:val="decimal"/>
      <w:lvlText w:val="%1."/>
      <w:lvlJc w:val="left"/>
      <w:pPr>
        <w:ind w:left="720" w:hanging="360"/>
      </w:pPr>
      <w:rPr>
        <w:rFonts w:hint="default"/>
        <w:sz w:val="40"/>
      </w:rPr>
    </w:lvl>
    <w:lvl w:ilvl="1">
      <w:start w:val="1"/>
      <w:numFmt w:val="decimal"/>
      <w:isLgl/>
      <w:lvlText w:val="%1.%2"/>
      <w:lvlJc w:val="left"/>
      <w:pPr>
        <w:ind w:left="48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59916322">
    <w:abstractNumId w:val="8"/>
  </w:num>
  <w:num w:numId="2" w16cid:durableId="1615479705">
    <w:abstractNumId w:val="9"/>
  </w:num>
  <w:num w:numId="3" w16cid:durableId="213736914">
    <w:abstractNumId w:val="0"/>
  </w:num>
  <w:num w:numId="4" w16cid:durableId="2034762846">
    <w:abstractNumId w:val="2"/>
  </w:num>
  <w:num w:numId="5" w16cid:durableId="800801843">
    <w:abstractNumId w:val="1"/>
  </w:num>
  <w:num w:numId="6" w16cid:durableId="948587877">
    <w:abstractNumId w:val="7"/>
  </w:num>
  <w:num w:numId="7" w16cid:durableId="737435986">
    <w:abstractNumId w:val="6"/>
  </w:num>
  <w:num w:numId="8" w16cid:durableId="541482497">
    <w:abstractNumId w:val="3"/>
  </w:num>
  <w:num w:numId="9" w16cid:durableId="432818987">
    <w:abstractNumId w:val="4"/>
  </w:num>
  <w:num w:numId="10" w16cid:durableId="14434585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DFD"/>
    <w:rsid w:val="000049FB"/>
    <w:rsid w:val="00004A29"/>
    <w:rsid w:val="0002035A"/>
    <w:rsid w:val="000769E5"/>
    <w:rsid w:val="00080971"/>
    <w:rsid w:val="000833A8"/>
    <w:rsid w:val="000843E1"/>
    <w:rsid w:val="00091448"/>
    <w:rsid w:val="000E14A6"/>
    <w:rsid w:val="000F591D"/>
    <w:rsid w:val="000F7D6A"/>
    <w:rsid w:val="00145A73"/>
    <w:rsid w:val="00164EA7"/>
    <w:rsid w:val="001A5977"/>
    <w:rsid w:val="001B1EF8"/>
    <w:rsid w:val="001E3C65"/>
    <w:rsid w:val="001F4CAB"/>
    <w:rsid w:val="00225611"/>
    <w:rsid w:val="002271A5"/>
    <w:rsid w:val="00231449"/>
    <w:rsid w:val="002319EC"/>
    <w:rsid w:val="00233CFF"/>
    <w:rsid w:val="00255D95"/>
    <w:rsid w:val="00260EAB"/>
    <w:rsid w:val="00266955"/>
    <w:rsid w:val="00267AF1"/>
    <w:rsid w:val="00271AA8"/>
    <w:rsid w:val="00314BA1"/>
    <w:rsid w:val="00314E3C"/>
    <w:rsid w:val="00323FCC"/>
    <w:rsid w:val="0038369D"/>
    <w:rsid w:val="003D2F61"/>
    <w:rsid w:val="003D42D2"/>
    <w:rsid w:val="003E550A"/>
    <w:rsid w:val="00400CA5"/>
    <w:rsid w:val="00406801"/>
    <w:rsid w:val="00411288"/>
    <w:rsid w:val="004121BB"/>
    <w:rsid w:val="0042101F"/>
    <w:rsid w:val="0042417D"/>
    <w:rsid w:val="00424F1F"/>
    <w:rsid w:val="004408D8"/>
    <w:rsid w:val="00493586"/>
    <w:rsid w:val="004965D3"/>
    <w:rsid w:val="00496936"/>
    <w:rsid w:val="004E0C65"/>
    <w:rsid w:val="004E7066"/>
    <w:rsid w:val="00530225"/>
    <w:rsid w:val="00542E7B"/>
    <w:rsid w:val="0058730E"/>
    <w:rsid w:val="005B41B1"/>
    <w:rsid w:val="005B609E"/>
    <w:rsid w:val="005E7446"/>
    <w:rsid w:val="005F03DD"/>
    <w:rsid w:val="005F1D69"/>
    <w:rsid w:val="00611F13"/>
    <w:rsid w:val="00627309"/>
    <w:rsid w:val="0065060B"/>
    <w:rsid w:val="00651C6A"/>
    <w:rsid w:val="00664D83"/>
    <w:rsid w:val="00674346"/>
    <w:rsid w:val="006955B0"/>
    <w:rsid w:val="00695F2F"/>
    <w:rsid w:val="006B007F"/>
    <w:rsid w:val="006D6D09"/>
    <w:rsid w:val="006D788B"/>
    <w:rsid w:val="006F2070"/>
    <w:rsid w:val="0070255F"/>
    <w:rsid w:val="00710844"/>
    <w:rsid w:val="00712F09"/>
    <w:rsid w:val="00746B0D"/>
    <w:rsid w:val="00770675"/>
    <w:rsid w:val="00792160"/>
    <w:rsid w:val="007A21F0"/>
    <w:rsid w:val="007C1FDD"/>
    <w:rsid w:val="007E2EAF"/>
    <w:rsid w:val="007F7686"/>
    <w:rsid w:val="007F7FCE"/>
    <w:rsid w:val="0080764E"/>
    <w:rsid w:val="008076B5"/>
    <w:rsid w:val="00870C7D"/>
    <w:rsid w:val="008778CA"/>
    <w:rsid w:val="008B0A2B"/>
    <w:rsid w:val="008B6AFE"/>
    <w:rsid w:val="0091091A"/>
    <w:rsid w:val="0093749B"/>
    <w:rsid w:val="00952696"/>
    <w:rsid w:val="00963C8C"/>
    <w:rsid w:val="00984CA3"/>
    <w:rsid w:val="009B0FB9"/>
    <w:rsid w:val="009D1815"/>
    <w:rsid w:val="009E0493"/>
    <w:rsid w:val="009E2CF0"/>
    <w:rsid w:val="00A01F55"/>
    <w:rsid w:val="00A10586"/>
    <w:rsid w:val="00A10B59"/>
    <w:rsid w:val="00A23FDC"/>
    <w:rsid w:val="00A402B0"/>
    <w:rsid w:val="00A40AD6"/>
    <w:rsid w:val="00A613C0"/>
    <w:rsid w:val="00AA500B"/>
    <w:rsid w:val="00AC78BF"/>
    <w:rsid w:val="00AD1204"/>
    <w:rsid w:val="00AF2C92"/>
    <w:rsid w:val="00B512DF"/>
    <w:rsid w:val="00B61C8F"/>
    <w:rsid w:val="00B727C8"/>
    <w:rsid w:val="00B85234"/>
    <w:rsid w:val="00BA2DA4"/>
    <w:rsid w:val="00BB1B6A"/>
    <w:rsid w:val="00BD0326"/>
    <w:rsid w:val="00BE39A1"/>
    <w:rsid w:val="00C822C9"/>
    <w:rsid w:val="00C85C3F"/>
    <w:rsid w:val="00C9244D"/>
    <w:rsid w:val="00CF760C"/>
    <w:rsid w:val="00D03171"/>
    <w:rsid w:val="00D220B0"/>
    <w:rsid w:val="00D506B5"/>
    <w:rsid w:val="00D53625"/>
    <w:rsid w:val="00D937BE"/>
    <w:rsid w:val="00DA11A0"/>
    <w:rsid w:val="00DB15C2"/>
    <w:rsid w:val="00DB3A1E"/>
    <w:rsid w:val="00DC61B0"/>
    <w:rsid w:val="00DF6DFD"/>
    <w:rsid w:val="00E032E3"/>
    <w:rsid w:val="00E17AD4"/>
    <w:rsid w:val="00E651AE"/>
    <w:rsid w:val="00E66A07"/>
    <w:rsid w:val="00E821C2"/>
    <w:rsid w:val="00EB529D"/>
    <w:rsid w:val="00EC537B"/>
    <w:rsid w:val="00ED7B71"/>
    <w:rsid w:val="00F00C06"/>
    <w:rsid w:val="00F03C91"/>
    <w:rsid w:val="00F06F4A"/>
    <w:rsid w:val="00F15A25"/>
    <w:rsid w:val="00F4342D"/>
    <w:rsid w:val="00F637A9"/>
    <w:rsid w:val="00F66A25"/>
    <w:rsid w:val="00F67E6A"/>
    <w:rsid w:val="00F725D1"/>
    <w:rsid w:val="00F819FE"/>
    <w:rsid w:val="00F87121"/>
    <w:rsid w:val="00F96BFE"/>
    <w:rsid w:val="00FB4A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5061B"/>
  <w15:chartTrackingRefBased/>
  <w15:docId w15:val="{68791913-EA81-44AD-AB1C-4D174A37B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FDC"/>
    <w:pPr>
      <w:spacing w:after="120" w:line="360" w:lineRule="auto"/>
    </w:pPr>
    <w:rPr>
      <w:rFonts w:ascii="Arial" w:eastAsiaTheme="minorEastAsia" w:hAnsi="Arial"/>
      <w:color w:val="333333"/>
      <w:kern w:val="0"/>
      <w:sz w:val="24"/>
      <w:lang w:val="en-US"/>
      <w14:ligatures w14:val="none"/>
    </w:rPr>
  </w:style>
  <w:style w:type="paragraph" w:styleId="Heading1">
    <w:name w:val="heading 1"/>
    <w:basedOn w:val="Normal"/>
    <w:next w:val="Normal"/>
    <w:link w:val="Heading1Char"/>
    <w:uiPriority w:val="9"/>
    <w:qFormat/>
    <w:rsid w:val="00DF6D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6D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6D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F6D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F6D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6D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D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D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D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D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6D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F6D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F6D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F6D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6D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6D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6D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6DFD"/>
    <w:rPr>
      <w:rFonts w:eastAsiaTheme="majorEastAsia" w:cstheme="majorBidi"/>
      <w:color w:val="272727" w:themeColor="text1" w:themeTint="D8"/>
    </w:rPr>
  </w:style>
  <w:style w:type="paragraph" w:styleId="Title">
    <w:name w:val="Title"/>
    <w:basedOn w:val="Normal"/>
    <w:next w:val="Normal"/>
    <w:link w:val="TitleChar"/>
    <w:uiPriority w:val="10"/>
    <w:qFormat/>
    <w:rsid w:val="00DF6D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D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6D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D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6DFD"/>
    <w:pPr>
      <w:spacing w:before="160"/>
      <w:jc w:val="center"/>
    </w:pPr>
    <w:rPr>
      <w:i/>
      <w:iCs/>
      <w:color w:val="404040" w:themeColor="text1" w:themeTint="BF"/>
    </w:rPr>
  </w:style>
  <w:style w:type="character" w:customStyle="1" w:styleId="QuoteChar">
    <w:name w:val="Quote Char"/>
    <w:basedOn w:val="DefaultParagraphFont"/>
    <w:link w:val="Quote"/>
    <w:uiPriority w:val="29"/>
    <w:rsid w:val="00DF6DFD"/>
    <w:rPr>
      <w:i/>
      <w:iCs/>
      <w:color w:val="404040" w:themeColor="text1" w:themeTint="BF"/>
    </w:rPr>
  </w:style>
  <w:style w:type="paragraph" w:styleId="ListParagraph">
    <w:name w:val="List Paragraph"/>
    <w:basedOn w:val="Normal"/>
    <w:uiPriority w:val="34"/>
    <w:qFormat/>
    <w:rsid w:val="00DF6DFD"/>
    <w:pPr>
      <w:ind w:left="720"/>
      <w:contextualSpacing/>
    </w:pPr>
  </w:style>
  <w:style w:type="character" w:styleId="IntenseEmphasis">
    <w:name w:val="Intense Emphasis"/>
    <w:basedOn w:val="DefaultParagraphFont"/>
    <w:uiPriority w:val="21"/>
    <w:qFormat/>
    <w:rsid w:val="00DF6DFD"/>
    <w:rPr>
      <w:i/>
      <w:iCs/>
      <w:color w:val="0F4761" w:themeColor="accent1" w:themeShade="BF"/>
    </w:rPr>
  </w:style>
  <w:style w:type="paragraph" w:styleId="IntenseQuote">
    <w:name w:val="Intense Quote"/>
    <w:basedOn w:val="Normal"/>
    <w:next w:val="Normal"/>
    <w:link w:val="IntenseQuoteChar"/>
    <w:uiPriority w:val="30"/>
    <w:qFormat/>
    <w:rsid w:val="00DF6D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6DFD"/>
    <w:rPr>
      <w:i/>
      <w:iCs/>
      <w:color w:val="0F4761" w:themeColor="accent1" w:themeShade="BF"/>
    </w:rPr>
  </w:style>
  <w:style w:type="character" w:styleId="IntenseReference">
    <w:name w:val="Intense Reference"/>
    <w:basedOn w:val="DefaultParagraphFont"/>
    <w:uiPriority w:val="32"/>
    <w:qFormat/>
    <w:rsid w:val="00DF6DFD"/>
    <w:rPr>
      <w:b/>
      <w:bCs/>
      <w:smallCaps/>
      <w:color w:val="0F4761" w:themeColor="accent1" w:themeShade="BF"/>
      <w:spacing w:val="5"/>
    </w:rPr>
  </w:style>
  <w:style w:type="character" w:customStyle="1" w:styleId="cursor-pointer">
    <w:name w:val="cursor-pointer"/>
    <w:basedOn w:val="DefaultParagraphFont"/>
    <w:rsid w:val="00DF6DFD"/>
  </w:style>
  <w:style w:type="table" w:styleId="TableGrid">
    <w:name w:val="Table Grid"/>
    <w:basedOn w:val="TableNormal"/>
    <w:uiPriority w:val="39"/>
    <w:rsid w:val="00AD1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F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F55"/>
    <w:rPr>
      <w:rFonts w:ascii="Arial" w:eastAsiaTheme="minorEastAsia" w:hAnsi="Arial"/>
      <w:color w:val="333333"/>
      <w:kern w:val="0"/>
      <w:sz w:val="24"/>
      <w:lang w:val="en-US"/>
      <w14:ligatures w14:val="none"/>
    </w:rPr>
  </w:style>
  <w:style w:type="paragraph" w:styleId="Footer">
    <w:name w:val="footer"/>
    <w:basedOn w:val="Normal"/>
    <w:link w:val="FooterChar"/>
    <w:uiPriority w:val="99"/>
    <w:unhideWhenUsed/>
    <w:rsid w:val="00A01F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F55"/>
    <w:rPr>
      <w:rFonts w:ascii="Arial" w:eastAsiaTheme="minorEastAsia" w:hAnsi="Arial"/>
      <w:color w:val="333333"/>
      <w:kern w:val="0"/>
      <w:sz w:val="24"/>
      <w:lang w:val="en-US"/>
      <w14:ligatures w14:val="none"/>
    </w:rPr>
  </w:style>
  <w:style w:type="paragraph" w:styleId="TOC1">
    <w:name w:val="toc 1"/>
    <w:basedOn w:val="Normal"/>
    <w:next w:val="Normal"/>
    <w:autoRedefine/>
    <w:uiPriority w:val="39"/>
    <w:unhideWhenUsed/>
    <w:rsid w:val="00E032E3"/>
    <w:pPr>
      <w:spacing w:after="100"/>
    </w:pPr>
  </w:style>
  <w:style w:type="paragraph" w:styleId="TOC2">
    <w:name w:val="toc 2"/>
    <w:basedOn w:val="Normal"/>
    <w:next w:val="Normal"/>
    <w:autoRedefine/>
    <w:uiPriority w:val="39"/>
    <w:unhideWhenUsed/>
    <w:rsid w:val="00E032E3"/>
    <w:pPr>
      <w:spacing w:after="100"/>
      <w:ind w:left="240"/>
    </w:pPr>
  </w:style>
  <w:style w:type="paragraph" w:styleId="TOC3">
    <w:name w:val="toc 3"/>
    <w:basedOn w:val="Normal"/>
    <w:next w:val="Normal"/>
    <w:autoRedefine/>
    <w:uiPriority w:val="39"/>
    <w:unhideWhenUsed/>
    <w:rsid w:val="00E032E3"/>
    <w:pPr>
      <w:spacing w:after="100"/>
      <w:ind w:left="480"/>
    </w:pPr>
  </w:style>
  <w:style w:type="character" w:styleId="Hyperlink">
    <w:name w:val="Hyperlink"/>
    <w:basedOn w:val="DefaultParagraphFont"/>
    <w:uiPriority w:val="99"/>
    <w:unhideWhenUsed/>
    <w:rsid w:val="00E032E3"/>
    <w:rPr>
      <w:color w:val="467886" w:themeColor="hyperlink"/>
      <w:u w:val="single"/>
    </w:rPr>
  </w:style>
  <w:style w:type="paragraph" w:styleId="TOC4">
    <w:name w:val="toc 4"/>
    <w:basedOn w:val="Normal"/>
    <w:next w:val="Normal"/>
    <w:autoRedefine/>
    <w:uiPriority w:val="39"/>
    <w:unhideWhenUsed/>
    <w:rsid w:val="004E0C65"/>
    <w:pPr>
      <w:spacing w:after="100"/>
      <w:ind w:left="720"/>
    </w:pPr>
  </w:style>
  <w:style w:type="paragraph" w:styleId="TOC5">
    <w:name w:val="toc 5"/>
    <w:basedOn w:val="Normal"/>
    <w:next w:val="Normal"/>
    <w:autoRedefine/>
    <w:uiPriority w:val="39"/>
    <w:unhideWhenUsed/>
    <w:rsid w:val="00664D83"/>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86B46-77CB-4D27-8D06-384EF176B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15</Pages>
  <Words>3545</Words>
  <Characters>20209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Priyanshi Parikh</dc:creator>
  <cp:keywords/>
  <dc:description/>
  <cp:lastModifiedBy>Priyanshi Parikh</cp:lastModifiedBy>
  <cp:revision>115</cp:revision>
  <dcterms:created xsi:type="dcterms:W3CDTF">2026-07-21T22:10:00Z</dcterms:created>
  <dcterms:modified xsi:type="dcterms:W3CDTF">2026-07-24T00:02:00Z</dcterms:modified>
</cp:coreProperties>
</file>