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76D19" w:rsidRDefault="00000000">
      <w:pPr>
        <w:ind w:firstLine="720"/>
        <w:rPr>
          <w:color w:val="1D2125"/>
          <w:highlight w:val="white"/>
        </w:rPr>
      </w:pPr>
      <w:r>
        <w:t xml:space="preserve">There are three key sources that touch upon Alexander’s relationship with the Eunuch and Persian courtesan </w:t>
      </w:r>
      <w:proofErr w:type="spellStart"/>
      <w:r>
        <w:t>Bagoas</w:t>
      </w:r>
      <w:proofErr w:type="spellEnd"/>
      <w:r>
        <w:t xml:space="preserve"> the Younger. These three sources are </w:t>
      </w:r>
      <w:proofErr w:type="spellStart"/>
      <w:r>
        <w:rPr>
          <w:color w:val="1D2125"/>
          <w:highlight w:val="white"/>
        </w:rPr>
        <w:t>Dicaearchus</w:t>
      </w:r>
      <w:proofErr w:type="spellEnd"/>
      <w:r>
        <w:rPr>
          <w:i/>
          <w:color w:val="1D2125"/>
          <w:highlight w:val="white"/>
        </w:rPr>
        <w:t xml:space="preserve"> </w:t>
      </w:r>
      <w:r>
        <w:rPr>
          <w:color w:val="1D2125"/>
          <w:highlight w:val="white"/>
        </w:rPr>
        <w:t>in Athenaeus 603b; Quintus Curtius Rufus</w:t>
      </w:r>
      <w:r>
        <w:rPr>
          <w:i/>
          <w:color w:val="1D2125"/>
          <w:highlight w:val="white"/>
        </w:rPr>
        <w:t xml:space="preserve"> </w:t>
      </w:r>
      <w:r>
        <w:rPr>
          <w:color w:val="1D2125"/>
          <w:highlight w:val="white"/>
        </w:rPr>
        <w:t>6.5.22-3; 10.1.22-42;</w:t>
      </w:r>
      <w:r>
        <w:rPr>
          <w:i/>
          <w:color w:val="1D2125"/>
          <w:highlight w:val="white"/>
        </w:rPr>
        <w:t xml:space="preserve"> </w:t>
      </w:r>
      <w:r>
        <w:rPr>
          <w:color w:val="1D2125"/>
          <w:highlight w:val="white"/>
        </w:rPr>
        <w:t>Plutarch</w:t>
      </w:r>
      <w:r>
        <w:rPr>
          <w:i/>
          <w:color w:val="1D2125"/>
          <w:highlight w:val="white"/>
        </w:rPr>
        <w:t xml:space="preserve"> Alexander</w:t>
      </w:r>
      <w:r>
        <w:rPr>
          <w:color w:val="1D2125"/>
          <w:highlight w:val="white"/>
        </w:rPr>
        <w:t xml:space="preserve"> 67. The three mentioned sources differ not only in length by quite a significant margin but also in how they view </w:t>
      </w:r>
      <w:proofErr w:type="spellStart"/>
      <w:r>
        <w:rPr>
          <w:color w:val="1D2125"/>
          <w:highlight w:val="white"/>
        </w:rPr>
        <w:t>Bagoas</w:t>
      </w:r>
      <w:proofErr w:type="spellEnd"/>
      <w:r>
        <w:rPr>
          <w:color w:val="1D2125"/>
          <w:highlight w:val="white"/>
        </w:rPr>
        <w:t xml:space="preserve">. This can be seen through the fact that the first given source, </w:t>
      </w:r>
      <w:proofErr w:type="spellStart"/>
      <w:r>
        <w:rPr>
          <w:color w:val="1D2125"/>
          <w:highlight w:val="white"/>
        </w:rPr>
        <w:t>Dicaearchus</w:t>
      </w:r>
      <w:proofErr w:type="spellEnd"/>
      <w:r>
        <w:rPr>
          <w:i/>
          <w:color w:val="1D2125"/>
          <w:highlight w:val="white"/>
        </w:rPr>
        <w:t xml:space="preserve"> </w:t>
      </w:r>
      <w:r>
        <w:rPr>
          <w:color w:val="1D2125"/>
          <w:highlight w:val="white"/>
        </w:rPr>
        <w:t xml:space="preserve">in Athenaeus 603b, portrays the relationship between Alexander the Great and </w:t>
      </w:r>
      <w:proofErr w:type="spellStart"/>
      <w:r>
        <w:rPr>
          <w:color w:val="1D2125"/>
          <w:highlight w:val="white"/>
        </w:rPr>
        <w:t>Bagoas</w:t>
      </w:r>
      <w:proofErr w:type="spellEnd"/>
      <w:r>
        <w:rPr>
          <w:color w:val="1D2125"/>
          <w:highlight w:val="white"/>
        </w:rPr>
        <w:t xml:space="preserve"> the Younger as sweet and tender. This can most clearly be seen through the line “he [Alexander] bent back and kissed him [</w:t>
      </w:r>
      <w:proofErr w:type="spellStart"/>
      <w:r>
        <w:rPr>
          <w:color w:val="1D2125"/>
          <w:highlight w:val="white"/>
        </w:rPr>
        <w:t>Bagoas</w:t>
      </w:r>
      <w:proofErr w:type="spellEnd"/>
      <w:r>
        <w:rPr>
          <w:color w:val="1D2125"/>
          <w:highlight w:val="white"/>
        </w:rPr>
        <w:t>] deeply”.</w:t>
      </w:r>
      <w:r>
        <w:rPr>
          <w:color w:val="1D2125"/>
          <w:highlight w:val="white"/>
          <w:vertAlign w:val="superscript"/>
        </w:rPr>
        <w:footnoteReference w:id="1"/>
      </w:r>
      <w:r>
        <w:rPr>
          <w:color w:val="1D2125"/>
          <w:highlight w:val="white"/>
        </w:rPr>
        <w:t xml:space="preserve"> This shows that </w:t>
      </w:r>
      <w:proofErr w:type="spellStart"/>
      <w:r>
        <w:rPr>
          <w:color w:val="1D2125"/>
          <w:highlight w:val="white"/>
        </w:rPr>
        <w:t>Dicaearchus</w:t>
      </w:r>
      <w:proofErr w:type="spellEnd"/>
      <w:r>
        <w:rPr>
          <w:color w:val="1D2125"/>
          <w:highlight w:val="white"/>
        </w:rPr>
        <w:t xml:space="preserve"> ultimately saw the relationship between Alexander the Great </w:t>
      </w:r>
      <w:proofErr w:type="gramStart"/>
      <w:r>
        <w:rPr>
          <w:color w:val="1D2125"/>
          <w:highlight w:val="white"/>
        </w:rPr>
        <w:t xml:space="preserve">and  </w:t>
      </w:r>
      <w:proofErr w:type="spellStart"/>
      <w:r>
        <w:rPr>
          <w:color w:val="1D2125"/>
          <w:highlight w:val="white"/>
        </w:rPr>
        <w:t>Bagoas</w:t>
      </w:r>
      <w:proofErr w:type="spellEnd"/>
      <w:proofErr w:type="gramEnd"/>
      <w:r>
        <w:rPr>
          <w:color w:val="1D2125"/>
          <w:highlight w:val="white"/>
        </w:rPr>
        <w:t xml:space="preserve"> the Younger in a positive light. This idea of </w:t>
      </w:r>
      <w:proofErr w:type="spellStart"/>
      <w:r>
        <w:rPr>
          <w:color w:val="1D2125"/>
          <w:highlight w:val="white"/>
        </w:rPr>
        <w:t>Dicaearchus</w:t>
      </w:r>
      <w:proofErr w:type="spellEnd"/>
      <w:r>
        <w:rPr>
          <w:color w:val="1D2125"/>
          <w:highlight w:val="white"/>
        </w:rPr>
        <w:t xml:space="preserve"> viewing the relationship between </w:t>
      </w:r>
      <w:proofErr w:type="spellStart"/>
      <w:r>
        <w:rPr>
          <w:color w:val="1D2125"/>
          <w:highlight w:val="white"/>
        </w:rPr>
        <w:t>Bagoas</w:t>
      </w:r>
      <w:proofErr w:type="spellEnd"/>
      <w:r>
        <w:rPr>
          <w:color w:val="1D2125"/>
          <w:highlight w:val="white"/>
        </w:rPr>
        <w:t xml:space="preserve"> the Younger and Alexander the Great  as positive is also supported by the line “the audience shouted approval and applauded, he did as they bid and bent back and kissed him again.”</w:t>
      </w:r>
      <w:r>
        <w:rPr>
          <w:color w:val="1D2125"/>
          <w:highlight w:val="white"/>
          <w:vertAlign w:val="superscript"/>
        </w:rPr>
        <w:footnoteReference w:id="2"/>
      </w:r>
      <w:r>
        <w:rPr>
          <w:color w:val="1D2125"/>
          <w:highlight w:val="white"/>
        </w:rPr>
        <w:t xml:space="preserve"> From this line it is clear that </w:t>
      </w:r>
      <w:proofErr w:type="spellStart"/>
      <w:r>
        <w:rPr>
          <w:color w:val="1D2125"/>
          <w:highlight w:val="white"/>
        </w:rPr>
        <w:t>Dicaearchus</w:t>
      </w:r>
      <w:proofErr w:type="spellEnd"/>
      <w:r>
        <w:rPr>
          <w:color w:val="1D2125"/>
          <w:highlight w:val="white"/>
        </w:rPr>
        <w:t xml:space="preserve"> views Alexander and </w:t>
      </w:r>
      <w:proofErr w:type="spellStart"/>
      <w:r>
        <w:rPr>
          <w:color w:val="1D2125"/>
          <w:highlight w:val="white"/>
        </w:rPr>
        <w:t>Bagoas</w:t>
      </w:r>
      <w:proofErr w:type="spellEnd"/>
      <w:r>
        <w:rPr>
          <w:color w:val="1D2125"/>
          <w:highlight w:val="white"/>
        </w:rPr>
        <w:t xml:space="preserve">’ relationship as positive as his own thoughts on the relationship is reflected through the reaction that the crowd that is present during the described moment. Due to this fact it is possible to speculate that the audience could be representing a stand in for the author, in this case, </w:t>
      </w:r>
      <w:proofErr w:type="spellStart"/>
      <w:r>
        <w:rPr>
          <w:color w:val="1D2125"/>
          <w:highlight w:val="white"/>
        </w:rPr>
        <w:t>Dicaearchus</w:t>
      </w:r>
      <w:proofErr w:type="spellEnd"/>
      <w:r>
        <w:rPr>
          <w:color w:val="1D2125"/>
          <w:highlight w:val="white"/>
        </w:rPr>
        <w:t xml:space="preserve">. </w:t>
      </w:r>
    </w:p>
    <w:p w14:paraId="00000002" w14:textId="77777777" w:rsidR="00E76D19" w:rsidRDefault="00000000">
      <w:pPr>
        <w:ind w:firstLine="720"/>
      </w:pPr>
      <w:proofErr w:type="spellStart"/>
      <w:r>
        <w:rPr>
          <w:color w:val="1D2125"/>
          <w:highlight w:val="white"/>
        </w:rPr>
        <w:t>Dicaearchus</w:t>
      </w:r>
      <w:proofErr w:type="spellEnd"/>
      <w:r>
        <w:rPr>
          <w:color w:val="1D2125"/>
          <w:highlight w:val="white"/>
        </w:rPr>
        <w:t xml:space="preserve">’ positive view of the relationship between Alexander the Great and </w:t>
      </w:r>
      <w:proofErr w:type="spellStart"/>
      <w:r>
        <w:rPr>
          <w:color w:val="1D2125"/>
          <w:highlight w:val="white"/>
        </w:rPr>
        <w:t>Bagoas</w:t>
      </w:r>
      <w:proofErr w:type="spellEnd"/>
      <w:r>
        <w:rPr>
          <w:color w:val="1D2125"/>
          <w:highlight w:val="white"/>
        </w:rPr>
        <w:t xml:space="preserve"> the Younger that is shown in the first given source, is in direct contrast to the views shown by Quintus Curtius Rufus in the second given source. Quintus Curtius Rufus is overwhelmingly negative towards </w:t>
      </w:r>
      <w:proofErr w:type="spellStart"/>
      <w:r>
        <w:rPr>
          <w:color w:val="1D2125"/>
          <w:highlight w:val="white"/>
        </w:rPr>
        <w:t>Bagoas</w:t>
      </w:r>
      <w:proofErr w:type="spellEnd"/>
      <w:r>
        <w:rPr>
          <w:color w:val="1D2125"/>
          <w:highlight w:val="white"/>
        </w:rPr>
        <w:t xml:space="preserve"> </w:t>
      </w:r>
      <w:proofErr w:type="gramStart"/>
      <w:r>
        <w:rPr>
          <w:color w:val="1D2125"/>
          <w:highlight w:val="white"/>
        </w:rPr>
        <w:t>in particular describing</w:t>
      </w:r>
      <w:proofErr w:type="gramEnd"/>
      <w:r>
        <w:rPr>
          <w:color w:val="1D2125"/>
          <w:highlight w:val="white"/>
        </w:rPr>
        <w:t xml:space="preserve"> him as a “harlot””</w:t>
      </w:r>
      <w:r>
        <w:rPr>
          <w:color w:val="1D2125"/>
          <w:highlight w:val="white"/>
          <w:vertAlign w:val="superscript"/>
        </w:rPr>
        <w:footnoteReference w:id="3"/>
      </w:r>
      <w:r>
        <w:rPr>
          <w:color w:val="1D2125"/>
          <w:highlight w:val="white"/>
        </w:rPr>
        <w:t xml:space="preserve"> by the Persian </w:t>
      </w:r>
      <w:proofErr w:type="spellStart"/>
      <w:r>
        <w:rPr>
          <w:color w:val="1D2125"/>
          <w:highlight w:val="white"/>
        </w:rPr>
        <w:t>Nabarzanes</w:t>
      </w:r>
      <w:proofErr w:type="spellEnd"/>
      <w:r>
        <w:rPr>
          <w:color w:val="1D2125"/>
          <w:highlight w:val="white"/>
        </w:rPr>
        <w:t xml:space="preserve">. This shows that Quintus Curtius Rufus viewed the relationship between Alexander the great and </w:t>
      </w:r>
      <w:proofErr w:type="spellStart"/>
      <w:r>
        <w:rPr>
          <w:color w:val="1D2125"/>
          <w:highlight w:val="white"/>
        </w:rPr>
        <w:t>Bagoas</w:t>
      </w:r>
      <w:proofErr w:type="spellEnd"/>
      <w:r>
        <w:rPr>
          <w:color w:val="1D2125"/>
          <w:highlight w:val="white"/>
        </w:rPr>
        <w:t xml:space="preserve"> the Younger as a negative one with his use of the phrase “not the custom of the Persians to mate with males who made females of themselves by prostitution.” This implies that the author of the second provided source is incredibly disapproving of the relationship between Alexander the Great and </w:t>
      </w:r>
      <w:proofErr w:type="spellStart"/>
      <w:r>
        <w:rPr>
          <w:color w:val="1D2125"/>
          <w:highlight w:val="white"/>
        </w:rPr>
        <w:t>Bagoas</w:t>
      </w:r>
      <w:proofErr w:type="spellEnd"/>
      <w:r>
        <w:rPr>
          <w:color w:val="1D2125"/>
          <w:highlight w:val="white"/>
        </w:rPr>
        <w:t xml:space="preserve"> the Younger and to an extent, disapproving of the inclusion of </w:t>
      </w:r>
      <w:proofErr w:type="spellStart"/>
      <w:r>
        <w:rPr>
          <w:color w:val="1D2125"/>
          <w:highlight w:val="white"/>
        </w:rPr>
        <w:t>Bagoas</w:t>
      </w:r>
      <w:proofErr w:type="spellEnd"/>
      <w:r>
        <w:rPr>
          <w:color w:val="1D2125"/>
          <w:highlight w:val="white"/>
        </w:rPr>
        <w:t xml:space="preserve"> the Younger and eunuchs in general in the court of Alexander the Great. There is also the fact that the rest of the members of Alexander the Great’s court seemed to be outraged by </w:t>
      </w:r>
      <w:proofErr w:type="spellStart"/>
      <w:r>
        <w:rPr>
          <w:color w:val="1D2125"/>
          <w:highlight w:val="white"/>
        </w:rPr>
        <w:t>Nabarazanes</w:t>
      </w:r>
      <w:proofErr w:type="spellEnd"/>
      <w:r>
        <w:rPr>
          <w:color w:val="1D2125"/>
          <w:highlight w:val="white"/>
        </w:rPr>
        <w:t xml:space="preserve"> comments about </w:t>
      </w:r>
      <w:proofErr w:type="spellStart"/>
      <w:r>
        <w:rPr>
          <w:color w:val="1D2125"/>
          <w:highlight w:val="white"/>
        </w:rPr>
        <w:t>Bagoas</w:t>
      </w:r>
      <w:proofErr w:type="spellEnd"/>
      <w:r>
        <w:rPr>
          <w:color w:val="1D2125"/>
          <w:highlight w:val="white"/>
        </w:rPr>
        <w:t xml:space="preserve"> the Younger as seen through the line “...and on being admonished by some that </w:t>
      </w:r>
      <w:proofErr w:type="spellStart"/>
      <w:r>
        <w:rPr>
          <w:color w:val="1D2125"/>
          <w:highlight w:val="white"/>
        </w:rPr>
        <w:t>Bagoas</w:t>
      </w:r>
      <w:proofErr w:type="spellEnd"/>
      <w:r>
        <w:rPr>
          <w:color w:val="1D2125"/>
          <w:highlight w:val="white"/>
        </w:rPr>
        <w:t xml:space="preserve"> was dear to Alexander”</w:t>
      </w:r>
      <w:r>
        <w:rPr>
          <w:color w:val="1D2125"/>
          <w:highlight w:val="white"/>
          <w:vertAlign w:val="superscript"/>
        </w:rPr>
        <w:footnoteReference w:id="4"/>
      </w:r>
      <w:r>
        <w:rPr>
          <w:color w:val="1D2125"/>
          <w:highlight w:val="white"/>
        </w:rPr>
        <w:t xml:space="preserve">. This line seems to imply that the </w:t>
      </w:r>
      <w:proofErr w:type="spellStart"/>
      <w:r>
        <w:rPr>
          <w:color w:val="1D2125"/>
          <w:highlight w:val="white"/>
        </w:rPr>
        <w:t>the</w:t>
      </w:r>
      <w:proofErr w:type="spellEnd"/>
      <w:r>
        <w:rPr>
          <w:color w:val="1D2125"/>
          <w:highlight w:val="white"/>
        </w:rPr>
        <w:t xml:space="preserve"> views of the Persian </w:t>
      </w:r>
      <w:proofErr w:type="spellStart"/>
      <w:r>
        <w:rPr>
          <w:color w:val="1D2125"/>
          <w:highlight w:val="white"/>
        </w:rPr>
        <w:t>Nabarazane</w:t>
      </w:r>
      <w:proofErr w:type="spellEnd"/>
      <w:r>
        <w:rPr>
          <w:color w:val="1D2125"/>
          <w:highlight w:val="white"/>
        </w:rPr>
        <w:t xml:space="preserve"> are not reflected by the Courtesans of Alexander the Great as the text seems to imply that the members of Alexander’s court that are present for this interaction are aware of the importance that the relationship between Alexander the Great and </w:t>
      </w:r>
      <w:proofErr w:type="spellStart"/>
      <w:r>
        <w:rPr>
          <w:color w:val="1D2125"/>
          <w:highlight w:val="white"/>
        </w:rPr>
        <w:t>Bagoas</w:t>
      </w:r>
      <w:proofErr w:type="spellEnd"/>
      <w:r>
        <w:rPr>
          <w:color w:val="1D2125"/>
          <w:highlight w:val="white"/>
        </w:rPr>
        <w:t xml:space="preserve"> the Younger. The fact that the importance of the relationship between Alexander and </w:t>
      </w:r>
      <w:proofErr w:type="spellStart"/>
      <w:r>
        <w:rPr>
          <w:color w:val="1D2125"/>
          <w:highlight w:val="white"/>
        </w:rPr>
        <w:t>Bagoas</w:t>
      </w:r>
      <w:proofErr w:type="spellEnd"/>
      <w:r>
        <w:rPr>
          <w:color w:val="1D2125"/>
          <w:highlight w:val="white"/>
        </w:rPr>
        <w:t xml:space="preserve"> is mentioned shows that</w:t>
      </w:r>
      <w:r>
        <w:t xml:space="preserve"> Quintus Curtius Rufus is familiar with the positive views on this relationship that were reportedly held by the members of Alexander the Great’s court.</w:t>
      </w:r>
      <w:r>
        <w:rPr>
          <w:sz w:val="20"/>
          <w:szCs w:val="20"/>
        </w:rPr>
        <w:t xml:space="preserve"> </w:t>
      </w:r>
      <w:r>
        <w:t xml:space="preserve">Quintus Curtius Rufus’ understanding of the special relationship between Alexander the Great and </w:t>
      </w:r>
      <w:proofErr w:type="spellStart"/>
      <w:r>
        <w:t>Bagoas</w:t>
      </w:r>
      <w:proofErr w:type="spellEnd"/>
      <w:r>
        <w:t xml:space="preserve"> the Younger is further shown through the later part of the given extract in which Alexander enters the tomb of the Persian King Cyrus with </w:t>
      </w:r>
      <w:proofErr w:type="spellStart"/>
      <w:r>
        <w:t>Bagoas</w:t>
      </w:r>
      <w:proofErr w:type="spellEnd"/>
      <w:r>
        <w:t xml:space="preserve"> in attendance. The fact that Quintus Curtius Rufus includes</w:t>
      </w:r>
      <w:r>
        <w:rPr>
          <w:sz w:val="20"/>
          <w:szCs w:val="20"/>
        </w:rPr>
        <w:t xml:space="preserve"> </w:t>
      </w:r>
      <w:proofErr w:type="spellStart"/>
      <w:r>
        <w:t>Bagoas</w:t>
      </w:r>
      <w:proofErr w:type="spellEnd"/>
      <w:r>
        <w:t xml:space="preserve">’ attendance in this matter shows that the relationship between Alexander the Great and </w:t>
      </w:r>
      <w:proofErr w:type="spellStart"/>
      <w:r>
        <w:t>Bagoas</w:t>
      </w:r>
      <w:proofErr w:type="spellEnd"/>
      <w:r>
        <w:t xml:space="preserve"> the Younger was important otherwise it wouldn’t have been included within the text written by</w:t>
      </w:r>
      <w:r>
        <w:rPr>
          <w:sz w:val="20"/>
          <w:szCs w:val="20"/>
        </w:rPr>
        <w:t xml:space="preserve"> </w:t>
      </w:r>
      <w:r>
        <w:t xml:space="preserve">Quintus Curtius Rufus. To counter the positivity </w:t>
      </w:r>
      <w:r>
        <w:lastRenderedPageBreak/>
        <w:t xml:space="preserve">that </w:t>
      </w:r>
      <w:r>
        <w:rPr>
          <w:sz w:val="20"/>
          <w:szCs w:val="20"/>
        </w:rPr>
        <w:t xml:space="preserve"> </w:t>
      </w:r>
      <w:r>
        <w:t xml:space="preserve">Quintus Curtius Rufus includes in his writing, there is the fact that towards the end of the given extract Quintus Curtius Rufus paints </w:t>
      </w:r>
      <w:proofErr w:type="spellStart"/>
      <w:r>
        <w:t>Bagoas</w:t>
      </w:r>
      <w:proofErr w:type="spellEnd"/>
      <w:r>
        <w:t xml:space="preserve"> the Younger as the power behind Alexander the Great’s reign as shown through the line “this however is something new, for a eunuch to reign!”</w:t>
      </w:r>
      <w:r>
        <w:rPr>
          <w:vertAlign w:val="superscript"/>
        </w:rPr>
        <w:footnoteReference w:id="5"/>
      </w:r>
      <w:r>
        <w:t xml:space="preserve"> This line that is attributed to the Persian </w:t>
      </w:r>
      <w:proofErr w:type="spellStart"/>
      <w:r>
        <w:t>Orsines</w:t>
      </w:r>
      <w:proofErr w:type="spellEnd"/>
      <w:r>
        <w:t xml:space="preserve"> shows that the relationship between Alexander the Great and </w:t>
      </w:r>
      <w:proofErr w:type="spellStart"/>
      <w:r>
        <w:t>Bagoas</w:t>
      </w:r>
      <w:proofErr w:type="spellEnd"/>
      <w:r>
        <w:t xml:space="preserve"> the Younger was not universally seen as the positive thing that it was depicted as by the court of Alexander the Great. </w:t>
      </w:r>
    </w:p>
    <w:p w14:paraId="00000003" w14:textId="77777777" w:rsidR="00E76D19" w:rsidRDefault="00000000">
      <w:pPr>
        <w:ind w:firstLine="720"/>
      </w:pPr>
      <w:r>
        <w:t xml:space="preserve">In the final given extract, from Plutarch </w:t>
      </w:r>
      <w:r>
        <w:rPr>
          <w:i/>
        </w:rPr>
        <w:t>Alexander</w:t>
      </w:r>
      <w:r>
        <w:t xml:space="preserve"> 67, the depiction of </w:t>
      </w:r>
      <w:proofErr w:type="spellStart"/>
      <w:r>
        <w:t>Bagoas</w:t>
      </w:r>
      <w:proofErr w:type="spellEnd"/>
      <w:r>
        <w:t xml:space="preserve"> the Younger is shown as positive. This is </w:t>
      </w:r>
      <w:proofErr w:type="gramStart"/>
      <w:r>
        <w:t>similar to</w:t>
      </w:r>
      <w:proofErr w:type="gramEnd"/>
      <w:r>
        <w:t xml:space="preserve"> how the relationship between Alexander the Great and </w:t>
      </w:r>
      <w:proofErr w:type="spellStart"/>
      <w:r>
        <w:t>Bagoas</w:t>
      </w:r>
      <w:proofErr w:type="spellEnd"/>
      <w:r>
        <w:t xml:space="preserve"> the Younger is depicted in the first given extract that was written by </w:t>
      </w:r>
      <w:proofErr w:type="spellStart"/>
      <w:r>
        <w:rPr>
          <w:color w:val="1D2125"/>
          <w:highlight w:val="white"/>
        </w:rPr>
        <w:t>Dicaearchus</w:t>
      </w:r>
      <w:proofErr w:type="spellEnd"/>
      <w:r>
        <w:rPr>
          <w:color w:val="1D2125"/>
          <w:highlight w:val="white"/>
        </w:rPr>
        <w:t xml:space="preserve">. This can be seen by the quote from Plutarch </w:t>
      </w:r>
      <w:proofErr w:type="gramStart"/>
      <w:r>
        <w:rPr>
          <w:color w:val="1D2125"/>
          <w:highlight w:val="white"/>
        </w:rPr>
        <w:t>“ the</w:t>
      </w:r>
      <w:proofErr w:type="gramEnd"/>
      <w:r>
        <w:rPr>
          <w:color w:val="1D2125"/>
          <w:highlight w:val="white"/>
        </w:rPr>
        <w:t xml:space="preserve"> Macedonians clapped their hands and loudly bade the king kiss the victor, until at last he threw his arms about him and kissed him tenderly.”</w:t>
      </w:r>
      <w:r>
        <w:rPr>
          <w:color w:val="1D2125"/>
          <w:highlight w:val="white"/>
          <w:vertAlign w:val="superscript"/>
        </w:rPr>
        <w:footnoteReference w:id="6"/>
      </w:r>
      <w:r>
        <w:rPr>
          <w:color w:val="1D2125"/>
          <w:highlight w:val="white"/>
        </w:rPr>
        <w:t xml:space="preserve"> This line shows that the Macedonians members of Alexander the Great’s court saw the relationship between Alexander and </w:t>
      </w:r>
      <w:proofErr w:type="spellStart"/>
      <w:r>
        <w:rPr>
          <w:color w:val="1D2125"/>
          <w:highlight w:val="white"/>
        </w:rPr>
        <w:t>Bagoas</w:t>
      </w:r>
      <w:proofErr w:type="spellEnd"/>
      <w:r>
        <w:rPr>
          <w:color w:val="1D2125"/>
          <w:highlight w:val="white"/>
        </w:rPr>
        <w:t xml:space="preserve"> as positive and something that was filled with love. This is linked back to the idea that is explored within the earlier given extracts that were written by Quintus Curtius Rufus and </w:t>
      </w:r>
      <w:proofErr w:type="spellStart"/>
      <w:r>
        <w:rPr>
          <w:color w:val="1D2125"/>
          <w:highlight w:val="white"/>
        </w:rPr>
        <w:t>Dicaearchus</w:t>
      </w:r>
      <w:proofErr w:type="spellEnd"/>
      <w:r>
        <w:rPr>
          <w:color w:val="1D2125"/>
          <w:highlight w:val="white"/>
        </w:rPr>
        <w:t xml:space="preserve">. For the most part, these extracts talk about the relationship between Alexander the Great and </w:t>
      </w:r>
      <w:proofErr w:type="spellStart"/>
      <w:r>
        <w:rPr>
          <w:color w:val="1D2125"/>
          <w:highlight w:val="white"/>
        </w:rPr>
        <w:t>Bagoas</w:t>
      </w:r>
      <w:proofErr w:type="spellEnd"/>
      <w:r>
        <w:rPr>
          <w:color w:val="1D2125"/>
          <w:highlight w:val="white"/>
        </w:rPr>
        <w:t xml:space="preserve"> the Younger and paint it in a positive light. While </w:t>
      </w:r>
      <w:proofErr w:type="spellStart"/>
      <w:r>
        <w:rPr>
          <w:color w:val="1D2125"/>
          <w:highlight w:val="white"/>
        </w:rPr>
        <w:t>Dicaearchus</w:t>
      </w:r>
      <w:proofErr w:type="spellEnd"/>
      <w:r>
        <w:rPr>
          <w:color w:val="1D2125"/>
          <w:highlight w:val="white"/>
        </w:rPr>
        <w:t xml:space="preserve"> and Plutarch talk about the relationship between </w:t>
      </w:r>
      <w:proofErr w:type="spellStart"/>
      <w:r>
        <w:rPr>
          <w:color w:val="1D2125"/>
          <w:highlight w:val="white"/>
        </w:rPr>
        <w:t>Bagoas</w:t>
      </w:r>
      <w:proofErr w:type="spellEnd"/>
      <w:r>
        <w:rPr>
          <w:color w:val="1D2125"/>
          <w:highlight w:val="white"/>
        </w:rPr>
        <w:t xml:space="preserve"> and Alexander as positive and show them as a loving partnership. This </w:t>
      </w:r>
      <w:proofErr w:type="gramStart"/>
      <w:r>
        <w:rPr>
          <w:color w:val="1D2125"/>
          <w:highlight w:val="white"/>
        </w:rPr>
        <w:t>is in contrast to</w:t>
      </w:r>
      <w:proofErr w:type="gramEnd"/>
      <w:r>
        <w:rPr>
          <w:color w:val="1D2125"/>
          <w:highlight w:val="white"/>
        </w:rPr>
        <w:t xml:space="preserve"> how the relationship between Alexander and </w:t>
      </w:r>
      <w:proofErr w:type="spellStart"/>
      <w:r>
        <w:rPr>
          <w:color w:val="1D2125"/>
          <w:highlight w:val="white"/>
        </w:rPr>
        <w:t>Bagoas</w:t>
      </w:r>
      <w:proofErr w:type="spellEnd"/>
      <w:r>
        <w:rPr>
          <w:color w:val="1D2125"/>
          <w:highlight w:val="white"/>
        </w:rPr>
        <w:t xml:space="preserve"> is depicted within the writings of Quintus Curtius Rufus in which it is then again shown as a positive thing within the Macedonian Court but as a negative thing by the </w:t>
      </w:r>
      <w:proofErr w:type="spellStart"/>
      <w:r>
        <w:rPr>
          <w:color w:val="1D2125"/>
          <w:highlight w:val="white"/>
        </w:rPr>
        <w:t>persians</w:t>
      </w:r>
      <w:proofErr w:type="spellEnd"/>
      <w:r>
        <w:rPr>
          <w:color w:val="1D2125"/>
          <w:highlight w:val="white"/>
        </w:rPr>
        <w:t xml:space="preserve">. </w:t>
      </w:r>
    </w:p>
    <w:sectPr w:rsidR="00E76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689F4" w14:textId="77777777" w:rsidR="00DE3B51" w:rsidRDefault="00DE3B51">
      <w:pPr>
        <w:spacing w:line="240" w:lineRule="auto"/>
      </w:pPr>
      <w:r>
        <w:separator/>
      </w:r>
    </w:p>
  </w:endnote>
  <w:endnote w:type="continuationSeparator" w:id="0">
    <w:p w14:paraId="444641B6" w14:textId="77777777" w:rsidR="00DE3B51" w:rsidRDefault="00DE3B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5632D" w14:textId="77777777" w:rsidR="00DE3B51" w:rsidRDefault="00DE3B51">
      <w:pPr>
        <w:spacing w:line="240" w:lineRule="auto"/>
      </w:pPr>
      <w:r>
        <w:separator/>
      </w:r>
    </w:p>
  </w:footnote>
  <w:footnote w:type="continuationSeparator" w:id="0">
    <w:p w14:paraId="21835EC7" w14:textId="77777777" w:rsidR="00DE3B51" w:rsidRDefault="00DE3B51">
      <w:pPr>
        <w:spacing w:line="240" w:lineRule="auto"/>
      </w:pPr>
      <w:r>
        <w:continuationSeparator/>
      </w:r>
    </w:p>
  </w:footnote>
  <w:footnote w:id="1">
    <w:p w14:paraId="00000004" w14:textId="77777777" w:rsidR="00E76D19" w:rsidRDefault="00000000">
      <w:pPr>
        <w:spacing w:line="240" w:lineRule="auto"/>
        <w:rPr>
          <w:sz w:val="20"/>
          <w:szCs w:val="20"/>
        </w:rPr>
      </w:pPr>
      <w:r>
        <w:rPr>
          <w:vertAlign w:val="superscript"/>
        </w:rPr>
        <w:footnoteRef/>
      </w:r>
      <w:r>
        <w:rPr>
          <w:sz w:val="20"/>
          <w:szCs w:val="20"/>
        </w:rPr>
        <w:t xml:space="preserve"> </w:t>
      </w:r>
      <w:proofErr w:type="spellStart"/>
      <w:r>
        <w:rPr>
          <w:sz w:val="20"/>
          <w:szCs w:val="20"/>
        </w:rPr>
        <w:t>Dicaearchus</w:t>
      </w:r>
      <w:proofErr w:type="spellEnd"/>
      <w:r>
        <w:rPr>
          <w:sz w:val="20"/>
          <w:szCs w:val="20"/>
        </w:rPr>
        <w:t xml:space="preserve"> in Athenaeus 603b</w:t>
      </w:r>
    </w:p>
  </w:footnote>
  <w:footnote w:id="2">
    <w:p w14:paraId="00000005" w14:textId="77777777" w:rsidR="00E76D19" w:rsidRDefault="00000000">
      <w:pPr>
        <w:spacing w:line="240" w:lineRule="auto"/>
        <w:rPr>
          <w:sz w:val="20"/>
          <w:szCs w:val="20"/>
        </w:rPr>
      </w:pPr>
      <w:r>
        <w:rPr>
          <w:vertAlign w:val="superscript"/>
        </w:rPr>
        <w:footnoteRef/>
      </w:r>
      <w:r>
        <w:rPr>
          <w:sz w:val="20"/>
          <w:szCs w:val="20"/>
        </w:rPr>
        <w:t xml:space="preserve"> Ibid  </w:t>
      </w:r>
    </w:p>
  </w:footnote>
  <w:footnote w:id="3">
    <w:p w14:paraId="00000006" w14:textId="77777777" w:rsidR="00E76D19" w:rsidRDefault="00000000">
      <w:pPr>
        <w:spacing w:line="240" w:lineRule="auto"/>
        <w:rPr>
          <w:sz w:val="20"/>
          <w:szCs w:val="20"/>
        </w:rPr>
      </w:pPr>
      <w:r>
        <w:rPr>
          <w:vertAlign w:val="superscript"/>
        </w:rPr>
        <w:footnoteRef/>
      </w:r>
      <w:r>
        <w:rPr>
          <w:sz w:val="20"/>
          <w:szCs w:val="20"/>
        </w:rPr>
        <w:t xml:space="preserve"> Quintus Curtius Rufus (6.5.22-3; 10.1.22-42) </w:t>
      </w:r>
    </w:p>
  </w:footnote>
  <w:footnote w:id="4">
    <w:p w14:paraId="00000007" w14:textId="77777777" w:rsidR="00E76D19" w:rsidRDefault="00000000">
      <w:pPr>
        <w:spacing w:line="240" w:lineRule="auto"/>
        <w:rPr>
          <w:sz w:val="20"/>
          <w:szCs w:val="20"/>
        </w:rPr>
      </w:pPr>
      <w:r>
        <w:rPr>
          <w:vertAlign w:val="superscript"/>
        </w:rPr>
        <w:footnoteRef/>
      </w:r>
      <w:r>
        <w:rPr>
          <w:sz w:val="20"/>
          <w:szCs w:val="20"/>
        </w:rPr>
        <w:t xml:space="preserve"> Quintus Curtius Rufus (6.5.22-3; 10.1.22-42) </w:t>
      </w:r>
    </w:p>
  </w:footnote>
  <w:footnote w:id="5">
    <w:p w14:paraId="00000008" w14:textId="77777777" w:rsidR="00E76D19" w:rsidRDefault="00000000">
      <w:pPr>
        <w:spacing w:line="240" w:lineRule="auto"/>
        <w:rPr>
          <w:sz w:val="20"/>
          <w:szCs w:val="20"/>
        </w:rPr>
      </w:pPr>
      <w:r>
        <w:rPr>
          <w:vertAlign w:val="superscript"/>
        </w:rPr>
        <w:footnoteRef/>
      </w:r>
      <w:r>
        <w:rPr>
          <w:sz w:val="20"/>
          <w:szCs w:val="20"/>
        </w:rPr>
        <w:t xml:space="preserve"> Quintus Curtius Rufus (6.5.22-3; 10.1.22-42) </w:t>
      </w:r>
    </w:p>
  </w:footnote>
  <w:footnote w:id="6">
    <w:p w14:paraId="00000009" w14:textId="77777777" w:rsidR="00E76D19" w:rsidRDefault="00000000">
      <w:pPr>
        <w:spacing w:line="240" w:lineRule="auto"/>
        <w:rPr>
          <w:sz w:val="20"/>
          <w:szCs w:val="20"/>
        </w:rPr>
      </w:pPr>
      <w:r>
        <w:rPr>
          <w:vertAlign w:val="superscript"/>
        </w:rPr>
        <w:footnoteRef/>
      </w:r>
      <w:r>
        <w:rPr>
          <w:sz w:val="20"/>
          <w:szCs w:val="20"/>
        </w:rPr>
        <w:t xml:space="preserve"> Plutarch </w:t>
      </w:r>
      <w:r>
        <w:rPr>
          <w:i/>
          <w:sz w:val="20"/>
          <w:szCs w:val="20"/>
        </w:rPr>
        <w:t>Alexander</w:t>
      </w:r>
      <w:r>
        <w:rPr>
          <w:sz w:val="20"/>
          <w:szCs w:val="20"/>
        </w:rPr>
        <w:t xml:space="preserve"> 67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6D19"/>
    <w:rsid w:val="00D34DDB"/>
    <w:rsid w:val="00DE3B51"/>
    <w:rsid w:val="00E76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34991EA-393B-4F9C-9E83-D6610C93E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833</Words>
  <Characters>4754</Characters>
  <Application>Microsoft Office Word</Application>
  <DocSecurity>0</DocSecurity>
  <Lines>39</Lines>
  <Paragraphs>11</Paragraphs>
  <ScaleCrop>false</ScaleCrop>
  <Company/>
  <LinksUpToDate>false</LinksUpToDate>
  <CharactersWithSpaces>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edward ellis</cp:lastModifiedBy>
  <cp:revision>2</cp:revision>
  <dcterms:created xsi:type="dcterms:W3CDTF">2024-04-22T22:36:00Z</dcterms:created>
  <dcterms:modified xsi:type="dcterms:W3CDTF">2024-04-22T22:36:00Z</dcterms:modified>
</cp:coreProperties>
</file>